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drawings/drawing1.xml" ContentType="application/vnd.openxmlformats-officedocument.drawingml.chartshapes+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9.xml" ContentType="application/vnd.openxmlformats-officedocument.themeOverride+xml"/>
  <Override PartName="/word/drawings/drawing2.xml" ContentType="application/vnd.openxmlformats-officedocument.drawingml.chartshapes+xml"/>
  <Override PartName="/word/charts/chart20.xml" ContentType="application/vnd.openxmlformats-officedocument.drawingml.chart+xml"/>
  <Override PartName="/word/theme/themeOverride20.xml" ContentType="application/vnd.openxmlformats-officedocument.themeOverride+xml"/>
  <Override PartName="/word/drawings/drawing3.xml" ContentType="application/vnd.openxmlformats-officedocument.drawingml.chartshapes+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4.xml" ContentType="application/vnd.openxmlformats-officedocument.themeOverride+xml"/>
  <Override PartName="/word/charts/chart25.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5.xml" ContentType="application/vnd.openxmlformats-officedocument.themeOverride+xml"/>
  <Override PartName="/word/charts/chart26.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8.xml" ContentType="application/vnd.openxmlformats-officedocument.themeOverride+xml"/>
  <Override PartName="/word/charts/chart29.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30.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30.xml" ContentType="application/vnd.openxmlformats-officedocument.themeOverride+xml"/>
  <Override PartName="/word/charts/chart31.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31.xml" ContentType="application/vnd.openxmlformats-officedocument.themeOverride+xml"/>
  <Override PartName="/word/charts/chart32.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32.xml" ContentType="application/vnd.openxmlformats-officedocument.themeOverride+xml"/>
  <Override PartName="/word/charts/chart33.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33.xml" ContentType="application/vnd.openxmlformats-officedocument.themeOverride+xml"/>
  <Override PartName="/word/charts/chart34.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3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82B6EA" w14:textId="3399E137" w:rsidR="00AE4268" w:rsidRPr="00D8017D" w:rsidRDefault="00AE4268" w:rsidP="008349F0">
      <w:pPr>
        <w:pStyle w:val="Heading1"/>
        <w:rPr>
          <w:sz w:val="44"/>
          <w:szCs w:val="40"/>
        </w:rPr>
      </w:pPr>
      <w:bookmarkStart w:id="0" w:name="_Toc210289862"/>
      <w:r w:rsidRPr="00D8017D">
        <w:rPr>
          <w:sz w:val="44"/>
          <w:szCs w:val="40"/>
        </w:rPr>
        <w:t>I. B</w:t>
      </w:r>
      <w:r w:rsidR="00D66612" w:rsidRPr="00D8017D">
        <w:rPr>
          <w:sz w:val="44"/>
          <w:szCs w:val="40"/>
        </w:rPr>
        <w:t xml:space="preserve">UDŽETA IETVARS </w:t>
      </w:r>
      <w:r w:rsidRPr="00D8017D">
        <w:rPr>
          <w:sz w:val="44"/>
          <w:szCs w:val="40"/>
        </w:rPr>
        <w:t>202</w:t>
      </w:r>
      <w:r w:rsidR="007A1B2A" w:rsidRPr="00D8017D">
        <w:rPr>
          <w:sz w:val="44"/>
          <w:szCs w:val="40"/>
        </w:rPr>
        <w:t>6</w:t>
      </w:r>
      <w:r w:rsidRPr="00D8017D">
        <w:rPr>
          <w:sz w:val="44"/>
          <w:szCs w:val="40"/>
        </w:rPr>
        <w:t>., 202</w:t>
      </w:r>
      <w:r w:rsidR="007A1B2A" w:rsidRPr="00D8017D">
        <w:rPr>
          <w:sz w:val="44"/>
          <w:szCs w:val="40"/>
        </w:rPr>
        <w:t>7</w:t>
      </w:r>
      <w:r w:rsidRPr="00D8017D">
        <w:rPr>
          <w:sz w:val="44"/>
          <w:szCs w:val="40"/>
        </w:rPr>
        <w:t xml:space="preserve">. </w:t>
      </w:r>
      <w:r w:rsidR="00D66612" w:rsidRPr="00D8017D">
        <w:rPr>
          <w:sz w:val="44"/>
          <w:szCs w:val="40"/>
        </w:rPr>
        <w:t>UN</w:t>
      </w:r>
      <w:r w:rsidRPr="00D8017D">
        <w:rPr>
          <w:sz w:val="44"/>
          <w:szCs w:val="40"/>
        </w:rPr>
        <w:t xml:space="preserve"> 202</w:t>
      </w:r>
      <w:r w:rsidR="007A1B2A" w:rsidRPr="00D8017D">
        <w:rPr>
          <w:sz w:val="44"/>
          <w:szCs w:val="40"/>
        </w:rPr>
        <w:t>8</w:t>
      </w:r>
      <w:r w:rsidRPr="00D8017D">
        <w:rPr>
          <w:sz w:val="44"/>
          <w:szCs w:val="40"/>
        </w:rPr>
        <w:t xml:space="preserve">. </w:t>
      </w:r>
      <w:r w:rsidR="00D66612" w:rsidRPr="00D8017D">
        <w:rPr>
          <w:sz w:val="44"/>
          <w:szCs w:val="40"/>
        </w:rPr>
        <w:t>GADAM</w:t>
      </w:r>
      <w:bookmarkEnd w:id="0"/>
    </w:p>
    <w:p w14:paraId="7CE825E4" w14:textId="7591BDCC" w:rsidR="0070161D" w:rsidRPr="00D8017D" w:rsidRDefault="0070161D" w:rsidP="008349F0">
      <w:pPr>
        <w:pStyle w:val="Heading1"/>
        <w:rPr>
          <w:rFonts w:eastAsia="Times New Roman"/>
        </w:rPr>
      </w:pPr>
      <w:bookmarkStart w:id="1" w:name="_Toc178763473"/>
      <w:bookmarkStart w:id="2" w:name="_Toc210289863"/>
      <w:r w:rsidRPr="00D8017D">
        <w:rPr>
          <w:rFonts w:eastAsia="Times New Roman"/>
        </w:rPr>
        <w:t>1. Makroekonomiskās attīstības apraksts</w:t>
      </w:r>
      <w:r w:rsidRPr="00D8017D">
        <w:rPr>
          <w:rFonts w:eastAsia="Times New Roman"/>
          <w:szCs w:val="44"/>
          <w:vertAlign w:val="superscript"/>
        </w:rPr>
        <w:footnoteReference w:id="1"/>
      </w:r>
      <w:bookmarkEnd w:id="1"/>
      <w:bookmarkEnd w:id="2"/>
    </w:p>
    <w:p w14:paraId="7102962F" w14:textId="77777777" w:rsidR="0070161D" w:rsidRPr="00D8017D" w:rsidRDefault="0070161D" w:rsidP="008349F0">
      <w:pPr>
        <w:keepNext/>
        <w:keepLines/>
        <w:spacing w:before="360" w:after="240"/>
        <w:ind w:firstLine="0"/>
        <w:jc w:val="center"/>
        <w:outlineLvl w:val="1"/>
        <w:rPr>
          <w:rFonts w:eastAsiaTheme="majorEastAsia" w:cstheme="majorBidi"/>
          <w:b/>
          <w:bCs/>
          <w:color w:val="000000" w:themeColor="text1"/>
          <w:sz w:val="36"/>
          <w:szCs w:val="28"/>
        </w:rPr>
      </w:pPr>
      <w:bookmarkStart w:id="3" w:name="_Toc178763474"/>
      <w:bookmarkStart w:id="4" w:name="_Toc210289864"/>
      <w:r w:rsidRPr="00D8017D">
        <w:rPr>
          <w:rFonts w:eastAsiaTheme="majorEastAsia" w:cstheme="majorBidi"/>
          <w:b/>
          <w:bCs/>
          <w:color w:val="000000" w:themeColor="text1"/>
          <w:sz w:val="36"/>
          <w:szCs w:val="28"/>
        </w:rPr>
        <w:t>1.1. Ārējā ekonomiskā vide</w:t>
      </w:r>
      <w:bookmarkEnd w:id="3"/>
      <w:bookmarkEnd w:id="4"/>
    </w:p>
    <w:p w14:paraId="062B10AC" w14:textId="77777777" w:rsidR="005E58FF" w:rsidRPr="00D8017D" w:rsidRDefault="005E58FF" w:rsidP="005E58FF">
      <w:pPr>
        <w:rPr>
          <w:rFonts w:eastAsia="Calibri" w:cs="Times New Roman"/>
          <w:szCs w:val="20"/>
          <w:lang w:eastAsia="en-US"/>
        </w:rPr>
      </w:pPr>
      <w:bookmarkStart w:id="5" w:name="_Toc178763475"/>
      <w:r w:rsidRPr="00D8017D">
        <w:rPr>
          <w:rFonts w:eastAsia="Calibri" w:cs="Times New Roman"/>
          <w:szCs w:val="20"/>
          <w:lang w:eastAsia="en-US"/>
        </w:rPr>
        <w:t xml:space="preserve">Pasaules ekonomikas izaugsme 2024. gadā saglabājās vēsturiski zemā 3,3% līmenī, kas bija vēl nedaudz mazāk nekā ekonomika bija augusi pirms gada. Lēno attīstību lielā mērā noteica zemie izaugsmes tempi attīstītajās valstīs, pirmām kārtām </w:t>
      </w:r>
      <w:r w:rsidRPr="00D8017D">
        <w:rPr>
          <w:rFonts w:eastAsia="Calibri" w:cs="Times New Roman"/>
          <w:i/>
          <w:iCs/>
          <w:szCs w:val="20"/>
          <w:lang w:eastAsia="en-US"/>
        </w:rPr>
        <w:t>euro</w:t>
      </w:r>
      <w:r w:rsidRPr="00D8017D">
        <w:rPr>
          <w:rFonts w:eastAsia="Calibri" w:cs="Times New Roman"/>
          <w:szCs w:val="20"/>
          <w:lang w:eastAsia="en-US"/>
        </w:rPr>
        <w:t xml:space="preserve"> zonā, kur ekonomika pērn palielinājās tikai par 0,9%, vēl nedaudz atpaliekot arī no iepriekš prognozētā. </w:t>
      </w:r>
      <w:r w:rsidRPr="00D8017D">
        <w:rPr>
          <w:rFonts w:eastAsia="Calibri" w:cs="Times New Roman"/>
          <w:i/>
          <w:iCs/>
          <w:szCs w:val="20"/>
          <w:lang w:eastAsia="en-US"/>
        </w:rPr>
        <w:t xml:space="preserve">Euro </w:t>
      </w:r>
      <w:r w:rsidRPr="00D8017D">
        <w:rPr>
          <w:rFonts w:eastAsia="Calibri" w:cs="Times New Roman"/>
          <w:szCs w:val="20"/>
          <w:lang w:eastAsia="en-US"/>
        </w:rPr>
        <w:t>zonā situāciju būtiski ietekmēja izaugsmes kritums tās lielākajā ekonomikā Vācijā, kas saskārās ar ražošanas apjomu kritumu rūpniecībā un vājo eksporta pieprasījumu. Iekšzemes pieprasījums līdz ar reālo ienākumu pieaugumu ir sācis atjaunoties, tomēr kāpuma tempi joprojām ir vāji.</w:t>
      </w:r>
    </w:p>
    <w:p w14:paraId="3D2B5307" w14:textId="7CCFAA65" w:rsidR="005E58FF" w:rsidRPr="00D8017D" w:rsidRDefault="005E58FF" w:rsidP="005E58FF">
      <w:pPr>
        <w:rPr>
          <w:rFonts w:eastAsia="Calibri" w:cs="Times New Roman"/>
          <w:szCs w:val="20"/>
          <w:lang w:eastAsia="en-US"/>
        </w:rPr>
      </w:pPr>
      <w:r w:rsidRPr="00D8017D">
        <w:rPr>
          <w:rFonts w:eastAsia="Calibri" w:cs="Times New Roman"/>
          <w:szCs w:val="20"/>
          <w:lang w:eastAsia="en-US"/>
        </w:rPr>
        <w:t xml:space="preserve">2024. gada nogalē un 2025. gada sākumā situācija gan pasaules ekonomikā, gan </w:t>
      </w:r>
      <w:r w:rsidRPr="00D8017D">
        <w:rPr>
          <w:rFonts w:eastAsia="Calibri" w:cs="Times New Roman"/>
          <w:i/>
          <w:iCs/>
          <w:szCs w:val="20"/>
          <w:lang w:eastAsia="en-US"/>
        </w:rPr>
        <w:t>euro</w:t>
      </w:r>
      <w:r w:rsidRPr="00D8017D">
        <w:rPr>
          <w:rFonts w:eastAsia="Calibri" w:cs="Times New Roman"/>
          <w:szCs w:val="20"/>
          <w:lang w:eastAsia="en-US"/>
        </w:rPr>
        <w:t xml:space="preserve"> zonā sāk</w:t>
      </w:r>
      <w:r w:rsidR="001E0CDB">
        <w:rPr>
          <w:rFonts w:eastAsia="Calibri" w:cs="Times New Roman"/>
          <w:szCs w:val="20"/>
          <w:lang w:eastAsia="en-US"/>
        </w:rPr>
        <w:t>a</w:t>
      </w:r>
      <w:r w:rsidRPr="00D8017D">
        <w:rPr>
          <w:rFonts w:eastAsia="Calibri" w:cs="Times New Roman"/>
          <w:szCs w:val="20"/>
          <w:lang w:eastAsia="en-US"/>
        </w:rPr>
        <w:t xml:space="preserve"> uzlaboties, vienlaikus turpmākās izaugsmes prognozes nelabvēlīgi ietekmē ASV paziņojumi par muitas tarifu ieviešanu pārējām pasaules valstīm, krasi pieaugusī nenoteiktība un finanšu tirgu svārstības. Tā rezultātā SVF</w:t>
      </w:r>
      <w:r w:rsidR="00C74BC6">
        <w:rPr>
          <w:rFonts w:eastAsia="Calibri" w:cs="Times New Roman"/>
          <w:szCs w:val="20"/>
          <w:lang w:eastAsia="en-US"/>
        </w:rPr>
        <w:t xml:space="preserve"> </w:t>
      </w:r>
      <w:r w:rsidRPr="00D8017D">
        <w:rPr>
          <w:rFonts w:eastAsia="Calibri" w:cs="Times New Roman"/>
          <w:szCs w:val="20"/>
          <w:lang w:eastAsia="en-US"/>
        </w:rPr>
        <w:t xml:space="preserve">saglabājis pasaules izaugsmes prognozi zem ilgtermiņa vidējā 3,7%, 2025. gadā paredzot ekonomikas izaugsmi par 3,0%, bet 2026. gadā tai paātrinoties tikai līdz 3,1% (2025. gada jūlija prognoze). 2025. gadam prognozētā ekonomikas izaugsme pasaulē ir par 0,2 </w:t>
      </w:r>
      <w:r w:rsidR="00936796">
        <w:rPr>
          <w:rFonts w:eastAsia="Calibri" w:cs="Times New Roman"/>
          <w:szCs w:val="20"/>
          <w:lang w:eastAsia="en-US"/>
        </w:rPr>
        <w:t>pp</w:t>
      </w:r>
      <w:r w:rsidRPr="00D8017D">
        <w:rPr>
          <w:rFonts w:eastAsia="Calibri" w:cs="Times New Roman"/>
          <w:szCs w:val="20"/>
          <w:lang w:eastAsia="en-US"/>
        </w:rPr>
        <w:t xml:space="preserve"> zemāka, nekā SVF bija lēsis pagājušā gada novembrī, vēl pirms ASV tarifu diskusijas radītās spriedzes.</w:t>
      </w:r>
    </w:p>
    <w:p w14:paraId="421D0464" w14:textId="5424ECAF" w:rsidR="005E58FF" w:rsidRPr="00D8017D" w:rsidRDefault="005E58FF" w:rsidP="005E58FF">
      <w:pPr>
        <w:rPr>
          <w:rFonts w:eastAsia="Calibri" w:cs="Times New Roman"/>
          <w:szCs w:val="20"/>
          <w:lang w:eastAsia="en-US"/>
        </w:rPr>
      </w:pPr>
      <w:r w:rsidRPr="00D8017D">
        <w:rPr>
          <w:rFonts w:eastAsia="Calibri" w:cs="Times New Roman"/>
          <w:szCs w:val="20"/>
          <w:lang w:eastAsia="en-US"/>
        </w:rPr>
        <w:t xml:space="preserve">Būtiskākais izaugsmes tempu samazinājums tarifu ietekmē gaidāms tieši attīstītajās valstīs, īpaši ASV, kur ekonomikas izaugsme, pēc SVF prognozēm, šogad samazināsies līdz 1,9%, salīdzinot ar 2,8% pērn. Tomēr, neskatoties uz sabremzēšanos, tā joprojām būs straujāka nekā </w:t>
      </w:r>
      <w:r w:rsidRPr="00D8017D">
        <w:rPr>
          <w:rFonts w:eastAsia="Calibri" w:cs="Times New Roman"/>
          <w:i/>
          <w:iCs/>
          <w:szCs w:val="20"/>
          <w:lang w:eastAsia="en-US"/>
        </w:rPr>
        <w:t>euro</w:t>
      </w:r>
      <w:r w:rsidRPr="00D8017D">
        <w:rPr>
          <w:rFonts w:eastAsia="Calibri" w:cs="Times New Roman"/>
          <w:szCs w:val="20"/>
          <w:lang w:eastAsia="en-US"/>
        </w:rPr>
        <w:t xml:space="preserve"> zonā, kur </w:t>
      </w:r>
      <w:r w:rsidR="00E116F2">
        <w:rPr>
          <w:rFonts w:eastAsia="Calibri" w:cs="Times New Roman"/>
          <w:szCs w:val="20"/>
          <w:lang w:eastAsia="en-US"/>
        </w:rPr>
        <w:t>IKP</w:t>
      </w:r>
      <w:r w:rsidRPr="00D8017D">
        <w:rPr>
          <w:rFonts w:eastAsia="Calibri" w:cs="Times New Roman"/>
          <w:szCs w:val="20"/>
          <w:lang w:eastAsia="en-US"/>
        </w:rPr>
        <w:t xml:space="preserve"> pieaugums, pēc </w:t>
      </w:r>
      <w:r w:rsidR="00E116F2">
        <w:rPr>
          <w:rFonts w:eastAsia="Calibri" w:cs="Times New Roman"/>
          <w:szCs w:val="20"/>
          <w:lang w:eastAsia="en-US"/>
        </w:rPr>
        <w:t>EK</w:t>
      </w:r>
      <w:r w:rsidRPr="00D8017D">
        <w:rPr>
          <w:rFonts w:eastAsia="Calibri" w:cs="Times New Roman"/>
          <w:szCs w:val="20"/>
          <w:lang w:eastAsia="en-US"/>
        </w:rPr>
        <w:t xml:space="preserve"> prognozēm, būs pagājušā gada līmenī 0,9% apmērā (1,0% pēc SVF prognozēm). attīstības valstu izaugsme kopumā samazināsies no 4,3% </w:t>
      </w:r>
      <w:r w:rsidR="001E0CDB">
        <w:rPr>
          <w:rFonts w:eastAsia="Calibri" w:cs="Times New Roman"/>
          <w:szCs w:val="20"/>
          <w:lang w:eastAsia="en-US"/>
        </w:rPr>
        <w:t>2024. gadā</w:t>
      </w:r>
      <w:r w:rsidR="001E0CDB" w:rsidRPr="00D8017D">
        <w:rPr>
          <w:rFonts w:eastAsia="Calibri" w:cs="Times New Roman"/>
          <w:szCs w:val="20"/>
          <w:lang w:eastAsia="en-US"/>
        </w:rPr>
        <w:t xml:space="preserve"> </w:t>
      </w:r>
      <w:r w:rsidRPr="00D8017D">
        <w:rPr>
          <w:rFonts w:eastAsia="Calibri" w:cs="Times New Roman"/>
          <w:szCs w:val="20"/>
          <w:lang w:eastAsia="en-US"/>
        </w:rPr>
        <w:t xml:space="preserve">līdz 4,1% šogad un samazinājums par 0,2 </w:t>
      </w:r>
      <w:r w:rsidR="00936796">
        <w:rPr>
          <w:rFonts w:eastAsia="Calibri" w:cs="Times New Roman"/>
          <w:szCs w:val="20"/>
          <w:lang w:eastAsia="en-US"/>
        </w:rPr>
        <w:t>pp</w:t>
      </w:r>
      <w:r w:rsidRPr="00D8017D">
        <w:rPr>
          <w:rFonts w:eastAsia="Calibri" w:cs="Times New Roman"/>
          <w:szCs w:val="20"/>
          <w:lang w:eastAsia="en-US"/>
        </w:rPr>
        <w:t xml:space="preserve"> līdz 4,8% prognozēts arī Ķīnas ekonomikai. </w:t>
      </w:r>
    </w:p>
    <w:p w14:paraId="6E3E49CA" w14:textId="1B538669" w:rsidR="005E58FF" w:rsidRPr="00D8017D" w:rsidRDefault="005E58FF" w:rsidP="005E58FF">
      <w:pPr>
        <w:rPr>
          <w:rFonts w:eastAsia="Calibri" w:cs="Times New Roman"/>
          <w:szCs w:val="20"/>
          <w:lang w:eastAsia="en-US"/>
        </w:rPr>
      </w:pPr>
      <w:r w:rsidRPr="00D8017D">
        <w:rPr>
          <w:rFonts w:eastAsia="Calibri" w:cs="Times New Roman"/>
          <w:szCs w:val="20"/>
          <w:lang w:eastAsia="en-US"/>
        </w:rPr>
        <w:t xml:space="preserve">Latvijas desmit galveno ārējās tirdzniecības partnervalstu – Lietuvas, Igaunijas, Vācijas, Zviedrijas, Krievijas, Apvienotās Karalistes, Polijas, Dānijas, Nīderlandes un Somijas – kopējās vidējās svērtās izaugsmes prognozes 2025. gadam ir augstākas nekā </w:t>
      </w:r>
      <w:r w:rsidRPr="00D8017D">
        <w:rPr>
          <w:rFonts w:eastAsia="Calibri" w:cs="Times New Roman"/>
          <w:i/>
          <w:iCs/>
          <w:szCs w:val="20"/>
          <w:lang w:eastAsia="en-US"/>
        </w:rPr>
        <w:t>euro</w:t>
      </w:r>
      <w:r w:rsidRPr="00D8017D">
        <w:rPr>
          <w:rFonts w:eastAsia="Calibri" w:cs="Times New Roman"/>
          <w:szCs w:val="20"/>
          <w:lang w:eastAsia="en-US"/>
        </w:rPr>
        <w:t xml:space="preserve"> zonai un ES kopumā, veidojot 1,7%, taču, salīdzinot ar 2024. gada rudenī prognozēto, tās ir pazeminājušās par 0,2 </w:t>
      </w:r>
      <w:r w:rsidR="00936796">
        <w:rPr>
          <w:rFonts w:eastAsia="Calibri" w:cs="Times New Roman"/>
          <w:szCs w:val="20"/>
          <w:lang w:eastAsia="en-US"/>
        </w:rPr>
        <w:t>pp</w:t>
      </w:r>
      <w:r w:rsidRPr="00D8017D">
        <w:rPr>
          <w:rFonts w:eastAsia="Calibri" w:cs="Times New Roman"/>
          <w:szCs w:val="20"/>
          <w:lang w:eastAsia="en-US"/>
        </w:rPr>
        <w:t xml:space="preserve">. Vienlaikus Latvijas galvenajām tirdzniecības partnervalstīm tas ir samērā būtisks uzlabojums salīdzinājumā ar 2024. gadu, kad šo valstu ekonomika bija augusi par 1,1%. Arī šā gada pirmais un otrais ceturksnis Latvijas partnervalstīm un </w:t>
      </w:r>
      <w:r w:rsidR="00E116F2">
        <w:rPr>
          <w:rFonts w:eastAsia="Calibri" w:cs="Times New Roman"/>
          <w:szCs w:val="20"/>
          <w:lang w:eastAsia="en-US"/>
        </w:rPr>
        <w:t>ES</w:t>
      </w:r>
      <w:r w:rsidRPr="00D8017D">
        <w:rPr>
          <w:rFonts w:eastAsia="Calibri" w:cs="Times New Roman"/>
          <w:szCs w:val="20"/>
          <w:lang w:eastAsia="en-US"/>
        </w:rPr>
        <w:t xml:space="preserve"> kopumā bijis nedaudz spēcīgāks par prognozēto, tajā skaitā arī ņemot vērā pirms tarifu ieviešanas pieaugušo tirdzniecības aktivitāti ar ASV.</w:t>
      </w:r>
    </w:p>
    <w:p w14:paraId="66A1C5F0" w14:textId="77777777" w:rsidR="005E58FF" w:rsidRPr="00D8017D" w:rsidRDefault="005E58FF" w:rsidP="005E58FF">
      <w:pPr>
        <w:rPr>
          <w:rFonts w:eastAsia="Calibri" w:cs="Times New Roman"/>
          <w:szCs w:val="20"/>
          <w:lang w:eastAsia="en-US"/>
        </w:rPr>
      </w:pPr>
      <w:r w:rsidRPr="00D8017D">
        <w:rPr>
          <w:rFonts w:eastAsia="Calibri" w:cs="Times New Roman"/>
          <w:szCs w:val="20"/>
          <w:lang w:eastAsia="en-US"/>
        </w:rPr>
        <w:t xml:space="preserve">Apsteidzošie uzņēmēju un patērētāju konfidences rādītāji Eiropā pēc krituma 2022. gadā Krievijas uzsāktā kara un energokrīzes ietekmē, kopš 2023. gada vidus ir stabilizējušies ar nelielu kāpumu tendenci. Lai gan uzlabojumu dinamika bijusi neizteikta un uzņēmēju un patērētāju </w:t>
      </w:r>
      <w:r w:rsidRPr="00D8017D">
        <w:rPr>
          <w:rFonts w:eastAsia="Calibri" w:cs="Times New Roman"/>
          <w:szCs w:val="20"/>
          <w:lang w:eastAsia="en-US"/>
        </w:rPr>
        <w:lastRenderedPageBreak/>
        <w:t xml:space="preserve">noskaņojums joprojām ir negatīvāks par ilgtermiņa vidējo, tas arī nav piedzīvojis kritumu pēc ASV izraidītā tirdzniecības tarifu kara un pēdējos mēnešos uzrāda pieaugumu. Iepirkumu menedžeru indekss (PMI), kas apsteidzoši parāda ekonomikas izlaides apjomus, </w:t>
      </w:r>
      <w:r w:rsidRPr="00D8017D">
        <w:rPr>
          <w:rFonts w:eastAsia="Calibri" w:cs="Times New Roman"/>
          <w:i/>
          <w:iCs/>
          <w:szCs w:val="20"/>
          <w:lang w:eastAsia="en-US"/>
        </w:rPr>
        <w:t>euro</w:t>
      </w:r>
      <w:r w:rsidRPr="00D8017D">
        <w:rPr>
          <w:rFonts w:eastAsia="Calibri" w:cs="Times New Roman"/>
          <w:szCs w:val="20"/>
          <w:lang w:eastAsia="en-US"/>
        </w:rPr>
        <w:t xml:space="preserve"> zonā jau vairākus mēnešus pārsniedz 50 punktu atzīmi, kas atdala ekonomikas izaugsmi no krituma, un augustā ir sasniedzis 51,1 punktu, augstāko līmeni pēdējo 15 mēnešu laikā.</w:t>
      </w:r>
    </w:p>
    <w:p w14:paraId="67337641" w14:textId="74C7893A" w:rsidR="005E58FF" w:rsidRPr="00D8017D" w:rsidRDefault="005E58FF" w:rsidP="005E58FF">
      <w:pPr>
        <w:rPr>
          <w:rFonts w:eastAsia="Calibri" w:cs="Times New Roman"/>
          <w:szCs w:val="20"/>
          <w:lang w:eastAsia="en-US"/>
        </w:rPr>
      </w:pPr>
      <w:r w:rsidRPr="00D8017D">
        <w:rPr>
          <w:rFonts w:eastAsia="Calibri" w:cs="Times New Roman"/>
          <w:szCs w:val="20"/>
          <w:lang w:eastAsia="en-US"/>
        </w:rPr>
        <w:t xml:space="preserve">Inflācija pasaulē kopumā turpinās pazemināties, pēc SVF prognozēm, šogad noslīdot līdz 4,2% un 2026. gadā līdz 3,6%. ASV tarifu paaugstināšanai, bremzējot ekonomikas izaugsmi, no vienas puses, ir tarifus pazeminoša ietekme, savukārt atsevišķās valstīs, tostarp ASV, sadārdzinoties importam, gaidāms straujāks cenu pieaugums. Sagaidāms, ka ASV līdz pat 2026. gadam inflācija pārsniegs 2% mērķa līmeni, kamēr </w:t>
      </w:r>
      <w:r w:rsidRPr="00D8017D">
        <w:rPr>
          <w:rFonts w:eastAsia="Calibri" w:cs="Times New Roman"/>
          <w:i/>
          <w:iCs/>
          <w:szCs w:val="20"/>
          <w:lang w:eastAsia="en-US"/>
        </w:rPr>
        <w:t>euro</w:t>
      </w:r>
      <w:r w:rsidRPr="00D8017D">
        <w:rPr>
          <w:rFonts w:eastAsia="Calibri" w:cs="Times New Roman"/>
          <w:szCs w:val="20"/>
          <w:lang w:eastAsia="en-US"/>
        </w:rPr>
        <w:t xml:space="preserve"> zonā inflācija jau ir pietuvojusies vēlamajam līmenim, un 2025. gadā kopā, pēc </w:t>
      </w:r>
      <w:r w:rsidR="00E116F2">
        <w:rPr>
          <w:rFonts w:eastAsia="Calibri" w:cs="Times New Roman"/>
          <w:szCs w:val="20"/>
          <w:lang w:eastAsia="en-US"/>
        </w:rPr>
        <w:t>EK</w:t>
      </w:r>
      <w:r w:rsidRPr="00D8017D">
        <w:rPr>
          <w:rFonts w:eastAsia="Calibri" w:cs="Times New Roman"/>
          <w:szCs w:val="20"/>
          <w:lang w:eastAsia="en-US"/>
        </w:rPr>
        <w:t xml:space="preserve"> maija prognozēm, veidos 2,1%, bet 2026. gadā samazināsies līdz 1,7%.</w:t>
      </w:r>
    </w:p>
    <w:p w14:paraId="7F0F4739" w14:textId="77777777" w:rsidR="001E0CDB" w:rsidRDefault="005E58FF" w:rsidP="005E58FF">
      <w:pPr>
        <w:widowControl w:val="0"/>
        <w:spacing w:after="160" w:line="259" w:lineRule="auto"/>
        <w:ind w:firstLine="0"/>
        <w:contextualSpacing/>
        <w:jc w:val="right"/>
        <w:rPr>
          <w:rFonts w:eastAsia="Times New Roman" w:cs="Times New Roman"/>
          <w:b/>
          <w:i/>
          <w:iCs/>
          <w:szCs w:val="24"/>
        </w:rPr>
      </w:pPr>
      <w:r w:rsidRPr="00D8017D">
        <w:rPr>
          <w:rFonts w:eastAsia="Times New Roman" w:cs="Times New Roman"/>
          <w:b/>
          <w:i/>
          <w:iCs/>
          <w:szCs w:val="24"/>
        </w:rPr>
        <w:t xml:space="preserve">1.1. tabula. Latvijas galveno tirdzniecības partnervalstu IKP </w:t>
      </w:r>
      <w:r w:rsidRPr="00D8017D">
        <w:rPr>
          <w:rFonts w:eastAsia="Times New Roman" w:cs="Times New Roman"/>
          <w:b/>
          <w:i/>
          <w:color w:val="000000"/>
        </w:rPr>
        <w:t>pieauguma</w:t>
      </w:r>
      <w:r w:rsidRPr="00D8017D">
        <w:rPr>
          <w:rFonts w:eastAsia="Times New Roman" w:cs="Times New Roman"/>
          <w:b/>
          <w:i/>
          <w:iCs/>
          <w:szCs w:val="24"/>
        </w:rPr>
        <w:t xml:space="preserve"> prognozes </w:t>
      </w:r>
    </w:p>
    <w:p w14:paraId="3C4C954C" w14:textId="34A02745" w:rsidR="005E58FF" w:rsidRPr="00D8017D" w:rsidRDefault="005E58FF" w:rsidP="005E58FF">
      <w:pPr>
        <w:widowControl w:val="0"/>
        <w:spacing w:after="160" w:line="259" w:lineRule="auto"/>
        <w:ind w:firstLine="0"/>
        <w:contextualSpacing/>
        <w:jc w:val="right"/>
        <w:rPr>
          <w:rFonts w:eastAsia="Times New Roman" w:cs="Times New Roman"/>
          <w:b/>
          <w:i/>
          <w:iCs/>
          <w:szCs w:val="24"/>
        </w:rPr>
      </w:pPr>
      <w:r w:rsidRPr="00D8017D">
        <w:rPr>
          <w:rFonts w:eastAsia="Times New Roman" w:cs="Times New Roman"/>
          <w:b/>
          <w:i/>
          <w:iCs/>
          <w:szCs w:val="24"/>
        </w:rPr>
        <w:t>2025. un 2026. gadam</w:t>
      </w:r>
    </w:p>
    <w:p w14:paraId="61085DD9" w14:textId="77777777" w:rsidR="005E58FF" w:rsidRPr="00D8017D" w:rsidRDefault="005E58FF" w:rsidP="005E58FF">
      <w:pPr>
        <w:spacing w:after="0"/>
        <w:ind w:firstLine="0"/>
        <w:jc w:val="right"/>
        <w:rPr>
          <w:rFonts w:eastAsia="Calibri" w:cs="Times New Roman"/>
          <w:b/>
          <w:bCs/>
          <w:szCs w:val="24"/>
          <w:lang w:eastAsia="en-US"/>
        </w:rPr>
      </w:pPr>
    </w:p>
    <w:tbl>
      <w:tblPr>
        <w:tblW w:w="5000" w:type="pct"/>
        <w:jc w:val="center"/>
        <w:tblLayout w:type="fixed"/>
        <w:tblLook w:val="04A0" w:firstRow="1" w:lastRow="0" w:firstColumn="1" w:lastColumn="0" w:noHBand="0" w:noVBand="1"/>
      </w:tblPr>
      <w:tblGrid>
        <w:gridCol w:w="1432"/>
        <w:gridCol w:w="1435"/>
        <w:gridCol w:w="1301"/>
        <w:gridCol w:w="1294"/>
        <w:gridCol w:w="1294"/>
        <w:gridCol w:w="1430"/>
        <w:gridCol w:w="1158"/>
      </w:tblGrid>
      <w:tr w:rsidR="005E58FF" w:rsidRPr="00D8017D" w14:paraId="30C80288" w14:textId="77777777" w:rsidTr="00141289">
        <w:trPr>
          <w:trHeight w:val="839"/>
          <w:jc w:val="center"/>
        </w:trPr>
        <w:tc>
          <w:tcPr>
            <w:tcW w:w="1271" w:type="dxa"/>
            <w:vMerge w:val="restart"/>
            <w:tcBorders>
              <w:top w:val="single" w:sz="4" w:space="0" w:color="auto"/>
              <w:left w:val="single" w:sz="4" w:space="0" w:color="auto"/>
              <w:bottom w:val="single" w:sz="4" w:space="0" w:color="auto"/>
              <w:right w:val="single" w:sz="4" w:space="0" w:color="auto"/>
            </w:tcBorders>
            <w:shd w:val="clear" w:color="auto" w:fill="DEEAF6"/>
            <w:tcMar>
              <w:top w:w="57" w:type="dxa"/>
              <w:left w:w="85" w:type="dxa"/>
              <w:bottom w:w="57" w:type="dxa"/>
              <w:right w:w="85" w:type="dxa"/>
            </w:tcMar>
            <w:vAlign w:val="center"/>
            <w:hideMark/>
          </w:tcPr>
          <w:p w14:paraId="1905347D" w14:textId="77777777" w:rsidR="005E58FF" w:rsidRPr="00D8017D" w:rsidRDefault="005E58FF" w:rsidP="005E58FF">
            <w:pPr>
              <w:spacing w:after="0"/>
              <w:ind w:firstLine="0"/>
              <w:jc w:val="left"/>
              <w:rPr>
                <w:rFonts w:eastAsia="Calibri" w:cs="Times New Roman"/>
                <w:b/>
                <w:sz w:val="20"/>
                <w:szCs w:val="20"/>
              </w:rPr>
            </w:pPr>
            <w:r w:rsidRPr="00D8017D">
              <w:rPr>
                <w:rFonts w:eastAsia="Calibri" w:cs="Times New Roman"/>
                <w:b/>
                <w:sz w:val="20"/>
                <w:szCs w:val="20"/>
              </w:rPr>
              <w:t>Valsts</w:t>
            </w:r>
          </w:p>
        </w:tc>
        <w:tc>
          <w:tcPr>
            <w:tcW w:w="1274" w:type="dxa"/>
            <w:vMerge w:val="restart"/>
            <w:tcBorders>
              <w:top w:val="single" w:sz="4" w:space="0" w:color="auto"/>
              <w:left w:val="single" w:sz="4" w:space="0" w:color="auto"/>
              <w:bottom w:val="single" w:sz="4" w:space="0" w:color="auto"/>
              <w:right w:val="single" w:sz="4" w:space="0" w:color="auto"/>
            </w:tcBorders>
            <w:shd w:val="clear" w:color="auto" w:fill="DEEAF6"/>
            <w:tcMar>
              <w:top w:w="57" w:type="dxa"/>
              <w:left w:w="85" w:type="dxa"/>
              <w:bottom w:w="57" w:type="dxa"/>
              <w:right w:w="85" w:type="dxa"/>
            </w:tcMar>
            <w:hideMark/>
          </w:tcPr>
          <w:p w14:paraId="77BB4D0A" w14:textId="37FBB53F" w:rsidR="005E58FF" w:rsidRPr="00D8017D" w:rsidRDefault="005E58FF" w:rsidP="005E58FF">
            <w:pPr>
              <w:spacing w:after="0"/>
              <w:ind w:firstLine="0"/>
              <w:jc w:val="center"/>
              <w:rPr>
                <w:rFonts w:eastAsia="Calibri" w:cs="Times New Roman"/>
                <w:b/>
                <w:sz w:val="20"/>
                <w:szCs w:val="20"/>
              </w:rPr>
            </w:pPr>
            <w:r w:rsidRPr="00D8017D">
              <w:rPr>
                <w:rFonts w:eastAsia="Calibri" w:cs="Times New Roman"/>
                <w:b/>
                <w:sz w:val="20"/>
                <w:szCs w:val="20"/>
              </w:rPr>
              <w:t>Īpatsvars kopējā Latvijas preču eksportā 2024.</w:t>
            </w:r>
            <w:r w:rsidR="001E0CDB">
              <w:rPr>
                <w:rFonts w:eastAsia="Calibri" w:cs="Times New Roman"/>
                <w:b/>
                <w:sz w:val="20"/>
                <w:szCs w:val="20"/>
              </w:rPr>
              <w:t xml:space="preserve"> </w:t>
            </w:r>
            <w:r w:rsidRPr="00D8017D">
              <w:rPr>
                <w:rFonts w:eastAsia="Calibri" w:cs="Times New Roman"/>
                <w:b/>
                <w:sz w:val="20"/>
                <w:szCs w:val="20"/>
              </w:rPr>
              <w:t>g.</w:t>
            </w:r>
          </w:p>
        </w:tc>
        <w:tc>
          <w:tcPr>
            <w:tcW w:w="1155" w:type="dxa"/>
            <w:vMerge w:val="restart"/>
            <w:tcBorders>
              <w:top w:val="single" w:sz="4" w:space="0" w:color="auto"/>
              <w:left w:val="single" w:sz="4" w:space="0" w:color="auto"/>
              <w:right w:val="single" w:sz="4" w:space="0" w:color="auto"/>
            </w:tcBorders>
            <w:shd w:val="clear" w:color="auto" w:fill="DEEAF6"/>
          </w:tcPr>
          <w:p w14:paraId="67876A39" w14:textId="127CA2DB" w:rsidR="005E58FF" w:rsidRPr="00D8017D" w:rsidRDefault="005E58FF" w:rsidP="005E58FF">
            <w:pPr>
              <w:spacing w:after="0"/>
              <w:ind w:firstLine="0"/>
              <w:jc w:val="center"/>
              <w:rPr>
                <w:rFonts w:eastAsia="Calibri" w:cs="Times New Roman"/>
                <w:b/>
                <w:sz w:val="20"/>
                <w:szCs w:val="20"/>
              </w:rPr>
            </w:pPr>
            <w:r w:rsidRPr="00D8017D">
              <w:rPr>
                <w:rFonts w:eastAsia="Calibri" w:cs="Times New Roman"/>
                <w:b/>
                <w:sz w:val="20"/>
                <w:szCs w:val="20"/>
              </w:rPr>
              <w:t>IKP pieaugums 2024.</w:t>
            </w:r>
            <w:r w:rsidR="001E0CDB">
              <w:rPr>
                <w:rFonts w:eastAsia="Calibri" w:cs="Times New Roman"/>
                <w:b/>
                <w:sz w:val="20"/>
                <w:szCs w:val="20"/>
              </w:rPr>
              <w:t xml:space="preserve"> </w:t>
            </w:r>
            <w:r w:rsidRPr="00D8017D">
              <w:rPr>
                <w:rFonts w:eastAsia="Calibri" w:cs="Times New Roman"/>
                <w:b/>
                <w:sz w:val="20"/>
                <w:szCs w:val="20"/>
              </w:rPr>
              <w:t>g, %</w:t>
            </w:r>
          </w:p>
        </w:tc>
        <w:tc>
          <w:tcPr>
            <w:tcW w:w="2298" w:type="dxa"/>
            <w:gridSpan w:val="2"/>
            <w:tcBorders>
              <w:top w:val="single" w:sz="4" w:space="0" w:color="auto"/>
              <w:left w:val="single" w:sz="4" w:space="0" w:color="auto"/>
              <w:bottom w:val="single" w:sz="4" w:space="0" w:color="auto"/>
              <w:right w:val="single" w:sz="4" w:space="0" w:color="auto"/>
            </w:tcBorders>
            <w:shd w:val="clear" w:color="auto" w:fill="DEEAF6"/>
            <w:tcMar>
              <w:top w:w="57" w:type="dxa"/>
              <w:left w:w="85" w:type="dxa"/>
              <w:bottom w:w="57" w:type="dxa"/>
              <w:right w:w="85" w:type="dxa"/>
            </w:tcMar>
            <w:hideMark/>
          </w:tcPr>
          <w:p w14:paraId="5102F4A2" w14:textId="77777777" w:rsidR="005E58FF" w:rsidRPr="00D8017D" w:rsidRDefault="005E58FF" w:rsidP="005E58FF">
            <w:pPr>
              <w:spacing w:after="0"/>
              <w:ind w:firstLine="0"/>
              <w:jc w:val="center"/>
              <w:rPr>
                <w:rFonts w:eastAsia="Calibri" w:cs="Times New Roman"/>
                <w:b/>
                <w:sz w:val="20"/>
                <w:szCs w:val="20"/>
              </w:rPr>
            </w:pPr>
            <w:r w:rsidRPr="00D8017D">
              <w:rPr>
                <w:rFonts w:eastAsia="Calibri" w:cs="Times New Roman"/>
                <w:b/>
                <w:sz w:val="20"/>
                <w:szCs w:val="20"/>
              </w:rPr>
              <w:t>IKP pieauguma prognoze salīdzināmās cenās, g/g, %,</w:t>
            </w:r>
          </w:p>
          <w:p w14:paraId="796FC237" w14:textId="4B6EB0BB" w:rsidR="005E58FF" w:rsidRPr="00D8017D" w:rsidRDefault="005E58FF" w:rsidP="005E58FF">
            <w:pPr>
              <w:spacing w:after="0"/>
              <w:ind w:firstLine="0"/>
              <w:jc w:val="center"/>
              <w:rPr>
                <w:rFonts w:eastAsia="Calibri" w:cs="Times New Roman"/>
                <w:b/>
                <w:sz w:val="20"/>
                <w:szCs w:val="20"/>
              </w:rPr>
            </w:pPr>
            <w:r w:rsidRPr="00D8017D">
              <w:rPr>
                <w:rFonts w:eastAsia="Calibri" w:cs="Times New Roman"/>
                <w:b/>
                <w:sz w:val="20"/>
                <w:szCs w:val="20"/>
              </w:rPr>
              <w:t>EK, 2025.</w:t>
            </w:r>
            <w:r w:rsidR="00906CF9">
              <w:rPr>
                <w:rFonts w:eastAsia="Calibri" w:cs="Times New Roman"/>
                <w:b/>
                <w:sz w:val="20"/>
                <w:szCs w:val="20"/>
              </w:rPr>
              <w:t xml:space="preserve"> </w:t>
            </w:r>
            <w:r w:rsidRPr="00D8017D">
              <w:rPr>
                <w:rFonts w:eastAsia="Calibri" w:cs="Times New Roman"/>
                <w:b/>
                <w:sz w:val="20"/>
                <w:szCs w:val="20"/>
              </w:rPr>
              <w:t>g. maijs</w:t>
            </w:r>
            <w:r w:rsidRPr="00D8017D">
              <w:rPr>
                <w:rFonts w:eastAsia="Calibri" w:cs="Times New Roman"/>
                <w:b/>
                <w:sz w:val="20"/>
                <w:szCs w:val="20"/>
              </w:rPr>
              <w:br/>
              <w:t>*SVF, 2025.</w:t>
            </w:r>
            <w:r w:rsidR="00906CF9">
              <w:rPr>
                <w:rFonts w:eastAsia="Calibri" w:cs="Times New Roman"/>
                <w:b/>
                <w:sz w:val="20"/>
                <w:szCs w:val="20"/>
              </w:rPr>
              <w:t xml:space="preserve"> </w:t>
            </w:r>
            <w:r w:rsidRPr="00D8017D">
              <w:rPr>
                <w:rFonts w:eastAsia="Calibri" w:cs="Times New Roman"/>
                <w:b/>
                <w:sz w:val="20"/>
                <w:szCs w:val="20"/>
              </w:rPr>
              <w:t>g. jūlijs</w:t>
            </w:r>
          </w:p>
        </w:tc>
        <w:tc>
          <w:tcPr>
            <w:tcW w:w="2298" w:type="dxa"/>
            <w:gridSpan w:val="2"/>
            <w:tcBorders>
              <w:top w:val="single" w:sz="4" w:space="0" w:color="auto"/>
              <w:left w:val="single" w:sz="4" w:space="0" w:color="auto"/>
              <w:bottom w:val="single" w:sz="4" w:space="0" w:color="auto"/>
              <w:right w:val="single" w:sz="4" w:space="0" w:color="auto"/>
            </w:tcBorders>
            <w:shd w:val="clear" w:color="auto" w:fill="DEEAF6"/>
            <w:tcMar>
              <w:top w:w="57" w:type="dxa"/>
              <w:left w:w="85" w:type="dxa"/>
              <w:bottom w:w="57" w:type="dxa"/>
              <w:right w:w="85" w:type="dxa"/>
            </w:tcMar>
          </w:tcPr>
          <w:p w14:paraId="4F7AB03D" w14:textId="6B7D8FB1" w:rsidR="005E58FF" w:rsidRPr="00D8017D" w:rsidRDefault="005E58FF" w:rsidP="005E58FF">
            <w:pPr>
              <w:spacing w:after="0"/>
              <w:ind w:firstLine="0"/>
              <w:jc w:val="center"/>
              <w:rPr>
                <w:rFonts w:eastAsia="Calibri" w:cs="Times New Roman"/>
                <w:b/>
                <w:sz w:val="20"/>
                <w:szCs w:val="20"/>
              </w:rPr>
            </w:pPr>
            <w:r w:rsidRPr="00D8017D">
              <w:rPr>
                <w:rFonts w:eastAsia="Calibri" w:cs="Times New Roman"/>
                <w:b/>
                <w:sz w:val="20"/>
                <w:szCs w:val="20"/>
              </w:rPr>
              <w:t>Izmaiņas pret EK 2024.</w:t>
            </w:r>
            <w:r w:rsidR="00906CF9">
              <w:rPr>
                <w:rFonts w:eastAsia="Calibri" w:cs="Times New Roman"/>
                <w:b/>
                <w:sz w:val="20"/>
                <w:szCs w:val="20"/>
              </w:rPr>
              <w:t xml:space="preserve"> </w:t>
            </w:r>
            <w:r w:rsidRPr="00D8017D">
              <w:rPr>
                <w:rFonts w:eastAsia="Calibri" w:cs="Times New Roman"/>
                <w:b/>
                <w:sz w:val="20"/>
                <w:szCs w:val="20"/>
              </w:rPr>
              <w:t>g. novembra prognozēm un SVF 2025.</w:t>
            </w:r>
            <w:r w:rsidR="00906CF9">
              <w:rPr>
                <w:rFonts w:eastAsia="Calibri" w:cs="Times New Roman"/>
                <w:b/>
                <w:sz w:val="20"/>
                <w:szCs w:val="20"/>
              </w:rPr>
              <w:t xml:space="preserve"> </w:t>
            </w:r>
            <w:r w:rsidRPr="00D8017D">
              <w:rPr>
                <w:rFonts w:eastAsia="Calibri" w:cs="Times New Roman"/>
                <w:b/>
                <w:sz w:val="20"/>
                <w:szCs w:val="20"/>
              </w:rPr>
              <w:t>g. janvāra prognozēm, pp</w:t>
            </w:r>
          </w:p>
        </w:tc>
      </w:tr>
      <w:tr w:rsidR="005E58FF" w:rsidRPr="00D8017D" w14:paraId="1E056708" w14:textId="77777777" w:rsidTr="008F1B9D">
        <w:trPr>
          <w:trHeight w:val="268"/>
          <w:jc w:val="center"/>
        </w:trPr>
        <w:tc>
          <w:tcPr>
            <w:tcW w:w="1271" w:type="dxa"/>
            <w:vMerge/>
            <w:tcBorders>
              <w:top w:val="single" w:sz="4" w:space="0" w:color="auto"/>
              <w:left w:val="single" w:sz="4" w:space="0" w:color="auto"/>
              <w:bottom w:val="single" w:sz="4" w:space="0" w:color="auto"/>
              <w:right w:val="single" w:sz="4" w:space="0" w:color="auto"/>
            </w:tcBorders>
            <w:shd w:val="clear" w:color="auto" w:fill="DEEAF6"/>
            <w:tcMar>
              <w:top w:w="57" w:type="dxa"/>
              <w:left w:w="85" w:type="dxa"/>
              <w:bottom w:w="57" w:type="dxa"/>
              <w:right w:w="85" w:type="dxa"/>
            </w:tcMar>
            <w:vAlign w:val="center"/>
            <w:hideMark/>
          </w:tcPr>
          <w:p w14:paraId="0415E43E" w14:textId="77777777" w:rsidR="005E58FF" w:rsidRPr="00D8017D" w:rsidRDefault="005E58FF" w:rsidP="005E58FF">
            <w:pPr>
              <w:spacing w:after="0"/>
              <w:ind w:firstLine="0"/>
              <w:jc w:val="left"/>
              <w:rPr>
                <w:rFonts w:eastAsia="Calibri" w:cs="Times New Roman"/>
                <w:sz w:val="20"/>
                <w:szCs w:val="20"/>
              </w:rPr>
            </w:pPr>
          </w:p>
        </w:tc>
        <w:tc>
          <w:tcPr>
            <w:tcW w:w="1274" w:type="dxa"/>
            <w:vMerge/>
            <w:tcBorders>
              <w:top w:val="single" w:sz="4" w:space="0" w:color="auto"/>
              <w:left w:val="single" w:sz="4" w:space="0" w:color="auto"/>
              <w:bottom w:val="single" w:sz="4" w:space="0" w:color="auto"/>
              <w:right w:val="single" w:sz="4" w:space="0" w:color="auto"/>
            </w:tcBorders>
            <w:shd w:val="clear" w:color="auto" w:fill="DEEAF6"/>
            <w:tcMar>
              <w:top w:w="57" w:type="dxa"/>
              <w:left w:w="85" w:type="dxa"/>
              <w:bottom w:w="57" w:type="dxa"/>
              <w:right w:w="85" w:type="dxa"/>
            </w:tcMar>
            <w:vAlign w:val="center"/>
            <w:hideMark/>
          </w:tcPr>
          <w:p w14:paraId="56E1C0EA" w14:textId="77777777" w:rsidR="005E58FF" w:rsidRPr="00D8017D" w:rsidRDefault="005E58FF" w:rsidP="005E58FF">
            <w:pPr>
              <w:spacing w:after="0"/>
              <w:ind w:firstLine="0"/>
              <w:jc w:val="center"/>
              <w:rPr>
                <w:rFonts w:eastAsia="Calibri" w:cs="Times New Roman"/>
                <w:sz w:val="20"/>
                <w:szCs w:val="20"/>
              </w:rPr>
            </w:pPr>
          </w:p>
        </w:tc>
        <w:tc>
          <w:tcPr>
            <w:tcW w:w="1155" w:type="dxa"/>
            <w:vMerge/>
            <w:tcBorders>
              <w:left w:val="single" w:sz="4" w:space="0" w:color="auto"/>
              <w:bottom w:val="single" w:sz="4" w:space="0" w:color="auto"/>
              <w:right w:val="single" w:sz="4" w:space="0" w:color="auto"/>
            </w:tcBorders>
            <w:shd w:val="clear" w:color="auto" w:fill="DEEAF6"/>
          </w:tcPr>
          <w:p w14:paraId="2DB2B929" w14:textId="77777777" w:rsidR="005E58FF" w:rsidRPr="00D8017D" w:rsidRDefault="005E58FF" w:rsidP="005E58FF">
            <w:pPr>
              <w:spacing w:after="0"/>
              <w:ind w:firstLine="0"/>
              <w:jc w:val="center"/>
              <w:rPr>
                <w:rFonts w:eastAsia="Calibri" w:cs="Times New Roman"/>
                <w:b/>
                <w:sz w:val="20"/>
                <w:szCs w:val="20"/>
              </w:rPr>
            </w:pPr>
          </w:p>
        </w:tc>
        <w:tc>
          <w:tcPr>
            <w:tcW w:w="1149"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57" w:type="dxa"/>
              <w:left w:w="85" w:type="dxa"/>
              <w:bottom w:w="57" w:type="dxa"/>
              <w:right w:w="85" w:type="dxa"/>
            </w:tcMar>
            <w:vAlign w:val="center"/>
            <w:hideMark/>
          </w:tcPr>
          <w:p w14:paraId="3C761FCE" w14:textId="77777777" w:rsidR="005E58FF" w:rsidRPr="00D8017D" w:rsidRDefault="005E58FF" w:rsidP="005E58FF">
            <w:pPr>
              <w:spacing w:after="0"/>
              <w:ind w:firstLine="0"/>
              <w:jc w:val="center"/>
              <w:rPr>
                <w:rFonts w:eastAsia="Calibri" w:cs="Times New Roman"/>
                <w:b/>
                <w:sz w:val="20"/>
                <w:szCs w:val="20"/>
              </w:rPr>
            </w:pPr>
            <w:r w:rsidRPr="00D8017D">
              <w:rPr>
                <w:rFonts w:eastAsia="Calibri" w:cs="Times New Roman"/>
                <w:b/>
                <w:sz w:val="20"/>
                <w:szCs w:val="20"/>
              </w:rPr>
              <w:t>2025</w:t>
            </w:r>
          </w:p>
        </w:tc>
        <w:tc>
          <w:tcPr>
            <w:tcW w:w="1149"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57" w:type="dxa"/>
              <w:left w:w="85" w:type="dxa"/>
              <w:bottom w:w="57" w:type="dxa"/>
              <w:right w:w="85" w:type="dxa"/>
            </w:tcMar>
            <w:vAlign w:val="center"/>
            <w:hideMark/>
          </w:tcPr>
          <w:p w14:paraId="1AAEE75F" w14:textId="77777777" w:rsidR="005E58FF" w:rsidRPr="00D8017D" w:rsidRDefault="005E58FF" w:rsidP="005E58FF">
            <w:pPr>
              <w:spacing w:after="0"/>
              <w:ind w:firstLine="0"/>
              <w:jc w:val="center"/>
              <w:rPr>
                <w:rFonts w:eastAsia="Calibri" w:cs="Times New Roman"/>
                <w:b/>
                <w:sz w:val="20"/>
                <w:szCs w:val="20"/>
              </w:rPr>
            </w:pPr>
            <w:r w:rsidRPr="00D8017D">
              <w:rPr>
                <w:rFonts w:eastAsia="Calibri" w:cs="Times New Roman"/>
                <w:b/>
                <w:sz w:val="20"/>
                <w:szCs w:val="20"/>
              </w:rPr>
              <w:t>2026</w:t>
            </w:r>
          </w:p>
        </w:tc>
        <w:tc>
          <w:tcPr>
            <w:tcW w:w="1270"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57" w:type="dxa"/>
              <w:left w:w="85" w:type="dxa"/>
              <w:bottom w:w="57" w:type="dxa"/>
              <w:right w:w="85" w:type="dxa"/>
            </w:tcMar>
            <w:vAlign w:val="center"/>
          </w:tcPr>
          <w:p w14:paraId="42EEF091" w14:textId="77777777" w:rsidR="005E58FF" w:rsidRPr="00D8017D" w:rsidRDefault="005E58FF" w:rsidP="005E58FF">
            <w:pPr>
              <w:spacing w:after="0"/>
              <w:ind w:firstLine="0"/>
              <w:jc w:val="center"/>
              <w:rPr>
                <w:rFonts w:eastAsia="Calibri" w:cs="Times New Roman"/>
                <w:b/>
                <w:sz w:val="20"/>
                <w:szCs w:val="20"/>
              </w:rPr>
            </w:pPr>
            <w:r w:rsidRPr="00D8017D">
              <w:rPr>
                <w:rFonts w:eastAsia="Calibri" w:cs="Times New Roman"/>
                <w:b/>
                <w:sz w:val="20"/>
                <w:szCs w:val="20"/>
              </w:rPr>
              <w:t>2025</w:t>
            </w:r>
          </w:p>
        </w:tc>
        <w:tc>
          <w:tcPr>
            <w:tcW w:w="1028" w:type="dxa"/>
            <w:tcBorders>
              <w:top w:val="single" w:sz="4" w:space="0" w:color="auto"/>
              <w:left w:val="single" w:sz="4" w:space="0" w:color="auto"/>
              <w:bottom w:val="single" w:sz="4" w:space="0" w:color="auto"/>
              <w:right w:val="single" w:sz="4" w:space="0" w:color="auto"/>
            </w:tcBorders>
            <w:shd w:val="clear" w:color="auto" w:fill="BDD6EE" w:themeFill="accent1" w:themeFillTint="66"/>
            <w:tcMar>
              <w:top w:w="57" w:type="dxa"/>
              <w:left w:w="85" w:type="dxa"/>
              <w:bottom w:w="57" w:type="dxa"/>
              <w:right w:w="85" w:type="dxa"/>
            </w:tcMar>
            <w:vAlign w:val="center"/>
          </w:tcPr>
          <w:p w14:paraId="638FC856" w14:textId="77777777" w:rsidR="005E58FF" w:rsidRPr="00D8017D" w:rsidRDefault="005E58FF" w:rsidP="005E58FF">
            <w:pPr>
              <w:spacing w:after="0"/>
              <w:ind w:firstLine="0"/>
              <w:jc w:val="center"/>
              <w:rPr>
                <w:rFonts w:eastAsia="Calibri" w:cs="Times New Roman"/>
                <w:b/>
                <w:sz w:val="20"/>
                <w:szCs w:val="20"/>
              </w:rPr>
            </w:pPr>
            <w:r w:rsidRPr="00D8017D">
              <w:rPr>
                <w:rFonts w:eastAsia="Calibri" w:cs="Times New Roman"/>
                <w:b/>
                <w:sz w:val="20"/>
                <w:szCs w:val="20"/>
              </w:rPr>
              <w:t>2026</w:t>
            </w:r>
          </w:p>
        </w:tc>
      </w:tr>
      <w:tr w:rsidR="005E58FF" w:rsidRPr="00D8017D" w14:paraId="05757C62" w14:textId="77777777" w:rsidTr="00E116F2">
        <w:trPr>
          <w:jc w:val="center"/>
        </w:trPr>
        <w:tc>
          <w:tcPr>
            <w:tcW w:w="127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504E64F0" w14:textId="77777777" w:rsidR="005E58FF" w:rsidRPr="00D8017D" w:rsidRDefault="005E58FF" w:rsidP="005E58FF">
            <w:pPr>
              <w:spacing w:after="0"/>
              <w:ind w:firstLine="0"/>
              <w:jc w:val="left"/>
              <w:rPr>
                <w:rFonts w:eastAsia="Calibri" w:cs="Times New Roman"/>
                <w:sz w:val="20"/>
                <w:szCs w:val="20"/>
              </w:rPr>
            </w:pPr>
            <w:r w:rsidRPr="00D8017D">
              <w:rPr>
                <w:rFonts w:eastAsia="Calibri" w:cs="Times New Roman"/>
                <w:sz w:val="20"/>
                <w:szCs w:val="20"/>
                <w:lang w:eastAsia="en-US"/>
              </w:rPr>
              <w:t>Lietuva</w:t>
            </w:r>
          </w:p>
        </w:tc>
        <w:tc>
          <w:tcPr>
            <w:tcW w:w="1274"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6A832C84" w14:textId="77777777" w:rsidR="005E58FF" w:rsidRPr="00D8017D" w:rsidRDefault="005E58FF" w:rsidP="00E116F2">
            <w:pPr>
              <w:spacing w:after="0"/>
              <w:ind w:firstLine="0"/>
              <w:jc w:val="center"/>
              <w:rPr>
                <w:rFonts w:eastAsia="Calibri" w:cs="Times New Roman"/>
                <w:sz w:val="20"/>
                <w:szCs w:val="20"/>
              </w:rPr>
            </w:pPr>
            <w:r w:rsidRPr="00D8017D">
              <w:rPr>
                <w:rFonts w:eastAsia="Calibri" w:cs="Times New Roman"/>
                <w:sz w:val="20"/>
                <w:szCs w:val="20"/>
                <w:lang w:eastAsia="en-US"/>
              </w:rPr>
              <w:t>18,1%</w:t>
            </w:r>
          </w:p>
        </w:tc>
        <w:tc>
          <w:tcPr>
            <w:tcW w:w="1155" w:type="dxa"/>
            <w:tcBorders>
              <w:top w:val="single" w:sz="4" w:space="0" w:color="auto"/>
              <w:left w:val="single" w:sz="4" w:space="0" w:color="auto"/>
              <w:bottom w:val="single" w:sz="4" w:space="0" w:color="auto"/>
              <w:right w:val="single" w:sz="4" w:space="0" w:color="auto"/>
            </w:tcBorders>
            <w:vAlign w:val="center"/>
          </w:tcPr>
          <w:p w14:paraId="454FC248"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2,8</w:t>
            </w:r>
          </w:p>
        </w:tc>
        <w:tc>
          <w:tcPr>
            <w:tcW w:w="1149" w:type="dxa"/>
            <w:tcBorders>
              <w:top w:val="single" w:sz="4" w:space="0" w:color="auto"/>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1FDD2770"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2,8</w:t>
            </w:r>
          </w:p>
        </w:tc>
        <w:tc>
          <w:tcPr>
            <w:tcW w:w="1149" w:type="dxa"/>
            <w:tcBorders>
              <w:top w:val="single" w:sz="4" w:space="0" w:color="auto"/>
              <w:left w:val="nil"/>
              <w:bottom w:val="single" w:sz="4" w:space="0" w:color="auto"/>
              <w:right w:val="single" w:sz="4" w:space="0" w:color="auto"/>
            </w:tcBorders>
            <w:noWrap/>
            <w:tcMar>
              <w:top w:w="57" w:type="dxa"/>
              <w:left w:w="85" w:type="dxa"/>
              <w:bottom w:w="57" w:type="dxa"/>
              <w:right w:w="85" w:type="dxa"/>
            </w:tcMar>
            <w:vAlign w:val="center"/>
            <w:hideMark/>
          </w:tcPr>
          <w:p w14:paraId="023EC105"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3,1</w:t>
            </w:r>
          </w:p>
        </w:tc>
        <w:tc>
          <w:tcPr>
            <w:tcW w:w="1270" w:type="dxa"/>
            <w:tcBorders>
              <w:top w:val="single" w:sz="4" w:space="0" w:color="auto"/>
              <w:left w:val="nil"/>
              <w:bottom w:val="single" w:sz="4" w:space="0" w:color="auto"/>
              <w:right w:val="single" w:sz="4" w:space="0" w:color="auto"/>
            </w:tcBorders>
            <w:noWrap/>
            <w:tcMar>
              <w:top w:w="57" w:type="dxa"/>
              <w:left w:w="85" w:type="dxa"/>
              <w:bottom w:w="57" w:type="dxa"/>
              <w:right w:w="85" w:type="dxa"/>
            </w:tcMar>
            <w:vAlign w:val="center"/>
          </w:tcPr>
          <w:p w14:paraId="3C7F7B50"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-0,2</w:t>
            </w:r>
          </w:p>
        </w:tc>
        <w:tc>
          <w:tcPr>
            <w:tcW w:w="1028" w:type="dxa"/>
            <w:tcBorders>
              <w:top w:val="single" w:sz="4" w:space="0" w:color="auto"/>
              <w:left w:val="nil"/>
              <w:bottom w:val="single" w:sz="4" w:space="0" w:color="auto"/>
              <w:right w:val="single" w:sz="4" w:space="0" w:color="auto"/>
            </w:tcBorders>
            <w:tcMar>
              <w:top w:w="57" w:type="dxa"/>
              <w:left w:w="85" w:type="dxa"/>
              <w:bottom w:w="57" w:type="dxa"/>
              <w:right w:w="85" w:type="dxa"/>
            </w:tcMar>
            <w:vAlign w:val="center"/>
          </w:tcPr>
          <w:p w14:paraId="01AA8323"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0,1</w:t>
            </w:r>
          </w:p>
        </w:tc>
      </w:tr>
      <w:tr w:rsidR="005E58FF" w:rsidRPr="00D8017D" w14:paraId="31D5286F" w14:textId="77777777" w:rsidTr="00E116F2">
        <w:trPr>
          <w:jc w:val="center"/>
        </w:trPr>
        <w:tc>
          <w:tcPr>
            <w:tcW w:w="1271"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07316498" w14:textId="77777777" w:rsidR="005E58FF" w:rsidRPr="00D8017D" w:rsidRDefault="005E58FF" w:rsidP="005E58FF">
            <w:pPr>
              <w:spacing w:after="0"/>
              <w:ind w:firstLine="0"/>
              <w:jc w:val="left"/>
              <w:rPr>
                <w:rFonts w:eastAsia="Calibri" w:cs="Times New Roman"/>
                <w:sz w:val="20"/>
                <w:szCs w:val="20"/>
              </w:rPr>
            </w:pPr>
            <w:r w:rsidRPr="00D8017D">
              <w:rPr>
                <w:rFonts w:eastAsia="Calibri" w:cs="Times New Roman"/>
                <w:sz w:val="20"/>
                <w:szCs w:val="20"/>
                <w:lang w:eastAsia="en-US"/>
              </w:rPr>
              <w:t>Igaunija</w:t>
            </w:r>
          </w:p>
        </w:tc>
        <w:tc>
          <w:tcPr>
            <w:tcW w:w="1274"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0CECCD0A" w14:textId="77777777" w:rsidR="005E58FF" w:rsidRPr="00D8017D" w:rsidRDefault="005E58FF" w:rsidP="00E116F2">
            <w:pPr>
              <w:spacing w:after="0"/>
              <w:ind w:firstLine="0"/>
              <w:jc w:val="center"/>
              <w:rPr>
                <w:rFonts w:eastAsia="Calibri" w:cs="Times New Roman"/>
                <w:sz w:val="20"/>
                <w:szCs w:val="20"/>
              </w:rPr>
            </w:pPr>
            <w:r w:rsidRPr="00D8017D">
              <w:rPr>
                <w:rFonts w:eastAsia="Calibri" w:cs="Times New Roman"/>
                <w:sz w:val="20"/>
                <w:szCs w:val="20"/>
                <w:lang w:eastAsia="en-US"/>
              </w:rPr>
              <w:t>11,7%</w:t>
            </w:r>
          </w:p>
        </w:tc>
        <w:tc>
          <w:tcPr>
            <w:tcW w:w="1155" w:type="dxa"/>
            <w:tcBorders>
              <w:top w:val="nil"/>
              <w:left w:val="single" w:sz="4" w:space="0" w:color="auto"/>
              <w:bottom w:val="single" w:sz="4" w:space="0" w:color="auto"/>
              <w:right w:val="single" w:sz="4" w:space="0" w:color="auto"/>
            </w:tcBorders>
            <w:vAlign w:val="center"/>
          </w:tcPr>
          <w:p w14:paraId="7382BB32"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-0,3</w:t>
            </w:r>
          </w:p>
        </w:tc>
        <w:tc>
          <w:tcPr>
            <w:tcW w:w="1149" w:type="dxa"/>
            <w:tcBorders>
              <w:top w:val="nil"/>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795459CC"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1,1</w:t>
            </w:r>
          </w:p>
        </w:tc>
        <w:tc>
          <w:tcPr>
            <w:tcW w:w="1149" w:type="dxa"/>
            <w:tcBorders>
              <w:top w:val="nil"/>
              <w:left w:val="nil"/>
              <w:bottom w:val="single" w:sz="4" w:space="0" w:color="auto"/>
              <w:right w:val="single" w:sz="4" w:space="0" w:color="auto"/>
            </w:tcBorders>
            <w:noWrap/>
            <w:tcMar>
              <w:top w:w="57" w:type="dxa"/>
              <w:left w:w="85" w:type="dxa"/>
              <w:bottom w:w="57" w:type="dxa"/>
              <w:right w:w="85" w:type="dxa"/>
            </w:tcMar>
            <w:vAlign w:val="center"/>
            <w:hideMark/>
          </w:tcPr>
          <w:p w14:paraId="3405E6B7"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2,3</w:t>
            </w:r>
          </w:p>
        </w:tc>
        <w:tc>
          <w:tcPr>
            <w:tcW w:w="1270" w:type="dxa"/>
            <w:tcBorders>
              <w:top w:val="nil"/>
              <w:left w:val="nil"/>
              <w:bottom w:val="single" w:sz="4" w:space="0" w:color="auto"/>
              <w:right w:val="single" w:sz="4" w:space="0" w:color="auto"/>
            </w:tcBorders>
            <w:noWrap/>
            <w:tcMar>
              <w:top w:w="57" w:type="dxa"/>
              <w:left w:w="85" w:type="dxa"/>
              <w:bottom w:w="57" w:type="dxa"/>
              <w:right w:w="85" w:type="dxa"/>
            </w:tcMar>
            <w:vAlign w:val="center"/>
          </w:tcPr>
          <w:p w14:paraId="6170BAD8"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0,0</w:t>
            </w:r>
          </w:p>
        </w:tc>
        <w:tc>
          <w:tcPr>
            <w:tcW w:w="1028" w:type="dxa"/>
            <w:tcBorders>
              <w:top w:val="nil"/>
              <w:left w:val="nil"/>
              <w:bottom w:val="single" w:sz="4" w:space="0" w:color="auto"/>
              <w:right w:val="single" w:sz="4" w:space="0" w:color="auto"/>
            </w:tcBorders>
            <w:tcMar>
              <w:top w:w="57" w:type="dxa"/>
              <w:left w:w="85" w:type="dxa"/>
              <w:bottom w:w="57" w:type="dxa"/>
              <w:right w:w="85" w:type="dxa"/>
            </w:tcMar>
            <w:vAlign w:val="center"/>
          </w:tcPr>
          <w:p w14:paraId="3CBCCB6F"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-0,3</w:t>
            </w:r>
          </w:p>
        </w:tc>
      </w:tr>
      <w:tr w:rsidR="005E58FF" w:rsidRPr="00D8017D" w14:paraId="0BF20062" w14:textId="77777777" w:rsidTr="00E116F2">
        <w:trPr>
          <w:jc w:val="center"/>
        </w:trPr>
        <w:tc>
          <w:tcPr>
            <w:tcW w:w="1271"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597CEC43" w14:textId="77777777" w:rsidR="005E58FF" w:rsidRPr="00D8017D" w:rsidRDefault="005E58FF" w:rsidP="005E58FF">
            <w:pPr>
              <w:spacing w:after="0"/>
              <w:ind w:firstLine="0"/>
              <w:jc w:val="left"/>
              <w:rPr>
                <w:rFonts w:eastAsia="Calibri" w:cs="Times New Roman"/>
                <w:sz w:val="20"/>
                <w:szCs w:val="20"/>
              </w:rPr>
            </w:pPr>
            <w:r w:rsidRPr="00D8017D">
              <w:rPr>
                <w:rFonts w:eastAsia="Calibri" w:cs="Times New Roman"/>
                <w:sz w:val="20"/>
                <w:szCs w:val="20"/>
                <w:lang w:eastAsia="en-US"/>
              </w:rPr>
              <w:t>Vācija</w:t>
            </w:r>
          </w:p>
        </w:tc>
        <w:tc>
          <w:tcPr>
            <w:tcW w:w="1274"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28809A30" w14:textId="77777777" w:rsidR="005E58FF" w:rsidRPr="00D8017D" w:rsidRDefault="005E58FF" w:rsidP="00E116F2">
            <w:pPr>
              <w:spacing w:after="0"/>
              <w:ind w:firstLine="0"/>
              <w:jc w:val="center"/>
              <w:rPr>
                <w:rFonts w:eastAsia="Calibri" w:cs="Times New Roman"/>
                <w:sz w:val="20"/>
                <w:szCs w:val="20"/>
              </w:rPr>
            </w:pPr>
            <w:r w:rsidRPr="00D8017D">
              <w:rPr>
                <w:rFonts w:eastAsia="Calibri" w:cs="Times New Roman"/>
                <w:sz w:val="20"/>
                <w:szCs w:val="20"/>
                <w:lang w:eastAsia="en-US"/>
              </w:rPr>
              <w:t>6,5%</w:t>
            </w:r>
          </w:p>
        </w:tc>
        <w:tc>
          <w:tcPr>
            <w:tcW w:w="1155" w:type="dxa"/>
            <w:tcBorders>
              <w:top w:val="nil"/>
              <w:left w:val="single" w:sz="4" w:space="0" w:color="auto"/>
              <w:bottom w:val="single" w:sz="4" w:space="0" w:color="auto"/>
              <w:right w:val="single" w:sz="4" w:space="0" w:color="auto"/>
            </w:tcBorders>
            <w:vAlign w:val="center"/>
          </w:tcPr>
          <w:p w14:paraId="68A7E0BA"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-0,2</w:t>
            </w:r>
          </w:p>
        </w:tc>
        <w:tc>
          <w:tcPr>
            <w:tcW w:w="1149" w:type="dxa"/>
            <w:tcBorders>
              <w:top w:val="nil"/>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0B652FBE"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0,0</w:t>
            </w:r>
          </w:p>
        </w:tc>
        <w:tc>
          <w:tcPr>
            <w:tcW w:w="1149" w:type="dxa"/>
            <w:tcBorders>
              <w:top w:val="nil"/>
              <w:left w:val="nil"/>
              <w:bottom w:val="single" w:sz="4" w:space="0" w:color="auto"/>
              <w:right w:val="single" w:sz="4" w:space="0" w:color="auto"/>
            </w:tcBorders>
            <w:noWrap/>
            <w:tcMar>
              <w:top w:w="57" w:type="dxa"/>
              <w:left w:w="85" w:type="dxa"/>
              <w:bottom w:w="57" w:type="dxa"/>
              <w:right w:w="85" w:type="dxa"/>
            </w:tcMar>
            <w:vAlign w:val="center"/>
            <w:hideMark/>
          </w:tcPr>
          <w:p w14:paraId="43E53C47"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1,1</w:t>
            </w:r>
          </w:p>
        </w:tc>
        <w:tc>
          <w:tcPr>
            <w:tcW w:w="1270" w:type="dxa"/>
            <w:tcBorders>
              <w:top w:val="nil"/>
              <w:left w:val="nil"/>
              <w:bottom w:val="single" w:sz="4" w:space="0" w:color="auto"/>
              <w:right w:val="single" w:sz="4" w:space="0" w:color="auto"/>
            </w:tcBorders>
            <w:noWrap/>
            <w:tcMar>
              <w:top w:w="57" w:type="dxa"/>
              <w:left w:w="85" w:type="dxa"/>
              <w:bottom w:w="57" w:type="dxa"/>
              <w:right w:w="85" w:type="dxa"/>
            </w:tcMar>
            <w:vAlign w:val="center"/>
          </w:tcPr>
          <w:p w14:paraId="4C4648BC"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-0,7</w:t>
            </w:r>
          </w:p>
        </w:tc>
        <w:tc>
          <w:tcPr>
            <w:tcW w:w="1028" w:type="dxa"/>
            <w:tcBorders>
              <w:top w:val="nil"/>
              <w:left w:val="nil"/>
              <w:bottom w:val="single" w:sz="4" w:space="0" w:color="auto"/>
              <w:right w:val="single" w:sz="4" w:space="0" w:color="auto"/>
            </w:tcBorders>
            <w:tcMar>
              <w:top w:w="57" w:type="dxa"/>
              <w:left w:w="85" w:type="dxa"/>
              <w:bottom w:w="57" w:type="dxa"/>
              <w:right w:w="85" w:type="dxa"/>
            </w:tcMar>
            <w:vAlign w:val="center"/>
          </w:tcPr>
          <w:p w14:paraId="3F611F13"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-0,2</w:t>
            </w:r>
          </w:p>
        </w:tc>
      </w:tr>
      <w:tr w:rsidR="005E58FF" w:rsidRPr="00D8017D" w14:paraId="0D241836" w14:textId="77777777" w:rsidTr="00E116F2">
        <w:trPr>
          <w:jc w:val="center"/>
        </w:trPr>
        <w:tc>
          <w:tcPr>
            <w:tcW w:w="1271"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5E057954" w14:textId="77777777" w:rsidR="005E58FF" w:rsidRPr="00D8017D" w:rsidRDefault="005E58FF" w:rsidP="005E58FF">
            <w:pPr>
              <w:spacing w:after="0"/>
              <w:ind w:firstLine="0"/>
              <w:jc w:val="left"/>
              <w:rPr>
                <w:rFonts w:eastAsia="Calibri" w:cs="Times New Roman"/>
                <w:sz w:val="20"/>
                <w:szCs w:val="20"/>
              </w:rPr>
            </w:pPr>
            <w:r w:rsidRPr="00D8017D">
              <w:rPr>
                <w:rFonts w:eastAsia="Calibri" w:cs="Times New Roman"/>
                <w:sz w:val="20"/>
                <w:szCs w:val="20"/>
                <w:lang w:eastAsia="en-US"/>
              </w:rPr>
              <w:t>Zviedrija</w:t>
            </w:r>
          </w:p>
        </w:tc>
        <w:tc>
          <w:tcPr>
            <w:tcW w:w="1274"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130C8188" w14:textId="77777777" w:rsidR="005E58FF" w:rsidRPr="00D8017D" w:rsidRDefault="005E58FF" w:rsidP="00E116F2">
            <w:pPr>
              <w:spacing w:after="0"/>
              <w:ind w:firstLine="0"/>
              <w:jc w:val="center"/>
              <w:rPr>
                <w:rFonts w:eastAsia="Calibri" w:cs="Times New Roman"/>
                <w:sz w:val="20"/>
                <w:szCs w:val="20"/>
              </w:rPr>
            </w:pPr>
            <w:r w:rsidRPr="00D8017D">
              <w:rPr>
                <w:rFonts w:eastAsia="Calibri" w:cs="Times New Roman"/>
                <w:sz w:val="20"/>
                <w:szCs w:val="20"/>
                <w:lang w:eastAsia="en-US"/>
              </w:rPr>
              <w:t>5,5%</w:t>
            </w:r>
          </w:p>
        </w:tc>
        <w:tc>
          <w:tcPr>
            <w:tcW w:w="1155" w:type="dxa"/>
            <w:tcBorders>
              <w:top w:val="nil"/>
              <w:left w:val="single" w:sz="4" w:space="0" w:color="auto"/>
              <w:bottom w:val="single" w:sz="4" w:space="0" w:color="auto"/>
              <w:right w:val="single" w:sz="4" w:space="0" w:color="auto"/>
            </w:tcBorders>
            <w:vAlign w:val="center"/>
          </w:tcPr>
          <w:p w14:paraId="61D1F51A"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1,0</w:t>
            </w:r>
          </w:p>
        </w:tc>
        <w:tc>
          <w:tcPr>
            <w:tcW w:w="1149" w:type="dxa"/>
            <w:tcBorders>
              <w:top w:val="nil"/>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4EB4D736"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1,1</w:t>
            </w:r>
          </w:p>
        </w:tc>
        <w:tc>
          <w:tcPr>
            <w:tcW w:w="1149" w:type="dxa"/>
            <w:tcBorders>
              <w:top w:val="nil"/>
              <w:left w:val="nil"/>
              <w:bottom w:val="single" w:sz="4" w:space="0" w:color="auto"/>
              <w:right w:val="single" w:sz="4" w:space="0" w:color="auto"/>
            </w:tcBorders>
            <w:noWrap/>
            <w:tcMar>
              <w:top w:w="57" w:type="dxa"/>
              <w:left w:w="85" w:type="dxa"/>
              <w:bottom w:w="57" w:type="dxa"/>
              <w:right w:w="85" w:type="dxa"/>
            </w:tcMar>
            <w:vAlign w:val="center"/>
            <w:hideMark/>
          </w:tcPr>
          <w:p w14:paraId="0AB11A9F"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1,9</w:t>
            </w:r>
          </w:p>
        </w:tc>
        <w:tc>
          <w:tcPr>
            <w:tcW w:w="1270" w:type="dxa"/>
            <w:tcBorders>
              <w:top w:val="nil"/>
              <w:left w:val="nil"/>
              <w:bottom w:val="single" w:sz="4" w:space="0" w:color="auto"/>
              <w:right w:val="single" w:sz="4" w:space="0" w:color="auto"/>
            </w:tcBorders>
            <w:noWrap/>
            <w:tcMar>
              <w:top w:w="57" w:type="dxa"/>
              <w:left w:w="85" w:type="dxa"/>
              <w:bottom w:w="57" w:type="dxa"/>
              <w:right w:w="85" w:type="dxa"/>
            </w:tcMar>
            <w:vAlign w:val="center"/>
          </w:tcPr>
          <w:p w14:paraId="4756FDBC"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-0,7</w:t>
            </w:r>
          </w:p>
        </w:tc>
        <w:tc>
          <w:tcPr>
            <w:tcW w:w="1028" w:type="dxa"/>
            <w:tcBorders>
              <w:top w:val="nil"/>
              <w:left w:val="nil"/>
              <w:bottom w:val="single" w:sz="4" w:space="0" w:color="auto"/>
              <w:right w:val="single" w:sz="4" w:space="0" w:color="auto"/>
            </w:tcBorders>
            <w:tcMar>
              <w:top w:w="57" w:type="dxa"/>
              <w:left w:w="85" w:type="dxa"/>
              <w:bottom w:w="57" w:type="dxa"/>
              <w:right w:w="85" w:type="dxa"/>
            </w:tcMar>
            <w:vAlign w:val="center"/>
          </w:tcPr>
          <w:p w14:paraId="6F50E312"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-0,7</w:t>
            </w:r>
          </w:p>
        </w:tc>
      </w:tr>
      <w:tr w:rsidR="005E58FF" w:rsidRPr="00D8017D" w14:paraId="4034F526" w14:textId="77777777" w:rsidTr="00E116F2">
        <w:trPr>
          <w:jc w:val="center"/>
        </w:trPr>
        <w:tc>
          <w:tcPr>
            <w:tcW w:w="1271"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3CC18E08" w14:textId="77777777" w:rsidR="005E58FF" w:rsidRPr="00D8017D" w:rsidRDefault="005E58FF" w:rsidP="005E58FF">
            <w:pPr>
              <w:spacing w:after="0"/>
              <w:ind w:firstLine="0"/>
              <w:jc w:val="left"/>
              <w:rPr>
                <w:rFonts w:eastAsia="Calibri" w:cs="Times New Roman"/>
                <w:sz w:val="20"/>
                <w:szCs w:val="20"/>
              </w:rPr>
            </w:pPr>
            <w:r w:rsidRPr="00D8017D">
              <w:rPr>
                <w:rFonts w:eastAsia="Calibri" w:cs="Times New Roman"/>
                <w:sz w:val="20"/>
                <w:szCs w:val="20"/>
                <w:lang w:eastAsia="en-US"/>
              </w:rPr>
              <w:t>Krievija*</w:t>
            </w:r>
          </w:p>
        </w:tc>
        <w:tc>
          <w:tcPr>
            <w:tcW w:w="1274"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6872AE82" w14:textId="77777777" w:rsidR="005E58FF" w:rsidRPr="00D8017D" w:rsidRDefault="005E58FF" w:rsidP="00E116F2">
            <w:pPr>
              <w:spacing w:after="0"/>
              <w:ind w:firstLine="0"/>
              <w:jc w:val="center"/>
              <w:rPr>
                <w:rFonts w:eastAsia="Calibri" w:cs="Times New Roman"/>
                <w:sz w:val="20"/>
                <w:szCs w:val="20"/>
              </w:rPr>
            </w:pPr>
            <w:r w:rsidRPr="00D8017D">
              <w:rPr>
                <w:rFonts w:eastAsia="Calibri" w:cs="Times New Roman"/>
                <w:sz w:val="20"/>
                <w:szCs w:val="20"/>
                <w:lang w:eastAsia="en-US"/>
              </w:rPr>
              <w:t>5,5%</w:t>
            </w:r>
          </w:p>
        </w:tc>
        <w:tc>
          <w:tcPr>
            <w:tcW w:w="1155" w:type="dxa"/>
            <w:tcBorders>
              <w:top w:val="nil"/>
              <w:left w:val="single" w:sz="4" w:space="0" w:color="auto"/>
              <w:bottom w:val="single" w:sz="4" w:space="0" w:color="auto"/>
              <w:right w:val="single" w:sz="4" w:space="0" w:color="auto"/>
            </w:tcBorders>
            <w:vAlign w:val="center"/>
          </w:tcPr>
          <w:p w14:paraId="129D96C2"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4,3</w:t>
            </w:r>
          </w:p>
        </w:tc>
        <w:tc>
          <w:tcPr>
            <w:tcW w:w="1149" w:type="dxa"/>
            <w:tcBorders>
              <w:top w:val="nil"/>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42AD48AC"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0,9</w:t>
            </w:r>
          </w:p>
        </w:tc>
        <w:tc>
          <w:tcPr>
            <w:tcW w:w="1149" w:type="dxa"/>
            <w:tcBorders>
              <w:top w:val="nil"/>
              <w:left w:val="nil"/>
              <w:bottom w:val="single" w:sz="4" w:space="0" w:color="auto"/>
              <w:right w:val="single" w:sz="4" w:space="0" w:color="auto"/>
            </w:tcBorders>
            <w:noWrap/>
            <w:tcMar>
              <w:top w:w="57" w:type="dxa"/>
              <w:left w:w="85" w:type="dxa"/>
              <w:bottom w:w="57" w:type="dxa"/>
              <w:right w:w="85" w:type="dxa"/>
            </w:tcMar>
            <w:vAlign w:val="center"/>
            <w:hideMark/>
          </w:tcPr>
          <w:p w14:paraId="0CC9D12B"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1,0</w:t>
            </w:r>
          </w:p>
        </w:tc>
        <w:tc>
          <w:tcPr>
            <w:tcW w:w="1270" w:type="dxa"/>
            <w:tcBorders>
              <w:top w:val="nil"/>
              <w:left w:val="nil"/>
              <w:bottom w:val="single" w:sz="4" w:space="0" w:color="auto"/>
              <w:right w:val="single" w:sz="4" w:space="0" w:color="auto"/>
            </w:tcBorders>
            <w:noWrap/>
            <w:tcMar>
              <w:top w:w="57" w:type="dxa"/>
              <w:left w:w="85" w:type="dxa"/>
              <w:bottom w:w="57" w:type="dxa"/>
              <w:right w:w="85" w:type="dxa"/>
            </w:tcMar>
            <w:vAlign w:val="center"/>
          </w:tcPr>
          <w:p w14:paraId="356A1A91"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-0,6</w:t>
            </w:r>
          </w:p>
        </w:tc>
        <w:tc>
          <w:tcPr>
            <w:tcW w:w="1028" w:type="dxa"/>
            <w:tcBorders>
              <w:top w:val="nil"/>
              <w:left w:val="nil"/>
              <w:bottom w:val="single" w:sz="4" w:space="0" w:color="auto"/>
              <w:right w:val="single" w:sz="4" w:space="0" w:color="auto"/>
            </w:tcBorders>
            <w:tcMar>
              <w:top w:w="57" w:type="dxa"/>
              <w:left w:w="85" w:type="dxa"/>
              <w:bottom w:w="57" w:type="dxa"/>
              <w:right w:w="85" w:type="dxa"/>
            </w:tcMar>
            <w:vAlign w:val="center"/>
          </w:tcPr>
          <w:p w14:paraId="4289EC24"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0,1</w:t>
            </w:r>
          </w:p>
        </w:tc>
      </w:tr>
      <w:tr w:rsidR="005E58FF" w:rsidRPr="00D8017D" w14:paraId="66759327" w14:textId="77777777" w:rsidTr="00E116F2">
        <w:trPr>
          <w:jc w:val="center"/>
        </w:trPr>
        <w:tc>
          <w:tcPr>
            <w:tcW w:w="1271"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4AAD8500" w14:textId="77777777" w:rsidR="005E58FF" w:rsidRPr="00D8017D" w:rsidRDefault="005E58FF" w:rsidP="005E58FF">
            <w:pPr>
              <w:spacing w:after="0"/>
              <w:ind w:firstLine="0"/>
              <w:jc w:val="left"/>
              <w:rPr>
                <w:rFonts w:eastAsia="Calibri" w:cs="Times New Roman"/>
                <w:sz w:val="20"/>
                <w:szCs w:val="20"/>
              </w:rPr>
            </w:pPr>
            <w:r w:rsidRPr="00D8017D">
              <w:rPr>
                <w:rFonts w:eastAsia="Calibri" w:cs="Times New Roman"/>
                <w:sz w:val="20"/>
                <w:szCs w:val="20"/>
                <w:lang w:eastAsia="en-US"/>
              </w:rPr>
              <w:t>Apvienotā Karaliste*</w:t>
            </w:r>
          </w:p>
        </w:tc>
        <w:tc>
          <w:tcPr>
            <w:tcW w:w="1274"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7DD434CD" w14:textId="77777777" w:rsidR="005E58FF" w:rsidRPr="00D8017D" w:rsidRDefault="005E58FF" w:rsidP="00E116F2">
            <w:pPr>
              <w:spacing w:after="0"/>
              <w:ind w:firstLine="0"/>
              <w:jc w:val="center"/>
              <w:rPr>
                <w:rFonts w:eastAsia="Calibri" w:cs="Times New Roman"/>
                <w:sz w:val="20"/>
                <w:szCs w:val="20"/>
              </w:rPr>
            </w:pPr>
            <w:r w:rsidRPr="00D8017D">
              <w:rPr>
                <w:rFonts w:eastAsia="Calibri" w:cs="Times New Roman"/>
                <w:sz w:val="20"/>
                <w:szCs w:val="20"/>
                <w:lang w:eastAsia="en-US"/>
              </w:rPr>
              <w:t>5,3%</w:t>
            </w:r>
          </w:p>
        </w:tc>
        <w:tc>
          <w:tcPr>
            <w:tcW w:w="1155" w:type="dxa"/>
            <w:tcBorders>
              <w:top w:val="nil"/>
              <w:left w:val="single" w:sz="4" w:space="0" w:color="auto"/>
              <w:bottom w:val="single" w:sz="4" w:space="0" w:color="auto"/>
              <w:right w:val="single" w:sz="4" w:space="0" w:color="auto"/>
            </w:tcBorders>
            <w:vAlign w:val="center"/>
          </w:tcPr>
          <w:p w14:paraId="50FA9A94"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1,1</w:t>
            </w:r>
          </w:p>
        </w:tc>
        <w:tc>
          <w:tcPr>
            <w:tcW w:w="1149" w:type="dxa"/>
            <w:tcBorders>
              <w:top w:val="nil"/>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3908EE37"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1,2</w:t>
            </w:r>
          </w:p>
        </w:tc>
        <w:tc>
          <w:tcPr>
            <w:tcW w:w="1149" w:type="dxa"/>
            <w:tcBorders>
              <w:top w:val="nil"/>
              <w:left w:val="nil"/>
              <w:bottom w:val="single" w:sz="4" w:space="0" w:color="auto"/>
              <w:right w:val="single" w:sz="4" w:space="0" w:color="auto"/>
            </w:tcBorders>
            <w:noWrap/>
            <w:tcMar>
              <w:top w:w="57" w:type="dxa"/>
              <w:left w:w="85" w:type="dxa"/>
              <w:bottom w:w="57" w:type="dxa"/>
              <w:right w:w="85" w:type="dxa"/>
            </w:tcMar>
            <w:vAlign w:val="center"/>
            <w:hideMark/>
          </w:tcPr>
          <w:p w14:paraId="26A794A4"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1,4</w:t>
            </w:r>
          </w:p>
        </w:tc>
        <w:tc>
          <w:tcPr>
            <w:tcW w:w="1270" w:type="dxa"/>
            <w:tcBorders>
              <w:top w:val="nil"/>
              <w:left w:val="nil"/>
              <w:bottom w:val="single" w:sz="4" w:space="0" w:color="auto"/>
              <w:right w:val="single" w:sz="4" w:space="0" w:color="auto"/>
            </w:tcBorders>
            <w:noWrap/>
            <w:tcMar>
              <w:top w:w="57" w:type="dxa"/>
              <w:left w:w="85" w:type="dxa"/>
              <w:bottom w:w="57" w:type="dxa"/>
              <w:right w:w="85" w:type="dxa"/>
            </w:tcMar>
            <w:vAlign w:val="center"/>
          </w:tcPr>
          <w:p w14:paraId="05FE1732"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0,1</w:t>
            </w:r>
          </w:p>
        </w:tc>
        <w:tc>
          <w:tcPr>
            <w:tcW w:w="1028" w:type="dxa"/>
            <w:tcBorders>
              <w:top w:val="nil"/>
              <w:left w:val="nil"/>
              <w:bottom w:val="single" w:sz="4" w:space="0" w:color="auto"/>
              <w:right w:val="single" w:sz="4" w:space="0" w:color="auto"/>
            </w:tcBorders>
            <w:tcMar>
              <w:top w:w="57" w:type="dxa"/>
              <w:left w:w="85" w:type="dxa"/>
              <w:bottom w:w="57" w:type="dxa"/>
              <w:right w:w="85" w:type="dxa"/>
            </w:tcMar>
            <w:vAlign w:val="center"/>
          </w:tcPr>
          <w:p w14:paraId="7FCC94CE"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0,0</w:t>
            </w:r>
          </w:p>
        </w:tc>
      </w:tr>
      <w:tr w:rsidR="005E58FF" w:rsidRPr="00D8017D" w14:paraId="10788764" w14:textId="77777777" w:rsidTr="00E116F2">
        <w:trPr>
          <w:jc w:val="center"/>
        </w:trPr>
        <w:tc>
          <w:tcPr>
            <w:tcW w:w="1271"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479B23CC" w14:textId="77777777" w:rsidR="005E58FF" w:rsidRPr="00D8017D" w:rsidRDefault="005E58FF" w:rsidP="005E58FF">
            <w:pPr>
              <w:spacing w:after="0"/>
              <w:ind w:firstLine="0"/>
              <w:jc w:val="left"/>
              <w:rPr>
                <w:rFonts w:eastAsia="Calibri" w:cs="Times New Roman"/>
                <w:sz w:val="20"/>
                <w:szCs w:val="20"/>
              </w:rPr>
            </w:pPr>
            <w:r w:rsidRPr="00D8017D">
              <w:rPr>
                <w:rFonts w:eastAsia="Calibri" w:cs="Times New Roman"/>
                <w:sz w:val="20"/>
                <w:szCs w:val="20"/>
                <w:lang w:eastAsia="en-US"/>
              </w:rPr>
              <w:t>Polija</w:t>
            </w:r>
          </w:p>
        </w:tc>
        <w:tc>
          <w:tcPr>
            <w:tcW w:w="1274"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25B920C7" w14:textId="77777777" w:rsidR="005E58FF" w:rsidRPr="00D8017D" w:rsidRDefault="005E58FF" w:rsidP="00E116F2">
            <w:pPr>
              <w:spacing w:after="0"/>
              <w:ind w:firstLine="0"/>
              <w:jc w:val="center"/>
              <w:rPr>
                <w:rFonts w:eastAsia="Calibri" w:cs="Times New Roman"/>
                <w:sz w:val="20"/>
                <w:szCs w:val="20"/>
              </w:rPr>
            </w:pPr>
            <w:r w:rsidRPr="00D8017D">
              <w:rPr>
                <w:rFonts w:eastAsia="Calibri" w:cs="Times New Roman"/>
                <w:sz w:val="20"/>
                <w:szCs w:val="20"/>
                <w:lang w:eastAsia="en-US"/>
              </w:rPr>
              <w:t>4,4%</w:t>
            </w:r>
          </w:p>
        </w:tc>
        <w:tc>
          <w:tcPr>
            <w:tcW w:w="1155" w:type="dxa"/>
            <w:tcBorders>
              <w:top w:val="nil"/>
              <w:left w:val="single" w:sz="4" w:space="0" w:color="auto"/>
              <w:bottom w:val="single" w:sz="4" w:space="0" w:color="auto"/>
              <w:right w:val="single" w:sz="4" w:space="0" w:color="auto"/>
            </w:tcBorders>
            <w:vAlign w:val="center"/>
          </w:tcPr>
          <w:p w14:paraId="4A2B39B3"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2,9</w:t>
            </w:r>
          </w:p>
        </w:tc>
        <w:tc>
          <w:tcPr>
            <w:tcW w:w="1149" w:type="dxa"/>
            <w:tcBorders>
              <w:top w:val="nil"/>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775165D6"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3,3</w:t>
            </w:r>
          </w:p>
        </w:tc>
        <w:tc>
          <w:tcPr>
            <w:tcW w:w="1149" w:type="dxa"/>
            <w:tcBorders>
              <w:top w:val="nil"/>
              <w:left w:val="nil"/>
              <w:bottom w:val="single" w:sz="4" w:space="0" w:color="auto"/>
              <w:right w:val="single" w:sz="4" w:space="0" w:color="auto"/>
            </w:tcBorders>
            <w:noWrap/>
            <w:tcMar>
              <w:top w:w="57" w:type="dxa"/>
              <w:left w:w="85" w:type="dxa"/>
              <w:bottom w:w="57" w:type="dxa"/>
              <w:right w:w="85" w:type="dxa"/>
            </w:tcMar>
            <w:vAlign w:val="center"/>
            <w:hideMark/>
          </w:tcPr>
          <w:p w14:paraId="08BCAC78"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3,0</w:t>
            </w:r>
          </w:p>
        </w:tc>
        <w:tc>
          <w:tcPr>
            <w:tcW w:w="1270" w:type="dxa"/>
            <w:tcBorders>
              <w:top w:val="nil"/>
              <w:left w:val="nil"/>
              <w:bottom w:val="single" w:sz="4" w:space="0" w:color="auto"/>
              <w:right w:val="single" w:sz="4" w:space="0" w:color="auto"/>
            </w:tcBorders>
            <w:noWrap/>
            <w:tcMar>
              <w:top w:w="57" w:type="dxa"/>
              <w:left w:w="85" w:type="dxa"/>
              <w:bottom w:w="57" w:type="dxa"/>
              <w:right w:w="85" w:type="dxa"/>
            </w:tcMar>
            <w:vAlign w:val="center"/>
          </w:tcPr>
          <w:p w14:paraId="49313675"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-0,3</w:t>
            </w:r>
          </w:p>
        </w:tc>
        <w:tc>
          <w:tcPr>
            <w:tcW w:w="1028" w:type="dxa"/>
            <w:tcBorders>
              <w:top w:val="nil"/>
              <w:left w:val="nil"/>
              <w:bottom w:val="single" w:sz="4" w:space="0" w:color="auto"/>
              <w:right w:val="single" w:sz="4" w:space="0" w:color="auto"/>
            </w:tcBorders>
            <w:tcMar>
              <w:top w:w="57" w:type="dxa"/>
              <w:left w:w="85" w:type="dxa"/>
              <w:bottom w:w="57" w:type="dxa"/>
              <w:right w:w="85" w:type="dxa"/>
            </w:tcMar>
            <w:vAlign w:val="center"/>
          </w:tcPr>
          <w:p w14:paraId="00030F8F"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-0,1</w:t>
            </w:r>
          </w:p>
        </w:tc>
      </w:tr>
      <w:tr w:rsidR="005E58FF" w:rsidRPr="00D8017D" w14:paraId="1D84821B" w14:textId="77777777" w:rsidTr="00E116F2">
        <w:trPr>
          <w:jc w:val="center"/>
        </w:trPr>
        <w:tc>
          <w:tcPr>
            <w:tcW w:w="1271"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7AEEC1C5" w14:textId="77777777" w:rsidR="005E58FF" w:rsidRPr="00D8017D" w:rsidRDefault="005E58FF" w:rsidP="005E58FF">
            <w:pPr>
              <w:spacing w:after="0"/>
              <w:ind w:firstLine="0"/>
              <w:jc w:val="left"/>
              <w:rPr>
                <w:rFonts w:eastAsia="Calibri" w:cs="Times New Roman"/>
                <w:sz w:val="20"/>
                <w:szCs w:val="20"/>
              </w:rPr>
            </w:pPr>
            <w:r w:rsidRPr="00D8017D">
              <w:rPr>
                <w:rFonts w:eastAsia="Calibri" w:cs="Times New Roman"/>
                <w:sz w:val="20"/>
                <w:szCs w:val="20"/>
                <w:lang w:eastAsia="en-US"/>
              </w:rPr>
              <w:t>Dānija</w:t>
            </w:r>
          </w:p>
        </w:tc>
        <w:tc>
          <w:tcPr>
            <w:tcW w:w="1274"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348CA44E" w14:textId="77777777" w:rsidR="005E58FF" w:rsidRPr="00D8017D" w:rsidRDefault="005E58FF" w:rsidP="00E116F2">
            <w:pPr>
              <w:spacing w:after="0"/>
              <w:ind w:firstLine="0"/>
              <w:jc w:val="center"/>
              <w:rPr>
                <w:rFonts w:eastAsia="Calibri" w:cs="Times New Roman"/>
                <w:sz w:val="20"/>
                <w:szCs w:val="20"/>
              </w:rPr>
            </w:pPr>
            <w:r w:rsidRPr="00D8017D">
              <w:rPr>
                <w:rFonts w:eastAsia="Calibri" w:cs="Times New Roman"/>
                <w:sz w:val="20"/>
                <w:szCs w:val="20"/>
                <w:lang w:eastAsia="en-US"/>
              </w:rPr>
              <w:t>4,3%</w:t>
            </w:r>
          </w:p>
        </w:tc>
        <w:tc>
          <w:tcPr>
            <w:tcW w:w="1155" w:type="dxa"/>
            <w:tcBorders>
              <w:top w:val="nil"/>
              <w:left w:val="single" w:sz="4" w:space="0" w:color="auto"/>
              <w:bottom w:val="single" w:sz="4" w:space="0" w:color="auto"/>
              <w:right w:val="single" w:sz="4" w:space="0" w:color="auto"/>
            </w:tcBorders>
            <w:vAlign w:val="center"/>
          </w:tcPr>
          <w:p w14:paraId="12881EA1"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3,7</w:t>
            </w:r>
          </w:p>
        </w:tc>
        <w:tc>
          <w:tcPr>
            <w:tcW w:w="1149" w:type="dxa"/>
            <w:tcBorders>
              <w:top w:val="nil"/>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0B0BB53F"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3,6</w:t>
            </w:r>
          </w:p>
        </w:tc>
        <w:tc>
          <w:tcPr>
            <w:tcW w:w="1149" w:type="dxa"/>
            <w:tcBorders>
              <w:top w:val="nil"/>
              <w:left w:val="nil"/>
              <w:bottom w:val="single" w:sz="4" w:space="0" w:color="auto"/>
              <w:right w:val="single" w:sz="4" w:space="0" w:color="auto"/>
            </w:tcBorders>
            <w:noWrap/>
            <w:tcMar>
              <w:top w:w="57" w:type="dxa"/>
              <w:left w:w="85" w:type="dxa"/>
              <w:bottom w:w="57" w:type="dxa"/>
              <w:right w:w="85" w:type="dxa"/>
            </w:tcMar>
            <w:vAlign w:val="center"/>
            <w:hideMark/>
          </w:tcPr>
          <w:p w14:paraId="5B34F28C"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2,0</w:t>
            </w:r>
          </w:p>
        </w:tc>
        <w:tc>
          <w:tcPr>
            <w:tcW w:w="1270" w:type="dxa"/>
            <w:tcBorders>
              <w:top w:val="nil"/>
              <w:left w:val="nil"/>
              <w:bottom w:val="single" w:sz="4" w:space="0" w:color="auto"/>
              <w:right w:val="single" w:sz="4" w:space="0" w:color="auto"/>
            </w:tcBorders>
            <w:noWrap/>
            <w:tcMar>
              <w:top w:w="57" w:type="dxa"/>
              <w:left w:w="85" w:type="dxa"/>
              <w:bottom w:w="57" w:type="dxa"/>
              <w:right w:w="85" w:type="dxa"/>
            </w:tcMar>
            <w:vAlign w:val="center"/>
          </w:tcPr>
          <w:p w14:paraId="1949DBB3"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1,1</w:t>
            </w:r>
          </w:p>
        </w:tc>
        <w:tc>
          <w:tcPr>
            <w:tcW w:w="1028" w:type="dxa"/>
            <w:tcBorders>
              <w:top w:val="nil"/>
              <w:left w:val="nil"/>
              <w:bottom w:val="single" w:sz="4" w:space="0" w:color="auto"/>
              <w:right w:val="single" w:sz="4" w:space="0" w:color="auto"/>
            </w:tcBorders>
            <w:tcMar>
              <w:top w:w="57" w:type="dxa"/>
              <w:left w:w="85" w:type="dxa"/>
              <w:bottom w:w="57" w:type="dxa"/>
              <w:right w:w="85" w:type="dxa"/>
            </w:tcMar>
            <w:vAlign w:val="center"/>
          </w:tcPr>
          <w:p w14:paraId="417E18A6"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0,2</w:t>
            </w:r>
          </w:p>
        </w:tc>
      </w:tr>
      <w:tr w:rsidR="005E58FF" w:rsidRPr="00D8017D" w14:paraId="4887A604" w14:textId="77777777" w:rsidTr="00E116F2">
        <w:trPr>
          <w:jc w:val="center"/>
        </w:trPr>
        <w:tc>
          <w:tcPr>
            <w:tcW w:w="1271"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7F800B90" w14:textId="77777777" w:rsidR="005E58FF" w:rsidRPr="00D8017D" w:rsidRDefault="005E58FF" w:rsidP="005E58FF">
            <w:pPr>
              <w:spacing w:after="0"/>
              <w:ind w:firstLine="0"/>
              <w:jc w:val="left"/>
              <w:rPr>
                <w:rFonts w:eastAsia="Calibri" w:cs="Times New Roman"/>
                <w:sz w:val="20"/>
                <w:szCs w:val="20"/>
              </w:rPr>
            </w:pPr>
            <w:r w:rsidRPr="00D8017D">
              <w:rPr>
                <w:rFonts w:eastAsia="Calibri" w:cs="Times New Roman"/>
                <w:sz w:val="20"/>
                <w:szCs w:val="20"/>
                <w:lang w:eastAsia="en-US"/>
              </w:rPr>
              <w:t>Nīderlande</w:t>
            </w:r>
          </w:p>
        </w:tc>
        <w:tc>
          <w:tcPr>
            <w:tcW w:w="1274"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6E4897A2" w14:textId="77777777" w:rsidR="005E58FF" w:rsidRPr="00D8017D" w:rsidRDefault="005E58FF" w:rsidP="00E116F2">
            <w:pPr>
              <w:spacing w:after="0"/>
              <w:ind w:firstLine="0"/>
              <w:jc w:val="center"/>
              <w:rPr>
                <w:rFonts w:eastAsia="Calibri" w:cs="Times New Roman"/>
                <w:sz w:val="20"/>
                <w:szCs w:val="20"/>
              </w:rPr>
            </w:pPr>
            <w:r w:rsidRPr="00D8017D">
              <w:rPr>
                <w:rFonts w:eastAsia="Calibri" w:cs="Times New Roman"/>
                <w:sz w:val="20"/>
                <w:szCs w:val="20"/>
                <w:lang w:eastAsia="en-US"/>
              </w:rPr>
              <w:t>3,3%</w:t>
            </w:r>
          </w:p>
        </w:tc>
        <w:tc>
          <w:tcPr>
            <w:tcW w:w="1155" w:type="dxa"/>
            <w:tcBorders>
              <w:top w:val="nil"/>
              <w:left w:val="single" w:sz="4" w:space="0" w:color="auto"/>
              <w:bottom w:val="single" w:sz="4" w:space="0" w:color="auto"/>
              <w:right w:val="single" w:sz="4" w:space="0" w:color="auto"/>
            </w:tcBorders>
            <w:vAlign w:val="center"/>
          </w:tcPr>
          <w:p w14:paraId="71EE19A9"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1,0</w:t>
            </w:r>
          </w:p>
        </w:tc>
        <w:tc>
          <w:tcPr>
            <w:tcW w:w="1149" w:type="dxa"/>
            <w:tcBorders>
              <w:top w:val="nil"/>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565B5351"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1,3</w:t>
            </w:r>
          </w:p>
        </w:tc>
        <w:tc>
          <w:tcPr>
            <w:tcW w:w="1149" w:type="dxa"/>
            <w:tcBorders>
              <w:top w:val="nil"/>
              <w:left w:val="nil"/>
              <w:bottom w:val="single" w:sz="4" w:space="0" w:color="auto"/>
              <w:right w:val="single" w:sz="4" w:space="0" w:color="auto"/>
            </w:tcBorders>
            <w:noWrap/>
            <w:tcMar>
              <w:top w:w="57" w:type="dxa"/>
              <w:left w:w="85" w:type="dxa"/>
              <w:bottom w:w="57" w:type="dxa"/>
              <w:right w:w="85" w:type="dxa"/>
            </w:tcMar>
            <w:vAlign w:val="center"/>
            <w:hideMark/>
          </w:tcPr>
          <w:p w14:paraId="08982C10"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1,2</w:t>
            </w:r>
          </w:p>
        </w:tc>
        <w:tc>
          <w:tcPr>
            <w:tcW w:w="1270" w:type="dxa"/>
            <w:tcBorders>
              <w:top w:val="nil"/>
              <w:left w:val="nil"/>
              <w:bottom w:val="single" w:sz="4" w:space="0" w:color="auto"/>
              <w:right w:val="single" w:sz="4" w:space="0" w:color="auto"/>
            </w:tcBorders>
            <w:noWrap/>
            <w:tcMar>
              <w:top w:w="57" w:type="dxa"/>
              <w:left w:w="85" w:type="dxa"/>
              <w:bottom w:w="57" w:type="dxa"/>
              <w:right w:w="85" w:type="dxa"/>
            </w:tcMar>
            <w:vAlign w:val="center"/>
          </w:tcPr>
          <w:p w14:paraId="50DF08ED"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-0,3</w:t>
            </w:r>
          </w:p>
        </w:tc>
        <w:tc>
          <w:tcPr>
            <w:tcW w:w="1028" w:type="dxa"/>
            <w:tcBorders>
              <w:top w:val="nil"/>
              <w:left w:val="nil"/>
              <w:bottom w:val="single" w:sz="4" w:space="0" w:color="auto"/>
              <w:right w:val="single" w:sz="4" w:space="0" w:color="auto"/>
            </w:tcBorders>
            <w:tcMar>
              <w:top w:w="57" w:type="dxa"/>
              <w:left w:w="85" w:type="dxa"/>
              <w:bottom w:w="57" w:type="dxa"/>
              <w:right w:w="85" w:type="dxa"/>
            </w:tcMar>
            <w:vAlign w:val="center"/>
          </w:tcPr>
          <w:p w14:paraId="17663EE5"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-0,3</w:t>
            </w:r>
          </w:p>
        </w:tc>
      </w:tr>
      <w:tr w:rsidR="005E58FF" w:rsidRPr="00D8017D" w14:paraId="0F35A5EB" w14:textId="77777777" w:rsidTr="00E116F2">
        <w:trPr>
          <w:jc w:val="center"/>
        </w:trPr>
        <w:tc>
          <w:tcPr>
            <w:tcW w:w="1271"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16F8C498" w14:textId="77777777" w:rsidR="005E58FF" w:rsidRPr="00D8017D" w:rsidRDefault="005E58FF" w:rsidP="005E58FF">
            <w:pPr>
              <w:spacing w:after="0"/>
              <w:ind w:firstLine="0"/>
              <w:jc w:val="left"/>
              <w:rPr>
                <w:rFonts w:eastAsia="Calibri" w:cs="Times New Roman"/>
                <w:sz w:val="20"/>
                <w:szCs w:val="20"/>
              </w:rPr>
            </w:pPr>
            <w:r w:rsidRPr="00D8017D">
              <w:rPr>
                <w:rFonts w:eastAsia="Calibri" w:cs="Times New Roman"/>
                <w:sz w:val="20"/>
                <w:szCs w:val="20"/>
                <w:lang w:eastAsia="en-US"/>
              </w:rPr>
              <w:t>Somija</w:t>
            </w:r>
          </w:p>
        </w:tc>
        <w:tc>
          <w:tcPr>
            <w:tcW w:w="1274" w:type="dxa"/>
            <w:tcBorders>
              <w:top w:val="nil"/>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609AA63A" w14:textId="77777777" w:rsidR="005E58FF" w:rsidRPr="00D8017D" w:rsidRDefault="005E58FF" w:rsidP="00E116F2">
            <w:pPr>
              <w:spacing w:after="0"/>
              <w:ind w:firstLine="0"/>
              <w:jc w:val="center"/>
              <w:rPr>
                <w:rFonts w:eastAsia="Calibri" w:cs="Times New Roman"/>
                <w:sz w:val="20"/>
                <w:szCs w:val="20"/>
              </w:rPr>
            </w:pPr>
            <w:r w:rsidRPr="00D8017D">
              <w:rPr>
                <w:rFonts w:eastAsia="Calibri" w:cs="Times New Roman"/>
                <w:sz w:val="20"/>
                <w:szCs w:val="20"/>
                <w:lang w:eastAsia="en-US"/>
              </w:rPr>
              <w:t>3,0%</w:t>
            </w:r>
          </w:p>
        </w:tc>
        <w:tc>
          <w:tcPr>
            <w:tcW w:w="1155" w:type="dxa"/>
            <w:tcBorders>
              <w:top w:val="nil"/>
              <w:left w:val="single" w:sz="4" w:space="0" w:color="auto"/>
              <w:bottom w:val="single" w:sz="4" w:space="0" w:color="auto"/>
              <w:right w:val="single" w:sz="4" w:space="0" w:color="auto"/>
            </w:tcBorders>
            <w:vAlign w:val="center"/>
          </w:tcPr>
          <w:p w14:paraId="27E7E2F4"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-0,1</w:t>
            </w:r>
          </w:p>
        </w:tc>
        <w:tc>
          <w:tcPr>
            <w:tcW w:w="1149" w:type="dxa"/>
            <w:tcBorders>
              <w:top w:val="nil"/>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05FA62FE"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1,0</w:t>
            </w:r>
          </w:p>
        </w:tc>
        <w:tc>
          <w:tcPr>
            <w:tcW w:w="1149" w:type="dxa"/>
            <w:tcBorders>
              <w:top w:val="nil"/>
              <w:left w:val="nil"/>
              <w:bottom w:val="single" w:sz="4" w:space="0" w:color="auto"/>
              <w:right w:val="single" w:sz="4" w:space="0" w:color="auto"/>
            </w:tcBorders>
            <w:noWrap/>
            <w:tcMar>
              <w:top w:w="57" w:type="dxa"/>
              <w:left w:w="85" w:type="dxa"/>
              <w:bottom w:w="57" w:type="dxa"/>
              <w:right w:w="85" w:type="dxa"/>
            </w:tcMar>
            <w:vAlign w:val="center"/>
            <w:hideMark/>
          </w:tcPr>
          <w:p w14:paraId="71B44E29"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1,3</w:t>
            </w:r>
          </w:p>
        </w:tc>
        <w:tc>
          <w:tcPr>
            <w:tcW w:w="1270" w:type="dxa"/>
            <w:tcBorders>
              <w:top w:val="nil"/>
              <w:left w:val="nil"/>
              <w:bottom w:val="single" w:sz="4" w:space="0" w:color="auto"/>
              <w:right w:val="single" w:sz="4" w:space="0" w:color="auto"/>
            </w:tcBorders>
            <w:noWrap/>
            <w:tcMar>
              <w:top w:w="57" w:type="dxa"/>
              <w:left w:w="85" w:type="dxa"/>
              <w:bottom w:w="57" w:type="dxa"/>
              <w:right w:w="85" w:type="dxa"/>
            </w:tcMar>
            <w:vAlign w:val="center"/>
          </w:tcPr>
          <w:p w14:paraId="2D277B53"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-0,5</w:t>
            </w:r>
          </w:p>
        </w:tc>
        <w:tc>
          <w:tcPr>
            <w:tcW w:w="1028" w:type="dxa"/>
            <w:tcBorders>
              <w:top w:val="nil"/>
              <w:left w:val="nil"/>
              <w:bottom w:val="single" w:sz="4" w:space="0" w:color="auto"/>
              <w:right w:val="single" w:sz="4" w:space="0" w:color="auto"/>
            </w:tcBorders>
            <w:tcMar>
              <w:top w:w="57" w:type="dxa"/>
              <w:left w:w="85" w:type="dxa"/>
              <w:bottom w:w="57" w:type="dxa"/>
              <w:right w:w="85" w:type="dxa"/>
            </w:tcMar>
            <w:vAlign w:val="center"/>
          </w:tcPr>
          <w:p w14:paraId="5EB2DF84" w14:textId="77777777" w:rsidR="005E58FF" w:rsidRPr="00D8017D" w:rsidRDefault="005E58FF" w:rsidP="00E116F2">
            <w:pPr>
              <w:spacing w:after="0"/>
              <w:ind w:firstLine="0"/>
              <w:jc w:val="center"/>
              <w:rPr>
                <w:rFonts w:eastAsia="Calibri" w:cs="Times New Roman"/>
                <w:sz w:val="20"/>
                <w:szCs w:val="20"/>
                <w:lang w:eastAsia="en-US"/>
              </w:rPr>
            </w:pPr>
            <w:r w:rsidRPr="00D8017D">
              <w:rPr>
                <w:rFonts w:eastAsia="Calibri" w:cs="Times New Roman"/>
                <w:sz w:val="20"/>
                <w:szCs w:val="20"/>
                <w:lang w:eastAsia="en-US"/>
              </w:rPr>
              <w:t>-0,3</w:t>
            </w:r>
          </w:p>
        </w:tc>
      </w:tr>
      <w:tr w:rsidR="005E58FF" w:rsidRPr="00D8017D" w14:paraId="0ED72710" w14:textId="77777777" w:rsidTr="00E116F2">
        <w:trPr>
          <w:jc w:val="center"/>
        </w:trPr>
        <w:tc>
          <w:tcPr>
            <w:tcW w:w="127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182AEF7B" w14:textId="77777777" w:rsidR="005E58FF" w:rsidRPr="00D8017D" w:rsidRDefault="005E58FF" w:rsidP="005E58FF">
            <w:pPr>
              <w:spacing w:after="0"/>
              <w:ind w:firstLine="0"/>
              <w:jc w:val="left"/>
              <w:rPr>
                <w:rFonts w:eastAsia="Calibri" w:cs="Times New Roman"/>
                <w:b/>
                <w:sz w:val="20"/>
                <w:szCs w:val="20"/>
              </w:rPr>
            </w:pPr>
            <w:r w:rsidRPr="00D8017D">
              <w:rPr>
                <w:rFonts w:eastAsia="Calibri" w:cs="Times New Roman"/>
                <w:b/>
                <w:sz w:val="20"/>
                <w:szCs w:val="20"/>
              </w:rPr>
              <w:t>Vidēji svērtais 10 valstīm</w:t>
            </w:r>
          </w:p>
        </w:tc>
        <w:tc>
          <w:tcPr>
            <w:tcW w:w="1274"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4232039F" w14:textId="77777777" w:rsidR="005E58FF" w:rsidRPr="00D8017D" w:rsidRDefault="005E58FF" w:rsidP="00E116F2">
            <w:pPr>
              <w:spacing w:after="0"/>
              <w:ind w:firstLine="0"/>
              <w:jc w:val="center"/>
              <w:rPr>
                <w:rFonts w:eastAsia="Calibri" w:cs="Times New Roman"/>
                <w:b/>
                <w:sz w:val="20"/>
                <w:szCs w:val="20"/>
              </w:rPr>
            </w:pPr>
            <w:r w:rsidRPr="00D8017D">
              <w:rPr>
                <w:rFonts w:eastAsia="Calibri" w:cs="Times New Roman"/>
                <w:b/>
                <w:sz w:val="20"/>
                <w:szCs w:val="20"/>
              </w:rPr>
              <w:t>67,6%</w:t>
            </w:r>
          </w:p>
        </w:tc>
        <w:tc>
          <w:tcPr>
            <w:tcW w:w="1155" w:type="dxa"/>
            <w:tcBorders>
              <w:top w:val="single" w:sz="4" w:space="0" w:color="auto"/>
              <w:left w:val="single" w:sz="4" w:space="0" w:color="auto"/>
              <w:bottom w:val="single" w:sz="4" w:space="0" w:color="auto"/>
              <w:right w:val="single" w:sz="4" w:space="0" w:color="auto"/>
            </w:tcBorders>
            <w:vAlign w:val="center"/>
          </w:tcPr>
          <w:p w14:paraId="13C1BE9C"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lang w:eastAsia="en-US"/>
              </w:rPr>
              <w:t>1,1</w:t>
            </w:r>
          </w:p>
        </w:tc>
        <w:tc>
          <w:tcPr>
            <w:tcW w:w="1149" w:type="dxa"/>
            <w:tcBorders>
              <w:top w:val="single" w:sz="4" w:space="0" w:color="auto"/>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0ABA23F8"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rPr>
              <w:t>1,7</w:t>
            </w:r>
          </w:p>
        </w:tc>
        <w:tc>
          <w:tcPr>
            <w:tcW w:w="1149" w:type="dxa"/>
            <w:tcBorders>
              <w:top w:val="single" w:sz="4" w:space="0" w:color="auto"/>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22028489"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rPr>
              <w:t>2,1</w:t>
            </w:r>
          </w:p>
        </w:tc>
        <w:tc>
          <w:tcPr>
            <w:tcW w:w="1270" w:type="dxa"/>
            <w:tcBorders>
              <w:top w:val="single" w:sz="4" w:space="0" w:color="auto"/>
              <w:left w:val="single" w:sz="4" w:space="0" w:color="auto"/>
              <w:bottom w:val="single" w:sz="4" w:space="0" w:color="auto"/>
              <w:right w:val="single" w:sz="4" w:space="0" w:color="auto"/>
            </w:tcBorders>
            <w:noWrap/>
            <w:tcMar>
              <w:top w:w="57" w:type="dxa"/>
              <w:left w:w="85" w:type="dxa"/>
              <w:bottom w:w="57" w:type="dxa"/>
              <w:right w:w="85" w:type="dxa"/>
            </w:tcMar>
            <w:vAlign w:val="center"/>
          </w:tcPr>
          <w:p w14:paraId="55A35263"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rPr>
              <w:t>-0,2</w:t>
            </w:r>
          </w:p>
        </w:tc>
        <w:tc>
          <w:tcPr>
            <w:tcW w:w="1028"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vAlign w:val="center"/>
          </w:tcPr>
          <w:p w14:paraId="759C78E7"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rPr>
              <w:t>-0,1</w:t>
            </w:r>
          </w:p>
        </w:tc>
      </w:tr>
      <w:tr w:rsidR="005E58FF" w:rsidRPr="00D8017D" w14:paraId="70D06837" w14:textId="77777777" w:rsidTr="00E116F2">
        <w:trPr>
          <w:jc w:val="center"/>
        </w:trPr>
        <w:tc>
          <w:tcPr>
            <w:tcW w:w="127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6F024F13" w14:textId="77777777" w:rsidR="005E58FF" w:rsidRPr="00D8017D" w:rsidRDefault="005E58FF" w:rsidP="005E58FF">
            <w:pPr>
              <w:spacing w:after="0"/>
              <w:ind w:firstLine="0"/>
              <w:jc w:val="left"/>
              <w:rPr>
                <w:rFonts w:eastAsia="Calibri" w:cs="Times New Roman"/>
                <w:b/>
                <w:sz w:val="20"/>
                <w:szCs w:val="20"/>
              </w:rPr>
            </w:pPr>
            <w:r w:rsidRPr="00D8017D">
              <w:rPr>
                <w:rFonts w:eastAsia="Calibri" w:cs="Times New Roman"/>
                <w:b/>
                <w:i/>
                <w:iCs/>
                <w:sz w:val="20"/>
                <w:szCs w:val="20"/>
              </w:rPr>
              <w:t>Euro</w:t>
            </w:r>
            <w:r w:rsidRPr="00D8017D">
              <w:rPr>
                <w:rFonts w:eastAsia="Calibri" w:cs="Times New Roman"/>
                <w:b/>
                <w:sz w:val="20"/>
                <w:szCs w:val="20"/>
              </w:rPr>
              <w:t xml:space="preserve"> zona</w:t>
            </w:r>
          </w:p>
        </w:tc>
        <w:tc>
          <w:tcPr>
            <w:tcW w:w="1274"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vAlign w:val="center"/>
            <w:hideMark/>
          </w:tcPr>
          <w:p w14:paraId="46A089EF" w14:textId="77777777" w:rsidR="005E58FF" w:rsidRPr="00D8017D" w:rsidRDefault="005E58FF" w:rsidP="00E116F2">
            <w:pPr>
              <w:spacing w:after="0"/>
              <w:ind w:firstLine="0"/>
              <w:jc w:val="center"/>
              <w:rPr>
                <w:rFonts w:eastAsia="Calibri" w:cs="Times New Roman"/>
                <w:b/>
                <w:sz w:val="20"/>
                <w:szCs w:val="20"/>
              </w:rPr>
            </w:pPr>
            <w:r w:rsidRPr="00D8017D">
              <w:rPr>
                <w:rFonts w:eastAsia="Calibri" w:cs="Times New Roman"/>
                <w:b/>
                <w:sz w:val="20"/>
                <w:szCs w:val="20"/>
              </w:rPr>
              <w:t>51,8%</w:t>
            </w:r>
          </w:p>
        </w:tc>
        <w:tc>
          <w:tcPr>
            <w:tcW w:w="1155" w:type="dxa"/>
            <w:tcBorders>
              <w:top w:val="single" w:sz="4" w:space="0" w:color="auto"/>
              <w:left w:val="single" w:sz="4" w:space="0" w:color="auto"/>
              <w:bottom w:val="single" w:sz="4" w:space="0" w:color="auto"/>
              <w:right w:val="single" w:sz="4" w:space="0" w:color="auto"/>
            </w:tcBorders>
            <w:vAlign w:val="center"/>
          </w:tcPr>
          <w:p w14:paraId="17D85D62"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lang w:eastAsia="en-US"/>
              </w:rPr>
              <w:t>0,9</w:t>
            </w:r>
          </w:p>
        </w:tc>
        <w:tc>
          <w:tcPr>
            <w:tcW w:w="1149" w:type="dxa"/>
            <w:tcBorders>
              <w:top w:val="single" w:sz="4" w:space="0" w:color="auto"/>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62833DFC"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lang w:eastAsia="en-US"/>
              </w:rPr>
              <w:t>0,9</w:t>
            </w:r>
          </w:p>
        </w:tc>
        <w:tc>
          <w:tcPr>
            <w:tcW w:w="1149" w:type="dxa"/>
            <w:tcBorders>
              <w:top w:val="single" w:sz="4" w:space="0" w:color="auto"/>
              <w:left w:val="single" w:sz="4" w:space="0" w:color="auto"/>
              <w:bottom w:val="single" w:sz="4" w:space="0" w:color="auto"/>
              <w:right w:val="single" w:sz="4" w:space="0" w:color="auto"/>
            </w:tcBorders>
            <w:noWrap/>
            <w:tcMar>
              <w:top w:w="57" w:type="dxa"/>
              <w:left w:w="85" w:type="dxa"/>
              <w:bottom w:w="57" w:type="dxa"/>
              <w:right w:w="85" w:type="dxa"/>
            </w:tcMar>
            <w:vAlign w:val="center"/>
            <w:hideMark/>
          </w:tcPr>
          <w:p w14:paraId="5FEDCE07"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lang w:eastAsia="en-US"/>
              </w:rPr>
              <w:t>1,4</w:t>
            </w:r>
          </w:p>
        </w:tc>
        <w:tc>
          <w:tcPr>
            <w:tcW w:w="1270" w:type="dxa"/>
            <w:tcBorders>
              <w:top w:val="single" w:sz="4" w:space="0" w:color="auto"/>
              <w:left w:val="single" w:sz="4" w:space="0" w:color="auto"/>
              <w:bottom w:val="single" w:sz="4" w:space="0" w:color="auto"/>
              <w:right w:val="single" w:sz="4" w:space="0" w:color="auto"/>
            </w:tcBorders>
            <w:noWrap/>
            <w:tcMar>
              <w:top w:w="57" w:type="dxa"/>
              <w:left w:w="85" w:type="dxa"/>
              <w:bottom w:w="57" w:type="dxa"/>
              <w:right w:w="85" w:type="dxa"/>
            </w:tcMar>
            <w:vAlign w:val="center"/>
          </w:tcPr>
          <w:p w14:paraId="4105C872"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lang w:eastAsia="en-US"/>
              </w:rPr>
              <w:t>-0,4</w:t>
            </w:r>
          </w:p>
        </w:tc>
        <w:tc>
          <w:tcPr>
            <w:tcW w:w="1028"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vAlign w:val="center"/>
          </w:tcPr>
          <w:p w14:paraId="15E79874"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lang w:eastAsia="en-US"/>
              </w:rPr>
              <w:t>-0,2</w:t>
            </w:r>
          </w:p>
        </w:tc>
      </w:tr>
      <w:tr w:rsidR="005E58FF" w:rsidRPr="00D8017D" w14:paraId="60EB22F4" w14:textId="77777777" w:rsidTr="00E116F2">
        <w:trPr>
          <w:jc w:val="center"/>
        </w:trPr>
        <w:tc>
          <w:tcPr>
            <w:tcW w:w="127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vAlign w:val="center"/>
          </w:tcPr>
          <w:p w14:paraId="063AEA2A" w14:textId="77777777" w:rsidR="005E58FF" w:rsidRPr="00D8017D" w:rsidRDefault="005E58FF" w:rsidP="005E58FF">
            <w:pPr>
              <w:spacing w:after="0"/>
              <w:ind w:firstLine="0"/>
              <w:jc w:val="left"/>
              <w:rPr>
                <w:rFonts w:eastAsia="Calibri" w:cs="Times New Roman"/>
                <w:b/>
                <w:sz w:val="20"/>
                <w:szCs w:val="20"/>
              </w:rPr>
            </w:pPr>
            <w:r w:rsidRPr="00D8017D">
              <w:rPr>
                <w:rFonts w:eastAsia="Calibri" w:cs="Times New Roman"/>
                <w:b/>
                <w:sz w:val="20"/>
                <w:szCs w:val="20"/>
              </w:rPr>
              <w:t>Pasaule*</w:t>
            </w:r>
          </w:p>
        </w:tc>
        <w:tc>
          <w:tcPr>
            <w:tcW w:w="1274"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vAlign w:val="center"/>
          </w:tcPr>
          <w:p w14:paraId="1D35FB31" w14:textId="77777777" w:rsidR="005E58FF" w:rsidRPr="00D8017D" w:rsidRDefault="005E58FF" w:rsidP="00E116F2">
            <w:pPr>
              <w:spacing w:after="0"/>
              <w:ind w:firstLine="0"/>
              <w:jc w:val="center"/>
              <w:rPr>
                <w:rFonts w:eastAsia="Calibri" w:cs="Times New Roman"/>
                <w:b/>
                <w:sz w:val="20"/>
                <w:szCs w:val="20"/>
              </w:rPr>
            </w:pPr>
          </w:p>
        </w:tc>
        <w:tc>
          <w:tcPr>
            <w:tcW w:w="1155" w:type="dxa"/>
            <w:tcBorders>
              <w:top w:val="single" w:sz="4" w:space="0" w:color="auto"/>
              <w:left w:val="single" w:sz="4" w:space="0" w:color="auto"/>
              <w:bottom w:val="single" w:sz="4" w:space="0" w:color="auto"/>
              <w:right w:val="single" w:sz="4" w:space="0" w:color="auto"/>
            </w:tcBorders>
            <w:vAlign w:val="center"/>
          </w:tcPr>
          <w:p w14:paraId="3AF2478A"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lang w:eastAsia="en-US"/>
              </w:rPr>
              <w:t>3,3</w:t>
            </w:r>
          </w:p>
        </w:tc>
        <w:tc>
          <w:tcPr>
            <w:tcW w:w="1149" w:type="dxa"/>
            <w:tcBorders>
              <w:top w:val="single" w:sz="4" w:space="0" w:color="auto"/>
              <w:left w:val="single" w:sz="4" w:space="0" w:color="auto"/>
              <w:bottom w:val="single" w:sz="4" w:space="0" w:color="auto"/>
              <w:right w:val="single" w:sz="4" w:space="0" w:color="auto"/>
            </w:tcBorders>
            <w:noWrap/>
            <w:tcMar>
              <w:top w:w="57" w:type="dxa"/>
              <w:left w:w="85" w:type="dxa"/>
              <w:bottom w:w="57" w:type="dxa"/>
              <w:right w:w="85" w:type="dxa"/>
            </w:tcMar>
            <w:vAlign w:val="center"/>
          </w:tcPr>
          <w:p w14:paraId="7BAF5092"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lang w:eastAsia="en-US"/>
              </w:rPr>
              <w:t>3,0</w:t>
            </w:r>
          </w:p>
        </w:tc>
        <w:tc>
          <w:tcPr>
            <w:tcW w:w="1149" w:type="dxa"/>
            <w:tcBorders>
              <w:top w:val="single" w:sz="4" w:space="0" w:color="auto"/>
              <w:left w:val="single" w:sz="4" w:space="0" w:color="auto"/>
              <w:bottom w:val="single" w:sz="4" w:space="0" w:color="auto"/>
              <w:right w:val="single" w:sz="4" w:space="0" w:color="auto"/>
            </w:tcBorders>
            <w:noWrap/>
            <w:tcMar>
              <w:top w:w="57" w:type="dxa"/>
              <w:left w:w="85" w:type="dxa"/>
              <w:bottom w:w="57" w:type="dxa"/>
              <w:right w:w="85" w:type="dxa"/>
            </w:tcMar>
            <w:vAlign w:val="center"/>
          </w:tcPr>
          <w:p w14:paraId="0FB2F045"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lang w:eastAsia="en-US"/>
              </w:rPr>
              <w:t>3,1</w:t>
            </w:r>
          </w:p>
        </w:tc>
        <w:tc>
          <w:tcPr>
            <w:tcW w:w="1270" w:type="dxa"/>
            <w:tcBorders>
              <w:top w:val="single" w:sz="4" w:space="0" w:color="auto"/>
              <w:left w:val="single" w:sz="4" w:space="0" w:color="auto"/>
              <w:bottom w:val="single" w:sz="4" w:space="0" w:color="auto"/>
              <w:right w:val="single" w:sz="4" w:space="0" w:color="auto"/>
            </w:tcBorders>
            <w:noWrap/>
            <w:tcMar>
              <w:top w:w="57" w:type="dxa"/>
              <w:left w:w="85" w:type="dxa"/>
              <w:bottom w:w="57" w:type="dxa"/>
              <w:right w:w="85" w:type="dxa"/>
            </w:tcMar>
            <w:vAlign w:val="center"/>
          </w:tcPr>
          <w:p w14:paraId="5EB84B06"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lang w:eastAsia="en-US"/>
              </w:rPr>
              <w:t>-0,2</w:t>
            </w:r>
          </w:p>
        </w:tc>
        <w:tc>
          <w:tcPr>
            <w:tcW w:w="1028"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vAlign w:val="center"/>
          </w:tcPr>
          <w:p w14:paraId="5F231BB7" w14:textId="77777777" w:rsidR="005E58FF" w:rsidRPr="00D8017D" w:rsidRDefault="005E58FF" w:rsidP="00E116F2">
            <w:pPr>
              <w:spacing w:after="0"/>
              <w:ind w:firstLine="0"/>
              <w:jc w:val="center"/>
              <w:rPr>
                <w:rFonts w:eastAsia="Calibri" w:cs="Times New Roman"/>
                <w:b/>
                <w:sz w:val="20"/>
                <w:szCs w:val="20"/>
                <w:lang w:eastAsia="en-US"/>
              </w:rPr>
            </w:pPr>
            <w:r w:rsidRPr="00D8017D">
              <w:rPr>
                <w:rFonts w:eastAsia="Calibri" w:cs="Times New Roman"/>
                <w:b/>
                <w:sz w:val="20"/>
                <w:szCs w:val="20"/>
                <w:lang w:eastAsia="en-US"/>
              </w:rPr>
              <w:t>0,0</w:t>
            </w:r>
          </w:p>
        </w:tc>
      </w:tr>
    </w:tbl>
    <w:p w14:paraId="518A6DF9" w14:textId="77777777" w:rsidR="0070161D" w:rsidRPr="00D8017D" w:rsidRDefault="0070161D" w:rsidP="008349F0">
      <w:pPr>
        <w:keepNext/>
        <w:keepLines/>
        <w:spacing w:before="240" w:after="240"/>
        <w:ind w:firstLine="0"/>
        <w:jc w:val="center"/>
        <w:outlineLvl w:val="1"/>
        <w:rPr>
          <w:rFonts w:eastAsia="Times New Roman" w:cs="Times New Roman"/>
          <w:b/>
          <w:bCs/>
          <w:color w:val="000000"/>
          <w:sz w:val="36"/>
          <w:szCs w:val="28"/>
        </w:rPr>
      </w:pPr>
      <w:bookmarkStart w:id="6" w:name="_Toc210289865"/>
      <w:r w:rsidRPr="00D8017D">
        <w:rPr>
          <w:rFonts w:eastAsia="Times New Roman" w:cs="Times New Roman"/>
          <w:b/>
          <w:bCs/>
          <w:color w:val="000000"/>
          <w:sz w:val="36"/>
          <w:szCs w:val="28"/>
        </w:rPr>
        <w:t>1.2. Latvijas tautsaimniecības attīstība</w:t>
      </w:r>
      <w:bookmarkEnd w:id="5"/>
      <w:bookmarkEnd w:id="6"/>
    </w:p>
    <w:p w14:paraId="6B92BE65" w14:textId="5EAA143B" w:rsidR="005E58FF" w:rsidRPr="00D8017D" w:rsidRDefault="005E58FF" w:rsidP="005E58FF">
      <w:pPr>
        <w:spacing w:before="120"/>
        <w:rPr>
          <w:rFonts w:eastAsia="Calibri" w:cs="Times New Roman"/>
          <w:szCs w:val="20"/>
          <w:lang w:eastAsia="en-US"/>
        </w:rPr>
      </w:pPr>
      <w:bookmarkStart w:id="7" w:name="_Toc178763476"/>
      <w:r w:rsidRPr="00D8017D">
        <w:rPr>
          <w:rFonts w:eastAsia="Calibri" w:cs="Times New Roman"/>
          <w:szCs w:val="20"/>
          <w:lang w:eastAsia="en-US"/>
        </w:rPr>
        <w:t>Līdz 2023. gadam Latvijas ekonomika gan Covid-19 pandēmijas, gan Krievijas uzsāktā kara radītās problēmas bija pārvarējusi labāk nekā prognozēts, tajā skaitā 2023. gadā sasniedzot spēcīgu 2,9% izaugsmi, taču 2024. gadā ārējās vides negatīvā ietekme kļuva jūtamāka un Latvijas IKP, salīdzinot ar iepriekšējo gadu, samazinājās par 0,4%.</w:t>
      </w:r>
    </w:p>
    <w:p w14:paraId="779F12B6"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Ekonomikas lejupslīdi 2024. gadā noteica galvenokārt zemā ekonomikas izaugsme ārējos tirgos, kur attīstības tempus joprojām bremzēja gan Krievijas uzsāktais karš Ukrainā un tam </w:t>
      </w:r>
      <w:r w:rsidRPr="00D8017D">
        <w:rPr>
          <w:rFonts w:eastAsia="Calibri" w:cs="Times New Roman"/>
          <w:szCs w:val="20"/>
          <w:lang w:eastAsia="en-US"/>
        </w:rPr>
        <w:lastRenderedPageBreak/>
        <w:t>sekojušais cenu kāpums, gan joprojām augstās procentu likmes. Saspringtā ģeopolitiskā situācija, augstā nenoteiktība un nedrošība par nākotni savukārt kavēja iekšzemes pieprasījuma pieaugumu. Privātais patēriņš, kam, ņemot vērā strādājošo iedzīvotāju ļoti spēcīgo ienākumu kāpumu, bija visas iespējas strauji palielināties, 2024. gadā auga tikai par 0,5%, bet investīcijas kritās par 6,7%. Tādējādi ekonomikas izaugsmi pērn visbūtiskāk veicināja sabiedriskā patēriņa pieaugums par 7,6%, un neliels pozitīvs devums ekonomikas izaugsmē bija ārējai tirdzniecībai, kur eksporta kritums (-1,6%) bija nedaudz zemāks par importa samazinājumu (-2,3%).</w:t>
      </w:r>
    </w:p>
    <w:p w14:paraId="2C9DD138"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Nozaru griezumā būtiskākā pozitīvā ietekme uz ekonomikas izaugsmi pērn bija tirdzniecības nozares pieaugumam par 3,4%, kā arī kāpumam valsts pārvaldes un veselības un sociālās aprūpes nozarēs, kamēr kopējo ekonomikas lejupslīdi noteikuši spēcīgie kritumi apstrādes rūpniecības, būvniecības un transporta nozarēs – attiecīgi par 4,6%, 6,9% un 7,9%.</w:t>
      </w:r>
    </w:p>
    <w:p w14:paraId="3D7029FC"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2025. gada pirmajā pusē ekonomikas izaugsme ir atjaunojusies, īpaši strauju kāpumu uzrādot otrajā ceturksnī, kad pret 2024. gada otro ceturksni IKP ir palielinājies par 1,7%. gada pirmajā pusē kopā ekonomikas izaugsme veidojusi 0,7%. Atšķirībā no 2024. gada, kad būtiskāko devumu ekonomikā nodrošināja ar sabiedrisko patēriņu saistītās nozares, 2025. gadā izaugsme ir atjaunojusies lielākajā daļā biznesa nozaru un būtiskākā pozitīvā ietekme uz IKP pieaugumu gada pirmajā pusē bijusi tirdzniecības, būvniecības, informācijas un komunikācijas pakalpojumu nozares, kā arī apstrādes rūpniecības pieaugumam attiecīgi par 3,1%, 6,5%, 4,1% un 1,6% (skat. </w:t>
      </w:r>
      <w:r w:rsidRPr="00D8017D">
        <w:rPr>
          <w:rFonts w:eastAsia="Times New Roman" w:cs="Times New Roman"/>
          <w:szCs w:val="24"/>
          <w:lang w:eastAsia="en-US"/>
        </w:rPr>
        <w:t>1.1. att.).</w:t>
      </w:r>
    </w:p>
    <w:p w14:paraId="13077DD1" w14:textId="3FE6C4CA"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Ražošanas apjomi apstrādes rūpniecībā līdz ar pieprasījuma uzlabošanos ārējos tirgos šogad mēnesi no mēneša ir auguši, tajā skaitā spēcīgs pieaugums bijis divās lielākajās apstrādes rūpniecības apakšnozarēs – kokapstrādē un pārtikas produktu un ļoti spēcīgi augusi arī būvmateriālu ražošana, kas cieši korelē ar būvniecības nozares kāpumu. Būvniecības nozares straujo pieaugumu nodrošinājuši galvenokārt augošie inženierbūvniecības apjomi </w:t>
      </w:r>
      <w:r w:rsidRPr="00E31091">
        <w:rPr>
          <w:rFonts w:eastAsia="Calibri" w:cs="Times New Roman"/>
          <w:szCs w:val="20"/>
          <w:lang w:eastAsia="en-US"/>
        </w:rPr>
        <w:t xml:space="preserve">un </w:t>
      </w:r>
      <w:r w:rsidR="00E31091">
        <w:rPr>
          <w:rFonts w:eastAsia="Calibri" w:cs="Times New Roman"/>
          <w:szCs w:val="20"/>
          <w:lang w:eastAsia="en-US"/>
        </w:rPr>
        <w:t>ES</w:t>
      </w:r>
      <w:r w:rsidRPr="00D8017D">
        <w:rPr>
          <w:rFonts w:eastAsia="Calibri" w:cs="Times New Roman"/>
          <w:szCs w:val="20"/>
          <w:lang w:eastAsia="en-US"/>
        </w:rPr>
        <w:t xml:space="preserve"> fondu projektu realizācija, kamēr ēku būvniecībā joprojām saglabājies neliels kritums. Tāpat salīdzinoši spēcīgs pieaugums bijis tirdzniecības nozarē, galvenokārt pateicoties autotirdzniecības kāpumam, un visai strauji augušas arī izmitināšanas un ēdināšanas, kā arī informācijas un komunikācijas pakalpojumu un finanšu pakalpojumu nozares.</w:t>
      </w:r>
    </w:p>
    <w:p w14:paraId="21728987" w14:textId="2B78E2D1"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Savukārt būtiskāko negatīvo ietekm</w:t>
      </w:r>
      <w:r w:rsidR="008344F6">
        <w:rPr>
          <w:rFonts w:eastAsia="Calibri" w:cs="Times New Roman"/>
          <w:szCs w:val="20"/>
          <w:lang w:eastAsia="en-US"/>
        </w:rPr>
        <w:t>i</w:t>
      </w:r>
      <w:r w:rsidRPr="00D8017D">
        <w:rPr>
          <w:rFonts w:eastAsia="Calibri" w:cs="Times New Roman"/>
          <w:szCs w:val="20"/>
          <w:lang w:eastAsia="en-US"/>
        </w:rPr>
        <w:t xml:space="preserve"> uz ekonomikas izaugsmi šā gada pirmajā pusē atstājis kritums laika apstākļu ietekmētajā enerģētikas nozarē, kā arī veselības un sociālās aprūpes nozares pievienotās vērtības samazināšanās.</w:t>
      </w:r>
    </w:p>
    <w:p w14:paraId="4212C846"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No izlietojuma puses, ekonomikas izaugsmi 2025. gada pirmajā pusē visbūtiskāk veicinājis spēcīgais investīciju kāpums – par 7,7%, salīdzinot ar pērnā gada attiecīgo periodu, un mērens pieaugums fiksēts arī eksportā un sabiedriskajā patēriņā – attiecīgi par 0,2% un 2,1%. Vienlaikus privātais patēriņš, neskatoties uz iedzīvotāju pirktspējas atjaunošanos un joprojām spēcīgo algu kāpumu, bijis par 0,6% mazāks nekā pirms gada, galvenokārt samazinoties pārtikas patēriņam un ar mājokli saistītajiem pakalpojumiem ūdens, elektroenerģijas, gāzes un cita kurināmā apgādē. Patērētāju tēriņus ierobežojusi arī augstā nenoteiktība saistībā ar ģeopolitisko situāciju, ASV tarifu ieviešanu, cenu kāpumu atsevišķām preču grupām un valdības izdevumu samazināšanas pasākumiem.</w:t>
      </w:r>
    </w:p>
    <w:tbl>
      <w:tblPr>
        <w:tblStyle w:val="TableGrid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Look w:val="04A0" w:firstRow="1" w:lastRow="0" w:firstColumn="1" w:lastColumn="0" w:noHBand="0" w:noVBand="1"/>
      </w:tblPr>
      <w:tblGrid>
        <w:gridCol w:w="4802"/>
        <w:gridCol w:w="4552"/>
      </w:tblGrid>
      <w:tr w:rsidR="005E58FF" w:rsidRPr="00D8017D" w14:paraId="00FC6D5E" w14:textId="77777777" w:rsidTr="005E58FF">
        <w:tc>
          <w:tcPr>
            <w:tcW w:w="4263" w:type="dxa"/>
          </w:tcPr>
          <w:p w14:paraId="659A032A" w14:textId="77777777" w:rsidR="005E58FF" w:rsidRPr="00D8017D" w:rsidRDefault="005E58FF" w:rsidP="005E58FF">
            <w:pPr>
              <w:spacing w:before="120" w:after="0"/>
              <w:ind w:firstLine="0"/>
              <w:rPr>
                <w:rFonts w:ascii="Calibri" w:hAnsi="Calibri"/>
                <w:sz w:val="22"/>
              </w:rPr>
            </w:pPr>
            <w:r w:rsidRPr="00D8017D">
              <w:rPr>
                <w:rFonts w:ascii="Calibri" w:hAnsi="Calibri"/>
                <w:noProof/>
                <w:sz w:val="22"/>
              </w:rPr>
              <w:lastRenderedPageBreak/>
              <w:drawing>
                <wp:inline distT="0" distB="0" distL="0" distR="0" wp14:anchorId="68A9A61E" wp14:editId="4F56C3BC">
                  <wp:extent cx="3041650" cy="4565650"/>
                  <wp:effectExtent l="0" t="0" r="6350" b="6350"/>
                  <wp:docPr id="1589155287" name="Chart 1">
                    <a:extLst xmlns:a="http://schemas.openxmlformats.org/drawingml/2006/main">
                      <a:ext uri="{FF2B5EF4-FFF2-40B4-BE49-F238E27FC236}">
                        <a16:creationId xmlns:a16="http://schemas.microsoft.com/office/drawing/2014/main" id="{95718DDC-74B7-4D4E-AA70-1028CC0DDE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c>
          <w:tcPr>
            <w:tcW w:w="4043" w:type="dxa"/>
          </w:tcPr>
          <w:p w14:paraId="60784503" w14:textId="77777777" w:rsidR="005E58FF" w:rsidRPr="00D8017D" w:rsidRDefault="005E58FF" w:rsidP="005E58FF">
            <w:pPr>
              <w:spacing w:before="120" w:after="0"/>
              <w:ind w:firstLine="0"/>
              <w:rPr>
                <w:rFonts w:ascii="Calibri" w:hAnsi="Calibri"/>
                <w:sz w:val="22"/>
              </w:rPr>
            </w:pPr>
            <w:r w:rsidRPr="00D8017D">
              <w:rPr>
                <w:rFonts w:ascii="Calibri" w:hAnsi="Calibri"/>
                <w:noProof/>
                <w:sz w:val="22"/>
              </w:rPr>
              <w:drawing>
                <wp:inline distT="0" distB="0" distL="0" distR="0" wp14:anchorId="4E9FE048" wp14:editId="666C13F4">
                  <wp:extent cx="2882265" cy="4572000"/>
                  <wp:effectExtent l="0" t="0" r="0" b="0"/>
                  <wp:docPr id="177014949" name="Chart 1">
                    <a:extLst xmlns:a="http://schemas.openxmlformats.org/drawingml/2006/main">
                      <a:ext uri="{FF2B5EF4-FFF2-40B4-BE49-F238E27FC236}">
                        <a16:creationId xmlns:a16="http://schemas.microsoft.com/office/drawing/2014/main" id="{BE87C5C9-ED45-43F3-B953-B4DA89754C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5E58FF" w:rsidRPr="00D8017D" w14:paraId="648E3838" w14:textId="77777777" w:rsidTr="005E58FF">
        <w:tc>
          <w:tcPr>
            <w:tcW w:w="8306" w:type="dxa"/>
            <w:gridSpan w:val="2"/>
          </w:tcPr>
          <w:p w14:paraId="6EFC6A7D" w14:textId="6FAE81C5" w:rsidR="005E58FF" w:rsidRPr="00D8017D" w:rsidRDefault="005E58FF" w:rsidP="005E58FF">
            <w:pPr>
              <w:spacing w:before="120" w:after="0"/>
              <w:ind w:firstLine="0"/>
              <w:jc w:val="center"/>
              <w:rPr>
                <w:rFonts w:ascii="Calibri" w:hAnsi="Calibri"/>
                <w:szCs w:val="24"/>
              </w:rPr>
            </w:pPr>
            <w:r w:rsidRPr="00D8017D">
              <w:rPr>
                <w:b/>
                <w:i/>
                <w:szCs w:val="24"/>
              </w:rPr>
              <w:t>1.1. att. IKP pievienotās vērtības izmaiņas tautsaimniecības nozarēs un IKP izmaiņas no izlietojuma puses, salīdzinot ar iepriekšējā gada attiecīgo laika periodu,</w:t>
            </w:r>
            <w:r w:rsidRPr="00D8017D">
              <w:rPr>
                <w:rFonts w:ascii="Calibri" w:hAnsi="Calibri"/>
                <w:b/>
                <w:i/>
                <w:szCs w:val="24"/>
              </w:rPr>
              <w:t xml:space="preserve"> %</w:t>
            </w:r>
          </w:p>
        </w:tc>
      </w:tr>
    </w:tbl>
    <w:p w14:paraId="3F0F96A2" w14:textId="2CD3B07C" w:rsidR="005E58FF" w:rsidRPr="00D8017D" w:rsidRDefault="00306A12" w:rsidP="005E58FF">
      <w:pPr>
        <w:spacing w:before="120"/>
        <w:rPr>
          <w:rFonts w:eastAsia="Calibri" w:cs="Times New Roman"/>
          <w:szCs w:val="20"/>
          <w:lang w:eastAsia="en-US"/>
        </w:rPr>
      </w:pPr>
      <w:r>
        <w:rPr>
          <w:rFonts w:eastAsia="Calibri" w:cs="Times New Roman"/>
          <w:szCs w:val="20"/>
          <w:lang w:eastAsia="en-US"/>
        </w:rPr>
        <w:t>2025. g</w:t>
      </w:r>
      <w:r w:rsidR="005E58FF" w:rsidRPr="00D8017D">
        <w:rPr>
          <w:rFonts w:eastAsia="Calibri" w:cs="Times New Roman"/>
          <w:szCs w:val="20"/>
          <w:lang w:eastAsia="en-US"/>
        </w:rPr>
        <w:t xml:space="preserve">ada otrajā pusē izaugsmi vēl būtiskāk veicinās ārējā pieprasījuma atjaunošanās un eksports, kā arī investīciju pieaugums, tajā skaitā straujāka </w:t>
      </w:r>
      <w:r w:rsidR="00E31091" w:rsidRPr="00E31091">
        <w:rPr>
          <w:rFonts w:eastAsia="Calibri" w:cs="Times New Roman"/>
          <w:szCs w:val="20"/>
          <w:lang w:eastAsia="en-US"/>
        </w:rPr>
        <w:t>ES</w:t>
      </w:r>
      <w:r w:rsidR="005E58FF" w:rsidRPr="00D8017D">
        <w:rPr>
          <w:rFonts w:eastAsia="Calibri" w:cs="Times New Roman"/>
          <w:szCs w:val="20"/>
          <w:lang w:eastAsia="en-US"/>
        </w:rPr>
        <w:t xml:space="preserve"> fondu investīciju izmantošana, vienlaikus negatīvos riskus ir palielinājusi ASV tarifu diskusija un tirdzniecības tarifu celšana, kā arī tās izraisītā nestabilitāte un finanšu tirgu svārstīgums. Vienlaikus saglabājas ļoti augsti ar ģeopolitisko situāciju saistītie riski, kas tāpat pasliktina uzņēmēju un patērētāju konfidenci un ierobežo privāto investīciju pieaugumu un patērētāju tēriņus.</w:t>
      </w:r>
    </w:p>
    <w:p w14:paraId="541299F8" w14:textId="68687394" w:rsidR="005E58FF" w:rsidRPr="00D8017D" w:rsidRDefault="005E58FF" w:rsidP="005E58FF">
      <w:pPr>
        <w:spacing w:before="120"/>
        <w:rPr>
          <w:rFonts w:ascii="Calibri" w:eastAsia="Calibri" w:hAnsi="Calibri" w:cs="Times New Roman"/>
          <w:sz w:val="22"/>
          <w:lang w:eastAsia="en-US"/>
        </w:rPr>
      </w:pPr>
      <w:r w:rsidRPr="00D8017D">
        <w:rPr>
          <w:rFonts w:eastAsia="Calibri" w:cs="Times New Roman"/>
          <w:szCs w:val="20"/>
          <w:lang w:eastAsia="en-US"/>
        </w:rPr>
        <w:t xml:space="preserve">Pēc </w:t>
      </w:r>
      <w:r w:rsidR="00BB3CFE" w:rsidRPr="00D8017D">
        <w:rPr>
          <w:rFonts w:eastAsia="Calibri" w:cs="Times New Roman"/>
          <w:szCs w:val="20"/>
          <w:lang w:eastAsia="en-US"/>
        </w:rPr>
        <w:t>FM</w:t>
      </w:r>
      <w:r w:rsidRPr="00D8017D">
        <w:rPr>
          <w:rFonts w:eastAsia="Calibri" w:cs="Times New Roman"/>
          <w:szCs w:val="20"/>
          <w:lang w:eastAsia="en-US"/>
        </w:rPr>
        <w:t xml:space="preserve"> 2025. gada jūnija sākumā aktualizētajām makroekonomisko rādītāju prognozēm, ekonomikas izaugsme šogad kopumā būs atjaunojusies un sasniegs 1,1%, bet 2026. gadā tā paātrināsies līdz 2,1%. Nākamajos trīs gados ekonomikas izaugsme stabilizēsies 2,2% līmenī.</w:t>
      </w:r>
    </w:p>
    <w:p w14:paraId="01C6693D" w14:textId="77777777" w:rsidR="0070161D" w:rsidRPr="00D8017D" w:rsidRDefault="0070161D" w:rsidP="008349F0">
      <w:pPr>
        <w:spacing w:before="240" w:after="240"/>
        <w:ind w:firstLine="0"/>
        <w:jc w:val="center"/>
        <w:outlineLvl w:val="2"/>
        <w:rPr>
          <w:rFonts w:eastAsia="Times New Roman" w:cs="Times New Roman"/>
          <w:b/>
          <w:sz w:val="32"/>
          <w:szCs w:val="20"/>
          <w:lang w:eastAsia="en-US"/>
        </w:rPr>
      </w:pPr>
      <w:bookmarkStart w:id="8" w:name="_Toc210289866"/>
      <w:r w:rsidRPr="00D8017D">
        <w:rPr>
          <w:rFonts w:eastAsia="Times New Roman" w:cs="Times New Roman"/>
          <w:b/>
          <w:sz w:val="32"/>
          <w:szCs w:val="20"/>
          <w:lang w:eastAsia="en-US"/>
        </w:rPr>
        <w:t>1.2.1. Tautsaimniecības nozaru attīstība</w:t>
      </w:r>
      <w:bookmarkEnd w:id="7"/>
      <w:bookmarkEnd w:id="8"/>
    </w:p>
    <w:p w14:paraId="0E2D3E25" w14:textId="77777777" w:rsidR="005E58FF" w:rsidRPr="00D8017D" w:rsidRDefault="005E58FF" w:rsidP="005E58FF">
      <w:pPr>
        <w:rPr>
          <w:rFonts w:eastAsia="Calibri" w:cs="Arial"/>
          <w:b/>
          <w:bCs/>
          <w:szCs w:val="24"/>
        </w:rPr>
      </w:pPr>
      <w:bookmarkStart w:id="9" w:name="_Toc178763477"/>
      <w:r w:rsidRPr="00D8017D">
        <w:rPr>
          <w:rFonts w:eastAsia="Calibri" w:cs="Arial"/>
          <w:b/>
          <w:bCs/>
          <w:szCs w:val="24"/>
        </w:rPr>
        <w:t>Rūpniecība</w:t>
      </w:r>
    </w:p>
    <w:p w14:paraId="78B5D46D"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Latvijas rūpniecības nozare 2023. un 2024. gadā piedzīvoja apjomu samazinājumus attiecīgi 5,4% un 2,2% apmērā pēc kalendāri izlīdzinātiem datiem, kam sekoja 3,4% pieaugums 2025. gada pirmajos septiņos mēnešos kopā (1.2. attēls), salīdzinot ar pērnā gada attiecīgo periodu. Ražotāji aptaujās norādījuši, ka pārliecinoši lielākais kavēklis nozares attīstībai 2023. un 2024. gadā bijis nepietiekams pieprasījums, ko noteica vājā ekonomiskā izaugsme Latvijas </w:t>
      </w:r>
      <w:r w:rsidRPr="00D8017D">
        <w:rPr>
          <w:rFonts w:eastAsia="Calibri" w:cs="Times New Roman"/>
          <w:szCs w:val="20"/>
          <w:lang w:eastAsia="en-US"/>
        </w:rPr>
        <w:lastRenderedPageBreak/>
        <w:t>galvenajās eksporta partnervalstīs. Pieprasījums pēc Latvijas ražojumiem 2025. gada pirmajā pusē ir audzis gan vietējā, gan eksporta tirgū, kas veicināja arī ražošanas apjomu pieaugumu.</w:t>
      </w:r>
    </w:p>
    <w:p w14:paraId="72A34245" w14:textId="77777777" w:rsidR="005E58FF" w:rsidRPr="00D8017D" w:rsidRDefault="005E58FF" w:rsidP="00184A70">
      <w:pPr>
        <w:spacing w:after="160" w:line="259" w:lineRule="auto"/>
        <w:ind w:firstLine="0"/>
        <w:jc w:val="center"/>
        <w:rPr>
          <w:rFonts w:eastAsia="Calibri" w:cs="Times New Roman"/>
          <w:sz w:val="22"/>
          <w:lang w:eastAsia="en-US"/>
        </w:rPr>
      </w:pPr>
      <w:r w:rsidRPr="00D8017D">
        <w:rPr>
          <w:rFonts w:eastAsia="Calibri" w:cs="Times New Roman"/>
          <w:noProof/>
          <w:sz w:val="22"/>
          <w:lang w:eastAsia="en-US"/>
        </w:rPr>
        <w:drawing>
          <wp:inline distT="0" distB="0" distL="0" distR="0" wp14:anchorId="0B36E968" wp14:editId="54A4EA0F">
            <wp:extent cx="5274310" cy="2266950"/>
            <wp:effectExtent l="0" t="0" r="2540" b="0"/>
            <wp:docPr id="382496182" name="Chart 1">
              <a:extLst xmlns:a="http://schemas.openxmlformats.org/drawingml/2006/main">
                <a:ext uri="{FF2B5EF4-FFF2-40B4-BE49-F238E27FC236}">
                  <a16:creationId xmlns:a16="http://schemas.microsoft.com/office/drawing/2014/main" id="{00000000-0008-0000-13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C3247D3" w14:textId="530EC2DB" w:rsidR="005E58FF" w:rsidRPr="00D8017D" w:rsidRDefault="005E58FF" w:rsidP="005E58FF">
      <w:pPr>
        <w:spacing w:after="0" w:line="259" w:lineRule="auto"/>
        <w:ind w:firstLine="0"/>
        <w:jc w:val="center"/>
        <w:rPr>
          <w:rFonts w:eastAsia="Calibri" w:cs="Times New Roman"/>
          <w:b/>
          <w:i/>
          <w:szCs w:val="24"/>
          <w:lang w:eastAsia="en-US"/>
        </w:rPr>
      </w:pPr>
      <w:r w:rsidRPr="00D8017D">
        <w:rPr>
          <w:rFonts w:eastAsia="Calibri" w:cs="Times New Roman"/>
          <w:b/>
          <w:i/>
          <w:szCs w:val="24"/>
          <w:lang w:eastAsia="en-US"/>
        </w:rPr>
        <w:t xml:space="preserve">1.2. att. Rūpniecības produkcijas apjoma indekss </w:t>
      </w:r>
      <w:r w:rsidRPr="00D8017D">
        <w:rPr>
          <w:rFonts w:eastAsia="Calibri" w:cs="Times New Roman"/>
          <w:b/>
          <w:i/>
          <w:szCs w:val="24"/>
          <w:lang w:eastAsia="en-US"/>
        </w:rPr>
        <w:br/>
        <w:t>(sezonāli izlīdzināti dati, 2021 = 100)</w:t>
      </w:r>
    </w:p>
    <w:p w14:paraId="2FFA661C" w14:textId="13AA75FB"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Rūpniecības nozares pievienotā vērtība kopējā tautsaimniecībā samazinājās gan 2023., gan 2024. gadā. 2023. gadā tā samazinājās par 0,6 </w:t>
      </w:r>
      <w:r w:rsidR="00936796">
        <w:rPr>
          <w:rFonts w:eastAsia="Calibri" w:cs="Times New Roman"/>
          <w:szCs w:val="20"/>
          <w:lang w:eastAsia="en-US"/>
        </w:rPr>
        <w:t>pp</w:t>
      </w:r>
      <w:r w:rsidRPr="00D8017D">
        <w:rPr>
          <w:rFonts w:eastAsia="Calibri" w:cs="Times New Roman"/>
          <w:szCs w:val="20"/>
          <w:lang w:eastAsia="en-US"/>
        </w:rPr>
        <w:t xml:space="preserve"> un </w:t>
      </w:r>
      <w:r w:rsidR="00B2580D">
        <w:rPr>
          <w:rFonts w:eastAsia="Calibri" w:cs="Times New Roman"/>
          <w:szCs w:val="20"/>
          <w:lang w:eastAsia="en-US"/>
        </w:rPr>
        <w:t>tās īpatsvars bija</w:t>
      </w:r>
      <w:r w:rsidR="00B2580D" w:rsidRPr="00D8017D">
        <w:rPr>
          <w:rFonts w:eastAsia="Calibri" w:cs="Times New Roman"/>
          <w:szCs w:val="20"/>
          <w:lang w:eastAsia="en-US"/>
        </w:rPr>
        <w:t xml:space="preserve"> </w:t>
      </w:r>
      <w:r w:rsidRPr="00D8017D">
        <w:rPr>
          <w:rFonts w:eastAsia="Calibri" w:cs="Times New Roman"/>
          <w:szCs w:val="20"/>
          <w:lang w:eastAsia="en-US"/>
        </w:rPr>
        <w:t>14,9% no kopējās tautsaimniecības, bet 2024. gadā pievienotā vērtība saruka vēl par 0,4 pp un veidoja 14,5%, kas ir vēsturiski zemākais īpatsvars. Arī nodarbināto skaita īpatsvars Latvijas rūpniecības nozarē 2024. gadā samazinājās par 0,4% un veidoja 14,6% no visiem tautsaimniecībā nodarbinātajiem. Ņemot vērā šā gada ražošanas apjomu dinamiku, paredzams, ka arī nozares pievienotā vērtība 2025. gadā atsāks pieaugt.</w:t>
      </w:r>
    </w:p>
    <w:p w14:paraId="342C0EC6"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Rūpniecības nozare sastāv no trīs galvenajām apakšgrupām – apstrādes rūpniecības (83% īpatsvars), elektroenerģijas un gāzes apgādes (13,7%) un ieguves rūpniecības un karjeru izstrādes (3,3%). </w:t>
      </w:r>
    </w:p>
    <w:p w14:paraId="193F8A2A" w14:textId="011F52C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No Latvijas apstrādes rūpniecībā saražotā preču apjoma aptuveni divas trešdaļas tiek eksportētas. Latvijas 10 lielāko eksporta partnervalstu vidējā iekšzemes kopprodukta izaugsme 2024. gadā bija vien 1,1%, kas ievērojami atpaliek no ilgtermiņa vidējā kopprodukta pieauguma. Līdz ar izaugsmes tempu samazināšanos sarūk arī attīstības tempi tautsaimniecības nozarēs, tajā skaitā rūpniecībā, būvniecībā u.c. Samazinoties aktivitātei partnervalstu rūpniecības nozarēs, sarūk arī pieprasījums pēc izejvielām vietējās ražošanas vajadzībām vai tiešajam patēriņam, ko savukārt nodrošina importa partnervalstis, tajā skaitā Latvija. </w:t>
      </w:r>
      <w:r w:rsidR="00E31091">
        <w:rPr>
          <w:rFonts w:eastAsia="Calibri" w:cs="Times New Roman"/>
          <w:szCs w:val="20"/>
          <w:lang w:eastAsia="en-US"/>
        </w:rPr>
        <w:t>EK</w:t>
      </w:r>
      <w:r w:rsidRPr="00D8017D">
        <w:rPr>
          <w:rFonts w:eastAsia="Calibri" w:cs="Times New Roman"/>
          <w:szCs w:val="20"/>
          <w:lang w:eastAsia="en-US"/>
        </w:rPr>
        <w:t xml:space="preserve"> aptaujās par apstrādes rūpniecības konfidenci Latvijas rūpnieki 2024. gadā pieprasījuma trūkumu norādījuši kā lielāko ierobežojošo faktoru sekmīgai ražošanas apjomu palielināšanai. Pieprasījums bijis nepietiekams gan eksporta, gan vietējā tirgū. 2025. gada septiņos mēnešos pieprasījuma trūkums joprojām ir galvenais negatīvais faktors, tomēr pieprasījuma līmenis ir audzis gan vietējā, gan eksporta tirgū, kas veicinājis arī ražošanas apjomu pieaugumu.</w:t>
      </w:r>
    </w:p>
    <w:p w14:paraId="35A424A1"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Rūpniecības kopējie apjomi 2024. gadā samazinājās par 2,2%, tostarp apstrādes rūpniecība saruka par 2,6%, elektroenerģijas un gāzes apgāde samazinājās par 2,7%, bet ieguves rūpniecība un karjeru izstrāde pieauga par 16,5% (1.3. attēls). No apstrādes rūpniecības apakšnozarēm lielākie samazinājumi 2024. gadā pret iepriekšējo gadu bijuši metālizstrādājumu (-7,2%), datoru, elektronisko un optisko iekārtu (-13,8%), citur nekvalificētu iekārtu (-14,1%), automobiļu, piekabju un puspiekabju (-13,5%), kā arī dzērienu (-7,3%) ražošanā. Savukārt lielākie pieaugumi tika novēroti poligrāfijā un ierakstu reproducēšanā (+7,5%), ķīmisko vielu un produktu (+5,9%), </w:t>
      </w:r>
      <w:r w:rsidRPr="00D8017D">
        <w:rPr>
          <w:rFonts w:eastAsia="Calibri" w:cs="Times New Roman"/>
          <w:szCs w:val="20"/>
          <w:lang w:eastAsia="en-US"/>
        </w:rPr>
        <w:lastRenderedPageBreak/>
        <w:t xml:space="preserve">gumijas un plastmasas izstrādājumu (+7,8%) un nemetālisko minerālu ražošanā (+4%), kā arī iekārtu un ierīču remontā un uzstādīšanā (+17,7%). Lielākajās apstrādes rūpniecības apakšnozarēs, kā kokrūpniecība (+0,0%) un pārtikas ražošanā (+0,3%) nozīmīgu izmaiņu pret pērno gadu nebija. </w:t>
      </w:r>
    </w:p>
    <w:p w14:paraId="751E173E"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Šā gada pirmajos septiņos mēnešos kopā rūpniecības kopējie apjomi pieauga 3,4% pret pērnā gada attiecīgo periodu. Izaugsmi nodrošināja apstrādes rūpniecības pieaugums par 4,9%, bet elektroenerģijas un gāzes apgādes nozare samazinājās par 2,5% un ieguves rūpniecība saruka par 10,1%. Elektroenerģijas un gāzes apgādes apjomi pēdējo gadu laikā bijuši visai svārstīgi, tomēr pēdējos piecos gados apjomi samazinājušies vidēji par 3,6% gadā. To nosaka gan klimata izmaiņas, ziemām kļūstot nedaudz siltākām, kā rezultātā mazinās pieprasījums pēc energoresursiem apkurei, gan arī energoefektivitātes pasākumi un modernāku elektrisko iekārtu izmantošana, kā arī saules paneļu ierīkošana, kas uzņēmumiem un mājsaimniecībām ļauj patērēt mazāk ārējo energoresursu. Savukārt ieguves rūpniecībai traucējuši sliktie laikapstākļi.</w:t>
      </w:r>
    </w:p>
    <w:p w14:paraId="126909E5" w14:textId="51D79C1C" w:rsidR="005E58FF" w:rsidRPr="00D8017D" w:rsidRDefault="005E58FF" w:rsidP="00B04493">
      <w:pPr>
        <w:spacing w:before="120"/>
        <w:rPr>
          <w:rFonts w:eastAsia="Calibri" w:cs="Times New Roman"/>
          <w:szCs w:val="20"/>
          <w:lang w:eastAsia="en-US"/>
        </w:rPr>
      </w:pPr>
      <w:r w:rsidRPr="00D8017D">
        <w:rPr>
          <w:rFonts w:eastAsia="Calibri" w:cs="Times New Roman"/>
          <w:szCs w:val="20"/>
          <w:lang w:eastAsia="en-US"/>
        </w:rPr>
        <w:t xml:space="preserve">Apstrādes rūpniecības apjomi </w:t>
      </w:r>
      <w:r w:rsidR="00A06DC1">
        <w:rPr>
          <w:rFonts w:eastAsia="Calibri" w:cs="Times New Roman"/>
          <w:szCs w:val="20"/>
          <w:lang w:eastAsia="en-US"/>
        </w:rPr>
        <w:t>2025.</w:t>
      </w:r>
      <w:r w:rsidR="00A06DC1" w:rsidRPr="00D8017D">
        <w:rPr>
          <w:rFonts w:eastAsia="Calibri" w:cs="Times New Roman"/>
          <w:szCs w:val="20"/>
          <w:lang w:eastAsia="en-US"/>
        </w:rPr>
        <w:t xml:space="preserve"> </w:t>
      </w:r>
      <w:r w:rsidRPr="00D8017D">
        <w:rPr>
          <w:rFonts w:eastAsia="Calibri" w:cs="Times New Roman"/>
          <w:szCs w:val="20"/>
          <w:lang w:eastAsia="en-US"/>
        </w:rPr>
        <w:t>gada pirmajos septiņos mēnešos pieauguši par 4,9%. Lielāko pozitīvo devumu nodrošinājušas tieši lielākās apakšnozares. Kokrūpniecība pieauga par 5,8%, pārtikas preču ražošana palielinājās par 8,8% un nemetālisko minerālu ražošanas pieaugums sasniedza 16,6% pret pērnā gada attiecīgo periodu. Kopš gada sākuma teju ik mēnesi palielinoties kopējiem apstrādes rūpniecības apjomiem pret iepriekšējo mēnesi, šā gada jūlijā vairs tikai divas apakšnozares nav uzrādījušas ražošanas apjomu pieaugumu gada griezumā – apģērbu ražošana un iekārtu un ierīču remonts un uzstādīšana.</w:t>
      </w:r>
    </w:p>
    <w:p w14:paraId="62AD4B3D" w14:textId="77777777" w:rsidR="005E58FF" w:rsidRPr="00D8017D" w:rsidRDefault="005E58FF" w:rsidP="00B04493">
      <w:pPr>
        <w:keepNext/>
        <w:spacing w:before="120"/>
        <w:ind w:firstLine="0"/>
        <w:jc w:val="center"/>
        <w:rPr>
          <w:rFonts w:eastAsia="Times New Roman" w:cs="Times New Roman"/>
          <w:b/>
          <w:i/>
          <w:color w:val="000000"/>
          <w:szCs w:val="24"/>
          <w:lang w:eastAsia="en-US"/>
        </w:rPr>
      </w:pPr>
      <w:r w:rsidRPr="00D8017D">
        <w:rPr>
          <w:rFonts w:eastAsia="Calibri" w:cs="Times New Roman"/>
          <w:noProof/>
          <w:sz w:val="22"/>
          <w:lang w:eastAsia="en-US"/>
        </w:rPr>
        <w:drawing>
          <wp:inline distT="0" distB="0" distL="0" distR="0" wp14:anchorId="55B432E4" wp14:editId="7D112ED0">
            <wp:extent cx="5588000" cy="3524250"/>
            <wp:effectExtent l="0" t="0" r="0" b="0"/>
            <wp:docPr id="1000731120" name="Chart 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D2C5414" w14:textId="1F8D5605" w:rsidR="005E58FF" w:rsidRPr="00D8017D" w:rsidRDefault="005E58FF" w:rsidP="005E58FF">
      <w:pPr>
        <w:spacing w:after="0" w:line="259" w:lineRule="auto"/>
        <w:ind w:firstLine="0"/>
        <w:jc w:val="center"/>
        <w:rPr>
          <w:rFonts w:eastAsia="Calibri" w:cs="Times New Roman"/>
          <w:b/>
          <w:i/>
          <w:szCs w:val="24"/>
          <w:lang w:eastAsia="en-US"/>
        </w:rPr>
      </w:pPr>
      <w:r w:rsidRPr="00D8017D">
        <w:rPr>
          <w:rFonts w:eastAsia="Calibri" w:cs="Times New Roman"/>
          <w:b/>
          <w:i/>
          <w:szCs w:val="24"/>
          <w:lang w:eastAsia="en-US"/>
        </w:rPr>
        <w:t xml:space="preserve">1.3. att. Rūpniecības nozaru izlaides apjoma izmaiņas 2024. gadā un </w:t>
      </w:r>
      <w:r w:rsidRPr="00D8017D">
        <w:rPr>
          <w:rFonts w:eastAsia="Calibri" w:cs="Times New Roman"/>
          <w:b/>
          <w:i/>
          <w:szCs w:val="24"/>
          <w:lang w:eastAsia="en-US"/>
        </w:rPr>
        <w:br/>
        <w:t xml:space="preserve">2025. gada </w:t>
      </w:r>
      <w:r w:rsidRPr="00D8017D">
        <w:rPr>
          <w:rFonts w:eastAsia="Calibri" w:cs="Times New Roman"/>
          <w:b/>
          <w:i/>
          <w:color w:val="000000"/>
          <w:szCs w:val="24"/>
          <w:lang w:eastAsia="en-US"/>
        </w:rPr>
        <w:t xml:space="preserve">septiņos mēnešos, </w:t>
      </w:r>
      <w:r w:rsidRPr="00D8017D">
        <w:rPr>
          <w:rFonts w:eastAsia="Calibri" w:cs="Times New Roman"/>
          <w:b/>
          <w:i/>
          <w:szCs w:val="24"/>
          <w:lang w:eastAsia="en-US"/>
        </w:rPr>
        <w:t>salīdzinot ar iepriekšējā gada attiecīgo laika periodu (kalendāri izlīdzināti dati,%)</w:t>
      </w:r>
    </w:p>
    <w:p w14:paraId="18A252D8" w14:textId="77777777" w:rsidR="005E58FF" w:rsidRPr="00D8017D" w:rsidRDefault="005E58FF" w:rsidP="005E58FF">
      <w:pPr>
        <w:spacing w:after="0"/>
        <w:ind w:firstLine="0"/>
        <w:rPr>
          <w:rFonts w:eastAsia="Times New Roman" w:cs="Times New Roman"/>
          <w:b/>
          <w:i/>
          <w:szCs w:val="24"/>
          <w:lang w:eastAsia="en-US"/>
        </w:rPr>
      </w:pPr>
    </w:p>
    <w:p w14:paraId="2650D833" w14:textId="754B9787" w:rsidR="005E58FF" w:rsidRPr="00D8017D" w:rsidRDefault="005E58FF" w:rsidP="00B04493">
      <w:pPr>
        <w:rPr>
          <w:rFonts w:eastAsia="Calibri" w:cs="Times New Roman"/>
          <w:szCs w:val="20"/>
          <w:lang w:eastAsia="en-US"/>
        </w:rPr>
      </w:pPr>
      <w:r w:rsidRPr="00D8017D">
        <w:rPr>
          <w:rFonts w:eastAsia="Calibri" w:cs="Times New Roman"/>
          <w:szCs w:val="20"/>
          <w:lang w:eastAsia="en-US"/>
        </w:rPr>
        <w:t xml:space="preserve">Apstrādes rūpniecības struktūrā (1.4. attēls) lielākās nozares 2024. gadā bija kokapstrāde (26,4%) un pārtikas un dzērienu ražošana (23,1%), kam sekoja mašīnbūves industrija (9,3%) un metālapstrāde (8,9%). Struktūras izmaiņas pret 2023. gadu nav visai ievērojamas. Pārtikas un dzērienu nozare līdz ar apjomu pieaugumu struktūrā aizņem par 1,1 </w:t>
      </w:r>
      <w:r w:rsidR="00936796">
        <w:rPr>
          <w:rFonts w:eastAsia="Calibri" w:cs="Times New Roman"/>
          <w:szCs w:val="20"/>
          <w:lang w:eastAsia="en-US"/>
        </w:rPr>
        <w:t>pp</w:t>
      </w:r>
      <w:r w:rsidR="00936796" w:rsidRPr="00D8017D">
        <w:rPr>
          <w:rFonts w:eastAsia="Calibri" w:cs="Times New Roman"/>
          <w:szCs w:val="20"/>
          <w:lang w:eastAsia="en-US"/>
        </w:rPr>
        <w:t xml:space="preserve"> </w:t>
      </w:r>
      <w:r w:rsidRPr="00D8017D">
        <w:rPr>
          <w:rFonts w:eastAsia="Calibri" w:cs="Times New Roman"/>
          <w:szCs w:val="20"/>
          <w:lang w:eastAsia="en-US"/>
        </w:rPr>
        <w:t xml:space="preserve">vairāk nekā 2023. gadā, </w:t>
      </w:r>
      <w:r w:rsidRPr="00D8017D">
        <w:rPr>
          <w:rFonts w:eastAsia="Calibri" w:cs="Times New Roman"/>
          <w:szCs w:val="20"/>
          <w:lang w:eastAsia="en-US"/>
        </w:rPr>
        <w:lastRenderedPageBreak/>
        <w:t xml:space="preserve">bet datoru un elektronikas īpatsvars līdz ar ražošanas apjomu kritumu samazinājies par 0,8 </w:t>
      </w:r>
      <w:r w:rsidRPr="00936796">
        <w:rPr>
          <w:rFonts w:eastAsia="Calibri" w:cs="Times New Roman"/>
          <w:szCs w:val="20"/>
          <w:lang w:eastAsia="en-US"/>
        </w:rPr>
        <w:t>pp</w:t>
      </w:r>
      <w:r w:rsidRPr="00D8017D">
        <w:rPr>
          <w:rFonts w:eastAsia="Calibri" w:cs="Times New Roman"/>
          <w:szCs w:val="20"/>
          <w:lang w:eastAsia="en-US"/>
        </w:rPr>
        <w:t xml:space="preserve">. Arī mašīnbūves īpatsvars, kurā ietilpst elektrisko iekārtu, automobiļu, piekabju un puspiekabju u.c. iekārtu ražošana, sarucis par 0,6 </w:t>
      </w:r>
      <w:r w:rsidR="007D715E">
        <w:rPr>
          <w:rFonts w:eastAsia="Calibri" w:cs="Times New Roman"/>
          <w:szCs w:val="20"/>
          <w:lang w:eastAsia="en-US"/>
        </w:rPr>
        <w:t>pp</w:t>
      </w:r>
      <w:r w:rsidRPr="00D8017D">
        <w:rPr>
          <w:rFonts w:eastAsia="Calibri" w:cs="Times New Roman"/>
          <w:szCs w:val="20"/>
          <w:lang w:eastAsia="en-US"/>
        </w:rPr>
        <w:t xml:space="preserve">. </w:t>
      </w:r>
    </w:p>
    <w:p w14:paraId="3B55B80F" w14:textId="77777777" w:rsidR="00B04493" w:rsidRPr="00D8017D" w:rsidRDefault="005E58FF" w:rsidP="005E58FF">
      <w:pPr>
        <w:spacing w:after="160" w:line="259" w:lineRule="auto"/>
        <w:ind w:firstLine="0"/>
        <w:jc w:val="center"/>
        <w:rPr>
          <w:rFonts w:eastAsia="Calibri" w:cs="Times New Roman"/>
          <w:b/>
          <w:bCs/>
          <w:i/>
          <w:iCs/>
          <w:szCs w:val="24"/>
          <w:lang w:eastAsia="en-US"/>
        </w:rPr>
      </w:pPr>
      <w:r w:rsidRPr="00D8017D">
        <w:rPr>
          <w:rFonts w:eastAsia="Calibri" w:cs="Times New Roman"/>
          <w:noProof/>
          <w:sz w:val="22"/>
          <w:lang w:eastAsia="en-US"/>
        </w:rPr>
        <w:drawing>
          <wp:inline distT="0" distB="0" distL="0" distR="0" wp14:anchorId="173DE789" wp14:editId="3CE843EB">
            <wp:extent cx="5270500" cy="2654300"/>
            <wp:effectExtent l="0" t="0" r="6350" b="0"/>
            <wp:docPr id="1367243893" name="Chart 1">
              <a:extLst xmlns:a="http://schemas.openxmlformats.org/drawingml/2006/main">
                <a:ext uri="{FF2B5EF4-FFF2-40B4-BE49-F238E27FC236}">
                  <a16:creationId xmlns:a16="http://schemas.microsoft.com/office/drawing/2014/main" id="{6B524D36-6034-4BD4-993B-78DE24F0A4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682EB0E" w14:textId="518A2261" w:rsidR="005E58FF" w:rsidRPr="00D8017D" w:rsidRDefault="005E58FF" w:rsidP="005E58FF">
      <w:pPr>
        <w:spacing w:after="160" w:line="259" w:lineRule="auto"/>
        <w:ind w:firstLine="0"/>
        <w:jc w:val="center"/>
        <w:rPr>
          <w:rFonts w:eastAsia="Calibri" w:cs="Times New Roman"/>
          <w:sz w:val="22"/>
          <w:lang w:eastAsia="en-US"/>
        </w:rPr>
      </w:pPr>
      <w:r w:rsidRPr="00D8017D">
        <w:rPr>
          <w:rFonts w:eastAsia="Calibri" w:cs="Times New Roman"/>
          <w:b/>
          <w:bCs/>
          <w:i/>
          <w:iCs/>
          <w:szCs w:val="24"/>
          <w:lang w:eastAsia="en-US"/>
        </w:rPr>
        <w:t>1.4. att</w:t>
      </w:r>
      <w:r w:rsidRPr="00D8017D">
        <w:rPr>
          <w:rFonts w:eastAsia="Times New Roman" w:cs="Times New Roman"/>
          <w:b/>
          <w:bCs/>
          <w:i/>
          <w:iCs/>
          <w:color w:val="000000"/>
          <w:szCs w:val="24"/>
          <w:lang w:eastAsia="en-US"/>
        </w:rPr>
        <w:t>. Apstrādes rūpniecības nozaru izlaides struktūra 2024. gadā (faktiskajās cenās, %)</w:t>
      </w:r>
    </w:p>
    <w:p w14:paraId="67803959" w14:textId="48F3B081"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Latvijas apstrādes rūpniecības apgrozījums 2024. gadā, salīdzinot ar iepriekšējo gadu, samazinājās par 2,3%, ko noteica eksporta tirgus sarukums par 3,2%, bet apgrozījums vietējā tirgū samazinājās par 0,5%. </w:t>
      </w:r>
      <w:r w:rsidR="00936796">
        <w:rPr>
          <w:rFonts w:eastAsia="Calibri" w:cs="Times New Roman"/>
          <w:szCs w:val="20"/>
          <w:lang w:eastAsia="en-US"/>
        </w:rPr>
        <w:t>2025.</w:t>
      </w:r>
      <w:r w:rsidR="00936796" w:rsidRPr="00D8017D">
        <w:rPr>
          <w:rFonts w:eastAsia="Calibri" w:cs="Times New Roman"/>
          <w:szCs w:val="20"/>
          <w:lang w:eastAsia="en-US"/>
        </w:rPr>
        <w:t xml:space="preserve"> </w:t>
      </w:r>
      <w:r w:rsidRPr="00D8017D">
        <w:rPr>
          <w:rFonts w:eastAsia="Calibri" w:cs="Times New Roman"/>
          <w:szCs w:val="20"/>
          <w:lang w:eastAsia="en-US"/>
        </w:rPr>
        <w:t>gada septiņos mēnešos apgrozījums apstrādes rūpniecībā pieauga par 4,7%, straujāk palielinoties eksporta apgrozījumam (+5%), kamēr apgrozījums vietējā tirgū auga par 4,1%.</w:t>
      </w:r>
    </w:p>
    <w:p w14:paraId="3D24ED30" w14:textId="77777777" w:rsidR="005E58FF" w:rsidRPr="00D8017D" w:rsidRDefault="005E58FF" w:rsidP="005E58FF">
      <w:pPr>
        <w:spacing w:after="0"/>
        <w:ind w:firstLine="0"/>
        <w:jc w:val="center"/>
        <w:rPr>
          <w:rFonts w:eastAsia="Times New Roman" w:cs="Times New Roman"/>
          <w:b/>
          <w:iCs/>
          <w:szCs w:val="24"/>
          <w:lang w:eastAsia="en-US"/>
        </w:rPr>
      </w:pPr>
      <w:r w:rsidRPr="00D8017D">
        <w:rPr>
          <w:rFonts w:eastAsia="Calibri" w:cs="Times New Roman"/>
          <w:noProof/>
          <w:sz w:val="18"/>
          <w:szCs w:val="18"/>
          <w:lang w:eastAsia="en-US"/>
        </w:rPr>
        <w:drawing>
          <wp:inline distT="0" distB="0" distL="0" distR="0" wp14:anchorId="35825D59" wp14:editId="6543E40A">
            <wp:extent cx="5219700" cy="2095500"/>
            <wp:effectExtent l="0" t="0" r="0" b="0"/>
            <wp:docPr id="1307195809" name="Chart 1">
              <a:extLst xmlns:a="http://schemas.openxmlformats.org/drawingml/2006/main">
                <a:ext uri="{FF2B5EF4-FFF2-40B4-BE49-F238E27FC236}">
                  <a16:creationId xmlns:a16="http://schemas.microsoft.com/office/drawing/2014/main" id="{00000000-0008-0000-06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CAC2CD1" w14:textId="293FAA27" w:rsidR="005E58FF" w:rsidRPr="00D8017D" w:rsidRDefault="005E58FF" w:rsidP="005E58FF">
      <w:pPr>
        <w:spacing w:after="0"/>
        <w:ind w:firstLine="0"/>
        <w:jc w:val="center"/>
        <w:rPr>
          <w:rFonts w:eastAsia="Calibri" w:cs="Times New Roman"/>
          <w:b/>
          <w:i/>
          <w:szCs w:val="24"/>
          <w:lang w:eastAsia="en-US"/>
        </w:rPr>
      </w:pPr>
      <w:r w:rsidRPr="00D8017D">
        <w:rPr>
          <w:rFonts w:eastAsia="Calibri" w:cs="Times New Roman"/>
          <w:b/>
          <w:i/>
          <w:szCs w:val="24"/>
          <w:lang w:eastAsia="en-US"/>
        </w:rPr>
        <w:t xml:space="preserve">1.5. att. Apstrādes rūpniecības apgrozījuma </w:t>
      </w:r>
      <w:r w:rsidR="00936796">
        <w:rPr>
          <w:rFonts w:eastAsia="Calibri" w:cs="Times New Roman"/>
          <w:b/>
          <w:i/>
          <w:szCs w:val="24"/>
          <w:lang w:eastAsia="en-US"/>
        </w:rPr>
        <w:t>iz</w:t>
      </w:r>
      <w:r w:rsidRPr="00D8017D">
        <w:rPr>
          <w:rFonts w:eastAsia="Calibri" w:cs="Times New Roman"/>
          <w:b/>
          <w:i/>
          <w:szCs w:val="24"/>
          <w:lang w:eastAsia="en-US"/>
        </w:rPr>
        <w:t>maiņas</w:t>
      </w:r>
      <w:r w:rsidRPr="00D8017D">
        <w:rPr>
          <w:rFonts w:eastAsia="Calibri" w:cs="Times New Roman"/>
          <w:b/>
          <w:i/>
          <w:szCs w:val="24"/>
          <w:lang w:eastAsia="en-US"/>
        </w:rPr>
        <w:br/>
        <w:t>pret iepriekšējā gada attiecīgo mēnesi (kalendāri izlīdzināti dati, %)</w:t>
      </w:r>
    </w:p>
    <w:p w14:paraId="2B155F72" w14:textId="77777777" w:rsidR="005E58FF" w:rsidRPr="00D8017D" w:rsidRDefault="005E58FF" w:rsidP="005E58FF">
      <w:pPr>
        <w:spacing w:after="0"/>
        <w:ind w:firstLine="0"/>
        <w:jc w:val="center"/>
        <w:rPr>
          <w:rFonts w:eastAsia="Calibri" w:cs="Times New Roman"/>
          <w:b/>
          <w:i/>
          <w:szCs w:val="24"/>
          <w:lang w:eastAsia="en-US"/>
        </w:rPr>
      </w:pPr>
    </w:p>
    <w:p w14:paraId="04403ABA" w14:textId="6C4FE2C2" w:rsidR="005E58FF" w:rsidRPr="00D8017D" w:rsidRDefault="00B04493" w:rsidP="005E58FF">
      <w:pPr>
        <w:rPr>
          <w:rFonts w:eastAsia="Calibri" w:cs="Times New Roman"/>
          <w:szCs w:val="20"/>
          <w:lang w:eastAsia="en-US"/>
        </w:rPr>
      </w:pPr>
      <w:r w:rsidRPr="00D8017D">
        <w:rPr>
          <w:rFonts w:eastAsia="Calibri" w:cs="Times New Roman"/>
          <w:szCs w:val="20"/>
          <w:lang w:eastAsia="en-US"/>
        </w:rPr>
        <w:t>EK</w:t>
      </w:r>
      <w:r w:rsidR="005E58FF" w:rsidRPr="00D8017D">
        <w:rPr>
          <w:rFonts w:eastAsia="Calibri" w:cs="Times New Roman"/>
          <w:szCs w:val="20"/>
          <w:lang w:eastAsia="en-US"/>
        </w:rPr>
        <w:t xml:space="preserve"> apkopotie dati par apstrādes rūpniecības konfidenci Latvijā </w:t>
      </w:r>
      <w:r w:rsidR="00936796">
        <w:rPr>
          <w:rFonts w:eastAsia="Calibri" w:cs="Times New Roman"/>
          <w:szCs w:val="20"/>
          <w:lang w:eastAsia="en-US"/>
        </w:rPr>
        <w:t>2025.</w:t>
      </w:r>
      <w:r w:rsidR="00936796" w:rsidRPr="00D8017D">
        <w:rPr>
          <w:rFonts w:eastAsia="Calibri" w:cs="Times New Roman"/>
          <w:szCs w:val="20"/>
          <w:lang w:eastAsia="en-US"/>
        </w:rPr>
        <w:t xml:space="preserve"> </w:t>
      </w:r>
      <w:r w:rsidR="005E58FF" w:rsidRPr="00D8017D">
        <w:rPr>
          <w:rFonts w:eastAsia="Calibri" w:cs="Times New Roman"/>
          <w:szCs w:val="20"/>
          <w:lang w:eastAsia="en-US"/>
        </w:rPr>
        <w:t xml:space="preserve">gada pirmajos septiņos mēnešos uzrāda pozitīvu dinamiku, tomēr uzņēmumu noskaņojums ir piesardzīgāks, nekā rāda straujais ražošanas apjomu pieaugums pēdējos mēnešos, un liecina par nenoteiktību par turpmāko attīstību eksporta tirgos. Tikmēr </w:t>
      </w:r>
      <w:r w:rsidRPr="00D8017D">
        <w:rPr>
          <w:rFonts w:eastAsia="Calibri" w:cs="Times New Roman"/>
          <w:szCs w:val="20"/>
          <w:lang w:eastAsia="en-US"/>
        </w:rPr>
        <w:t>ES</w:t>
      </w:r>
      <w:r w:rsidR="005E58FF" w:rsidRPr="00D8017D">
        <w:rPr>
          <w:rFonts w:eastAsia="Calibri" w:cs="Times New Roman"/>
          <w:szCs w:val="20"/>
          <w:lang w:eastAsia="en-US"/>
        </w:rPr>
        <w:t xml:space="preserve"> kopējā apstrādes rūpniecības konfidence ir zemā līmenī, taču tā vairs nepasliktinās.</w:t>
      </w:r>
    </w:p>
    <w:p w14:paraId="2F199B28" w14:textId="77777777" w:rsidR="005E58FF" w:rsidRPr="00D8017D" w:rsidRDefault="005E58FF" w:rsidP="0059188E">
      <w:pPr>
        <w:spacing w:before="120" w:after="0"/>
        <w:rPr>
          <w:rFonts w:eastAsia="Calibri" w:cs="Times New Roman"/>
          <w:szCs w:val="20"/>
          <w:lang w:eastAsia="en-US"/>
        </w:rPr>
      </w:pPr>
      <w:r w:rsidRPr="00D8017D">
        <w:rPr>
          <w:rFonts w:eastAsia="Calibri" w:cs="Times New Roman"/>
          <w:szCs w:val="20"/>
          <w:lang w:eastAsia="en-US"/>
        </w:rPr>
        <w:t xml:space="preserve">Apstrādes rūpniecības apjomi Latvijā pašlaik strauji pieaug, tomēr ziņas par nozari Eiropā un Latvijas eksporta partnervalstīs ir neviennozīmīgas. Pieprasījumu pēc Latvijā ražotām precēm </w:t>
      </w:r>
      <w:r w:rsidRPr="00D8017D">
        <w:rPr>
          <w:rFonts w:eastAsia="Calibri" w:cs="Times New Roman"/>
          <w:szCs w:val="20"/>
          <w:lang w:eastAsia="en-US"/>
        </w:rPr>
        <w:lastRenderedPageBreak/>
        <w:t>turpmāk atkal var pazemināt ASV noteiktie ievedmuitas tarifi, kas pasliktinās nozares situāciju ES dalībvalstīs, kurās tirdzniecība ar ASV ir izteiktāka.</w:t>
      </w:r>
    </w:p>
    <w:p w14:paraId="7B193944" w14:textId="77777777" w:rsidR="007D715E" w:rsidRDefault="007D715E" w:rsidP="0059188E">
      <w:pPr>
        <w:spacing w:after="0"/>
        <w:ind w:firstLine="0"/>
        <w:rPr>
          <w:rFonts w:eastAsia="Calibri" w:cs="Arial"/>
          <w:b/>
          <w:bCs/>
          <w:szCs w:val="24"/>
        </w:rPr>
      </w:pPr>
    </w:p>
    <w:p w14:paraId="437665BA" w14:textId="062957C8" w:rsidR="005E58FF" w:rsidRPr="00D8017D" w:rsidRDefault="005E58FF" w:rsidP="005E58FF">
      <w:pPr>
        <w:rPr>
          <w:rFonts w:eastAsia="Calibri" w:cs="Arial"/>
          <w:b/>
          <w:bCs/>
          <w:szCs w:val="24"/>
        </w:rPr>
      </w:pPr>
      <w:r w:rsidRPr="00D8017D">
        <w:rPr>
          <w:rFonts w:eastAsia="Calibri" w:cs="Arial"/>
          <w:b/>
          <w:bCs/>
          <w:szCs w:val="24"/>
        </w:rPr>
        <w:t>Tirdzniecība</w:t>
      </w:r>
    </w:p>
    <w:p w14:paraId="30297A12" w14:textId="0B304708"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Tirdzniecības nozare iekļauj mazumtirdzniecību, vairumtirdzniecību un automobiļu un motociklu tirdzniecību, </w:t>
      </w:r>
      <w:r w:rsidR="00712346">
        <w:rPr>
          <w:rFonts w:eastAsia="Calibri" w:cs="Times New Roman"/>
          <w:szCs w:val="20"/>
          <w:lang w:eastAsia="en-US"/>
        </w:rPr>
        <w:t xml:space="preserve">to </w:t>
      </w:r>
      <w:r w:rsidRPr="00D8017D">
        <w:rPr>
          <w:rFonts w:eastAsia="Calibri" w:cs="Times New Roman"/>
          <w:szCs w:val="20"/>
          <w:lang w:eastAsia="en-US"/>
        </w:rPr>
        <w:t>īpatsvar</w:t>
      </w:r>
      <w:r w:rsidR="00712346">
        <w:rPr>
          <w:rFonts w:eastAsia="Calibri" w:cs="Times New Roman"/>
          <w:szCs w:val="20"/>
          <w:lang w:eastAsia="en-US"/>
        </w:rPr>
        <w:t>s</w:t>
      </w:r>
      <w:r w:rsidRPr="00D8017D">
        <w:rPr>
          <w:rFonts w:eastAsia="Calibri" w:cs="Times New Roman"/>
          <w:szCs w:val="20"/>
          <w:lang w:eastAsia="en-US"/>
        </w:rPr>
        <w:t xml:space="preserve"> 2024. gadā attiecīgi 47%, 38% un 15% no visas tirdzniecības. Salīdzinot ar 2023. gadu, vairumtirdzniecības īpatsvars samazinājās par 2 </w:t>
      </w:r>
      <w:r w:rsidR="00936796">
        <w:rPr>
          <w:rFonts w:eastAsia="Calibri" w:cs="Times New Roman"/>
          <w:szCs w:val="20"/>
          <w:lang w:eastAsia="en-US"/>
        </w:rPr>
        <w:t>pp</w:t>
      </w:r>
      <w:r w:rsidRPr="00D8017D">
        <w:rPr>
          <w:rFonts w:eastAsia="Calibri" w:cs="Times New Roman"/>
          <w:szCs w:val="20"/>
          <w:lang w:eastAsia="en-US"/>
        </w:rPr>
        <w:t xml:space="preserve">, bet mazumtirdzniecības un </w:t>
      </w:r>
      <w:r w:rsidR="00712346" w:rsidRPr="00D8017D">
        <w:rPr>
          <w:rFonts w:eastAsia="Calibri" w:cs="Times New Roman"/>
          <w:szCs w:val="20"/>
          <w:lang w:eastAsia="en-US"/>
        </w:rPr>
        <w:t>automobiļu un motociklu</w:t>
      </w:r>
      <w:r w:rsidR="00712346" w:rsidRPr="00D8017D" w:rsidDel="00712346">
        <w:rPr>
          <w:rFonts w:eastAsia="Calibri" w:cs="Times New Roman"/>
          <w:szCs w:val="20"/>
          <w:lang w:eastAsia="en-US"/>
        </w:rPr>
        <w:t xml:space="preserve"> </w:t>
      </w:r>
      <w:r w:rsidRPr="00D8017D">
        <w:rPr>
          <w:rFonts w:eastAsia="Calibri" w:cs="Times New Roman"/>
          <w:szCs w:val="20"/>
          <w:lang w:eastAsia="en-US"/>
        </w:rPr>
        <w:t>tirdzniecības īpatsvar</w:t>
      </w:r>
      <w:r w:rsidR="00712346">
        <w:rPr>
          <w:rFonts w:eastAsia="Calibri" w:cs="Times New Roman"/>
          <w:szCs w:val="20"/>
          <w:lang w:eastAsia="en-US"/>
        </w:rPr>
        <w:t>s</w:t>
      </w:r>
      <w:r w:rsidRPr="00D8017D">
        <w:rPr>
          <w:rFonts w:eastAsia="Calibri" w:cs="Times New Roman"/>
          <w:szCs w:val="20"/>
          <w:lang w:eastAsia="en-US"/>
        </w:rPr>
        <w:t xml:space="preserve"> palielinājās par 1 </w:t>
      </w:r>
      <w:r w:rsidR="00936796">
        <w:rPr>
          <w:rFonts w:eastAsia="Calibri" w:cs="Times New Roman"/>
          <w:szCs w:val="20"/>
          <w:lang w:eastAsia="en-US"/>
        </w:rPr>
        <w:t>pp</w:t>
      </w:r>
      <w:r w:rsidRPr="00D8017D">
        <w:rPr>
          <w:rFonts w:eastAsia="Calibri" w:cs="Times New Roman"/>
          <w:szCs w:val="20"/>
          <w:lang w:eastAsia="en-US"/>
        </w:rPr>
        <w:t xml:space="preserve">. </w:t>
      </w:r>
    </w:p>
    <w:p w14:paraId="423CD4CA" w14:textId="0B64635C"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Mazumtirdzniecības uzņēmumu apgrozījums pēdējo piecu gadu periodā vidēji gandrīz nav mainījies (-0,04%). Mazumtirdzniecības apjomiem pieaugt traucēja gan augstas inflācijas periods 2022. – 2023. gadā, kas ierobežoja privāto patēriņu, gan arī iedzīvotāju skaita samazinājums. Mazumtirdzniecības apjomi 2024. gadā pieauga par 0,9%, ko noteica galvenokārt nepārtikas preču tirdzniecības pieaugums, bet šā gada pirmajos septiņos mēnešos kopā apjomi auguši par 0,3%. Mazumtirdzniecība sastāv no trim galvenajām grupām – pārtikas, nepārtikas un degvielas mazumtirdzniecības. </w:t>
      </w:r>
      <w:r w:rsidR="00712346">
        <w:rPr>
          <w:rFonts w:eastAsia="Calibri" w:cs="Times New Roman"/>
          <w:szCs w:val="20"/>
          <w:lang w:eastAsia="en-US"/>
        </w:rPr>
        <w:t>2025.</w:t>
      </w:r>
      <w:r w:rsidR="00712346" w:rsidRPr="00D8017D">
        <w:rPr>
          <w:rFonts w:eastAsia="Calibri" w:cs="Times New Roman"/>
          <w:szCs w:val="20"/>
          <w:lang w:eastAsia="en-US"/>
        </w:rPr>
        <w:t xml:space="preserve"> </w:t>
      </w:r>
      <w:r w:rsidRPr="00D8017D">
        <w:rPr>
          <w:rFonts w:eastAsia="Calibri" w:cs="Times New Roman"/>
          <w:szCs w:val="20"/>
          <w:lang w:eastAsia="en-US"/>
        </w:rPr>
        <w:t>gada pirmajā pusē dinamika šajās grupās ir visai atšķirīga. Nepārtikas preču tirdzniecības apjomi sasniedza augstāko atzīmi novērojumu vēsturē, kas liecina par pozitīvām iezīmēm privātajā patēriņā, bet pārtikas mazumtirdzniecības apjomi ir zemākie kopš 2016. gada. Pārtikas mazumtirdzniecību nelabvēlīgi ietekmē augstais cenu līmenis, turklāt patēriņa cenas pārtikai un bezalkoholiskajiem dzērieniem šā gada pirmajos astoņos mēnešos vēl pieauga vidēji par 6,5%.</w:t>
      </w:r>
    </w:p>
    <w:p w14:paraId="32BC1177" w14:textId="77777777" w:rsidR="005E58FF" w:rsidRPr="00D8017D" w:rsidRDefault="005E58FF" w:rsidP="005E58FF">
      <w:pPr>
        <w:spacing w:before="120"/>
        <w:ind w:firstLine="0"/>
        <w:jc w:val="center"/>
        <w:rPr>
          <w:rFonts w:eastAsia="Calibri" w:cs="Times New Roman"/>
          <w:szCs w:val="20"/>
          <w:lang w:eastAsia="en-US"/>
        </w:rPr>
      </w:pPr>
      <w:r w:rsidRPr="00D8017D">
        <w:rPr>
          <w:rFonts w:eastAsia="Calibri" w:cs="Times New Roman"/>
          <w:bCs/>
          <w:noProof/>
          <w:szCs w:val="24"/>
        </w:rPr>
        <w:drawing>
          <wp:inline distT="0" distB="0" distL="0" distR="0" wp14:anchorId="7890431F" wp14:editId="516C0741">
            <wp:extent cx="5274310" cy="2827334"/>
            <wp:effectExtent l="0" t="0" r="2540" b="11430"/>
            <wp:docPr id="1297508719" name="Chart 3">
              <a:extLst xmlns:a="http://schemas.openxmlformats.org/drawingml/2006/main">
                <a:ext uri="{FF2B5EF4-FFF2-40B4-BE49-F238E27FC236}">
                  <a16:creationId xmlns:a16="http://schemas.microsoft.com/office/drawing/2014/main" id="{00000000-0008-0000-1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3F6D207" w14:textId="15C874DA" w:rsidR="005E58FF" w:rsidRPr="00D8017D" w:rsidRDefault="005E58FF" w:rsidP="005E58FF">
      <w:pPr>
        <w:ind w:firstLine="0"/>
        <w:jc w:val="center"/>
        <w:rPr>
          <w:rFonts w:eastAsia="Calibri" w:cs="Times New Roman"/>
          <w:b/>
          <w:bCs/>
          <w:i/>
          <w:szCs w:val="24"/>
        </w:rPr>
      </w:pPr>
      <w:r w:rsidRPr="00D8017D">
        <w:rPr>
          <w:rFonts w:eastAsia="Calibri" w:cs="Times New Roman"/>
          <w:b/>
          <w:bCs/>
          <w:i/>
          <w:szCs w:val="24"/>
        </w:rPr>
        <w:t xml:space="preserve">1.6. att. Mazumtirdzniecības apgrozījuma pārmaiņas </w:t>
      </w:r>
      <w:r w:rsidRPr="00D8017D">
        <w:rPr>
          <w:rFonts w:eastAsia="Calibri" w:cs="Times New Roman"/>
          <w:b/>
          <w:bCs/>
          <w:i/>
          <w:szCs w:val="24"/>
        </w:rPr>
        <w:br/>
        <w:t>pret iepriekšējā gada attiecīgo mēnesi (%), salīdzināmās cenas</w:t>
      </w:r>
    </w:p>
    <w:p w14:paraId="5EE4418A" w14:textId="1081BDFF" w:rsidR="005E58FF" w:rsidRPr="00D8017D" w:rsidRDefault="007D715E" w:rsidP="005E58FF">
      <w:pPr>
        <w:rPr>
          <w:rFonts w:eastAsia="Calibri" w:cs="Times New Roman"/>
          <w:szCs w:val="24"/>
        </w:rPr>
      </w:pPr>
      <w:r>
        <w:rPr>
          <w:rFonts w:eastAsia="Calibri" w:cs="Times New Roman"/>
          <w:szCs w:val="24"/>
        </w:rPr>
        <w:t>EK</w:t>
      </w:r>
      <w:r w:rsidR="005E58FF" w:rsidRPr="00D8017D">
        <w:rPr>
          <w:rFonts w:eastAsia="Calibri" w:cs="Times New Roman"/>
          <w:szCs w:val="24"/>
        </w:rPr>
        <w:t xml:space="preserve"> apkopotais mazumtirdzniecības konfidences indekss kopš šā gada sākuma ir nedaudz pasliktinājies, ko nosaka galvenokārt zemie mazumtirdzniecības apjomi pēdējo mēnešu laikā, tomēr indekss šā gada augustā ir bijis augstāks nekā pērnā gada augustā. Turpretim patērētāju konfidence pēdējā gada laikā bijusi visai svārstīga dažādu ekonomisko notikumu ietekmē. Šā gada augustā </w:t>
      </w:r>
      <w:r w:rsidRPr="00D8017D">
        <w:rPr>
          <w:rFonts w:eastAsia="Calibri" w:cs="Times New Roman"/>
          <w:szCs w:val="24"/>
        </w:rPr>
        <w:t>patērētāju</w:t>
      </w:r>
      <w:r w:rsidR="005E58FF" w:rsidRPr="00D8017D">
        <w:rPr>
          <w:rFonts w:eastAsia="Calibri" w:cs="Times New Roman"/>
          <w:szCs w:val="24"/>
        </w:rPr>
        <w:t xml:space="preserve"> konfidence ir bijusi augstāka nekā šā gada sākumā, bet zemāka par atzīmi pērnā gada augustā.</w:t>
      </w:r>
    </w:p>
    <w:p w14:paraId="75B333A8" w14:textId="77777777" w:rsidR="005E58FF" w:rsidRPr="00D8017D" w:rsidRDefault="005E58FF" w:rsidP="005E58FF">
      <w:pPr>
        <w:rPr>
          <w:rFonts w:eastAsia="Calibri" w:cs="Times New Roman"/>
          <w:szCs w:val="24"/>
        </w:rPr>
      </w:pPr>
      <w:r w:rsidRPr="00D8017D">
        <w:rPr>
          <w:rFonts w:eastAsia="Calibri" w:cs="Times New Roman"/>
          <w:szCs w:val="24"/>
        </w:rPr>
        <w:t xml:space="preserve">Vairumtirdzniecības nozares uzņēmumu apgrozījums strauji samazinājās 2022. un 2023. gadā (attiecīgi par 9,2% un 11,1%) pret iepriekšējiem gadiem, ko noteica importa un </w:t>
      </w:r>
      <w:r w:rsidRPr="00D8017D">
        <w:rPr>
          <w:rFonts w:eastAsia="Calibri" w:cs="Times New Roman"/>
          <w:szCs w:val="24"/>
        </w:rPr>
        <w:lastRenderedPageBreak/>
        <w:t>eksporta ierobežošana ar Krieviju un Baltkrieviju un sankciju ieviešana. Tam sekoja 1,8% sarukums arī 2024. gadā, bet 2025. gada pirmajā pusgadā nozare pieaugusi par 1,5%. Vairumtirdzniecības nozare ir cieši saistīta ar vietējo rūpniecību, mazumtirdzniecību, kā arī ar importa un eksporta apjomiem. Apjomus, kādi tie bija pirms Krievijas iebrukuma Ukrainā, vairs nav pamata sagaidīt, tomēr kopējās ekonomikas izaugsmes, tajā skaitā apstrādes rūpniecības apjomu palielināšanās apstākļos sagaidāma arī tālāka izaugsme vairumtirdzniecības nozarē.</w:t>
      </w:r>
    </w:p>
    <w:p w14:paraId="76D19CC7" w14:textId="77777777" w:rsidR="005E58FF" w:rsidRPr="00D8017D" w:rsidRDefault="005E58FF" w:rsidP="005E58FF">
      <w:pPr>
        <w:rPr>
          <w:rFonts w:eastAsia="Calibri" w:cs="Times New Roman"/>
          <w:szCs w:val="24"/>
        </w:rPr>
      </w:pPr>
      <w:r w:rsidRPr="00D8017D">
        <w:rPr>
          <w:rFonts w:eastAsia="Calibri" w:cs="Times New Roman"/>
          <w:szCs w:val="24"/>
        </w:rPr>
        <w:t>Automobiļu un motociklu tirdzniecība ir mazākā no tirdzniecības apakšnozarēm, tomēr pēdējo piecu gadu laikā apjomi nozarē auguši vidēji par 7,1% gadā, kas dod nozīmīgu pienesumu kopējā tirdzniecības dinamikā. Pērn autotirdzniecības apjomi pieauga par 3,8%, bet šā gada pirmajā pusgadā tie auguši par 21,9% pret pērnā gada attiecīgo periodu, kas dod pozitīvu signālu par sabiedrības pirktspēju un privātā patēriņa pieaugumu.</w:t>
      </w:r>
    </w:p>
    <w:p w14:paraId="62787C19" w14:textId="77777777" w:rsidR="005E58FF" w:rsidRPr="00D8017D" w:rsidRDefault="005E58FF" w:rsidP="005E58FF">
      <w:pPr>
        <w:rPr>
          <w:rFonts w:eastAsia="Calibri" w:cs="Times New Roman"/>
          <w:bCs/>
          <w:szCs w:val="24"/>
        </w:rPr>
      </w:pPr>
      <w:r w:rsidRPr="00D8017D">
        <w:rPr>
          <w:rFonts w:eastAsia="Calibri" w:cs="Times New Roman"/>
          <w:bCs/>
          <w:szCs w:val="24"/>
        </w:rPr>
        <w:t>Mazumtirdzniecības nozare augstu pārtikas cenu apstākļos visticamāk šogad nesagaidīs strauju izaugsmi. Vairumtirdzniecības nozares apjomu pieaugums varētu palielināties gada otrajā pusē, palielinoties kopējās ekonomiskās izaugsmes tempiem, ņemot vērā pieaugošos rūpniecības apjomus un eksporta un importa pieaugumu. Savukārt spēcīgā auto/moto tirdzniecības izaugsme šogad ievērojami uzlabos kopējo noskaņojumu tirdzniecības nozarē.</w:t>
      </w:r>
    </w:p>
    <w:p w14:paraId="433DA406" w14:textId="77777777" w:rsidR="005E58FF" w:rsidRPr="00D8017D" w:rsidRDefault="005E58FF" w:rsidP="005E58FF">
      <w:pPr>
        <w:rPr>
          <w:rFonts w:eastAsia="Calibri" w:cs="Arial"/>
          <w:b/>
          <w:bCs/>
          <w:szCs w:val="24"/>
        </w:rPr>
      </w:pPr>
      <w:r w:rsidRPr="00D8017D">
        <w:rPr>
          <w:rFonts w:eastAsia="Calibri" w:cs="Arial"/>
          <w:b/>
          <w:bCs/>
          <w:szCs w:val="24"/>
        </w:rPr>
        <w:t>Transporta un uzglabāšanas nozare</w:t>
      </w:r>
    </w:p>
    <w:p w14:paraId="2ECA44F6"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Transporta un uzglabāšanas nozare, kurai vēsturiski bijusi būtiska loma Latvijas ekonomikas attīstībā, bija viena no pandēmijas smagāk skartajām nozarēm un to arī vissmagāk skāra Krievijas uzsāktais karš Ukrainā un biznesa sakaru saraušana ar agresorvalstīm. Attiecīgi nozares īpatsvars kopējā pievienotajā vērtībā ir samazinājies no vidēji 8,5% pēdējo divdesmit gadu laikā līdz 7,1% 2020. gadā un 5,9% 2024. gadā. 2025. gadā situācija nozarē ir stabilizējusies, tomēr neliela lejupslīde vēl bijusi vērojama un transporta īpatsvars kopējā pievienotajā vērtībā gada pirmajā pusē sarucis līdz 5,6% no kopējās pievienotās vērtības.</w:t>
      </w:r>
    </w:p>
    <w:p w14:paraId="20C44F7C"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Atgūstoties no krituma Covid-19 pandēmijas ierobežojumu rezultātā, 2022. gadā transporta nozares pievienotās vērtības pieaugums sasniedza 3,5%, bet 2023. un 2024. gadā nozare piedzīvoja attiecīgi 7,2% un 7,9% kritumu, pasažieru pārvadājumu pieaugumam nespējot kompensēt zaudējumus kravu transportā, īpaši krītoties Krievijas kravu tranzītam dzelzceļā un ostās. </w:t>
      </w:r>
    </w:p>
    <w:p w14:paraId="262A11C7" w14:textId="0710878E"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Pasažieru skaits lidostā “Rīga” 2024. gadā, salīdzinot ar iepriekšējo gadu, palielinājās par 7,3% un sasniedza 7,1 milj</w:t>
      </w:r>
      <w:r w:rsidR="00712346">
        <w:rPr>
          <w:rFonts w:eastAsia="Calibri" w:cs="Times New Roman"/>
          <w:szCs w:val="20"/>
          <w:lang w:eastAsia="en-US"/>
        </w:rPr>
        <w:t>.</w:t>
      </w:r>
      <w:r w:rsidRPr="00D8017D">
        <w:rPr>
          <w:rFonts w:eastAsia="Calibri" w:cs="Times New Roman"/>
          <w:szCs w:val="20"/>
          <w:lang w:eastAsia="en-US"/>
        </w:rPr>
        <w:t>, tomēr vēl joprojām nedaudz atpalika no 2019. gada līmeņa, kad pasažieru skaits lidostā bija sasniedzis 7,8 milj</w:t>
      </w:r>
      <w:r w:rsidR="00712346">
        <w:rPr>
          <w:rFonts w:eastAsia="Calibri" w:cs="Times New Roman"/>
          <w:szCs w:val="20"/>
          <w:lang w:eastAsia="en-US"/>
        </w:rPr>
        <w:t>.</w:t>
      </w:r>
      <w:r w:rsidRPr="00D8017D">
        <w:rPr>
          <w:rFonts w:eastAsia="Calibri" w:cs="Times New Roman"/>
          <w:szCs w:val="20"/>
          <w:lang w:eastAsia="en-US"/>
        </w:rPr>
        <w:t>. Pasažieru skaits sauszemes transportā pieauga par 2,0%, bet jūras ostās tika apkalpots par 4,6% mazāk pasažieru nekā 2023. gadā.</w:t>
      </w:r>
    </w:p>
    <w:p w14:paraId="36F8CEF1" w14:textId="26E12940"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Vienlaikus kravu apgrozījums ostās pērn saruka par 6,8% un kravu pārvadājumi dzelzceļā kritās par 28,0%. Kravu apjoma samazinājumu turpināja noteikt Krievijas energoproduktu tranzīta kritums, un kravu apgrozījums ostās ar 36,0 milj</w:t>
      </w:r>
      <w:r w:rsidR="007D715E">
        <w:rPr>
          <w:rFonts w:eastAsia="Calibri" w:cs="Times New Roman"/>
          <w:szCs w:val="20"/>
          <w:lang w:eastAsia="en-US"/>
        </w:rPr>
        <w:t>.</w:t>
      </w:r>
      <w:r w:rsidRPr="00D8017D">
        <w:rPr>
          <w:rFonts w:eastAsia="Calibri" w:cs="Times New Roman"/>
          <w:szCs w:val="20"/>
          <w:lang w:eastAsia="en-US"/>
        </w:rPr>
        <w:t xml:space="preserve"> tonnu veidoja jau mazāk par pusi no 2012. gada līmeņa, kad pārkrauto kravu apjoms bija vislielākais. Dzelzceļā pārvadāto kravu apjoms saruka līdz 11,1 milj</w:t>
      </w:r>
      <w:r w:rsidR="007D715E">
        <w:rPr>
          <w:rFonts w:eastAsia="Calibri" w:cs="Times New Roman"/>
          <w:szCs w:val="20"/>
          <w:lang w:eastAsia="en-US"/>
        </w:rPr>
        <w:t>.</w:t>
      </w:r>
      <w:r w:rsidRPr="00D8017D">
        <w:rPr>
          <w:rFonts w:eastAsia="Calibri" w:cs="Times New Roman"/>
          <w:szCs w:val="20"/>
          <w:lang w:eastAsia="en-US"/>
        </w:rPr>
        <w:t xml:space="preserve"> tonnu, kas atbilda vairs tikai vienai piektdaļai no 2012. gada līmeņa. Kravu apgrozība autopārvadājumos 2024. gadā palielinājās par 12,9%, ko nodrošināja galvenokārt spēcīgais pieaugums pārvadājumos ārvalstīs un eksporta pārvadājumos.</w:t>
      </w:r>
    </w:p>
    <w:p w14:paraId="0227D09E"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2025. gada pirmajā pusē situācija transporta nozarē ir sākusi stabilizēties, kravu apjomiem ostās un dzelzceļā noslīdot līdz vēsturiski zemākajam līmenim, kur vairs nav tālāku iespēju samazinājumam, kamēr pasažieru pārvadājumi turpināja pieaugt, īpaši dzelzceļā un aviosatiksmē. Vienlaikus līdz ar ekonomiskās aktivitātes palielināšanos, tostarp Eiropā, stabilizējas arī autopārvadājumu apjoms, un visi šie faktori nodrošinājuši, ka nozarei gada pirmajā pusē vairs bijis tikai niecīgs, 0,8% kritums salīdzinājumā ar 2024. gada pirmo pusi.</w:t>
      </w:r>
    </w:p>
    <w:p w14:paraId="4C7AE170" w14:textId="5D954209"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lastRenderedPageBreak/>
        <w:t xml:space="preserve">2025. gada pirmajos astoņos mēnešos, salīdzinot ar pagājušā gada attiecīgo periodu, kravu apgrozījums ostās samazinājās par 2,4%, naftas un ogļu kravu pārvadājumu apjomiem stabilizējoties, bet kopējo kritumu visvairāk ietekmējot labības kravu apjomu kritumam par 21,1%, kā arī samazinoties rūdas kravu un ģenerālkravu apjomiem. Dzelzceļā pārvadāto kravu apjoms 2025. gada pirmajos astoņos mēnešos kritās par 23,8%, pēc </w:t>
      </w:r>
      <w:r w:rsidR="00012C72" w:rsidRPr="00D8017D">
        <w:rPr>
          <w:rFonts w:eastAsia="Calibri" w:cs="Times New Roman"/>
          <w:szCs w:val="20"/>
          <w:lang w:eastAsia="en-US"/>
        </w:rPr>
        <w:t>CSP</w:t>
      </w:r>
      <w:r w:rsidRPr="00D8017D">
        <w:rPr>
          <w:rFonts w:eastAsia="Calibri" w:cs="Times New Roman"/>
          <w:szCs w:val="20"/>
          <w:lang w:eastAsia="en-US"/>
        </w:rPr>
        <w:t xml:space="preserve"> datiem. Kravu apjomu dinamika Latvijas ostās un dzelzceļā apkopota 1.7. attēlā.</w:t>
      </w:r>
    </w:p>
    <w:p w14:paraId="21276DB1" w14:textId="77777777" w:rsidR="005E58FF" w:rsidRPr="00D8017D" w:rsidRDefault="005E58FF" w:rsidP="005E58FF">
      <w:pPr>
        <w:spacing w:before="60" w:after="60"/>
        <w:ind w:firstLine="0"/>
        <w:jc w:val="center"/>
        <w:rPr>
          <w:rFonts w:eastAsia="Aptos" w:cs="Times New Roman"/>
          <w:bCs/>
          <w:szCs w:val="20"/>
          <w:lang w:eastAsia="en-US"/>
          <w14:ligatures w14:val="standardContextual"/>
        </w:rPr>
      </w:pPr>
      <w:r w:rsidRPr="00D8017D">
        <w:rPr>
          <w:rFonts w:eastAsia="Calibri" w:cs="Times New Roman"/>
          <w:noProof/>
          <w:szCs w:val="24"/>
        </w:rPr>
        <w:drawing>
          <wp:inline distT="0" distB="0" distL="0" distR="0" wp14:anchorId="385F205B" wp14:editId="3469116F">
            <wp:extent cx="4944110" cy="2411095"/>
            <wp:effectExtent l="0" t="0" r="8890" b="8255"/>
            <wp:docPr id="508651039" name="Chart 5086510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0A7EE48" w14:textId="0F950398" w:rsidR="005E58FF" w:rsidRPr="00D8017D" w:rsidRDefault="005E58FF" w:rsidP="005E58FF">
      <w:pPr>
        <w:spacing w:after="0"/>
        <w:ind w:firstLine="0"/>
        <w:jc w:val="center"/>
        <w:rPr>
          <w:rFonts w:eastAsia="Times New Roman" w:cs="Times New Roman"/>
          <w:b/>
          <w:i/>
          <w:szCs w:val="24"/>
          <w:lang w:eastAsia="en-US"/>
        </w:rPr>
      </w:pPr>
      <w:r w:rsidRPr="00D8017D">
        <w:rPr>
          <w:rFonts w:eastAsia="Times New Roman" w:cs="Times New Roman"/>
          <w:b/>
          <w:i/>
          <w:szCs w:val="24"/>
          <w:lang w:eastAsia="en-US"/>
        </w:rPr>
        <w:t>1.7. att. Kravu apgrozījums Latvijas ostās un pārvadājumu apjoms dzelzceļā</w:t>
      </w:r>
    </w:p>
    <w:p w14:paraId="456CDE81" w14:textId="77777777" w:rsidR="005E58FF" w:rsidRPr="00D8017D" w:rsidRDefault="005E58FF" w:rsidP="005E58FF">
      <w:pPr>
        <w:spacing w:after="0"/>
        <w:ind w:firstLine="0"/>
        <w:jc w:val="center"/>
        <w:rPr>
          <w:rFonts w:eastAsia="Times New Roman" w:cs="Times New Roman"/>
          <w:b/>
          <w:i/>
          <w:szCs w:val="24"/>
          <w:lang w:eastAsia="en-US"/>
        </w:rPr>
      </w:pPr>
      <w:r w:rsidRPr="00D8017D">
        <w:rPr>
          <w:rFonts w:eastAsia="Times New Roman" w:cs="Times New Roman"/>
          <w:b/>
          <w:i/>
          <w:szCs w:val="24"/>
          <w:lang w:eastAsia="en-US"/>
        </w:rPr>
        <w:t xml:space="preserve"> (tūkst. tonnu), 2010.-2025. gada pirmajos astoņos mēnešos</w:t>
      </w:r>
    </w:p>
    <w:p w14:paraId="7CA0C3FE"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Vienlaikus kravu apgrozība autotransportā 2025. gada pirmajā pusē bija par 0,6% mazāka nekā attiecīgajā periodā pirms gada, būtiski samazinoties importa pārvadājumiem (-13,7%), kamēr kravu apgrozījums iekšzemes pārvadājumos auga par 6,0% un pārvadājumos ārvalstīs saglabājās iepriekšējā gada līmenī (+0,1%).</w:t>
      </w:r>
    </w:p>
    <w:p w14:paraId="3E8BD75E" w14:textId="58C2757A"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Pasažieru skaits lidostā Rīgā 2025. gadā nedaudz pārsniedz pagājušā gada līmeni – gada pirmajos septiņos mēnešos apkalpoti 4,0 milj</w:t>
      </w:r>
      <w:r w:rsidR="007D715E">
        <w:rPr>
          <w:rFonts w:eastAsia="Calibri" w:cs="Times New Roman"/>
          <w:szCs w:val="20"/>
          <w:lang w:eastAsia="en-US"/>
        </w:rPr>
        <w:t>.</w:t>
      </w:r>
      <w:r w:rsidRPr="00D8017D">
        <w:rPr>
          <w:rFonts w:eastAsia="Calibri" w:cs="Times New Roman"/>
          <w:szCs w:val="20"/>
          <w:lang w:eastAsia="en-US"/>
        </w:rPr>
        <w:t xml:space="preserve"> pasažieru, kas ir par 2,8% vairāk nekā pirms gada. Vienlaikus jāatzīmē, ka pēdējos mēnešos pasažieru skaits lidostā Rīga vairs nepalielinās, bet ir sācis kristies. Ja janvārī pret 2024. gada attiecīgo mēnesi pasažieru skaits bija audzis par 9,0%, tad jūnijā fiksēts 1,6% un jūlijā jau 6,1% kritums. Kopumā aviopasažieru pārvadājumi joprojām atpaliek no 2019. gadā sasniegtā rekordapjoma, tomēr tas ir atgriezies 2018. gada līmeni, kad bija fiksēts otrs augstākais pasažieru pārvadājumu apjoms lidostas darbības vēsturē.</w:t>
      </w:r>
    </w:p>
    <w:p w14:paraId="15D200CD"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 Pasažieru skaits sauszemes transportā 2025. gada pirmajā pusē salīdzinājumā ar pagājušā gada pirmo pusi palielinājies par 0,6%, būtiski pieaugot pasažieru skaitam dzelzceļā (+12,5%) un pilsētas elektrotransportā (+3,0%), bet ar regulārās satiksmes autobusiem pārvadāto pasažieru skaits ir krities par 3,1%. Pasažieru skaits jūras ostās šā gada pirmajā pusē bijis par 1,4% lielāks nekā pirms gada, ko noteicis galvenokārt ar kruīza kuģiem iebraukušo pasažieru skaita pieaugums Rīgas ostā. Neskatoties uz šo palielinājumu, kopējais ostās apkalpoto pasažieru skaits joprojām ir vairāk nekā trīs reizes mazāks nekā pirms Covid-19 pandēmijas 2019. gadā un šo kritumu noteikusi prāmju satiksmes neatjaunošana ar Stokholmu Rīgas ostā.</w:t>
      </w:r>
    </w:p>
    <w:p w14:paraId="34756F2C" w14:textId="77777777" w:rsidR="005E58FF" w:rsidRPr="00D8017D" w:rsidRDefault="005E58FF" w:rsidP="005E58FF">
      <w:pPr>
        <w:rPr>
          <w:rFonts w:eastAsia="Calibri" w:cs="Arial"/>
          <w:b/>
          <w:bCs/>
          <w:szCs w:val="24"/>
        </w:rPr>
      </w:pPr>
      <w:r w:rsidRPr="00D8017D">
        <w:rPr>
          <w:rFonts w:eastAsia="Calibri" w:cs="Arial"/>
          <w:b/>
          <w:bCs/>
          <w:szCs w:val="24"/>
        </w:rPr>
        <w:t>Būvniecība</w:t>
      </w:r>
    </w:p>
    <w:p w14:paraId="1836B564" w14:textId="7EF296E9"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Būvniecības apjomi pēdējo gadu laikā bijuši visai svārstīgi (1.8. attēls). 2023. gadā apjomi strauji pieauga par 18,9% pret 2022. gadu pēc tam, kad tika pārvarēts straujais būvmateriālu cenu svārstību šoks, kā arī atrasti alternatīvi importa ceļi atsevišķiem deficīta būvmateriāliem, ko izraisīja tirdzniecības ierobežošana ar Krieviju. Tam sekoja būvniecības nozares stagnācija </w:t>
      </w:r>
      <w:r w:rsidRPr="00D8017D">
        <w:rPr>
          <w:rFonts w:eastAsia="Calibri" w:cs="Times New Roman"/>
          <w:szCs w:val="20"/>
          <w:lang w:eastAsia="en-US"/>
        </w:rPr>
        <w:lastRenderedPageBreak/>
        <w:t xml:space="preserve">2024. gadā, kad apjomi samazinājās par 4,3%. Samazinājumu noteica gan investīciju apjoma samazinājums, gan vāja </w:t>
      </w:r>
      <w:r w:rsidR="007D715E">
        <w:rPr>
          <w:rFonts w:eastAsia="Calibri" w:cs="Times New Roman"/>
          <w:szCs w:val="20"/>
          <w:lang w:eastAsia="en-US"/>
        </w:rPr>
        <w:t>ES</w:t>
      </w:r>
      <w:r w:rsidRPr="00D8017D">
        <w:rPr>
          <w:rFonts w:eastAsia="Calibri" w:cs="Times New Roman"/>
          <w:szCs w:val="20"/>
          <w:lang w:eastAsia="en-US"/>
        </w:rPr>
        <w:t xml:space="preserve"> fondu līdzekļu apguve. Savukārt 2025. gada pirmajā pusē būvniecības apjomi atsāka pieaugt, sasniedzot 7,8% kāpumu, ko noteica gan investīciju pieauguma atsākšanās, gan ievērojami veiksmīgāka ES fondu līdzekļu apguve. Sagaidāms, ka šie faktori veicinās būvniecības apjomu pieaugumu arī turpmāk. Šā gada otrajā ceturksnī būvniecības apjomi ir sasnieguši augstāko līmeni kopš 2020. gada pirmā ceturkšņa, kas norāda uz augstu būvniecības intensitāti, tādējādi, turpinoties būvniecības apjomu pieaugumam, rodas bažas par iespējamu darbaspēka deficītu.</w:t>
      </w:r>
    </w:p>
    <w:p w14:paraId="05D97EF8" w14:textId="77777777" w:rsidR="005E58FF" w:rsidRPr="00D8017D" w:rsidRDefault="005E58FF" w:rsidP="005E58FF">
      <w:pPr>
        <w:spacing w:after="160" w:line="259" w:lineRule="auto"/>
        <w:ind w:firstLine="0"/>
        <w:jc w:val="center"/>
        <w:rPr>
          <w:rFonts w:ascii="Calibri" w:eastAsia="Calibri" w:hAnsi="Calibri" w:cs="Times New Roman"/>
          <w:sz w:val="22"/>
          <w:lang w:eastAsia="en-US"/>
        </w:rPr>
      </w:pPr>
      <w:r w:rsidRPr="00D8017D">
        <w:rPr>
          <w:rFonts w:ascii="Calibri" w:eastAsia="Calibri" w:hAnsi="Calibri" w:cs="Times New Roman"/>
          <w:noProof/>
          <w:sz w:val="22"/>
          <w:lang w:eastAsia="en-US"/>
        </w:rPr>
        <w:drawing>
          <wp:inline distT="0" distB="0" distL="0" distR="0" wp14:anchorId="3DCEA904" wp14:editId="3C36C230">
            <wp:extent cx="5274310" cy="2114550"/>
            <wp:effectExtent l="0" t="0" r="2540" b="0"/>
            <wp:docPr id="1408171411" name="Chart 1">
              <a:extLst xmlns:a="http://schemas.openxmlformats.org/drawingml/2006/main">
                <a:ext uri="{FF2B5EF4-FFF2-40B4-BE49-F238E27FC236}">
                  <a16:creationId xmlns:a16="http://schemas.microsoft.com/office/drawing/2014/main" id="{73BE5208-D715-4710-9FA4-DD836F53E4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3E8A812" w14:textId="6D0C4EDC" w:rsidR="005E58FF" w:rsidRPr="00D8017D" w:rsidRDefault="005E58FF" w:rsidP="005E58FF">
      <w:pPr>
        <w:spacing w:after="160" w:line="259" w:lineRule="auto"/>
        <w:ind w:firstLine="0"/>
        <w:jc w:val="center"/>
        <w:rPr>
          <w:rFonts w:eastAsia="Times New Roman" w:cs="Times New Roman"/>
          <w:b/>
          <w:i/>
          <w:szCs w:val="24"/>
          <w:lang w:eastAsia="en-US"/>
        </w:rPr>
      </w:pPr>
      <w:r w:rsidRPr="00D8017D">
        <w:rPr>
          <w:rFonts w:eastAsia="Times New Roman" w:cs="Times New Roman"/>
          <w:b/>
          <w:i/>
          <w:szCs w:val="24"/>
          <w:lang w:eastAsia="en-US"/>
        </w:rPr>
        <w:t>1.8. att. Būvniecības nozares izlaides apjomu izmaiņas g/g; salīdzināmajās cenās</w:t>
      </w:r>
    </w:p>
    <w:p w14:paraId="0F8461F4" w14:textId="64E2929E"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Būvniecība iedalās trīs pēc īpatsvara aptuveni vienādās apakšgrupās – ēku būvniecīb</w:t>
      </w:r>
      <w:r w:rsidR="00E31091">
        <w:rPr>
          <w:rFonts w:eastAsia="Calibri" w:cs="Times New Roman"/>
          <w:szCs w:val="20"/>
          <w:lang w:eastAsia="en-US"/>
        </w:rPr>
        <w:t>a</w:t>
      </w:r>
      <w:r w:rsidRPr="00D8017D">
        <w:rPr>
          <w:rFonts w:eastAsia="Calibri" w:cs="Times New Roman"/>
          <w:szCs w:val="20"/>
          <w:lang w:eastAsia="en-US"/>
        </w:rPr>
        <w:t>, inženierbūvniecīb</w:t>
      </w:r>
      <w:r w:rsidR="00E31091">
        <w:rPr>
          <w:rFonts w:eastAsia="Calibri" w:cs="Times New Roman"/>
          <w:szCs w:val="20"/>
          <w:lang w:eastAsia="en-US"/>
        </w:rPr>
        <w:t>a</w:t>
      </w:r>
      <w:r w:rsidRPr="00D8017D">
        <w:rPr>
          <w:rFonts w:eastAsia="Calibri" w:cs="Times New Roman"/>
          <w:szCs w:val="20"/>
          <w:lang w:eastAsia="en-US"/>
        </w:rPr>
        <w:t xml:space="preserve"> un specializēt</w:t>
      </w:r>
      <w:r w:rsidR="00E31091">
        <w:rPr>
          <w:rFonts w:eastAsia="Calibri" w:cs="Times New Roman"/>
          <w:szCs w:val="20"/>
          <w:lang w:eastAsia="en-US"/>
        </w:rPr>
        <w:t>ie</w:t>
      </w:r>
      <w:r w:rsidRPr="00D8017D">
        <w:rPr>
          <w:rFonts w:eastAsia="Calibri" w:cs="Times New Roman"/>
          <w:szCs w:val="20"/>
          <w:lang w:eastAsia="en-US"/>
        </w:rPr>
        <w:t xml:space="preserve"> būvdarb</w:t>
      </w:r>
      <w:r w:rsidR="00E31091">
        <w:rPr>
          <w:rFonts w:eastAsia="Calibri" w:cs="Times New Roman"/>
          <w:szCs w:val="20"/>
          <w:lang w:eastAsia="en-US"/>
        </w:rPr>
        <w:t>i</w:t>
      </w:r>
      <w:r w:rsidRPr="00D8017D">
        <w:rPr>
          <w:rFonts w:eastAsia="Calibri" w:cs="Times New Roman"/>
          <w:szCs w:val="20"/>
          <w:lang w:eastAsia="en-US"/>
        </w:rPr>
        <w:t>. Kopējo būvniecības apjomu samazinājumu 2024. gadā noteica tieši ēku būvniecība (-19,5%), tikmēr inženierbūvniecība pieauga par 8,5%, bet speciālie būvdarbi palielinājās par 0,5%. Ēku būvniecības samazinājumu noteica sarukums daudzdzīvokļu ēku būvniecībā, kā arī publisko ēku būvniecībā, kur ietilpst skolas, ārstniecības iestādes, kultūras pasākumu ēkas u.tml. Tikmēr inženierbūvniecības pieaugumu nodrošināja pilsētsaimniecības infrastruktūras objektu būvniecība, kurā ietilpst ūdensapgādes, elektroapgādes un telekomunikāciju sistēmu ierīkošana un būvniecība. Ceļu un dzelzceļu būvniecība, kas tāpat ietilpst inženierbūvniecības grupā, 2024. gadā saruka par 1,9%.</w:t>
      </w:r>
    </w:p>
    <w:p w14:paraId="64AE95F2"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Savukārt 2025. gada pirmajā pusgadā pieaugumu par 7,8% noteica tieši inženierbūvniecības apjomu palielināšanās par 33,2% pret pērnā gada pirmo pusgadu, tikmēr ēku būvniecība samazinājās par 2,5%, bet specializētie būvdarbi saruka par 0,7%. Inženierbūvniecības straujo kāpumu nodrošināja gan ceļu un dzelzceļu būvniecība, gan pilsētsaimniecības infrastruktūras objektu būvniecība, kā arī pārējā inženierbūvniecība, kas neietilpst iepriekš minētajās divās grupās. Ceļu un dzelzceļu būvniecības pieaugumu nodrošina tādi nozīmīgi būvobjekti kā Dienvidu tilta 4. kārtas būvniecība, kā arī </w:t>
      </w:r>
      <w:r w:rsidRPr="00D8017D">
        <w:rPr>
          <w:rFonts w:eastAsia="Calibri" w:cs="Times New Roman"/>
          <w:i/>
          <w:iCs/>
          <w:szCs w:val="20"/>
          <w:lang w:eastAsia="en-US"/>
        </w:rPr>
        <w:t>RailBaltica</w:t>
      </w:r>
      <w:r w:rsidRPr="00D8017D">
        <w:rPr>
          <w:rFonts w:eastAsia="Calibri" w:cs="Times New Roman"/>
          <w:szCs w:val="20"/>
          <w:lang w:eastAsia="en-US"/>
        </w:rPr>
        <w:t xml:space="preserve"> dzelzceļa trases projekts.</w:t>
      </w:r>
    </w:p>
    <w:p w14:paraId="18BB499F" w14:textId="05FFEB38" w:rsidR="005E58FF" w:rsidRPr="00D8017D" w:rsidRDefault="005E58FF" w:rsidP="005E58FF">
      <w:pPr>
        <w:spacing w:before="120"/>
        <w:rPr>
          <w:rFonts w:ascii="Calibri" w:eastAsia="Calibri" w:hAnsi="Calibri" w:cs="Times New Roman"/>
          <w:sz w:val="22"/>
          <w:lang w:eastAsia="en-US"/>
        </w:rPr>
      </w:pPr>
      <w:r w:rsidRPr="00D8017D">
        <w:rPr>
          <w:rFonts w:eastAsia="Calibri" w:cs="Times New Roman"/>
          <w:szCs w:val="20"/>
          <w:lang w:eastAsia="en-US"/>
        </w:rPr>
        <w:t>Kopš straujā būvniecības izmaksu kāpuma 2022. un 2023. gadā</w:t>
      </w:r>
      <w:r w:rsidR="00A43961">
        <w:rPr>
          <w:rFonts w:eastAsia="Calibri" w:cs="Times New Roman"/>
          <w:szCs w:val="20"/>
          <w:lang w:eastAsia="en-US"/>
        </w:rPr>
        <w:t>,</w:t>
      </w:r>
      <w:r w:rsidRPr="00D8017D">
        <w:rPr>
          <w:rFonts w:eastAsia="Calibri" w:cs="Times New Roman"/>
          <w:szCs w:val="20"/>
          <w:lang w:eastAsia="en-US"/>
        </w:rPr>
        <w:t xml:space="preserve"> izmaksu pieaugums nav pārsniedzis 3% robežu jau septiņus ceturkšņus pēc kārtas (1.9. attēls). Tas ir normalizējis situāciju tirgū, tādējādi būvnieki spēj prognozēt būvniecībai nepieciešamos līdzekļu apmērus. </w:t>
      </w:r>
      <w:r w:rsidR="00A43961">
        <w:rPr>
          <w:rFonts w:eastAsia="Calibri" w:cs="Times New Roman"/>
          <w:szCs w:val="20"/>
          <w:lang w:eastAsia="en-US"/>
        </w:rPr>
        <w:t>2025.</w:t>
      </w:r>
      <w:r w:rsidR="00A43961" w:rsidRPr="00D8017D">
        <w:rPr>
          <w:rFonts w:eastAsia="Calibri" w:cs="Times New Roman"/>
          <w:szCs w:val="20"/>
          <w:lang w:eastAsia="en-US"/>
        </w:rPr>
        <w:t xml:space="preserve"> </w:t>
      </w:r>
      <w:r w:rsidRPr="00D8017D">
        <w:rPr>
          <w:rFonts w:eastAsia="Calibri" w:cs="Times New Roman"/>
          <w:szCs w:val="20"/>
          <w:lang w:eastAsia="en-US"/>
        </w:rPr>
        <w:t>gada pirmajā pusgadā kopējās būvizmaksas pret pērnā gada pirmo pusgadu pieauga par 1,8%, tostarp strādnieku darba samaksa auga par 5,6%, mašīnu un mehānismu uzturēšanas izmaksas palielinājās par 2,5%, bet izmaksas par būvmateriāliem bijušas par 0,6% zemākas nekā gadu iepriekš.</w:t>
      </w:r>
    </w:p>
    <w:p w14:paraId="64041108" w14:textId="77777777" w:rsidR="005E58FF" w:rsidRPr="00D8017D" w:rsidRDefault="005E58FF" w:rsidP="005E58FF">
      <w:pPr>
        <w:spacing w:after="160" w:line="259" w:lineRule="auto"/>
        <w:ind w:firstLine="0"/>
        <w:jc w:val="center"/>
        <w:rPr>
          <w:rFonts w:ascii="Calibri" w:eastAsia="Calibri" w:hAnsi="Calibri" w:cs="Times New Roman"/>
          <w:sz w:val="22"/>
          <w:lang w:eastAsia="en-US"/>
        </w:rPr>
      </w:pPr>
      <w:r w:rsidRPr="00D8017D">
        <w:rPr>
          <w:rFonts w:ascii="Calibri" w:eastAsia="Calibri" w:hAnsi="Calibri" w:cs="Times New Roman"/>
          <w:noProof/>
          <w:sz w:val="22"/>
          <w:lang w:eastAsia="en-US"/>
        </w:rPr>
        <w:lastRenderedPageBreak/>
        <w:drawing>
          <wp:inline distT="0" distB="0" distL="0" distR="0" wp14:anchorId="1BC48D12" wp14:editId="5E64B903">
            <wp:extent cx="5274310" cy="2116455"/>
            <wp:effectExtent l="0" t="0" r="2540" b="0"/>
            <wp:docPr id="694141177" name="Chart 1">
              <a:extLst xmlns:a="http://schemas.openxmlformats.org/drawingml/2006/main">
                <a:ext uri="{FF2B5EF4-FFF2-40B4-BE49-F238E27FC236}">
                  <a16:creationId xmlns:a16="http://schemas.microsoft.com/office/drawing/2014/main" id="{DB572FF7-9B00-9017-6184-61F16619AA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B0E498F" w14:textId="10F5CEFD" w:rsidR="005E58FF" w:rsidRPr="00D8017D" w:rsidRDefault="005E58FF" w:rsidP="005E58FF">
      <w:pPr>
        <w:spacing w:after="160" w:line="259" w:lineRule="auto"/>
        <w:ind w:firstLine="0"/>
        <w:jc w:val="center"/>
        <w:rPr>
          <w:rFonts w:eastAsia="Calibri" w:cs="Times New Roman"/>
          <w:b/>
          <w:i/>
          <w:szCs w:val="24"/>
          <w:lang w:eastAsia="en-US"/>
        </w:rPr>
      </w:pPr>
      <w:r w:rsidRPr="00D8017D">
        <w:rPr>
          <w:rFonts w:eastAsia="Calibri" w:cs="Times New Roman"/>
          <w:b/>
          <w:i/>
          <w:szCs w:val="24"/>
          <w:lang w:eastAsia="en-US"/>
        </w:rPr>
        <w:t>1.9. att. Būvniecības izmaksu pārmaiņas pret iepriekšējā gada attiecīgo ceturksni (%)</w:t>
      </w:r>
    </w:p>
    <w:p w14:paraId="3E28AAC5"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Platība, kas norādīta no jauna izdotajās būvatļaujās, pret iepriekšējo gadu attiecīgajiem periodiem turpina pieaugt, jo īpaši šā gada otrajā ceturksnī (1.10. attēls), kas norāda uz pozitīvām iezīmēm turpmākajā nozares attīstībā. 2024. gadā jauno būvatļauju skaits saruka par 1%, bet paredzamā būvniecības platība tajās auga par 12%, kas liecina par izmēra ziņā lielāku objektu pieteikšanu. Savukārt 2025. gada pirmajā pusgadā būvatļaujas izdotas par 8% vairāk, bet norādītā platība tajās bijusi par 42% lielāka nekā pērnā gada attiecīgajā periodā.</w:t>
      </w:r>
    </w:p>
    <w:p w14:paraId="392C2DC5" w14:textId="77777777" w:rsidR="005E58FF" w:rsidRPr="00D8017D" w:rsidRDefault="005E58FF" w:rsidP="005E58FF">
      <w:pPr>
        <w:spacing w:after="160" w:line="259" w:lineRule="auto"/>
        <w:ind w:firstLine="0"/>
        <w:jc w:val="center"/>
        <w:rPr>
          <w:rFonts w:ascii="Calibri" w:eastAsia="Calibri" w:hAnsi="Calibri" w:cs="Times New Roman"/>
          <w:sz w:val="22"/>
          <w:lang w:eastAsia="en-US"/>
        </w:rPr>
      </w:pPr>
      <w:r w:rsidRPr="00D8017D">
        <w:rPr>
          <w:rFonts w:ascii="Calibri" w:eastAsia="Calibri" w:hAnsi="Calibri" w:cs="Times New Roman"/>
          <w:noProof/>
          <w:sz w:val="22"/>
          <w:lang w:eastAsia="en-US"/>
        </w:rPr>
        <w:drawing>
          <wp:inline distT="0" distB="0" distL="0" distR="0" wp14:anchorId="591AA13F" wp14:editId="6DA8E312">
            <wp:extent cx="5274310" cy="2339975"/>
            <wp:effectExtent l="0" t="0" r="2540" b="3175"/>
            <wp:docPr id="1154398069" name="Chart 1">
              <a:extLst xmlns:a="http://schemas.openxmlformats.org/drawingml/2006/main">
                <a:ext uri="{FF2B5EF4-FFF2-40B4-BE49-F238E27FC236}">
                  <a16:creationId xmlns:a16="http://schemas.microsoft.com/office/drawing/2014/main" id="{00000000-0008-0000-07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EE4AF1D" w14:textId="1E05CF34" w:rsidR="005E58FF" w:rsidRPr="00D8017D" w:rsidRDefault="005E58FF" w:rsidP="005E58FF">
      <w:pPr>
        <w:spacing w:after="160" w:line="259" w:lineRule="auto"/>
        <w:ind w:firstLine="0"/>
        <w:jc w:val="center"/>
        <w:rPr>
          <w:rFonts w:eastAsia="Calibri" w:cs="Times New Roman"/>
          <w:b/>
          <w:i/>
          <w:szCs w:val="24"/>
          <w:lang w:eastAsia="en-US"/>
        </w:rPr>
      </w:pPr>
      <w:r w:rsidRPr="00D8017D">
        <w:rPr>
          <w:rFonts w:eastAsia="Calibri" w:cs="Times New Roman"/>
          <w:b/>
          <w:i/>
          <w:szCs w:val="24"/>
          <w:lang w:eastAsia="en-US"/>
        </w:rPr>
        <w:t>1.10. att. Izdotajās būvatļaujās paredzamā platība pa ēku veidiem (tūkst. km</w:t>
      </w:r>
      <w:r w:rsidRPr="00D8017D">
        <w:rPr>
          <w:rFonts w:eastAsia="Calibri" w:cs="Times New Roman"/>
          <w:b/>
          <w:i/>
          <w:szCs w:val="24"/>
          <w:vertAlign w:val="superscript"/>
          <w:lang w:eastAsia="en-US"/>
        </w:rPr>
        <w:t>2</w:t>
      </w:r>
      <w:r w:rsidRPr="00D8017D">
        <w:rPr>
          <w:rFonts w:eastAsia="Calibri" w:cs="Times New Roman"/>
          <w:b/>
          <w:i/>
          <w:szCs w:val="24"/>
          <w:lang w:eastAsia="en-US"/>
        </w:rPr>
        <w:t>)</w:t>
      </w:r>
    </w:p>
    <w:p w14:paraId="561ECF7D" w14:textId="1B27817C" w:rsidR="005E58FF" w:rsidRPr="00D8017D" w:rsidRDefault="005E58FF" w:rsidP="005E58FF">
      <w:pPr>
        <w:rPr>
          <w:rFonts w:eastAsia="Calibri" w:cs="Times New Roman"/>
          <w:szCs w:val="20"/>
          <w:lang w:eastAsia="en-US"/>
        </w:rPr>
      </w:pPr>
      <w:r w:rsidRPr="00D8017D">
        <w:rPr>
          <w:rFonts w:eastAsia="Calibri" w:cs="Times New Roman"/>
          <w:szCs w:val="20"/>
          <w:lang w:eastAsia="en-US"/>
        </w:rPr>
        <w:t xml:space="preserve">Būvniecības nozari šā gada pirmajā pusgadā pozitīvi ietekmējusi gan veiksmīgāka </w:t>
      </w:r>
      <w:r w:rsidR="00E31091">
        <w:rPr>
          <w:rFonts w:eastAsia="Calibri" w:cs="Times New Roman"/>
          <w:szCs w:val="20"/>
          <w:lang w:eastAsia="en-US"/>
        </w:rPr>
        <w:t>ES</w:t>
      </w:r>
      <w:r w:rsidRPr="00D8017D">
        <w:rPr>
          <w:rFonts w:eastAsia="Calibri" w:cs="Times New Roman"/>
          <w:szCs w:val="20"/>
          <w:lang w:eastAsia="en-US"/>
        </w:rPr>
        <w:t xml:space="preserve"> fondu līdzekļu apguve, gan sekmīgāka privāto investīciju piesaiste. Nozarē arī turpmāk paredzama izaugsme, kas var radīt bažas par nozares pārkaršanu, aktualizējoties darbaspēka trūkumam.</w:t>
      </w:r>
    </w:p>
    <w:p w14:paraId="770AD43C" w14:textId="77777777" w:rsidR="005E58FF" w:rsidRPr="00D8017D" w:rsidRDefault="005E58FF" w:rsidP="005E58FF">
      <w:pPr>
        <w:rPr>
          <w:rFonts w:eastAsia="Calibri" w:cs="Arial"/>
          <w:b/>
          <w:bCs/>
          <w:szCs w:val="24"/>
        </w:rPr>
      </w:pPr>
      <w:r w:rsidRPr="00D8017D">
        <w:rPr>
          <w:rFonts w:eastAsia="Calibri" w:cs="Arial"/>
          <w:b/>
          <w:bCs/>
          <w:szCs w:val="24"/>
        </w:rPr>
        <w:t>Finanšu un apdrošināšanas nozare</w:t>
      </w:r>
    </w:p>
    <w:p w14:paraId="757CFC3A" w14:textId="157E9280" w:rsidR="005E58FF" w:rsidRPr="00D8017D" w:rsidRDefault="005E58FF" w:rsidP="005E58FF">
      <w:pPr>
        <w:spacing w:after="0"/>
        <w:rPr>
          <w:rFonts w:eastAsia="Aptos" w:cs="Times New Roman"/>
          <w:szCs w:val="24"/>
          <w:lang w:eastAsia="en-US"/>
        </w:rPr>
      </w:pPr>
      <w:r w:rsidRPr="00D8017D">
        <w:rPr>
          <w:rFonts w:eastAsia="Aptos" w:cs="Times New Roman"/>
          <w:szCs w:val="24"/>
          <w:lang w:eastAsia="en-US"/>
        </w:rPr>
        <w:t xml:space="preserve">Finanšu un apdrošināšanas nozarē līdz ar 2024. gada vidū </w:t>
      </w:r>
      <w:r w:rsidR="007D715E" w:rsidRPr="00D8017D">
        <w:rPr>
          <w:rFonts w:eastAsia="Aptos" w:cs="Times New Roman"/>
          <w:szCs w:val="24"/>
          <w:lang w:eastAsia="en-US"/>
        </w:rPr>
        <w:t xml:space="preserve">ECB </w:t>
      </w:r>
      <w:r w:rsidRPr="00D8017D">
        <w:rPr>
          <w:rFonts w:eastAsia="Aptos" w:cs="Times New Roman"/>
          <w:szCs w:val="24"/>
          <w:lang w:eastAsia="en-US"/>
        </w:rPr>
        <w:t xml:space="preserve">uzsākto noguldījumu likmju un tam sekojošo </w:t>
      </w:r>
      <w:r w:rsidRPr="00D8017D">
        <w:rPr>
          <w:rFonts w:eastAsia="Aptos" w:cs="Times New Roman"/>
          <w:i/>
          <w:iCs/>
          <w:szCs w:val="24"/>
          <w:lang w:eastAsia="en-US"/>
        </w:rPr>
        <w:t xml:space="preserve">Euribor </w:t>
      </w:r>
      <w:r w:rsidRPr="00D8017D">
        <w:rPr>
          <w:rFonts w:eastAsia="Aptos" w:cs="Times New Roman"/>
          <w:szCs w:val="24"/>
          <w:lang w:eastAsia="en-US"/>
        </w:rPr>
        <w:t xml:space="preserve">likmju samazinājumu ir mazinājusies arī banku peļņu, taču vienlaicīgi ir aktivizējusies arī kreditēšana un banku kredītportfeļi pēc ilgāka laika ir atsākuši pieaugt. Kopumā 2024. gadā banku peļņa bija 521,5 miljoni </w:t>
      </w:r>
      <w:r w:rsidRPr="00D8017D">
        <w:rPr>
          <w:rFonts w:eastAsia="Aptos" w:cs="Times New Roman"/>
          <w:i/>
          <w:iCs/>
          <w:szCs w:val="24"/>
          <w:lang w:eastAsia="en-US"/>
        </w:rPr>
        <w:t>euro</w:t>
      </w:r>
      <w:r w:rsidRPr="00D8017D">
        <w:rPr>
          <w:rFonts w:eastAsia="Aptos" w:cs="Times New Roman"/>
          <w:szCs w:val="24"/>
          <w:lang w:eastAsia="en-US"/>
        </w:rPr>
        <w:t>, kas ir par 9% mazāk nekā 2023. gadā.</w:t>
      </w:r>
      <w:r w:rsidRPr="00D8017D">
        <w:rPr>
          <w:rFonts w:eastAsia="Aptos" w:cs="Times New Roman"/>
          <w:b/>
          <w:bCs/>
          <w:szCs w:val="24"/>
          <w:lang w:eastAsia="en-US"/>
        </w:rPr>
        <w:t xml:space="preserve"> </w:t>
      </w:r>
      <w:r w:rsidRPr="00D8017D">
        <w:rPr>
          <w:rFonts w:eastAsia="Aptos" w:cs="Times New Roman"/>
          <w:szCs w:val="24"/>
          <w:lang w:eastAsia="en-US"/>
        </w:rPr>
        <w:t xml:space="preserve">Pēdējo reizi </w:t>
      </w:r>
      <w:r w:rsidR="007D715E">
        <w:rPr>
          <w:rFonts w:eastAsia="Aptos" w:cs="Times New Roman"/>
          <w:szCs w:val="24"/>
          <w:lang w:eastAsia="en-US"/>
        </w:rPr>
        <w:t>ECB</w:t>
      </w:r>
      <w:r w:rsidRPr="00D8017D">
        <w:rPr>
          <w:rFonts w:eastAsia="Aptos" w:cs="Times New Roman"/>
          <w:szCs w:val="24"/>
          <w:lang w:eastAsia="en-US"/>
        </w:rPr>
        <w:t xml:space="preserve"> procentu likmju samazinājuma veica 2025. gada 11. jūnijā, fiksējot noguldījumu likmi 2% apmērā un turpmāka procentu likmju samazināšana vairs nav veikta, t.sk. arī ECB padomes sanāksmē 11. septembrī, tādējādi pēc gadu ilgas likmju samazināšanas tika paņemts pārtraukums, jo inflācija </w:t>
      </w:r>
      <w:r w:rsidRPr="00D8017D">
        <w:rPr>
          <w:rFonts w:eastAsia="Aptos" w:cs="Times New Roman"/>
          <w:i/>
          <w:iCs/>
          <w:szCs w:val="24"/>
          <w:lang w:eastAsia="en-US"/>
        </w:rPr>
        <w:t>euro</w:t>
      </w:r>
      <w:r w:rsidRPr="00D8017D">
        <w:rPr>
          <w:rFonts w:eastAsia="Aptos" w:cs="Times New Roman"/>
          <w:szCs w:val="24"/>
          <w:lang w:eastAsia="en-US"/>
        </w:rPr>
        <w:t xml:space="preserve"> zonā ir sasniegusi savu vidējā termiņa mērķi 2%. Saskaņā </w:t>
      </w:r>
      <w:r w:rsidRPr="00D8017D">
        <w:rPr>
          <w:rFonts w:eastAsia="Aptos" w:cs="Times New Roman"/>
          <w:szCs w:val="24"/>
          <w:lang w:eastAsia="en-US"/>
        </w:rPr>
        <w:lastRenderedPageBreak/>
        <w:t>ar jaunākajām ECB prognozēm vidējā kopējā inflācija 2025. gadā būs 2,1%, 2026. gadā – 1,7% un 2027. gadā – 1,9%.</w:t>
      </w:r>
    </w:p>
    <w:p w14:paraId="56E535C7" w14:textId="77777777" w:rsidR="005E58FF" w:rsidRPr="00D8017D" w:rsidRDefault="005E58FF" w:rsidP="005E58FF">
      <w:pPr>
        <w:autoSpaceDE w:val="0"/>
        <w:autoSpaceDN w:val="0"/>
        <w:adjustRightInd w:val="0"/>
        <w:spacing w:after="0"/>
        <w:rPr>
          <w:rFonts w:eastAsia="Aptos" w:cs="Times New Roman"/>
          <w:szCs w:val="24"/>
          <w:lang w:eastAsia="en-US"/>
        </w:rPr>
      </w:pPr>
      <w:r w:rsidRPr="00D8017D">
        <w:rPr>
          <w:rFonts w:eastAsia="Aptos" w:cs="Times New Roman"/>
          <w:szCs w:val="24"/>
          <w:lang w:eastAsia="en-US"/>
        </w:rPr>
        <w:t xml:space="preserve">Aktivizējoties kreditēšanai, banku hipotekāro kredītportfeļu kopējais apjoms 2025. gada jūlija beigās ir palielinājies par 8,2%, salīdzinot ar tādu pašu periodu 2024. gadā, jo tikai no jauna izsniegto mājokļu kredītu apjoms šajā periodā ir palielinājies pat par 50,2%. Lai gan Lietuvā un Igaunijā mājokļu kreditēšanas tempi turpina būt vēl nedaudz straujāki kā Latvijā – hipotekāro kredītu kopējais apjoms Igaunijā uz 2025. gada jūlija beigām ir audzis par 10%, bet Lietuvā par 12,4%, vienlaikus uzņēmumu kreditēšanas pieaugums Latvijā jūlijā jau ir apsteidzis Igaunijas rādītājus, bet vēl nedaudz iepaliek no Lietuvas rādītājiem. Latvijā 2025. gada jūlija beigās uzņēmumu kredītportfeļu atlikumu pieaugums pret 2024. gada attiecīgo periodu bija 14,2%, Igaunijā 12,6%, bet Lietuvā 16,1%. </w:t>
      </w:r>
    </w:p>
    <w:p w14:paraId="324D051C" w14:textId="32315849" w:rsidR="005E58FF" w:rsidRPr="00D8017D" w:rsidRDefault="005E58FF" w:rsidP="005E58FF">
      <w:pPr>
        <w:autoSpaceDE w:val="0"/>
        <w:autoSpaceDN w:val="0"/>
        <w:adjustRightInd w:val="0"/>
        <w:spacing w:after="0"/>
        <w:rPr>
          <w:rFonts w:eastAsia="Aptos" w:cs="Times New Roman"/>
          <w:szCs w:val="24"/>
          <w:lang w:eastAsia="en-US"/>
        </w:rPr>
      </w:pPr>
      <w:r w:rsidRPr="00D8017D">
        <w:rPr>
          <w:rFonts w:eastAsia="Aptos" w:cs="Times New Roman"/>
          <w:szCs w:val="24"/>
          <w:lang w:eastAsia="en-US"/>
        </w:rPr>
        <w:t xml:space="preserve">Mērena izaugsme kreditēšanā bija vērojama jau kopš 2024. gada, taču straujāka izaugsme ir notikusi 2025. gadā un tieši pateicoties izaugsmei jūlijā kopumā 2025. gada griezumā Latvijas kredītportfeļu pieauguma temps jau ir līdzīgs pārējo Baltijas valstu pieaugumam. Arī Solidaritātes iemaksas likuma ietekme ir veicinājusi kreditēšanas aktivitāti, kaut Finanšu nozares asociācija uzskata, ka šāda nodokļa ilgtermiņa ietekme noteikti mazina banku konkurētspēju. Pagaidām nav indikāciju, ka kreditēšanas attīstības temps varētu atkal palēnināties, jo </w:t>
      </w:r>
      <w:r w:rsidRPr="00D8017D">
        <w:rPr>
          <w:rFonts w:eastAsia="Aptos" w:cs="Times New Roman"/>
          <w:bCs/>
          <w:iCs/>
          <w:szCs w:val="24"/>
          <w:lang w:eastAsia="en-US"/>
        </w:rPr>
        <w:t>Latvijas desmit galveno ārējās tirdzniecības partnervalstu kopējās vidējās svērtās izaugsmes prognozes 2025. gadam ir augstākas nekā</w:t>
      </w:r>
      <w:r w:rsidRPr="00D8017D">
        <w:rPr>
          <w:rFonts w:eastAsia="Aptos" w:cs="Times New Roman"/>
          <w:bCs/>
          <w:i/>
          <w:szCs w:val="24"/>
          <w:lang w:eastAsia="en-US"/>
        </w:rPr>
        <w:t xml:space="preserve"> euro</w:t>
      </w:r>
      <w:r w:rsidRPr="00D8017D">
        <w:rPr>
          <w:rFonts w:eastAsia="Aptos" w:cs="Times New Roman"/>
          <w:bCs/>
          <w:iCs/>
          <w:szCs w:val="24"/>
          <w:lang w:eastAsia="en-US"/>
        </w:rPr>
        <w:t xml:space="preserve"> zonai un ES kopumā, </w:t>
      </w:r>
      <w:r w:rsidRPr="00D8017D">
        <w:rPr>
          <w:rFonts w:eastAsia="Aptos" w:cs="Times New Roman"/>
          <w:szCs w:val="24"/>
          <w:lang w:eastAsia="en-US"/>
        </w:rPr>
        <w:t>lai gan ģeopolitiskā nenoteiktība saglabājas ļoti augsta.</w:t>
      </w:r>
    </w:p>
    <w:p w14:paraId="4FC9D9A3" w14:textId="77777777" w:rsidR="005E58FF" w:rsidRPr="00D8017D" w:rsidRDefault="005E58FF" w:rsidP="005E58FF">
      <w:pPr>
        <w:autoSpaceDE w:val="0"/>
        <w:autoSpaceDN w:val="0"/>
        <w:adjustRightInd w:val="0"/>
        <w:spacing w:after="0"/>
        <w:rPr>
          <w:rFonts w:eastAsia="Aptos" w:cs="Times New Roman"/>
          <w:szCs w:val="24"/>
          <w:lang w:eastAsia="en-US"/>
        </w:rPr>
      </w:pPr>
    </w:p>
    <w:p w14:paraId="155AAE27" w14:textId="05EC3093" w:rsidR="005E58FF" w:rsidRPr="00D8017D" w:rsidRDefault="005E58FF" w:rsidP="005E58FF">
      <w:pPr>
        <w:spacing w:after="160" w:line="259" w:lineRule="auto"/>
        <w:ind w:firstLine="0"/>
        <w:jc w:val="center"/>
        <w:rPr>
          <w:rFonts w:eastAsia="Aptos" w:cs="Times New Roman"/>
          <w:szCs w:val="24"/>
          <w:lang w:eastAsia="en-US"/>
        </w:rPr>
      </w:pPr>
      <w:r w:rsidRPr="00D8017D">
        <w:rPr>
          <w:rFonts w:eastAsia="Calibri" w:cs="Times New Roman"/>
          <w:noProof/>
          <w:szCs w:val="24"/>
          <w:lang w:eastAsia="en-US"/>
          <w14:ligatures w14:val="standardContextual"/>
        </w:rPr>
        <w:drawing>
          <wp:inline distT="0" distB="0" distL="0" distR="0" wp14:anchorId="0C608EEA" wp14:editId="6F575F34">
            <wp:extent cx="5274310" cy="3570605"/>
            <wp:effectExtent l="0" t="0" r="2540" b="0"/>
            <wp:docPr id="325318299" name="Chart 1">
              <a:extLst xmlns:a="http://schemas.openxmlformats.org/drawingml/2006/main">
                <a:ext uri="{FF2B5EF4-FFF2-40B4-BE49-F238E27FC236}">
                  <a16:creationId xmlns:a16="http://schemas.microsoft.com/office/drawing/2014/main" id="{7A180801-A3B9-4FB1-B4B4-A786BFE4FA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2D7CB89" w14:textId="79185F80" w:rsidR="005E58FF" w:rsidRPr="00D8017D" w:rsidRDefault="005E58FF" w:rsidP="005E58FF">
      <w:pPr>
        <w:spacing w:after="160" w:line="259" w:lineRule="auto"/>
        <w:ind w:firstLine="0"/>
        <w:jc w:val="center"/>
        <w:rPr>
          <w:rFonts w:eastAsia="Calibri" w:cs="Times New Roman"/>
          <w:b/>
          <w:szCs w:val="24"/>
          <w:lang w:eastAsia="en-US"/>
        </w:rPr>
      </w:pPr>
      <w:r w:rsidRPr="00D8017D">
        <w:rPr>
          <w:rFonts w:eastAsia="Calibri" w:cs="Times New Roman"/>
          <w:b/>
          <w:i/>
          <w:szCs w:val="24"/>
          <w:lang w:eastAsia="en-US"/>
        </w:rPr>
        <w:t xml:space="preserve">1.11. att. Rezidentiem izsniegtie jaunie kredīti (bez refinansētiem kredītiem, milj. </w:t>
      </w:r>
      <w:r w:rsidRPr="00D8017D">
        <w:rPr>
          <w:rFonts w:eastAsia="Calibri" w:cs="Times New Roman"/>
          <w:b/>
          <w:i/>
          <w:iCs/>
          <w:szCs w:val="24"/>
          <w:lang w:eastAsia="en-US"/>
        </w:rPr>
        <w:t>euro</w:t>
      </w:r>
      <w:r w:rsidRPr="00D8017D">
        <w:rPr>
          <w:rFonts w:eastAsia="Calibri" w:cs="Times New Roman"/>
          <w:b/>
          <w:i/>
          <w:szCs w:val="24"/>
          <w:lang w:eastAsia="en-US"/>
        </w:rPr>
        <w:t>)</w:t>
      </w:r>
    </w:p>
    <w:p w14:paraId="3BA8178B" w14:textId="77777777" w:rsidR="005E58FF" w:rsidRPr="00D8017D" w:rsidRDefault="005E58FF" w:rsidP="005E58FF">
      <w:pPr>
        <w:rPr>
          <w:rFonts w:eastAsia="Calibri" w:cs="Arial"/>
          <w:b/>
          <w:bCs/>
          <w:szCs w:val="24"/>
        </w:rPr>
      </w:pPr>
      <w:r w:rsidRPr="00D8017D">
        <w:rPr>
          <w:rFonts w:eastAsia="Calibri" w:cs="Arial"/>
          <w:b/>
          <w:bCs/>
          <w:szCs w:val="24"/>
        </w:rPr>
        <w:t>Lauksaimniecība</w:t>
      </w:r>
    </w:p>
    <w:p w14:paraId="3A9C01FE" w14:textId="385248D0"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 xml:space="preserve">Lauksaimniecība 2024. gadā veidoja 3,4% no visas tautsaimniecības, kas ir par 0,1 </w:t>
      </w:r>
      <w:r w:rsidR="007D715E">
        <w:rPr>
          <w:rFonts w:eastAsia="Calibri" w:cs="Times New Roman"/>
          <w:szCs w:val="20"/>
          <w:lang w:eastAsia="en-US"/>
        </w:rPr>
        <w:t>pp</w:t>
      </w:r>
      <w:r w:rsidRPr="00D8017D">
        <w:rPr>
          <w:rFonts w:eastAsia="Calibri" w:cs="Times New Roman"/>
          <w:szCs w:val="20"/>
          <w:lang w:eastAsia="en-US"/>
        </w:rPr>
        <w:t xml:space="preserve"> vairāk nekā gadu iepriekš, tomēr īpatsvars ilgtermiņā ir sarucis, un ir par 0,6 pp zemāks par pēdējo desmit gadu vidējo līmeni. Lauksaimniecības nozari veido mežsaimniecība un mežizstrāde (53% īpatsvars 2024. gadā no visas lauksaimniecības), lauksaimniecība (lopkopība un augkopība) (41%) un zivsaimniecība (6%). Mežsaimniecības īpatsvars kopējā lauksaimniecībā gadu iepriekš bijis par </w:t>
      </w:r>
      <w:r w:rsidRPr="00D8017D">
        <w:rPr>
          <w:rFonts w:eastAsia="Calibri" w:cs="Times New Roman"/>
          <w:szCs w:val="20"/>
          <w:lang w:eastAsia="en-US"/>
        </w:rPr>
        <w:lastRenderedPageBreak/>
        <w:t>3 pp augstāks, bet lauksaimniecības un zivsaimniecības īpatsvari bijuši attiecīgi par 2 pp un 1 pp zemāki.</w:t>
      </w:r>
    </w:p>
    <w:p w14:paraId="2A347D5A" w14:textId="17EF449C" w:rsidR="00A067CB" w:rsidRPr="00A067CB" w:rsidRDefault="005E58FF" w:rsidP="00A067CB">
      <w:pPr>
        <w:spacing w:before="120" w:after="240"/>
        <w:rPr>
          <w:rFonts w:eastAsia="Calibri" w:cs="Times New Roman"/>
          <w:szCs w:val="20"/>
          <w:lang w:eastAsia="en-US"/>
        </w:rPr>
      </w:pPr>
      <w:r w:rsidRPr="00D8017D">
        <w:rPr>
          <w:rFonts w:eastAsia="Calibri" w:cs="Times New Roman"/>
          <w:szCs w:val="20"/>
          <w:lang w:eastAsia="en-US"/>
        </w:rPr>
        <w:t>Lopkopības produkcijas apjoms 2024. gadā pret iepriekšējo gadu saruka par 1,2%, bet augkopības produkcijas apjoms pieauga par 7,5%, tādējādi lauksaimniecības produkcija kopā palielinājās par 3,9% (1.12. attēls). Augkopību 2024. gada ražas sezonā negatīvi ietekmēja sausums pavasarī, kā arī spēcīgas lietavas jūlijā, tomēr produkcijas apmēri bijuši lielāki, nekā gadu iepriekš, kad lauksaimnieki saskārās ar spēcīgām vētrām un krusu.</w:t>
      </w:r>
    </w:p>
    <w:p w14:paraId="7FB11C1A" w14:textId="32A2504C" w:rsidR="00A067CB" w:rsidRDefault="00A067CB" w:rsidP="00A067CB">
      <w:pPr>
        <w:spacing w:after="160" w:line="259" w:lineRule="auto"/>
        <w:ind w:firstLine="0"/>
        <w:jc w:val="center"/>
        <w:rPr>
          <w:rFonts w:eastAsia="Calibri" w:cs="Times New Roman"/>
          <w:b/>
          <w:i/>
          <w:sz w:val="22"/>
          <w:lang w:eastAsia="en-US"/>
        </w:rPr>
      </w:pPr>
      <w:r>
        <w:rPr>
          <w:rFonts w:eastAsia="Calibri" w:cs="Times New Roman"/>
          <w:b/>
          <w:i/>
          <w:noProof/>
          <w:sz w:val="22"/>
          <w:lang w:eastAsia="en-US"/>
        </w:rPr>
        <w:drawing>
          <wp:inline distT="0" distB="0" distL="0" distR="0" wp14:anchorId="7BBDF084" wp14:editId="68A8E692">
            <wp:extent cx="4572635" cy="2743200"/>
            <wp:effectExtent l="0" t="0" r="0" b="0"/>
            <wp:docPr id="63762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7B71D61C" w14:textId="2465779C" w:rsidR="005E58FF" w:rsidRPr="00D8017D" w:rsidRDefault="005E58FF" w:rsidP="00A067CB">
      <w:pPr>
        <w:spacing w:after="160" w:line="259" w:lineRule="auto"/>
        <w:ind w:firstLine="0"/>
        <w:jc w:val="center"/>
        <w:rPr>
          <w:rFonts w:eastAsia="Calibri" w:cs="Times New Roman"/>
          <w:b/>
          <w:i/>
          <w:sz w:val="22"/>
          <w:lang w:eastAsia="en-US"/>
        </w:rPr>
      </w:pPr>
      <w:r w:rsidRPr="00D8017D">
        <w:rPr>
          <w:rFonts w:eastAsia="Calibri" w:cs="Times New Roman"/>
          <w:b/>
          <w:i/>
          <w:sz w:val="22"/>
          <w:lang w:eastAsia="en-US"/>
        </w:rPr>
        <w:t>1.12. </w:t>
      </w:r>
      <w:r w:rsidRPr="00D8017D">
        <w:rPr>
          <w:rFonts w:eastAsia="Calibri" w:cs="Times New Roman"/>
          <w:b/>
          <w:i/>
          <w:szCs w:val="24"/>
          <w:lang w:eastAsia="en-US"/>
        </w:rPr>
        <w:t>att</w:t>
      </w:r>
      <w:r w:rsidRPr="00D8017D">
        <w:rPr>
          <w:rFonts w:eastAsia="Calibri" w:cs="Times New Roman"/>
          <w:b/>
          <w:i/>
          <w:sz w:val="22"/>
          <w:lang w:eastAsia="en-US"/>
        </w:rPr>
        <w:t>.</w:t>
      </w:r>
      <w:r w:rsidR="00A067CB">
        <w:rPr>
          <w:rFonts w:eastAsia="Calibri" w:cs="Times New Roman"/>
          <w:b/>
          <w:i/>
          <w:sz w:val="22"/>
          <w:lang w:eastAsia="en-US"/>
        </w:rPr>
        <w:t xml:space="preserve"> </w:t>
      </w:r>
      <w:r w:rsidRPr="00D8017D">
        <w:rPr>
          <w:rFonts w:eastAsia="Calibri" w:cs="Times New Roman"/>
          <w:b/>
          <w:i/>
          <w:sz w:val="22"/>
          <w:lang w:eastAsia="en-US"/>
        </w:rPr>
        <w:t>Lauksaimniecības produkcijas indeksi (salīdzināmajās cenās, 2015=100)</w:t>
      </w:r>
    </w:p>
    <w:p w14:paraId="592FE668" w14:textId="77777777" w:rsidR="005E58FF" w:rsidRPr="00D8017D" w:rsidRDefault="005E58FF" w:rsidP="005E58FF">
      <w:pPr>
        <w:spacing w:before="120"/>
        <w:rPr>
          <w:rFonts w:eastAsia="Calibri" w:cs="Times New Roman"/>
          <w:szCs w:val="20"/>
          <w:lang w:eastAsia="en-US"/>
        </w:rPr>
      </w:pPr>
      <w:r w:rsidRPr="00D8017D">
        <w:rPr>
          <w:rFonts w:eastAsia="Calibri" w:cs="Times New Roman"/>
          <w:szCs w:val="20"/>
          <w:lang w:eastAsia="en-US"/>
        </w:rPr>
        <w:t>Lauksaimniecības produkcijas cenas (1.13. attēls) 2024. gadā pieauga par 2,3%, ko noteica cenu kāpums lauksaimniecības dzīvniekiem, īpaši mājputniem. Par 13,9% pieauga arī piena produkcijas cenas, savukārt augkopības produkcijas cenas saruka par 4,5%. Cenu kāpums pastiprinājās 2025. gada pirmajā pusgadā, sasniedzot 17,6% pieaugumu. To noteica gan lopkopības produkcijas cenu pieaugums, it īpaši liellopiem, gan arī piena produkcijas cenu kāpums. Ievērojami augušas arī olu produkcijas cenas.</w:t>
      </w:r>
    </w:p>
    <w:p w14:paraId="1DA715E6" w14:textId="77777777" w:rsidR="005E58FF" w:rsidRPr="00D8017D" w:rsidRDefault="005E58FF" w:rsidP="005E58FF">
      <w:pPr>
        <w:spacing w:after="160" w:line="259" w:lineRule="auto"/>
        <w:ind w:firstLine="0"/>
        <w:jc w:val="center"/>
        <w:rPr>
          <w:rFonts w:ascii="Calibri" w:eastAsia="Calibri" w:hAnsi="Calibri" w:cs="Times New Roman"/>
          <w:sz w:val="22"/>
          <w:lang w:eastAsia="en-US"/>
        </w:rPr>
      </w:pPr>
      <w:r w:rsidRPr="00D8017D">
        <w:rPr>
          <w:rFonts w:ascii="Calibri" w:eastAsia="Calibri" w:hAnsi="Calibri" w:cs="Times New Roman"/>
          <w:noProof/>
          <w:sz w:val="22"/>
          <w:lang w:eastAsia="en-US"/>
        </w:rPr>
        <w:drawing>
          <wp:inline distT="0" distB="0" distL="0" distR="0" wp14:anchorId="1044816D" wp14:editId="2E559F48">
            <wp:extent cx="4445000" cy="2127250"/>
            <wp:effectExtent l="0" t="0" r="0" b="6350"/>
            <wp:docPr id="1236883029" name="Chart 1">
              <a:extLst xmlns:a="http://schemas.openxmlformats.org/drawingml/2006/main">
                <a:ext uri="{FF2B5EF4-FFF2-40B4-BE49-F238E27FC236}">
                  <a16:creationId xmlns:a16="http://schemas.microsoft.com/office/drawing/2014/main" id="{E8D40D69-9568-4B8C-B0E5-F1B2167496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DFFE489" w14:textId="162440B1" w:rsidR="005E58FF" w:rsidRPr="00D8017D" w:rsidRDefault="005E58FF" w:rsidP="005E58FF">
      <w:pPr>
        <w:spacing w:before="120" w:after="0"/>
        <w:ind w:firstLine="0"/>
        <w:jc w:val="center"/>
        <w:rPr>
          <w:rFonts w:eastAsia="Times New Roman" w:cs="Times New Roman"/>
          <w:b/>
          <w:i/>
          <w:szCs w:val="24"/>
        </w:rPr>
      </w:pPr>
      <w:r w:rsidRPr="00D8017D">
        <w:rPr>
          <w:rFonts w:eastAsia="Times New Roman" w:cs="Times New Roman"/>
          <w:b/>
          <w:i/>
          <w:szCs w:val="24"/>
        </w:rPr>
        <w:t>1.13. </w:t>
      </w:r>
      <w:r w:rsidRPr="00D8017D">
        <w:rPr>
          <w:rFonts w:eastAsia="Calibri" w:cs="Times New Roman"/>
          <w:b/>
          <w:i/>
          <w:szCs w:val="24"/>
          <w:lang w:eastAsia="en-US"/>
        </w:rPr>
        <w:t>att</w:t>
      </w:r>
      <w:r w:rsidRPr="00D8017D">
        <w:rPr>
          <w:rFonts w:eastAsia="Times New Roman" w:cs="Times New Roman"/>
          <w:b/>
          <w:i/>
          <w:szCs w:val="24"/>
        </w:rPr>
        <w:t>. Lauksaimniecības produkcijas cenu indeksi 2020=100</w:t>
      </w:r>
    </w:p>
    <w:p w14:paraId="4CEF164A" w14:textId="7E038C89" w:rsidR="005E58FF" w:rsidRPr="00D8017D" w:rsidRDefault="005E58FF" w:rsidP="0059188E">
      <w:pPr>
        <w:spacing w:before="120" w:after="0"/>
        <w:rPr>
          <w:rFonts w:ascii="Calibri" w:eastAsia="Calibri" w:hAnsi="Calibri" w:cs="Times New Roman"/>
          <w:sz w:val="22"/>
          <w:lang w:eastAsia="en-US"/>
        </w:rPr>
      </w:pPr>
      <w:r w:rsidRPr="00D8017D">
        <w:rPr>
          <w:rFonts w:eastAsia="Calibri" w:cs="Times New Roman"/>
          <w:szCs w:val="20"/>
          <w:lang w:eastAsia="en-US"/>
        </w:rPr>
        <w:t>Mežsaimniecības un mežizstrādes nozare 2024. gadā aizņēma 53% no visas lauksaimniecības, mežsaimniecības un zivsaimniecības kopā, kas ir par 3 </w:t>
      </w:r>
      <w:r w:rsidR="00936796">
        <w:rPr>
          <w:rFonts w:eastAsia="Calibri" w:cs="Times New Roman"/>
          <w:szCs w:val="20"/>
          <w:lang w:eastAsia="en-US"/>
        </w:rPr>
        <w:t>pp</w:t>
      </w:r>
      <w:r w:rsidRPr="00D8017D">
        <w:rPr>
          <w:rFonts w:eastAsia="Calibri" w:cs="Times New Roman"/>
          <w:szCs w:val="20"/>
          <w:lang w:eastAsia="en-US"/>
        </w:rPr>
        <w:t xml:space="preserve"> mazāk nekā gadu </w:t>
      </w:r>
      <w:r w:rsidRPr="00D8017D">
        <w:rPr>
          <w:rFonts w:eastAsia="Calibri" w:cs="Times New Roman"/>
          <w:szCs w:val="20"/>
          <w:lang w:eastAsia="en-US"/>
        </w:rPr>
        <w:lastRenderedPageBreak/>
        <w:t>iepriekš. Tomēr mežu platības gan 2024., gan 2025. gada sākumā bijušas par 0,2% lielākas kā gadu iepriekš. Meža nozari 2023. un 2024. gadā nelabvēlīgi ietekmēja mizgraužu bojājumi, bojājumu rezultātā izcirstajiem apjomiem palielinoties attiecīgi par 115% un 28%. Kaitēkļu bojājumu rezultātā 2024. gadā izcirsti 1714 tūkst</w:t>
      </w:r>
      <w:r w:rsidR="007D715E">
        <w:rPr>
          <w:rFonts w:eastAsia="Calibri" w:cs="Times New Roman"/>
          <w:szCs w:val="20"/>
          <w:lang w:eastAsia="en-US"/>
        </w:rPr>
        <w:t xml:space="preserve">. </w:t>
      </w:r>
      <w:r w:rsidR="007D715E" w:rsidRPr="007D715E">
        <w:rPr>
          <w:rFonts w:eastAsia="Calibri" w:cs="Times New Roman"/>
          <w:szCs w:val="20"/>
          <w:lang w:eastAsia="en-US"/>
        </w:rPr>
        <w:t>m</w:t>
      </w:r>
      <w:r w:rsidR="007D715E" w:rsidRPr="007D715E">
        <w:rPr>
          <w:rFonts w:eastAsia="Calibri" w:cs="Times New Roman"/>
          <w:szCs w:val="20"/>
          <w:vertAlign w:val="superscript"/>
          <w:lang w:eastAsia="en-US"/>
        </w:rPr>
        <w:t>3</w:t>
      </w:r>
      <w:r w:rsidRPr="00D8017D">
        <w:rPr>
          <w:rFonts w:eastAsia="Calibri" w:cs="Times New Roman"/>
          <w:szCs w:val="20"/>
          <w:lang w:eastAsia="en-US"/>
        </w:rPr>
        <w:t xml:space="preserve"> apaļkoku. Lietkoki apaļkoku veidā 2023. gadā ražoti par 11,7% mazāk, nekā gadu iepriekš, bet 2024. gadā apjomi samazinājās vēl par 2,5% veidojot 13 500 tūkst. m</w:t>
      </w:r>
      <w:r w:rsidRPr="00D8017D">
        <w:rPr>
          <w:rFonts w:eastAsia="Calibri" w:cs="Times New Roman"/>
          <w:szCs w:val="20"/>
          <w:vertAlign w:val="superscript"/>
          <w:lang w:eastAsia="en-US"/>
        </w:rPr>
        <w:t>3</w:t>
      </w:r>
      <w:r w:rsidRPr="00D8017D">
        <w:rPr>
          <w:rFonts w:eastAsia="Calibri" w:cs="Times New Roman"/>
          <w:szCs w:val="20"/>
          <w:lang w:eastAsia="en-US"/>
        </w:rPr>
        <w:t>. Nozari 2024. gada nogalē un 2025. gada sākumā nelabvēlīgi ietekmēja salīdzinoši siltā un mitrā ziema, kas apgrūtināja koksnes izvešanu no mežiem. Pieaugot kokrūpniecības apjumiem 2025. gadā, pieprasījums pēc apaļkoku produkcijas palielināsies, kas veicinās arī mežizstrādi.</w:t>
      </w:r>
    </w:p>
    <w:p w14:paraId="644069E3" w14:textId="77777777" w:rsidR="0097575B" w:rsidRPr="00D8017D" w:rsidRDefault="0097575B" w:rsidP="0097575B">
      <w:pPr>
        <w:spacing w:before="240" w:after="240"/>
        <w:ind w:firstLine="0"/>
        <w:jc w:val="center"/>
        <w:outlineLvl w:val="2"/>
        <w:rPr>
          <w:rFonts w:eastAsia="Times New Roman" w:cs="Times New Roman"/>
          <w:b/>
          <w:sz w:val="32"/>
          <w:szCs w:val="20"/>
          <w:lang w:eastAsia="en-US"/>
        </w:rPr>
      </w:pPr>
      <w:bookmarkStart w:id="10" w:name="_Toc210289867"/>
      <w:bookmarkEnd w:id="9"/>
      <w:r w:rsidRPr="00D8017D">
        <w:rPr>
          <w:rFonts w:eastAsia="Times New Roman" w:cs="Times New Roman"/>
          <w:b/>
          <w:sz w:val="32"/>
          <w:szCs w:val="20"/>
          <w:lang w:eastAsia="en-US"/>
        </w:rPr>
        <w:t>1.2.2. Inflācija</w:t>
      </w:r>
      <w:bookmarkEnd w:id="10"/>
    </w:p>
    <w:p w14:paraId="7B0C50A6" w14:textId="7C61ED83" w:rsidR="0097575B" w:rsidRPr="00D8017D" w:rsidRDefault="0097575B" w:rsidP="0097575B">
      <w:pPr>
        <w:spacing w:before="120"/>
        <w:rPr>
          <w:rFonts w:eastAsia="Aptos" w:cs="Times New Roman"/>
          <w:szCs w:val="20"/>
          <w:lang w:eastAsia="en-US"/>
          <w14:ligatures w14:val="standardContextual"/>
        </w:rPr>
      </w:pPr>
      <w:bookmarkStart w:id="11" w:name="_Toc178763478"/>
      <w:r w:rsidRPr="00D8017D">
        <w:rPr>
          <w:rFonts w:eastAsia="Aptos" w:cs="Times New Roman"/>
          <w:szCs w:val="20"/>
          <w:lang w:eastAsia="en-US"/>
          <w14:ligatures w14:val="standardContextual"/>
        </w:rPr>
        <w:t xml:space="preserve">2024. gadā inflācija Latvijā stabilizējās zemā līmenī. Atbilstoši </w:t>
      </w:r>
      <w:r w:rsidR="00012C72" w:rsidRPr="00D8017D">
        <w:rPr>
          <w:rFonts w:eastAsia="Aptos" w:cs="Times New Roman"/>
          <w:szCs w:val="20"/>
          <w:lang w:eastAsia="en-US"/>
          <w14:ligatures w14:val="standardContextual"/>
        </w:rPr>
        <w:t>CSP</w:t>
      </w:r>
      <w:r w:rsidRPr="00D8017D">
        <w:rPr>
          <w:rFonts w:eastAsia="Aptos" w:cs="Times New Roman"/>
          <w:szCs w:val="20"/>
          <w:lang w:eastAsia="en-US"/>
          <w14:ligatures w14:val="standardContextual"/>
        </w:rPr>
        <w:t xml:space="preserve"> datiem, vidējais patēriņa cenu līmenis 2024. gadā bija par 1,3% augstāks nekā iepriekšējā gadā. Zemo inflācijas līmeni, it īpaši salīdzinājumā ar iepriekšējiem gadiem, noteica energoresursu cenu kritums pasaules tirgū pēc straujā kāpuma 2022. gadā, kas 2024. gadā pazeminājis ar mājokli uzturēšanu energoresursu saistīto preču un pakalpojumu cenas kopumā par 13,9%. Noteicošo pazeminošo ietekmi nodrošināja elektroenerģijas un siltumenerģijas tarifu samazinājums attiecīgi par 13,8% un 16,1%. Samazinājās arī gāzes un cietā kurināmā cenas – attiecīgi par 7,9% un 10,1% salīdzinājumā ar 2023. gadu. Tomēr gāzes un cietā kurināmā īpatsvars patēriņa grozā ir būtiski zemāks, līdz ar to arī ietekme uz inflāciju ir būtiski zemāka nekā elektroenerģijas un siltumenerģijas cenu kritumam. Jāatzīmē, ka augstāk minēto preču cenu pārmaiņas gada izteiksmē, it īpaši elektroenerģijai un siltumenerģijai, būtiski ietekmēja bāzes efekti, jo līdz 2023. gada aprīlim bija spēkā valdības atbalsts energoresursu cenu pieauguma daļējai kompensēšanai mājsaimniecībām, līdz ar to, sākot ar 2024. gada maiju, beidzās šī atbalsta ietekme uz cenu dinamiku. Tieši ar šo ir skaidrojama situācija, kad 2024. gada maijā elektroenerģijas un siltumenerģijas tarifu samazinājums kļuva lielāks salīdzinājumā ar 2024. gada iepriekšējiem mēnešiem.</w:t>
      </w:r>
    </w:p>
    <w:p w14:paraId="227EFAED" w14:textId="26F243D7"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Pretēja situācija bija vērojama citām komunālajām precēm un pakalpojumiem. Tā, ūdensapgādes un atkritumu savākšanas pakalpojumu cenas 2024. gadā palielinājās attiecīgi par 3,1% un 15,0%. Šo pakalpojumu cenas arī ietekmē energoresursu cenu svārstības, tomēr mazākā mērā nekā elektroenerģijai vai siltumenerģijai. Cenu pieaugumu šiem pakalpojumiem lielā mērā nosaka darba samaksas pieaugums, kā arī infrastruktūras uzturēšanas izmaksu kāpums. Atkritumu savākšanas pakalpojumu cenu paaugstina arī </w:t>
      </w:r>
      <w:r w:rsidR="003F5E29">
        <w:rPr>
          <w:rFonts w:eastAsia="Aptos" w:cs="Times New Roman"/>
          <w:szCs w:val="20"/>
          <w:lang w:eastAsia="en-US"/>
          <w14:ligatures w14:val="standardContextual"/>
        </w:rPr>
        <w:t>DRN</w:t>
      </w:r>
      <w:r w:rsidRPr="00D8017D">
        <w:rPr>
          <w:rFonts w:eastAsia="Aptos" w:cs="Times New Roman"/>
          <w:szCs w:val="20"/>
          <w:lang w:eastAsia="en-US"/>
          <w14:ligatures w14:val="standardContextual"/>
        </w:rPr>
        <w:t xml:space="preserve"> likmju pieaugums par atkritumu apglabāšanu.</w:t>
      </w:r>
    </w:p>
    <w:p w14:paraId="7C6D0B12" w14:textId="0D147F55"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Degvielas cenas 2024. gadā bija par 1,7% zemākas nekā iepriekšējā gadā. Pērnajā gadā 95.</w:t>
      </w:r>
      <w:r w:rsidR="00911890">
        <w:rPr>
          <w:rFonts w:eastAsia="Aptos" w:cs="Times New Roman"/>
          <w:szCs w:val="20"/>
          <w:lang w:eastAsia="en-US"/>
          <w14:ligatures w14:val="standardContextual"/>
        </w:rPr>
        <w:t xml:space="preserve"> </w:t>
      </w:r>
      <w:r w:rsidRPr="00D8017D">
        <w:rPr>
          <w:rFonts w:eastAsia="Aptos" w:cs="Times New Roman"/>
          <w:szCs w:val="20"/>
          <w:lang w:eastAsia="en-US"/>
          <w14:ligatures w14:val="standardContextual"/>
        </w:rPr>
        <w:t xml:space="preserve">markas benzīna vidējā cena bija 1,607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par litru jeb par 3 centiem mazāk nekā pirms gada, bet dīzeļdegviela maksāja 1,565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par litru jeb par 2,4 centiem mazāk. Nelielu degvielas cenu kritumu noteica gan ārējie, gan iekšējie faktori. No ārējiem faktoriem jāmin naftas cenu kritums 2024. gada otrajā pusē. Būtiska loma naftas cenu kritumā bijusi Ķīnas ekonomikai. Lai arī tā turpināja palielināties, tomēr nedaudz mērenākā tempā nekā 2023. gadā, it īpaši gada otrajā pusē, ko apliecina arī biznesa aktivitātes indeksa dati, kuri bija vāji. Vienlaicīgi arī pasaules lielākā ekonomika – ASV – nebija bagāta ar pozitīvām ziņām. Kopš pērnā gada jūlijā līdz pat gada beigām rūpniecības apjomi ASV turpināja samazināties, strauji samazinoties pasūtījumiem un ražošanai. Uzņēmējdarbības aktivitātes indekss visu otro pusgadu bija zem 50, radot bažas par plašāku ekonomikas lejupslīdi un vājāku energoresursu patēriņu. Tas kopā ar </w:t>
      </w:r>
      <w:r w:rsidR="005136DF" w:rsidRPr="005136DF">
        <w:rPr>
          <w:rFonts w:eastAsia="Aptos" w:cs="Times New Roman"/>
          <w:szCs w:val="20"/>
          <w:lang w:eastAsia="en-US"/>
          <w14:ligatures w14:val="standardContextual"/>
        </w:rPr>
        <w:t>Naftas eksportētājvalstu organizācij</w:t>
      </w:r>
      <w:r w:rsidR="005136DF">
        <w:rPr>
          <w:rFonts w:eastAsia="Aptos" w:cs="Times New Roman"/>
          <w:szCs w:val="20"/>
          <w:lang w:eastAsia="en-US"/>
          <w14:ligatures w14:val="standardContextual"/>
        </w:rPr>
        <w:t>as</w:t>
      </w:r>
      <w:r w:rsidR="005136DF" w:rsidRPr="005136DF">
        <w:rPr>
          <w:rFonts w:eastAsia="Aptos" w:cs="Times New Roman"/>
          <w:szCs w:val="20"/>
          <w:lang w:eastAsia="en-US"/>
          <w14:ligatures w14:val="standardContextual"/>
        </w:rPr>
        <w:t xml:space="preserve"> </w:t>
      </w:r>
      <w:r w:rsidR="005136DF">
        <w:rPr>
          <w:rFonts w:eastAsia="Aptos" w:cs="Times New Roman"/>
          <w:szCs w:val="20"/>
          <w:lang w:eastAsia="en-US"/>
          <w14:ligatures w14:val="standardContextual"/>
        </w:rPr>
        <w:t>(</w:t>
      </w:r>
      <w:r w:rsidRPr="00D8017D">
        <w:rPr>
          <w:rFonts w:eastAsia="Aptos" w:cs="Times New Roman"/>
          <w:szCs w:val="20"/>
          <w:lang w:eastAsia="en-US"/>
          <w14:ligatures w14:val="standardContextual"/>
        </w:rPr>
        <w:t>OPEC+</w:t>
      </w:r>
      <w:r w:rsidR="005136DF">
        <w:rPr>
          <w:rFonts w:eastAsia="Aptos" w:cs="Times New Roman"/>
          <w:szCs w:val="20"/>
          <w:lang w:eastAsia="en-US"/>
          <w14:ligatures w14:val="standardContextual"/>
        </w:rPr>
        <w:t>)</w:t>
      </w:r>
      <w:r w:rsidRPr="00D8017D">
        <w:rPr>
          <w:rFonts w:eastAsia="Aptos" w:cs="Times New Roman"/>
          <w:szCs w:val="20"/>
          <w:lang w:eastAsia="en-US"/>
          <w14:ligatures w14:val="standardContextual"/>
        </w:rPr>
        <w:t xml:space="preserve"> vēlmi palielināt jēlnaftas ieguves apjomu, neskatoties uz to, ka tirgū jau ir pārmērīgs naftas piedāvājums, samazināja naftas cenu 2024. gadā. Pie iekšējiem faktoriem </w:t>
      </w:r>
      <w:r w:rsidRPr="00D8017D">
        <w:rPr>
          <w:rFonts w:eastAsia="Aptos" w:cs="Times New Roman"/>
          <w:szCs w:val="20"/>
          <w:lang w:eastAsia="en-US"/>
          <w14:ligatures w14:val="standardContextual"/>
        </w:rPr>
        <w:lastRenderedPageBreak/>
        <w:t>jāatzīmē tas, ka 2024. gadā augustā Rīgā savu darbību paplašināja viens no degvielas mazumtirgotājiem, kas saasināja konkurenci degvielas mazumtirdzniecībā galvaspilsētā.</w:t>
      </w:r>
    </w:p>
    <w:p w14:paraId="7E4E9B7C" w14:textId="77777777"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Inflācija varēja būt vēl zemāka, taču to ierobežoja pārtikas cenu pieaugums, kas bija vairāk nekā divas reizes augstāks nekā vidējais patēriņa cenu pieaugums. Pārtika un bezalkoholiskie dzērieni 2024. gadā bija par 2,8% dārgāki. Lai arī šādu pieaugumu var uzskatīt par mērenu, it īpaši salīdzinājumā ar iepriekšējiem diviem gadiem, tomēr pārtikas cenu pieaugumam būtu bijis jābūt vēl mazākam, jo pārtikas ražošanas izmaksas, kā arī loģistikas izmaksas ir būtiski samazinājušās. Ražotāju cenas vietējā tirgū realizētajai pārtikai jau kopš 2023. gada oktobra nepārtraukti samazinās, un 2024. gadā tās bija par 0,5% zemākas nekā pirms gada. Samazinājās arī neapstrādātās pārtikas cenas pasaulē, kas ietekmē Latvijas importētās pārtikas cenas. Atbilstoši ANO Pārtikas un lauksaimniecības organizācijas datiem, neapstrādātās pārtikas cenas 2024. gadā bija par 2,0% zemākas. Ņemot vērā, ka 2023. gadā neapstrādātās pārtikas cenas samazinājās par 13,8%, tad divos gados kopā kritums veido 15,6%, kas ir ievērojams. Tas kopā ar būtiski zemākiem elektroenerģijas un siltumenerģijas tarifiem Latvijā, kas samazina arī mazumtirgotāju izmaksas, atstāj būtisku pazeminošu ietekmi uz pārtikas cenām. Pārtikas cenām ir būtiska ietekme uz vidējo inflāciju, jo pārtikas precēm mājsaimniecības patēriņa grozā ir vislielākais īpatsvars starp visām precēm un pakalpojumiem – 26,5%. Pārtikas cenu pieaugums 2023. gada laikā, tāpat kā vidējā inflācija, bremzējās, tomēr pārtikas inflācija visa gada garumā bija augstāka par vidējo inflāciju, kas radīja būtisku spiedienu uz mājsaimniecību izdevumiem. Līdzīga situācija saglabājās arī 2024. gadā un turpinās arī 2025. gadā.</w:t>
      </w:r>
    </w:p>
    <w:p w14:paraId="28AFDE42" w14:textId="719284DC"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2024. gadā Latvijā fiksētā inflācija bija viena no zemākajām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zonas dalībvalstu vidū, un bija būtiski zemāka nekā vidējā inflācija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zonā 2,4% apmērā, ko lielā mērā noteica ar mājokļa uzturēšanu saistīto energoresursu cenu kritums Latvijā. 2025. gadā vērojama pretēja situācija. Saskaņā ar </w:t>
      </w:r>
      <w:r w:rsidRPr="00D8017D">
        <w:rPr>
          <w:rFonts w:eastAsia="Aptos" w:cs="Times New Roman"/>
          <w:i/>
          <w:iCs/>
          <w:szCs w:val="20"/>
          <w:lang w:eastAsia="en-US"/>
          <w14:ligatures w14:val="standardContextual"/>
        </w:rPr>
        <w:t xml:space="preserve">Eurostat </w:t>
      </w:r>
      <w:r w:rsidRPr="00D8017D">
        <w:rPr>
          <w:rFonts w:eastAsia="Aptos" w:cs="Times New Roman"/>
          <w:szCs w:val="20"/>
          <w:lang w:eastAsia="en-US"/>
          <w14:ligatures w14:val="standardContextual"/>
        </w:rPr>
        <w:t xml:space="preserve">aktuālākajiem datiem, šā gada augustā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zonas vidējā inflācija bija gandrīz divas reizes zemāka nekā Latvijā un veidoja 2,1%, bet vidējais patēriņa cenu pieaugums pirmajos astoņos mēnešos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zonā </w:t>
      </w:r>
      <w:r w:rsidR="00911890">
        <w:rPr>
          <w:rFonts w:eastAsia="Aptos" w:cs="Times New Roman"/>
          <w:szCs w:val="20"/>
          <w:lang w:eastAsia="en-US"/>
          <w14:ligatures w14:val="standardContextual"/>
        </w:rPr>
        <w:t>veidoja</w:t>
      </w:r>
      <w:r w:rsidR="00911890" w:rsidRPr="00D8017D">
        <w:rPr>
          <w:rFonts w:eastAsia="Aptos" w:cs="Times New Roman"/>
          <w:szCs w:val="20"/>
          <w:lang w:eastAsia="en-US"/>
          <w14:ligatures w14:val="standardContextual"/>
        </w:rPr>
        <w:t xml:space="preserve"> </w:t>
      </w:r>
      <w:r w:rsidRPr="00D8017D">
        <w:rPr>
          <w:rFonts w:eastAsia="Aptos" w:cs="Times New Roman"/>
          <w:szCs w:val="20"/>
          <w:lang w:eastAsia="en-US"/>
          <w14:ligatures w14:val="standardContextual"/>
        </w:rPr>
        <w:t xml:space="preserve">2,2%, salīdzinot ar attiecīgo periodu pērn. Savukārt Latvijā attiecīgajā periodā saskaņotais patēriņa cenu indekss palielinājies par 3,8%. Vēl augstāka inflācija starp </w:t>
      </w:r>
      <w:r w:rsidRPr="00D8017D">
        <w:rPr>
          <w:rFonts w:eastAsia="Aptos" w:cs="Times New Roman"/>
          <w:i/>
          <w:iCs/>
          <w:szCs w:val="20"/>
          <w:lang w:eastAsia="en-US"/>
          <w14:ligatures w14:val="standardContextual"/>
        </w:rPr>
        <w:t xml:space="preserve">euro </w:t>
      </w:r>
      <w:r w:rsidRPr="00D8017D">
        <w:rPr>
          <w:rFonts w:eastAsia="Aptos" w:cs="Times New Roman"/>
          <w:szCs w:val="20"/>
          <w:lang w:eastAsia="en-US"/>
          <w14:ligatures w14:val="standardContextual"/>
        </w:rPr>
        <w:t xml:space="preserve">zonas dalībvalstīm gan augustā, gan gada pirmajos astoņos mēnešos bija tikai Igaunijā, Slovākijā un Horvātijā. Inflāciju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zonā šogad var raksturot kā stabilu. Kopš gada sākuma tā pat ir nedaudz samazinājusies, tādējādi mērķtiecīgi virzoties uz centrālās bankas noteikto 2% mērķi. Savukārt inflācija Latvijā kopš gada sākuma pretēji </w:t>
      </w:r>
      <w:r w:rsidRPr="00D8017D">
        <w:rPr>
          <w:rFonts w:eastAsia="Aptos" w:cs="Times New Roman"/>
          <w:i/>
          <w:iCs/>
          <w:szCs w:val="20"/>
          <w:lang w:eastAsia="en-US"/>
          <w14:ligatures w14:val="standardContextual"/>
        </w:rPr>
        <w:t xml:space="preserve">euro </w:t>
      </w:r>
      <w:r w:rsidRPr="00D8017D">
        <w:rPr>
          <w:rFonts w:eastAsia="Aptos" w:cs="Times New Roman"/>
          <w:szCs w:val="20"/>
          <w:lang w:eastAsia="en-US"/>
          <w14:ligatures w14:val="standardContextual"/>
        </w:rPr>
        <w:t xml:space="preserve">zonas tendencēm palielinājās, galvenokārt straujāka pārtikas cenu pieauguma dēļ. Sagaidāms, ka arī turpmākajos mēnešos inflācija Latvijā būs būtiski augstāka nekā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zonā vidēji.</w:t>
      </w:r>
    </w:p>
    <w:p w14:paraId="7DEE4757" w14:textId="77777777" w:rsidR="0097575B" w:rsidRPr="00D8017D" w:rsidRDefault="0097575B" w:rsidP="0097575B">
      <w:pPr>
        <w:spacing w:before="60" w:after="60"/>
        <w:ind w:firstLine="0"/>
        <w:jc w:val="center"/>
        <w:rPr>
          <w:rFonts w:eastAsia="Aptos" w:cs="Times New Roman"/>
          <w:szCs w:val="20"/>
          <w:lang w:eastAsia="en-US"/>
          <w14:ligatures w14:val="standardContextual"/>
        </w:rPr>
      </w:pPr>
      <w:r w:rsidRPr="00D8017D">
        <w:rPr>
          <w:rFonts w:eastAsia="Aptos" w:cs="Times New Roman"/>
          <w:noProof/>
          <w:sz w:val="18"/>
          <w:szCs w:val="18"/>
          <w:lang w:eastAsia="en-US"/>
        </w:rPr>
        <w:drawing>
          <wp:inline distT="0" distB="0" distL="0" distR="0" wp14:anchorId="6749C8C6" wp14:editId="0F88DB32">
            <wp:extent cx="3975100" cy="2165350"/>
            <wp:effectExtent l="0" t="0" r="6350" b="6350"/>
            <wp:docPr id="1040118008" name="Chart 1">
              <a:extLst xmlns:a="http://schemas.openxmlformats.org/drawingml/2006/main">
                <a:ext uri="{FF2B5EF4-FFF2-40B4-BE49-F238E27FC236}">
                  <a16:creationId xmlns:a16="http://schemas.microsoft.com/office/drawing/2014/main" id="{9E5838CA-B946-D24B-E2E0-7258AE36DF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933CBBE" w14:textId="16136D40" w:rsidR="0097575B" w:rsidRPr="00D8017D" w:rsidRDefault="0097575B" w:rsidP="0097575B">
      <w:pPr>
        <w:ind w:firstLine="0"/>
        <w:jc w:val="center"/>
        <w:rPr>
          <w:rFonts w:eastAsia="Aptos" w:cs="Times New Roman"/>
          <w:kern w:val="2"/>
          <w:szCs w:val="24"/>
          <w:lang w:eastAsia="en-US"/>
          <w14:ligatures w14:val="standardContextual"/>
        </w:rPr>
      </w:pPr>
      <w:r w:rsidRPr="00D8017D">
        <w:rPr>
          <w:rFonts w:eastAsia="Calibri" w:cs="Times New Roman"/>
          <w:b/>
          <w:i/>
          <w:iCs/>
          <w:szCs w:val="24"/>
          <w:lang w:eastAsia="en-US"/>
        </w:rPr>
        <w:t>1.14. </w:t>
      </w:r>
      <w:r w:rsidRPr="00D8017D">
        <w:rPr>
          <w:rFonts w:eastAsia="Calibri" w:cs="Times New Roman"/>
          <w:b/>
          <w:i/>
          <w:szCs w:val="24"/>
          <w:lang w:eastAsia="en-US"/>
        </w:rPr>
        <w:t>att</w:t>
      </w:r>
      <w:r w:rsidRPr="00D8017D">
        <w:rPr>
          <w:rFonts w:eastAsia="Calibri" w:cs="Times New Roman"/>
          <w:b/>
          <w:i/>
          <w:iCs/>
          <w:szCs w:val="24"/>
          <w:lang w:eastAsia="en-US"/>
        </w:rPr>
        <w:t>. Saskaņotā patēriņa cenu indeksa pārmaiņas 2023.-2024. gadā un 2025. gada pirmajos astoņos mēnešos, salīdzinot ar iepriekšējā gada attiecīgo periodu, %</w:t>
      </w:r>
    </w:p>
    <w:p w14:paraId="131C0AAC" w14:textId="32DF3250" w:rsidR="0097575B" w:rsidRPr="00D8017D" w:rsidRDefault="0097575B" w:rsidP="0097575B">
      <w:pPr>
        <w:spacing w:before="120"/>
        <w:rPr>
          <w:rFonts w:eastAsia="Aptos" w:cs="Times New Roman"/>
          <w:szCs w:val="24"/>
          <w:lang w:eastAsia="en-US"/>
        </w:rPr>
      </w:pPr>
      <w:r w:rsidRPr="00D8017D">
        <w:rPr>
          <w:rFonts w:eastAsia="Aptos" w:cs="Times New Roman"/>
          <w:szCs w:val="20"/>
          <w:lang w:eastAsia="en-US"/>
          <w14:ligatures w14:val="standardContextual"/>
        </w:rPr>
        <w:lastRenderedPageBreak/>
        <w:t xml:space="preserve">Noteicošais faktors patēriņa cenu pieaugumā Latvijā </w:t>
      </w:r>
      <w:r w:rsidR="004F679E">
        <w:rPr>
          <w:rFonts w:eastAsia="Aptos" w:cs="Times New Roman"/>
          <w:szCs w:val="20"/>
          <w:lang w:eastAsia="en-US"/>
          <w14:ligatures w14:val="standardContextual"/>
        </w:rPr>
        <w:t>225.</w:t>
      </w:r>
      <w:r w:rsidR="004F679E" w:rsidRPr="00D8017D">
        <w:rPr>
          <w:rFonts w:eastAsia="Aptos" w:cs="Times New Roman"/>
          <w:szCs w:val="20"/>
          <w:lang w:eastAsia="en-US"/>
          <w14:ligatures w14:val="standardContextual"/>
        </w:rPr>
        <w:t xml:space="preserve"> </w:t>
      </w:r>
      <w:r w:rsidRPr="00D8017D">
        <w:rPr>
          <w:rFonts w:eastAsia="Aptos" w:cs="Times New Roman"/>
          <w:szCs w:val="20"/>
          <w:lang w:eastAsia="en-US"/>
          <w14:ligatures w14:val="standardContextual"/>
        </w:rPr>
        <w:t xml:space="preserve">gada astoņos mēnešos bija pārtikas un bezalkoholisko dzērienu cenu kāpums par 6,5%, kas izskaidro gandrīz pusi jeb 1,7 </w:t>
      </w:r>
      <w:r w:rsidR="005136DF">
        <w:rPr>
          <w:rFonts w:eastAsia="Aptos" w:cs="Times New Roman"/>
          <w:szCs w:val="20"/>
          <w:lang w:eastAsia="en-US"/>
          <w14:ligatures w14:val="standardContextual"/>
        </w:rPr>
        <w:t>pp</w:t>
      </w:r>
      <w:r w:rsidRPr="00D8017D">
        <w:rPr>
          <w:rFonts w:eastAsia="Aptos" w:cs="Times New Roman"/>
          <w:szCs w:val="20"/>
          <w:lang w:eastAsia="en-US"/>
          <w14:ligatures w14:val="standardContextual"/>
        </w:rPr>
        <w:t xml:space="preserve"> no vidējās inflācijas. Pastāv vairāki objektīvi faktori pārtikas cenu pieauguma paātrinājumam. Pirmkārt, kopš pērnā gada septembra atsācies neapstrādātās pārtikas cenu pieaugums pasaulē, ko lielā mērā ietekmē vājāks piena produktu, gaļas un eļļas piedāvājums. ANO Pārtikas un lauksaimniecības organizācijas dati liecina, ka 2025. gada pirmajos astoņos mēnešos neapstrādātās pārtikas cenas palielinājās par 6,7% gada izteiksmē, ko galvenokārt ietekmēja tieši piena produktu, gaļas un eļļas cenu kāpums. Otrkārt, statistikas dati liecina, ka arī Latvijas pārtikas ražotāji palielina savas cenas (+2,3%, salīdzinājumā ar 2024. gada pirmajiem astoņiem mēnešiem). Turklāt pēdējos mēnešos pieaugums paātrinājies līdz 3%. Treškārt, palielinās darbaspēka izmaksas. Atbilstoši </w:t>
      </w:r>
      <w:r w:rsidRPr="00D8017D">
        <w:rPr>
          <w:rFonts w:eastAsia="Aptos" w:cs="Times New Roman"/>
          <w:i/>
          <w:iCs/>
          <w:szCs w:val="20"/>
          <w:lang w:eastAsia="en-US"/>
          <w14:ligatures w14:val="standardContextual"/>
        </w:rPr>
        <w:t>Eurostat</w:t>
      </w:r>
      <w:r w:rsidRPr="00D8017D">
        <w:rPr>
          <w:rFonts w:eastAsia="Aptos" w:cs="Times New Roman"/>
          <w:szCs w:val="20"/>
          <w:lang w:eastAsia="en-US"/>
          <w14:ligatures w14:val="standardContextual"/>
        </w:rPr>
        <w:t xml:space="preserve"> datiem, šā gada pirmajā pusgadā darbaspēka izmaksas Latvijā bija par 8,8% augstākas nekā attiecīgajā periodā pirms gadā. Tas ir svarīgi Latvijas un </w:t>
      </w:r>
      <w:r w:rsidRPr="00D8017D">
        <w:rPr>
          <w:rFonts w:eastAsia="Aptos" w:cs="Times New Roman"/>
          <w:i/>
          <w:iCs/>
          <w:szCs w:val="20"/>
          <w:lang w:eastAsia="en-US"/>
          <w14:ligatures w14:val="standardContextual"/>
        </w:rPr>
        <w:t xml:space="preserve">euro </w:t>
      </w:r>
      <w:r w:rsidRPr="00D8017D">
        <w:rPr>
          <w:rFonts w:eastAsia="Aptos" w:cs="Times New Roman"/>
          <w:szCs w:val="20"/>
          <w:lang w:eastAsia="en-US"/>
          <w14:ligatures w14:val="standardContextual"/>
        </w:rPr>
        <w:t>zonas vidējās inflācijas un pārtikas cenu inflācijas salīdzināšanas kontekstā,</w:t>
      </w:r>
      <w:r w:rsidRPr="00D8017D">
        <w:rPr>
          <w:rFonts w:eastAsia="Aptos" w:cs="Times New Roman"/>
          <w:szCs w:val="24"/>
          <w:lang w:eastAsia="en-US"/>
        </w:rPr>
        <w:t xml:space="preserve"> jo </w:t>
      </w:r>
      <w:r w:rsidRPr="00D8017D">
        <w:rPr>
          <w:rFonts w:eastAsia="Aptos" w:cs="Times New Roman"/>
          <w:i/>
          <w:iCs/>
          <w:szCs w:val="24"/>
          <w:lang w:eastAsia="en-US"/>
        </w:rPr>
        <w:t>euro</w:t>
      </w:r>
      <w:r w:rsidRPr="00D8017D">
        <w:rPr>
          <w:rFonts w:eastAsia="Aptos" w:cs="Times New Roman"/>
          <w:szCs w:val="24"/>
          <w:lang w:eastAsia="en-US"/>
        </w:rPr>
        <w:t xml:space="preserve"> zonā darbaspēka izmaksas attiecīgajā laikā periodā pieauga būtiski lēnāk - par 3,6%. </w:t>
      </w:r>
      <w:r w:rsidRPr="00D8017D">
        <w:rPr>
          <w:rFonts w:eastAsia="Aptos" w:cs="Times New Roman"/>
          <w:szCs w:val="20"/>
          <w:lang w:eastAsia="en-US"/>
          <w14:ligatures w14:val="standardContextual"/>
        </w:rPr>
        <w:t xml:space="preserve">Ceturtkārt, savu lomu ir spēlējusi arī sliktā dārzeņu, augļu un graudaugu raža Latvijā. Tas skaidri atspoguļojas jaunākajos inflācijas datos. Šā gada augustā pārtika bija par 7,5 % dārgāka nekā gadu iepriekš, bet vienlaikus par 0,3 % lētāka nekā jūlijā. Šāds sezonāls kritums ir raksturīgs augustam. Tomēr jāatzīmē, ka pārtikas cenu kritums šā gada vasaras pēdējā mēnesī bija viens no mazākajiem kopš 2000. gada (izņemot 2022. gadu). </w:t>
      </w:r>
      <w:r w:rsidRPr="00D8017D">
        <w:rPr>
          <w:rFonts w:eastAsia="Calibri" w:cs="Times New Roman"/>
          <w:szCs w:val="24"/>
          <w:lang w:eastAsia="en-US"/>
        </w:rPr>
        <w:t xml:space="preserve">Tādējādi sliktās ražas ietekme uz pārtikas cenām ir jūtama, it īpaši svaigo dārzeņu apakšgrupā. Līdz ar inflācijas datu publicēšanu rudens mēnešos būs iespējams precīzāk noteikt kopējo ražas ietekmi uz pārtikas cenām. Vienlaicīgi nevar izslēgt, ka pārtikas cenas tajā skaitā pieaug mazumtirgotāju uzcenojuma palielinājuma dēļ. Tomēr, lai pārbaudītu šādu informāciju, </w:t>
      </w:r>
      <w:r w:rsidRPr="00D8017D">
        <w:rPr>
          <w:rFonts w:eastAsia="Calibri" w:cs="Times New Roman"/>
          <w:color w:val="000000"/>
          <w:szCs w:val="24"/>
          <w:lang w:eastAsia="en-US"/>
        </w:rPr>
        <w:t>ir nepieciešami veikalu tirgus dati, kuri nav pieejami. Sagaidāms, ka noturīgs pārtikas cenu pieaugums (5-6% robežās gada izteiksmē) mazumtirdzniecībā saglabāsies arī turpmāk.</w:t>
      </w:r>
    </w:p>
    <w:p w14:paraId="35D22960" w14:textId="15825110"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Nozīmīgu devumu inflācijā noteica arī tabakas izstrādājumu un alkoholisko dzērienu cenu pieaugums. Tabakas izstrādājumu cenas šā gada pirmajos astoņos mēnešos bija par 13,4% augstākas nekā attiecīgajā periodā pirms gada. Alkoholiskie dzērieni sadārdzinājās par 3,7%. Šo preču cenu kāpumu lielā mērā ietekmēja </w:t>
      </w:r>
      <w:r w:rsidR="003F5E29">
        <w:rPr>
          <w:rFonts w:eastAsia="Aptos" w:cs="Times New Roman"/>
          <w:szCs w:val="20"/>
          <w:lang w:eastAsia="en-US"/>
          <w14:ligatures w14:val="standardContextual"/>
        </w:rPr>
        <w:t>AN</w:t>
      </w:r>
      <w:r w:rsidRPr="00D8017D">
        <w:rPr>
          <w:rFonts w:eastAsia="Aptos" w:cs="Times New Roman"/>
          <w:szCs w:val="20"/>
          <w:lang w:eastAsia="en-US"/>
          <w14:ligatures w14:val="standardContextual"/>
        </w:rPr>
        <w:t xml:space="preserve"> likmju palielinājums no šā gada janvāra tabakas izstrādājumiem, bet no marta alkoholiskajiem dzērieniem. Tāpat no </w:t>
      </w:r>
      <w:r w:rsidR="00911890">
        <w:rPr>
          <w:rFonts w:eastAsia="Aptos" w:cs="Times New Roman"/>
          <w:szCs w:val="20"/>
          <w:lang w:eastAsia="en-US"/>
          <w14:ligatures w14:val="standardContextual"/>
        </w:rPr>
        <w:t>2025.</w:t>
      </w:r>
      <w:r w:rsidR="00911890" w:rsidRPr="00D8017D">
        <w:rPr>
          <w:rFonts w:eastAsia="Aptos" w:cs="Times New Roman"/>
          <w:szCs w:val="20"/>
          <w:lang w:eastAsia="en-US"/>
          <w14:ligatures w14:val="standardContextual"/>
        </w:rPr>
        <w:t xml:space="preserve"> </w:t>
      </w:r>
      <w:r w:rsidRPr="00D8017D">
        <w:rPr>
          <w:rFonts w:eastAsia="Aptos" w:cs="Times New Roman"/>
          <w:szCs w:val="20"/>
          <w:lang w:eastAsia="en-US"/>
          <w14:ligatures w14:val="standardContextual"/>
        </w:rPr>
        <w:t xml:space="preserve">gada janvāra palielinājusies </w:t>
      </w:r>
      <w:r w:rsidR="003F5E29">
        <w:rPr>
          <w:rFonts w:eastAsia="Aptos" w:cs="Times New Roman"/>
          <w:szCs w:val="20"/>
          <w:lang w:eastAsia="en-US"/>
          <w14:ligatures w14:val="standardContextual"/>
        </w:rPr>
        <w:t>AN</w:t>
      </w:r>
      <w:r w:rsidRPr="00D8017D">
        <w:rPr>
          <w:rFonts w:eastAsia="Aptos" w:cs="Times New Roman"/>
          <w:szCs w:val="20"/>
          <w:lang w:eastAsia="en-US"/>
          <w14:ligatures w14:val="standardContextual"/>
        </w:rPr>
        <w:t xml:space="preserve"> likme dabasgāzei, degvielai, tabakas aizstājējproduktiem un elektroniskajām smēķēšanas ierīcēm, kā arī bezalkoholiskajiem dzērieniem ar paaugstinātu cukura saturu. Atbilstoši </w:t>
      </w:r>
      <w:r w:rsidR="00BB3CFE" w:rsidRPr="00D8017D">
        <w:rPr>
          <w:rFonts w:eastAsia="Aptos" w:cs="Times New Roman"/>
          <w:szCs w:val="20"/>
          <w:lang w:eastAsia="en-US"/>
          <w14:ligatures w14:val="standardContextual"/>
        </w:rPr>
        <w:t>FM</w:t>
      </w:r>
      <w:r w:rsidRPr="00D8017D">
        <w:rPr>
          <w:rFonts w:eastAsia="Aptos" w:cs="Times New Roman"/>
          <w:szCs w:val="20"/>
          <w:lang w:eastAsia="en-US"/>
          <w14:ligatures w14:val="standardContextual"/>
        </w:rPr>
        <w:t xml:space="preserve"> novērtējumam, </w:t>
      </w:r>
      <w:r w:rsidR="003F5E29">
        <w:rPr>
          <w:rFonts w:eastAsia="Aptos" w:cs="Times New Roman"/>
          <w:szCs w:val="20"/>
          <w:lang w:eastAsia="en-US"/>
          <w14:ligatures w14:val="standardContextual"/>
        </w:rPr>
        <w:t>AN</w:t>
      </w:r>
      <w:r w:rsidRPr="00D8017D">
        <w:rPr>
          <w:rFonts w:eastAsia="Aptos" w:cs="Times New Roman"/>
          <w:szCs w:val="20"/>
          <w:lang w:eastAsia="en-US"/>
          <w14:ligatures w14:val="standardContextual"/>
        </w:rPr>
        <w:t xml:space="preserve"> likmju pieaugums 2025. gadā palielinās vidējo inflāciju par 0,6 p</w:t>
      </w:r>
      <w:r w:rsidR="005136DF">
        <w:rPr>
          <w:rFonts w:eastAsia="Aptos" w:cs="Times New Roman"/>
          <w:szCs w:val="20"/>
          <w:lang w:eastAsia="en-US"/>
          <w14:ligatures w14:val="standardContextual"/>
        </w:rPr>
        <w:t>p</w:t>
      </w:r>
      <w:r w:rsidRPr="00D8017D">
        <w:rPr>
          <w:rFonts w:eastAsia="Aptos" w:cs="Times New Roman"/>
          <w:szCs w:val="20"/>
          <w:lang w:eastAsia="en-US"/>
          <w14:ligatures w14:val="standardContextual"/>
        </w:rPr>
        <w:t xml:space="preserve">. </w:t>
      </w:r>
    </w:p>
    <w:p w14:paraId="5A8A06E3" w14:textId="77777777"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Cenas kopumā palielinās arī ar mājokļa apsaimniekošanu saistītām precēm un pakalpojumiem, tomēr pārmaiņu struktūra ir neviendabīga. Atkritumu savākšanas, kanalizācijas, kā arī ūdensapgādes pakalpojumu cenas palielinājušās attiecīgi par 10,8%, 4,7% un 4,5% salīdzinājumā ar pērnā gada pirmajiem astoņiem mēnešiem. Dārgāka kļuvusi arī elektroenerģija un gāze, attiecīgi par 8,4% un 3,0%. Savukārt cietā kurināmā un siltumenerģijas cenas bija attiecīgi par 3,5% un 6,9% zemākas nekā 2024. gada janvārī – augustā. Vērtējot 2024.-2025. gada apkures sezonu kopumā, jāatzīmē, ka tā bija labvēlīga patērētājiem siltumenerģijas izmaksu ziņā, jo gan siltumenerģijas tarifs bija zemāks nekā iepriekšējā apkures sezonā, gan vidējā temperatūra bija augstāka, kas samazināja siltumenerģijas patēriņu. Vērtējot 2025.-2026. gada apkures sezonu, – ir virkne pašvaldību, kurās tarifs saglabāsies nemainīgs. Savukārt atsevišķās pašvaldībās siltumenerģijas tarifs palielināsies būtiski, tajā skaitā Rīgā. Pēc datiem uz šā gada septembra beigām, tarifu atšķirība pašvaldību griezumā ir būtiska. Tā, Balvos siltumenerģijas tarifs ir 59,34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/MWh, bet Ādažos 114,95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/MWh. Tik būtiskas siltumenerģijas tarifa atšķirības nosaka gan konkrētā kurināmā cenu dinamika, gan tā iepirkšanas periods. Gāzes cenas Eiropā ir stabilizējušās un vairākus mēnešus svārstās ap 33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/MWh, līdz ar to gāzes cenas svārstības </w:t>
      </w:r>
      <w:r w:rsidRPr="00D8017D">
        <w:rPr>
          <w:rFonts w:eastAsia="Aptos" w:cs="Times New Roman"/>
          <w:szCs w:val="20"/>
          <w:lang w:eastAsia="en-US"/>
          <w14:ligatures w14:val="standardContextual"/>
        </w:rPr>
        <w:lastRenderedPageBreak/>
        <w:t xml:space="preserve">šogad, visticamāk, būtiski neietekmēs siltumenerģijas tarifus. Vidējā termiņā grūti prognozēt gāzes cenu dinamiku, taču citām tarifa sastāvdaļām kā infrastruktūras uzturēšanas izmaksām, kā arī darbaspēka izmaksām būs paaugstinoša ietekme gan uz siltumenerģijas, gan citu mājokļa apsaimniekošanas pakalpojumu tarifiem. </w:t>
      </w:r>
    </w:p>
    <w:tbl>
      <w:tblPr>
        <w:tblStyle w:val="TableGrid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476"/>
      </w:tblGrid>
      <w:tr w:rsidR="0097575B" w:rsidRPr="00D8017D" w14:paraId="4653B3A9" w14:textId="77777777" w:rsidTr="00141289">
        <w:tc>
          <w:tcPr>
            <w:tcW w:w="4180" w:type="dxa"/>
          </w:tcPr>
          <w:p w14:paraId="7C372973" w14:textId="77777777" w:rsidR="0097575B" w:rsidRPr="00D8017D" w:rsidRDefault="0097575B" w:rsidP="0097575B">
            <w:pPr>
              <w:spacing w:before="60" w:after="60"/>
              <w:ind w:firstLine="0"/>
              <w:jc w:val="center"/>
              <w:rPr>
                <w:rFonts w:ascii="Calibri" w:hAnsi="Calibri" w:cs="Times New Roman"/>
                <w:szCs w:val="20"/>
                <w14:ligatures w14:val="standardContextual"/>
              </w:rPr>
            </w:pPr>
            <w:r w:rsidRPr="00D8017D">
              <w:rPr>
                <w:rFonts w:ascii="Calibri" w:eastAsia="Aptos" w:hAnsi="Calibri" w:cs="Times New Roman"/>
                <w:noProof/>
                <w:szCs w:val="24"/>
              </w:rPr>
              <w:drawing>
                <wp:inline distT="0" distB="0" distL="0" distR="0" wp14:anchorId="13B712C8" wp14:editId="028E91A8">
                  <wp:extent cx="2362200" cy="3454400"/>
                  <wp:effectExtent l="0" t="0" r="0" b="12700"/>
                  <wp:docPr id="229496122" name="Chart 1">
                    <a:extLst xmlns:a="http://schemas.openxmlformats.org/drawingml/2006/main">
                      <a:ext uri="{FF2B5EF4-FFF2-40B4-BE49-F238E27FC236}">
                        <a16:creationId xmlns:a16="http://schemas.microsoft.com/office/drawing/2014/main" id="{22FB8306-B264-4342-840D-5DAE977837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c>
          <w:tcPr>
            <w:tcW w:w="4126" w:type="dxa"/>
          </w:tcPr>
          <w:p w14:paraId="6B3E0BB3" w14:textId="77777777" w:rsidR="0097575B" w:rsidRPr="00D8017D" w:rsidRDefault="0097575B" w:rsidP="0097575B">
            <w:pPr>
              <w:spacing w:before="60" w:after="60"/>
              <w:ind w:firstLine="0"/>
              <w:jc w:val="center"/>
              <w:rPr>
                <w:rFonts w:ascii="Calibri" w:hAnsi="Calibri" w:cs="Times New Roman"/>
                <w:szCs w:val="20"/>
                <w14:ligatures w14:val="standardContextual"/>
              </w:rPr>
            </w:pPr>
            <w:r w:rsidRPr="00D8017D">
              <w:rPr>
                <w:rFonts w:ascii="Calibri" w:eastAsia="Aptos" w:hAnsi="Calibri" w:cs="Times New Roman"/>
                <w:noProof/>
                <w:szCs w:val="24"/>
              </w:rPr>
              <w:drawing>
                <wp:inline distT="0" distB="0" distL="0" distR="0" wp14:anchorId="623DEFB5" wp14:editId="51D83D71">
                  <wp:extent cx="2698750" cy="3441700"/>
                  <wp:effectExtent l="0" t="0" r="6350" b="6350"/>
                  <wp:docPr id="2080594942" name="Chart 1">
                    <a:extLst xmlns:a="http://schemas.openxmlformats.org/drawingml/2006/main">
                      <a:ext uri="{FF2B5EF4-FFF2-40B4-BE49-F238E27FC236}">
                        <a16:creationId xmlns:a16="http://schemas.microsoft.com/office/drawing/2014/main" id="{88622C7F-1120-4003-AB3E-05E5BE464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97575B" w:rsidRPr="00D8017D" w14:paraId="695605EA" w14:textId="77777777" w:rsidTr="00141289">
        <w:tc>
          <w:tcPr>
            <w:tcW w:w="4180" w:type="dxa"/>
          </w:tcPr>
          <w:p w14:paraId="142027F3" w14:textId="772025A0" w:rsidR="0097575B" w:rsidRPr="00D8017D" w:rsidRDefault="0097575B" w:rsidP="0097575B">
            <w:pPr>
              <w:spacing w:before="60" w:after="60"/>
              <w:ind w:firstLine="0"/>
              <w:jc w:val="center"/>
              <w:rPr>
                <w:rFonts w:cs="Times New Roman"/>
                <w:i/>
                <w:iCs/>
                <w:szCs w:val="24"/>
                <w14:ligatures w14:val="standardContextual"/>
              </w:rPr>
            </w:pPr>
            <w:r w:rsidRPr="00D8017D">
              <w:rPr>
                <w:rFonts w:cs="Times New Roman"/>
                <w:b/>
                <w:i/>
                <w:iCs/>
                <w:szCs w:val="24"/>
              </w:rPr>
              <w:t>1.15. att. Devums gada inflācijā pēc izcelsmes avota (</w:t>
            </w:r>
            <w:r w:rsidR="00936796">
              <w:rPr>
                <w:rFonts w:cs="Times New Roman"/>
                <w:b/>
                <w:i/>
                <w:iCs/>
                <w:szCs w:val="24"/>
              </w:rPr>
              <w:t>pp</w:t>
            </w:r>
            <w:r w:rsidRPr="00D8017D">
              <w:rPr>
                <w:rFonts w:cs="Times New Roman"/>
                <w:b/>
                <w:i/>
                <w:iCs/>
                <w:szCs w:val="24"/>
              </w:rPr>
              <w:t xml:space="preserve">) un </w:t>
            </w:r>
            <w:r w:rsidRPr="00D8017D">
              <w:rPr>
                <w:rFonts w:eastAsia="Aptos" w:cs="Times New Roman"/>
                <w:b/>
                <w:bCs/>
                <w:i/>
                <w:iCs/>
                <w:szCs w:val="24"/>
              </w:rPr>
              <w:t>vidējās patēriņa cenu pārmaiņas (</w:t>
            </w:r>
            <w:r w:rsidRPr="00D8017D">
              <w:rPr>
                <w:rFonts w:cs="Times New Roman"/>
                <w:b/>
                <w:i/>
                <w:iCs/>
                <w:szCs w:val="24"/>
              </w:rPr>
              <w:t>PCI, %)</w:t>
            </w:r>
            <w:r w:rsidRPr="00D8017D">
              <w:rPr>
                <w:rFonts w:cs="Times New Roman"/>
                <w:b/>
                <w:i/>
                <w:iCs/>
                <w:szCs w:val="24"/>
                <w:vertAlign w:val="superscript"/>
              </w:rPr>
              <w:footnoteReference w:id="2"/>
            </w:r>
          </w:p>
        </w:tc>
        <w:tc>
          <w:tcPr>
            <w:tcW w:w="4126" w:type="dxa"/>
          </w:tcPr>
          <w:p w14:paraId="30A948AE" w14:textId="6D4E07FF" w:rsidR="0097575B" w:rsidRPr="00D8017D" w:rsidRDefault="0097575B" w:rsidP="0097575B">
            <w:pPr>
              <w:spacing w:before="60" w:after="60"/>
              <w:ind w:firstLine="0"/>
              <w:jc w:val="center"/>
              <w:rPr>
                <w:rFonts w:cs="Times New Roman"/>
                <w:i/>
                <w:iCs/>
                <w:szCs w:val="24"/>
                <w14:ligatures w14:val="standardContextual"/>
              </w:rPr>
            </w:pPr>
            <w:r w:rsidRPr="00D8017D">
              <w:rPr>
                <w:rFonts w:cs="Times New Roman"/>
                <w:b/>
                <w:i/>
                <w:iCs/>
                <w:szCs w:val="24"/>
              </w:rPr>
              <w:t>1.16. att. Devums gada inflācijā pēc izcelsmes avota (</w:t>
            </w:r>
            <w:r w:rsidR="00936796">
              <w:rPr>
                <w:rFonts w:cs="Times New Roman"/>
                <w:b/>
                <w:i/>
                <w:iCs/>
                <w:szCs w:val="24"/>
              </w:rPr>
              <w:t>pp</w:t>
            </w:r>
            <w:r w:rsidRPr="00D8017D">
              <w:rPr>
                <w:rFonts w:cs="Times New Roman"/>
                <w:b/>
                <w:i/>
                <w:iCs/>
                <w:szCs w:val="24"/>
              </w:rPr>
              <w:t xml:space="preserve">) un </w:t>
            </w:r>
            <w:r w:rsidRPr="00D8017D">
              <w:rPr>
                <w:rFonts w:eastAsia="Aptos" w:cs="Times New Roman"/>
                <w:b/>
                <w:bCs/>
                <w:i/>
                <w:iCs/>
                <w:szCs w:val="24"/>
              </w:rPr>
              <w:t>vidējās patēriņa cenu pārmaiņas (</w:t>
            </w:r>
            <w:r w:rsidRPr="00D8017D">
              <w:rPr>
                <w:rFonts w:cs="Times New Roman"/>
                <w:b/>
                <w:i/>
                <w:iCs/>
                <w:szCs w:val="24"/>
              </w:rPr>
              <w:t>PCI, %)</w:t>
            </w:r>
            <w:r w:rsidRPr="00D8017D">
              <w:rPr>
                <w:rFonts w:cs="Times New Roman"/>
                <w:b/>
                <w:i/>
                <w:iCs/>
                <w:szCs w:val="24"/>
                <w:vertAlign w:val="superscript"/>
              </w:rPr>
              <w:footnoteReference w:id="3"/>
            </w:r>
          </w:p>
        </w:tc>
      </w:tr>
    </w:tbl>
    <w:p w14:paraId="242DBF85" w14:textId="77777777" w:rsidR="0097575B" w:rsidRPr="00D8017D" w:rsidRDefault="0097575B" w:rsidP="0097575B">
      <w:pPr>
        <w:spacing w:before="6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Lai arī darba samaksas pieauguma tempi sāk mazināties, tās spiediens uz kopējām uzņēmējdarbības izmaksām saglabāsies augsts, un turpinās uzturēt cenu pieaugumu pakalpojumu sektorā. Tādās nozarēs kā ēdināšana un izmitināšana, atpūta un kultūra, veselības aprūpe, izglītības un finanšu pakalpojumi, būtisku daļu no kopējām izmaksām veido tieši darbaspēka izmaksas. Šā gada astoņos mēnešos cenu pieaugums šajās nozarēs ir augstāks nekā vidējā inflācija. Šāda tendence saglābsies arī turpmākajos mēnešos. </w:t>
      </w:r>
    </w:p>
    <w:p w14:paraId="0A191F2C" w14:textId="77777777"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Atbilstoši aktualizētajam makroekonomiskās attīstības scenārijam, prognozēts, ka 2025. gadā vidējā inflācija Latvijā sastādīs 3,5%. Būtiskāko devumu patēriņa cenu pieaugumā noteiks pārtikas, tabakas, mājokļa apsaimniekošanas pakalpojumu (it īpaši ūdensapgādes, atkritumu savākšanas pakalpojumu un elektroenerģijas), kā arī citu komerciālo pakalpojumu cenu kāpums. </w:t>
      </w:r>
    </w:p>
    <w:p w14:paraId="7BA9A6AC" w14:textId="77D6AA18" w:rsidR="0097575B" w:rsidRPr="00D8017D" w:rsidRDefault="0097575B" w:rsidP="00327EB4">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Svarīgi raksturot ASV ārējās tirdzniecības politikas kursa maiņu. ASV muitas tarifu noteikšanai gan ES, gan pārējām lielākajām pasaules ekonomikām var būt divējāda ietekme uz inflāciju. Muitas tarifu ieviešana nozīmē importēto preču cenu pieaugumu. Ņemot vērā, ka atsevišķas valstis atbildēja ar muitas tarifu ieviešanu precēm no ASV, tas varētu veicināt jaunu </w:t>
      </w:r>
      <w:r w:rsidRPr="00D8017D">
        <w:rPr>
          <w:rFonts w:eastAsia="Aptos" w:cs="Times New Roman"/>
          <w:szCs w:val="20"/>
          <w:lang w:eastAsia="en-US"/>
          <w14:ligatures w14:val="standardContextual"/>
        </w:rPr>
        <w:lastRenderedPageBreak/>
        <w:t xml:space="preserve">inflācijas vilni. Vienlaicīgi tirdzniecības kari negatīvi ietekmē ekonomisko aktivitāti visā pasaulē, līdz ar to mazinot pieprasījumu, un tas varētu mazināt spiedienu uz inflāciju. </w:t>
      </w:r>
    </w:p>
    <w:p w14:paraId="6A857E25" w14:textId="7A1035E7" w:rsidR="0070161D" w:rsidRPr="00D8017D" w:rsidRDefault="0070161D" w:rsidP="00327EB4">
      <w:pPr>
        <w:spacing w:before="240" w:after="240"/>
        <w:ind w:firstLine="0"/>
        <w:jc w:val="center"/>
        <w:outlineLvl w:val="2"/>
        <w:rPr>
          <w:rFonts w:eastAsia="Times New Roman" w:cs="Times New Roman"/>
          <w:b/>
          <w:sz w:val="32"/>
          <w:szCs w:val="20"/>
          <w:lang w:eastAsia="en-US"/>
        </w:rPr>
      </w:pPr>
      <w:bookmarkStart w:id="12" w:name="_Toc210289868"/>
      <w:r w:rsidRPr="00D8017D">
        <w:rPr>
          <w:rFonts w:eastAsia="Times New Roman" w:cs="Times New Roman"/>
          <w:b/>
          <w:sz w:val="32"/>
          <w:szCs w:val="20"/>
          <w:lang w:eastAsia="en-US"/>
        </w:rPr>
        <w:t>1.2.3. Nodarbinātība un bezdarbs</w:t>
      </w:r>
      <w:bookmarkEnd w:id="11"/>
      <w:bookmarkEnd w:id="12"/>
    </w:p>
    <w:p w14:paraId="63CDAB8E" w14:textId="5DCAEC6C" w:rsidR="0097575B" w:rsidRPr="00D8017D" w:rsidRDefault="0097575B" w:rsidP="0097575B">
      <w:pPr>
        <w:spacing w:before="120"/>
        <w:rPr>
          <w:rFonts w:eastAsia="Aptos" w:cs="Times New Roman"/>
          <w:szCs w:val="20"/>
          <w:lang w:eastAsia="en-US"/>
          <w14:ligatures w14:val="standardContextual"/>
        </w:rPr>
      </w:pPr>
      <w:bookmarkStart w:id="13" w:name="_Toc178763479"/>
      <w:r w:rsidRPr="00D8017D">
        <w:rPr>
          <w:rFonts w:eastAsia="Aptos" w:cs="Times New Roman"/>
          <w:szCs w:val="20"/>
          <w:lang w:eastAsia="en-US"/>
          <w14:ligatures w14:val="standardContextual"/>
        </w:rPr>
        <w:t>Ārējie satricinājumi, tajā skaitā pandēmija, Krievijas uzsāktais karš Ukrainā, straujais cenu kāpums un Eiropas izaugsmes sabremzēšanās, līdz 2024. gada beigām ļoti maz bija ietekmējuši Latvijas darba tirgu – pēc pieauguma līdz 8,1% 2020. gadā nākamajos gados bezdarbs atsāka samazināties, 2023. gadā noslīdot līdz 6,5%. 2024. gadā, ekonomikas izaugsmei jūtamāk sabremzējoties, neliels bezdarba pieaugums tomēr bija vērojams, bezdarba līmenim pēc darbaspēka apsekojuma palielinoties līdz 6,9%. Vienlaikus bezdarba pieaugums pērn ceturksni no ceturkšņa kļuva lēnāks, ceturtajā ceturksnī pret 2023. gada ceturto ceturksni palielinoties vairs tikai par 0,1%, un reģistrētā bezdarba līmenis visa 2024. gada laikā bija turpinājis kristies.</w:t>
      </w:r>
    </w:p>
    <w:p w14:paraId="643B42F8" w14:textId="7E0690B5"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Līdzīga situācija saglabājas 2025. gada pirmajā pusē, kad bezdarba līmenis pēc darbaspēka apsekojuma pirmajā </w:t>
      </w:r>
      <w:r w:rsidR="0021171C">
        <w:rPr>
          <w:rFonts w:eastAsia="Aptos" w:cs="Times New Roman"/>
          <w:szCs w:val="20"/>
          <w:lang w:eastAsia="en-US"/>
          <w14:ligatures w14:val="standardContextual"/>
        </w:rPr>
        <w:t xml:space="preserve">ceturksnī </w:t>
      </w:r>
      <w:r w:rsidRPr="00D8017D">
        <w:rPr>
          <w:rFonts w:eastAsia="Aptos" w:cs="Times New Roman"/>
          <w:szCs w:val="20"/>
          <w:lang w:eastAsia="en-US"/>
          <w14:ligatures w14:val="standardContextual"/>
        </w:rPr>
        <w:t>bijis nedaudz augstāks nekā pirms gada – 7,4%, bet otrajā ceturksnī jau samazinājies līdz 6,7% un bijis par 0,2 p</w:t>
      </w:r>
      <w:r w:rsidR="005136DF">
        <w:rPr>
          <w:rFonts w:eastAsia="Aptos" w:cs="Times New Roman"/>
          <w:szCs w:val="20"/>
          <w:lang w:eastAsia="en-US"/>
          <w14:ligatures w14:val="standardContextual"/>
        </w:rPr>
        <w:t>p</w:t>
      </w:r>
      <w:r w:rsidRPr="00D8017D">
        <w:rPr>
          <w:rFonts w:eastAsia="Aptos" w:cs="Times New Roman"/>
          <w:szCs w:val="20"/>
          <w:lang w:eastAsia="en-US"/>
          <w14:ligatures w14:val="standardContextual"/>
        </w:rPr>
        <w:t xml:space="preserve"> zemāks nekā iepriekšējā gada attiecīgajā ceturksnī. Stabilu bezdarba līmeņa samazināšanos uzrāda arī nedaudz </w:t>
      </w:r>
      <w:r w:rsidRPr="00A067CB">
        <w:rPr>
          <w:rFonts w:eastAsia="Aptos" w:cs="Times New Roman"/>
          <w:szCs w:val="20"/>
          <w:lang w:eastAsia="en-US"/>
          <w14:ligatures w14:val="standardContextual"/>
        </w:rPr>
        <w:t>operatīvākie, Nodarbinātības valsts aģentūras (NVA) dati. Reģistrēto bezdarbnieku skaits 2025. gada vasaras mēnešos ir noslīdējis līdz visu laiku zemākajam līmenim – 43 tūkst</w:t>
      </w:r>
      <w:r w:rsidR="005136DF" w:rsidRPr="00A067CB">
        <w:rPr>
          <w:rFonts w:eastAsia="Aptos" w:cs="Times New Roman"/>
          <w:szCs w:val="20"/>
          <w:lang w:eastAsia="en-US"/>
          <w14:ligatures w14:val="standardContextual"/>
        </w:rPr>
        <w:t>.</w:t>
      </w:r>
      <w:r w:rsidRPr="00A067CB">
        <w:rPr>
          <w:rFonts w:eastAsia="Aptos" w:cs="Times New Roman"/>
          <w:szCs w:val="20"/>
          <w:lang w:eastAsia="en-US"/>
          <w14:ligatures w14:val="standardContextual"/>
        </w:rPr>
        <w:t>, un reģistrētā bezdarba</w:t>
      </w:r>
      <w:r w:rsidRPr="00D8017D">
        <w:rPr>
          <w:rFonts w:eastAsia="Aptos" w:cs="Times New Roman"/>
          <w:szCs w:val="20"/>
          <w:lang w:eastAsia="en-US"/>
          <w14:ligatures w14:val="standardContextual"/>
        </w:rPr>
        <w:t xml:space="preserve"> līmenis augusta beigās sarucis līdz 4,9%, kas ir par 0,4 p</w:t>
      </w:r>
      <w:r w:rsidR="005136DF">
        <w:rPr>
          <w:rFonts w:eastAsia="Aptos" w:cs="Times New Roman"/>
          <w:szCs w:val="20"/>
          <w:lang w:eastAsia="en-US"/>
          <w14:ligatures w14:val="standardContextual"/>
        </w:rPr>
        <w:t>p</w:t>
      </w:r>
      <w:r w:rsidRPr="00D8017D">
        <w:rPr>
          <w:rFonts w:eastAsia="Aptos" w:cs="Times New Roman"/>
          <w:szCs w:val="20"/>
          <w:lang w:eastAsia="en-US"/>
          <w14:ligatures w14:val="standardContextual"/>
        </w:rPr>
        <w:t xml:space="preserve"> mazāk nekā attiecīgajā mēnesī pirms gada. </w:t>
      </w:r>
    </w:p>
    <w:p w14:paraId="508522DF" w14:textId="77777777"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Lai gan kopējais bezdarba līmenis ir ļoti zemā līmenī, saglabājas būtiskas bezdarba līmeņa atšķirības pa reģioniem – Rīgas reģionā reģistrētais bezdarbs augusta beigās bija 3,8%, kamēr Latgalē tas sasniedza 10,0%, bet Kurzemē, Vidzemē un Zemgalē bija 4,4-5,1% līmenī.</w:t>
      </w:r>
    </w:p>
    <w:p w14:paraId="1E97ABBE" w14:textId="77777777"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Neskatoties uz joprojām lielajām reģionālajām atšķirībām, kopējais reģistrētā bezdarba līmenis pašlaik jau ir zemāks nekā 2019. gadā, pirms pandēmijas, un praktiski jau ir līmenī, kādā tas bija 2007.-2008. gadā ekonomikas pārkaršanas laikā, radot zināmu spiedienu darba tirgū un atspoguļot darbinieku trūkumu atsevišķās profesijās un nozarēs. Zemo bezdarba līmeni līdzās ekonomikas pieprasījumam pašlaik ietekmē arī demogrāfiskā situācija, kad jau kopš 2015. gada darba tirgū ienākošo jauniešu skaits ir mazāks nekā par sešdesmit gadiem vecāko pensijā aizejošo iedzīvotāju skaits, un kopējais darbaspējas vecuma iedzīvotāju skaits ir pastāvīgi samazinājies. Ja 2022. gadā un 2023. gada pirmajā pusē šo kritumu palīdzēja mīkstināt Ukrainas iedzīvotāju uzņemšana, pēc tam darbspējas vecuma iedzīvotāju skaita kritums atkal ir atjaunojies, 2024. gadā tam veidojot attiecīgi 0,6% un 2025. gada pirmajā pusē sarūkot vēl par 0,2%.</w:t>
      </w:r>
    </w:p>
    <w:p w14:paraId="3BA44CA0" w14:textId="73ECC709"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Samazinoties darbspējas vecuma iedzīvotāju skaitam un ekonomikas izaugsmei stagnējot, tautsaimniecībā nodarbināto iedzīvotāju skaits 2024. gadā kopumā samazinājies par 0,8% jeb 6,8 tūkst</w:t>
      </w:r>
      <w:r w:rsidR="005136DF">
        <w:rPr>
          <w:rFonts w:eastAsia="Aptos" w:cs="Times New Roman"/>
          <w:szCs w:val="20"/>
          <w:lang w:eastAsia="en-US"/>
          <w14:ligatures w14:val="standardContextual"/>
        </w:rPr>
        <w:t>.</w:t>
      </w:r>
      <w:r w:rsidRPr="00D8017D">
        <w:rPr>
          <w:rFonts w:eastAsia="Aptos" w:cs="Times New Roman"/>
          <w:szCs w:val="20"/>
          <w:lang w:eastAsia="en-US"/>
          <w14:ligatures w14:val="standardContextual"/>
        </w:rPr>
        <w:t xml:space="preserve"> līdz 877,4 tūkst</w:t>
      </w:r>
      <w:r w:rsidR="005136DF">
        <w:rPr>
          <w:rFonts w:eastAsia="Aptos" w:cs="Times New Roman"/>
          <w:szCs w:val="20"/>
          <w:lang w:eastAsia="en-US"/>
          <w14:ligatures w14:val="standardContextual"/>
        </w:rPr>
        <w:t>.</w:t>
      </w:r>
      <w:r w:rsidRPr="00D8017D">
        <w:rPr>
          <w:rFonts w:eastAsia="Aptos" w:cs="Times New Roman"/>
          <w:szCs w:val="20"/>
          <w:lang w:eastAsia="en-US"/>
          <w14:ligatures w14:val="standardContextual"/>
        </w:rPr>
        <w:t>, bet šā gada pirmajā pusē, salīdzinot ar attiecīgo laika periodu pirms gada, sarucis par 0,3% līdz 878,7 tūkst</w:t>
      </w:r>
      <w:r w:rsidR="005136DF">
        <w:rPr>
          <w:rFonts w:eastAsia="Aptos" w:cs="Times New Roman"/>
          <w:szCs w:val="20"/>
          <w:lang w:eastAsia="en-US"/>
          <w14:ligatures w14:val="standardContextual"/>
        </w:rPr>
        <w:t>.</w:t>
      </w:r>
      <w:r w:rsidRPr="00D8017D">
        <w:rPr>
          <w:rFonts w:eastAsia="Aptos" w:cs="Times New Roman"/>
          <w:szCs w:val="20"/>
          <w:lang w:eastAsia="en-US"/>
          <w14:ligatures w14:val="standardContextual"/>
        </w:rPr>
        <w:t xml:space="preserve"> (skat 1.17. attēlu.). Līdz ar straujāku ekonomiskās izaugsmes atsākšanos nākamajos ceturkšņos nodarbināto skaita kritums kļūs lēnāks, tomēr arī nākamajos gados sagaidāms neliels nodarbināto skaita samazinājums, ko pamatā nosaka darbspējas vecuma iedzīvotāju skaita samazināšanās demogrāfijas tendenču rezultātā. Līdz ar to darbaspēka resursu nodrošināšanai būs nepieciešams iedzīvotāju ekonomiskās aktivitātes līmeņa pieaugums, arvien vairāk iesaistoties darba tirgū kā nodarbinātajiem vai darba meklētājiem. Pēdējos gados ekonomiskās aktivitātes līmenis jau ir pakāpeniski audzis, tam palielinoties no 67,7% 2021. gadā līdz 68,7% pagājušajā gadā, tomēr tas joprojām ir zemāks nekā kaimiņvalstīs Igaunijā un Lietuvā.</w:t>
      </w:r>
    </w:p>
    <w:p w14:paraId="291C5D3C" w14:textId="77777777" w:rsidR="0097575B" w:rsidRPr="00D8017D" w:rsidRDefault="0097575B" w:rsidP="0097575B">
      <w:pPr>
        <w:spacing w:after="160" w:line="259" w:lineRule="auto"/>
        <w:ind w:firstLine="0"/>
        <w:jc w:val="center"/>
        <w:rPr>
          <w:rFonts w:ascii="Calibri" w:eastAsia="Calibri" w:hAnsi="Calibri" w:cs="Times New Roman"/>
          <w:sz w:val="22"/>
          <w:lang w:eastAsia="en-US"/>
        </w:rPr>
      </w:pPr>
      <w:r w:rsidRPr="00D8017D">
        <w:rPr>
          <w:rFonts w:ascii="Calibri" w:eastAsia="Calibri" w:hAnsi="Calibri" w:cs="Times New Roman"/>
          <w:noProof/>
          <w:sz w:val="22"/>
          <w:lang w:eastAsia="en-US"/>
        </w:rPr>
        <w:lastRenderedPageBreak/>
        <w:drawing>
          <wp:inline distT="0" distB="0" distL="0" distR="0" wp14:anchorId="6BEDAA23" wp14:editId="17A4E0A0">
            <wp:extent cx="5274310" cy="2933700"/>
            <wp:effectExtent l="0" t="0" r="0" b="0"/>
            <wp:docPr id="776629946" name="Chart 7766299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03188BC" w14:textId="38E1EBD3" w:rsidR="0097575B" w:rsidRPr="00D8017D" w:rsidRDefault="0097575B" w:rsidP="0097575B">
      <w:pPr>
        <w:spacing w:after="160" w:line="259" w:lineRule="auto"/>
        <w:ind w:firstLine="0"/>
        <w:jc w:val="center"/>
        <w:rPr>
          <w:rFonts w:eastAsia="Times New Roman" w:cs="Times New Roman"/>
          <w:b/>
          <w:i/>
          <w:sz w:val="22"/>
          <w:lang w:eastAsia="en-US"/>
        </w:rPr>
      </w:pPr>
      <w:r w:rsidRPr="00D8017D">
        <w:rPr>
          <w:rFonts w:eastAsia="Times New Roman" w:cs="Times New Roman"/>
          <w:b/>
          <w:i/>
          <w:sz w:val="22"/>
          <w:lang w:eastAsia="en-US"/>
        </w:rPr>
        <w:t>1</w:t>
      </w:r>
      <w:r w:rsidRPr="00D8017D">
        <w:rPr>
          <w:rFonts w:eastAsia="Times New Roman" w:cs="Times New Roman"/>
          <w:b/>
          <w:i/>
          <w:szCs w:val="24"/>
          <w:lang w:eastAsia="en-US"/>
        </w:rPr>
        <w:t>.17. </w:t>
      </w:r>
      <w:r w:rsidRPr="00D8017D">
        <w:rPr>
          <w:rFonts w:eastAsia="Calibri" w:cs="Times New Roman"/>
          <w:b/>
          <w:i/>
          <w:szCs w:val="24"/>
          <w:lang w:eastAsia="en-US"/>
        </w:rPr>
        <w:t>att</w:t>
      </w:r>
      <w:r w:rsidRPr="00D8017D">
        <w:rPr>
          <w:rFonts w:eastAsia="Times New Roman" w:cs="Times New Roman"/>
          <w:b/>
          <w:i/>
          <w:szCs w:val="24"/>
          <w:lang w:eastAsia="en-US"/>
        </w:rPr>
        <w:t>. Tautsaimniecībā nodarbināto skaits un bezdarba līmenis</w:t>
      </w:r>
      <w:r w:rsidRPr="00D8017D">
        <w:rPr>
          <w:rFonts w:eastAsia="Times New Roman" w:cs="Times New Roman"/>
          <w:b/>
          <w:i/>
          <w:szCs w:val="24"/>
          <w:lang w:eastAsia="en-US"/>
        </w:rPr>
        <w:br/>
        <w:t>2008.</w:t>
      </w:r>
      <w:r w:rsidR="00EA1217">
        <w:rPr>
          <w:rFonts w:eastAsia="Times New Roman" w:cs="Times New Roman"/>
          <w:b/>
          <w:i/>
          <w:szCs w:val="24"/>
          <w:lang w:eastAsia="en-US"/>
        </w:rPr>
        <w:t xml:space="preserve"> </w:t>
      </w:r>
      <w:r w:rsidRPr="00D8017D">
        <w:rPr>
          <w:rFonts w:eastAsia="Times New Roman" w:cs="Times New Roman"/>
          <w:b/>
          <w:i/>
          <w:szCs w:val="24"/>
          <w:lang w:eastAsia="en-US"/>
        </w:rPr>
        <w:t>-2025. gadā</w:t>
      </w:r>
    </w:p>
    <w:p w14:paraId="47576824" w14:textId="77777777"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Nodarbinātības valsts aģentūrā reģistrēto brīvo darba vietu skaits joprojām ir salīdzinoši augsts, tomēr jau kopš 2023. gada vidus vērojams piedāvājuma samazinājums un 2025. gada pirmajos astoņos mēnešos brīvo darba vietu skaits bijis par 30% zemāks nekā attiecīgajā laikā pirms gada.</w:t>
      </w:r>
    </w:p>
    <w:p w14:paraId="7F4310BB" w14:textId="3845AC28"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Pēc FM prognozēm, 2025. gadā kopumā bezdarba līmenis saglabāsies pagājušā gada līmenī, veidojot 6,9%, ko nosaka ekonomiskās izaugsmes sabremzēšanās pagājušā gada beigās un šā gada pirmajā ceturksnī. Nākamajos gados, atsākoties straujākai ekonomikas izaugsmei un turpinot samazināties darbaspējas vecuma iedzīvotāju skaitam, bezdarbs atsāks samazināties, 2026. gadā noslīdot līdz 6,3% un vidējā termiņā, līdz </w:t>
      </w:r>
      <w:r w:rsidRPr="00EA1217">
        <w:rPr>
          <w:rFonts w:eastAsia="Aptos" w:cs="Times New Roman"/>
          <w:szCs w:val="20"/>
          <w:lang w:eastAsia="en-US"/>
          <w14:ligatures w14:val="standardContextual"/>
        </w:rPr>
        <w:t>202</w:t>
      </w:r>
      <w:r w:rsidR="00EA1217">
        <w:rPr>
          <w:rFonts w:eastAsia="Aptos" w:cs="Times New Roman"/>
          <w:szCs w:val="20"/>
          <w:lang w:eastAsia="en-US"/>
          <w14:ligatures w14:val="standardContextual"/>
        </w:rPr>
        <w:t>8</w:t>
      </w:r>
      <w:r w:rsidRPr="00C74BC6">
        <w:rPr>
          <w:rFonts w:eastAsia="Aptos" w:cs="Times New Roman"/>
          <w:szCs w:val="20"/>
          <w:lang w:eastAsia="en-US"/>
          <w14:ligatures w14:val="standardContextual"/>
        </w:rPr>
        <w:t>.</w:t>
      </w:r>
      <w:r w:rsidRPr="00EA1217">
        <w:rPr>
          <w:rFonts w:eastAsia="Aptos" w:cs="Times New Roman"/>
          <w:szCs w:val="20"/>
          <w:lang w:eastAsia="en-US"/>
          <w14:ligatures w14:val="standardContextual"/>
        </w:rPr>
        <w:t> gadam</w:t>
      </w:r>
      <w:r w:rsidRPr="00D8017D">
        <w:rPr>
          <w:rFonts w:eastAsia="Aptos" w:cs="Times New Roman"/>
          <w:szCs w:val="20"/>
          <w:lang w:eastAsia="en-US"/>
          <w14:ligatures w14:val="standardContextual"/>
        </w:rPr>
        <w:t xml:space="preserve"> pazeminoties līdz nedaudz virs 5%.</w:t>
      </w:r>
    </w:p>
    <w:p w14:paraId="4AE5C61A" w14:textId="77777777" w:rsidR="0097575B" w:rsidRPr="00D8017D" w:rsidRDefault="0097575B" w:rsidP="0097575B">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Nodarbināto skaits 2025. un 2026. gadā prognozēts stabils, ar nelielu lejupslīdošu tendenci, kas turpmākajos gados kļūs nedaudz straujāka, ko pamatā noteiks darbspējas vecuma iedzīvotāju skaita samazināšanās demogrāfijas procesu rezultātā.</w:t>
      </w:r>
    </w:p>
    <w:p w14:paraId="0C179CD7" w14:textId="7A62EB99" w:rsidR="0070161D" w:rsidRPr="00D8017D" w:rsidRDefault="0070161D" w:rsidP="00510AA8">
      <w:pPr>
        <w:spacing w:before="240" w:after="240"/>
        <w:ind w:firstLine="0"/>
        <w:jc w:val="center"/>
        <w:outlineLvl w:val="2"/>
        <w:rPr>
          <w:rFonts w:eastAsia="Times New Roman" w:cs="Times New Roman"/>
          <w:b/>
          <w:sz w:val="32"/>
          <w:szCs w:val="20"/>
          <w:lang w:eastAsia="en-US"/>
        </w:rPr>
      </w:pPr>
      <w:bookmarkStart w:id="14" w:name="_Toc210289869"/>
      <w:r w:rsidRPr="00D8017D">
        <w:rPr>
          <w:rFonts w:eastAsia="Times New Roman" w:cs="Times New Roman"/>
          <w:b/>
          <w:sz w:val="32"/>
          <w:szCs w:val="20"/>
          <w:lang w:eastAsia="en-US"/>
        </w:rPr>
        <w:t>1.2.4. Iedzīvotāju ienākumi</w:t>
      </w:r>
      <w:bookmarkEnd w:id="13"/>
      <w:bookmarkEnd w:id="14"/>
    </w:p>
    <w:p w14:paraId="752C8102" w14:textId="77777777" w:rsidR="00327EB4" w:rsidRPr="00D8017D" w:rsidRDefault="00327EB4" w:rsidP="00510AA8">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Neskatoties uz ekonomiskās situācijas pasliktināšanos gan Covid-19 pandēmijas, gan Krievijas uzsāktā kara un ārējā pieprasījuma vājināšanās ietekmē, iedzīvotāju ienākumi, tajā skaitā darba samaksa un valsts sociālās apdrošināšanas maksājumi visus pēdējos gadus turpināja spēcīgi palielināties.</w:t>
      </w:r>
    </w:p>
    <w:p w14:paraId="475E2CA0" w14:textId="77777777" w:rsidR="00327EB4" w:rsidRPr="00D8017D" w:rsidRDefault="00327EB4" w:rsidP="00510AA8">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Mēneša vidējā bruto darba samaksa 2023. gadā pieauga par 11,9% un arī 2024. gadā saglabājās straujš pieaugums, vidējai algai palielinoties par 9,7% un sasniedzot 1685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Arī šā gada pirmajā pusē algas turpināja salīdzinoši strauji augt, pilnas slodzes algai pret pērnā gada pirmo pusi palielinoties par 8,2% līdz 1783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w:t>
      </w:r>
    </w:p>
    <w:p w14:paraId="02E2DC8E" w14:textId="77777777" w:rsidR="00327EB4" w:rsidRPr="00D8017D" w:rsidRDefault="00327EB4" w:rsidP="00510AA8">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Straujākais darba samaksas pieaugums 2024. gadā bija sabiedriskajā sektorā – par 12,2%, ko noteica algu paaugstinājumi izglītības, aizsardzības, iekšlietu nozarēs, kā arī vienreizējas izmaksas iekšlietu sistēmas darbiniekiem. Savukārt privātajā sektorā vidējā alga palielinājās par </w:t>
      </w:r>
      <w:r w:rsidRPr="00D8017D">
        <w:rPr>
          <w:rFonts w:eastAsia="Aptos" w:cs="Times New Roman"/>
          <w:szCs w:val="20"/>
          <w:lang w:eastAsia="en-US"/>
          <w14:ligatures w14:val="standardContextual"/>
        </w:rPr>
        <w:lastRenderedPageBreak/>
        <w:t xml:space="preserve">8,7%, un algu pieaugumu ekonomikā kopumā veicināja arī būtiska mēneša minimālās darba samaksas paaugstināšana – par 80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līdz 700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w:t>
      </w:r>
    </w:p>
    <w:p w14:paraId="5433F2AD" w14:textId="77777777" w:rsidR="00327EB4" w:rsidRPr="00D8017D" w:rsidRDefault="00327EB4" w:rsidP="00510AA8">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Arī 2025. gadā algu pieaugumu veicinājis minimālās algas tālāks pieaugums – līdz 740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vairāk veicinot privātā sektora vidējās darba samaksas pieaugumu, kas šogad bijis straujāks nekā sabiedriskajā sektorā. Privātajā sektorā mēneša vidējā darba samaksa gada pirmajos sešos mēnešos, salīdzinot ar 2024. gada pirmajiem sešiem mēnešiem, augusi par 8,9% līdz 1774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kamēr sabiedriskajā sektorā vidējās darba samaksas pieaugums bijis nedaudz lēnāks – par 7,0% līdz 1820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ko noteikusi gan 2024. gada augstā bāze, gan ierobežojumi sabiedriskā sektora darbinieku algu pieaugumiem.</w:t>
      </w:r>
    </w:p>
    <w:p w14:paraId="67F1AE70" w14:textId="7765B7CC" w:rsidR="00327EB4" w:rsidRPr="00D8017D" w:rsidRDefault="00327EB4" w:rsidP="00510AA8">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Nozaru griezumā vidējā alga šā gada pirmajā pusē visstraujāk citu pakalpojumu nozarē, kur tā palielinājās par 22,6%, nekustamā īpašuma nozarē – par 15,3%, administratīvo pakalpojumu nozarē – par 11,6% un enerģētikas nozarē – par 11,0% Savukārt zemākais pieaugums bijis informācijas un komunikācijas pakalpojumu nozarē, kur mēneša vidējā darba samaksa palielinājusies tikai par 4,9% un veselības un sociālās aprūpes nozarē – par 5,0%. Augstākais darba samaksas līmenis joprojām saglabājies finanšu pakalpojumu nozarē – 3137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un informācijas un komunikācijas pakalpojumu nozarē – 2807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kamēr zemākās algas ir izmitināšanā un ēdināšanā – 1193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un mākslas, izklaides un atpūtas nozarē – 1483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mēnesī (skat. 1.18.</w:t>
      </w:r>
      <w:r w:rsidR="00510AA8" w:rsidRPr="00D8017D">
        <w:rPr>
          <w:rFonts w:eastAsia="Aptos" w:cs="Times New Roman"/>
          <w:szCs w:val="20"/>
          <w:lang w:eastAsia="en-US"/>
          <w14:ligatures w14:val="standardContextual"/>
        </w:rPr>
        <w:t xml:space="preserve"> </w:t>
      </w:r>
      <w:r w:rsidRPr="00D8017D">
        <w:rPr>
          <w:rFonts w:eastAsia="Aptos" w:cs="Times New Roman"/>
          <w:szCs w:val="20"/>
          <w:lang w:eastAsia="en-US"/>
          <w14:ligatures w14:val="standardContextual"/>
        </w:rPr>
        <w:t>att</w:t>
      </w:r>
      <w:r w:rsidR="00510AA8" w:rsidRPr="00D8017D">
        <w:rPr>
          <w:rFonts w:eastAsia="Aptos" w:cs="Times New Roman"/>
          <w:szCs w:val="20"/>
          <w:lang w:eastAsia="en-US"/>
          <w14:ligatures w14:val="standardContextual"/>
        </w:rPr>
        <w:t>ēlu</w:t>
      </w:r>
      <w:r w:rsidRPr="00D8017D">
        <w:rPr>
          <w:rFonts w:eastAsia="Aptos" w:cs="Times New Roman"/>
          <w:szCs w:val="20"/>
          <w:lang w:eastAsia="en-US"/>
          <w14:ligatures w14:val="standardContextual"/>
        </w:rPr>
        <w:t>).</w:t>
      </w:r>
    </w:p>
    <w:p w14:paraId="3DBDFC7E" w14:textId="77777777" w:rsidR="00327EB4" w:rsidRPr="00D8017D" w:rsidRDefault="00327EB4" w:rsidP="00327EB4">
      <w:pPr>
        <w:spacing w:after="0"/>
        <w:ind w:firstLine="0"/>
        <w:jc w:val="center"/>
        <w:rPr>
          <w:rFonts w:eastAsia="Times New Roman" w:cs="Times New Roman"/>
          <w:sz w:val="22"/>
          <w:lang w:eastAsia="en-US"/>
        </w:rPr>
      </w:pPr>
      <w:r w:rsidRPr="00D8017D">
        <w:rPr>
          <w:rFonts w:eastAsia="Times New Roman" w:cs="Times New Roman"/>
          <w:noProof/>
          <w:sz w:val="22"/>
          <w:lang w:eastAsia="en-US"/>
        </w:rPr>
        <w:drawing>
          <wp:inline distT="0" distB="0" distL="0" distR="0" wp14:anchorId="3653E78A" wp14:editId="4BE66EA0">
            <wp:extent cx="4958080" cy="3975100"/>
            <wp:effectExtent l="0" t="0" r="0" b="6350"/>
            <wp:docPr id="264175877" name="Chart 264175877">
              <a:extLst xmlns:a="http://schemas.openxmlformats.org/drawingml/2006/main">
                <a:ext uri="{FF2B5EF4-FFF2-40B4-BE49-F238E27FC236}">
                  <a16:creationId xmlns:a16="http://schemas.microsoft.com/office/drawing/2014/main" id="{65681D3B-2340-9FD7-4E92-2312837834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C8C46A4" w14:textId="77777777" w:rsidR="00327EB4" w:rsidRPr="00D8017D" w:rsidRDefault="00327EB4" w:rsidP="00327EB4">
      <w:pPr>
        <w:spacing w:after="0"/>
        <w:ind w:firstLine="0"/>
        <w:jc w:val="center"/>
        <w:rPr>
          <w:rFonts w:eastAsia="Times New Roman" w:cs="Times New Roman"/>
          <w:b/>
          <w:i/>
          <w:szCs w:val="24"/>
          <w:lang w:eastAsia="en-US"/>
        </w:rPr>
      </w:pPr>
      <w:r w:rsidRPr="00D8017D">
        <w:rPr>
          <w:rFonts w:eastAsia="Times New Roman" w:cs="Times New Roman"/>
          <w:b/>
          <w:i/>
          <w:szCs w:val="24"/>
          <w:lang w:eastAsia="en-US"/>
        </w:rPr>
        <w:t>1.18. </w:t>
      </w:r>
      <w:r w:rsidRPr="00D8017D">
        <w:rPr>
          <w:rFonts w:eastAsia="Calibri" w:cs="Times New Roman"/>
          <w:b/>
          <w:i/>
          <w:sz w:val="26"/>
          <w:szCs w:val="26"/>
          <w:lang w:eastAsia="en-US"/>
        </w:rPr>
        <w:t>attēls</w:t>
      </w:r>
      <w:r w:rsidRPr="00D8017D">
        <w:rPr>
          <w:rFonts w:eastAsia="Times New Roman" w:cs="Times New Roman"/>
          <w:b/>
          <w:i/>
          <w:szCs w:val="24"/>
          <w:lang w:eastAsia="en-US"/>
        </w:rPr>
        <w:t>. Strādājošo mēneša vidējā bruto darba samaksa valstī, pa nozarēm, euro un izmaiņas pret iepriekšējā gada attiecīgo periodu, %</w:t>
      </w:r>
    </w:p>
    <w:p w14:paraId="6C7EC563" w14:textId="77777777" w:rsidR="00327EB4" w:rsidRPr="00D8017D" w:rsidRDefault="00327EB4" w:rsidP="00510AA8">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Lai gan algu pieaugums pēdējos gados nedaudz straujāks bijis reģionos ārpus Rīgas, joprojām saglabājas ievērojamas darba samaksas atšķirības starp Rīgas reģionu un pārējo Latviju. Rīgas reģionā mēneša vidējā darba samaksa 2025. gada pirmajā pusē bija 1952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 par 7,8% augstāka nekā pirms gada, kamēr Latgales reģionā tā bija tikai 1288 </w:t>
      </w:r>
      <w:r w:rsidRPr="00D8017D">
        <w:rPr>
          <w:rFonts w:eastAsia="Aptos" w:cs="Times New Roman"/>
          <w:i/>
          <w:iCs/>
          <w:szCs w:val="20"/>
          <w:lang w:eastAsia="en-US"/>
          <w14:ligatures w14:val="standardContextual"/>
        </w:rPr>
        <w:t xml:space="preserve">euro </w:t>
      </w:r>
      <w:r w:rsidRPr="00D8017D">
        <w:rPr>
          <w:rFonts w:eastAsia="Aptos" w:cs="Times New Roman"/>
          <w:szCs w:val="20"/>
          <w:lang w:eastAsia="en-US"/>
          <w14:ligatures w14:val="standardContextual"/>
        </w:rPr>
        <w:t xml:space="preserve">(+9,2%), Kurzemes </w:t>
      </w:r>
      <w:r w:rsidRPr="00D8017D">
        <w:rPr>
          <w:rFonts w:eastAsia="Aptos" w:cs="Times New Roman"/>
          <w:szCs w:val="20"/>
          <w:lang w:eastAsia="en-US"/>
          <w14:ligatures w14:val="standardContextual"/>
        </w:rPr>
        <w:lastRenderedPageBreak/>
        <w:t xml:space="preserve">reģionā 1469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(+7,3%), Zemgales reģionā 1473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(+6,6%) un Vidzemes reģionā 1507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(+13,5%).</w:t>
      </w:r>
    </w:p>
    <w:p w14:paraId="56674F90" w14:textId="77777777" w:rsidR="00327EB4" w:rsidRPr="00D8017D" w:rsidRDefault="00327EB4" w:rsidP="00510AA8">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Strādājošo reālā neto darba samaksa, kas parāda ienākumus, atskaitot inflācijas ietekmi un precīzāk raksturo strādājošo pirktspējas izmaiņas, augstās inflācijas dēļ 2022. gadā bija samazinājusies par 8,7%, piedzīvojot pirmo kritumu kopš pagājušās finanšu krīzes 2009.-2010. gadā. 2023. gadā, patēriņa cenu pieaugumam mazinoties un darba samaksai palielinoties straujāk, algu pirktspēja sāka atjaunoties, pret iepriekšējo gadu pieaugot par 2,2%. 2024. gadā zemākas inflācijas apstākļos pirktspējas kāpums kļuva straujāks, sasniedzot 7,6% un līdz ar šo kāpumu algu pirktspēja atgriezās līmenī, kādā tā bija pirms straujā cenu pieauguma, 2021. gadā. Arī 2025. gadā reālā alga turpina augt, tomēr nedaudz lēnākā tempā (+6,8% pret 2024. gada pirmo pusi), ko nosaka mazliet zemāks vidējās algas pieaugums un augstāka inflācija. Vienlaikus reālo algu paaugstinoša ietekme bijusi no 2025. gada sākuma veiktajām iedzīvotāju ienākuma nodokļa izmaiņām, kas, palielinot ar nodokli neapliekamo minimumu, palielinājušas neto darba samaksas lielumu.</w:t>
      </w:r>
    </w:p>
    <w:p w14:paraId="54643708" w14:textId="5E305E30" w:rsidR="00327EB4" w:rsidRPr="00D8017D" w:rsidRDefault="00327EB4" w:rsidP="00510AA8">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Vecuma pensijas 2024. gadā saņēma pavisam 436,9 tūkst</w:t>
      </w:r>
      <w:r w:rsidR="005136DF">
        <w:rPr>
          <w:rFonts w:eastAsia="Aptos" w:cs="Times New Roman"/>
          <w:szCs w:val="20"/>
          <w:lang w:eastAsia="en-US"/>
          <w14:ligatures w14:val="standardContextual"/>
        </w:rPr>
        <w:t>.</w:t>
      </w:r>
      <w:r w:rsidRPr="00D8017D">
        <w:rPr>
          <w:rFonts w:eastAsia="Aptos" w:cs="Times New Roman"/>
          <w:szCs w:val="20"/>
          <w:lang w:eastAsia="en-US"/>
          <w14:ligatures w14:val="standardContextual"/>
        </w:rPr>
        <w:t xml:space="preserve"> cilvēku un vidējais vecuma pensijas apmērs, salīdzinot ar 2023. gadu, palielinājās par 7,1%, sasniedzot 550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Mazinoties inflācijai, 2023. gadā rudenī veiktās indeksācijas koeficients bija zemāks, kā rezultātā vidējās vecuma pensijas kāpums pērn bija mazāks nekā gadu iepriekš, kad vidējā vecuma pensija bija pieaugusi par 14,2%. Šā gada pirmajos septiņos mēnešos vecuma pensijas turpināja palielināties un vidējā vecuma pensija bija 623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 par 9,8% lielāka nekā 2024. gada pirmajos septiņos mēnešos.</w:t>
      </w:r>
    </w:p>
    <w:p w14:paraId="23A00114" w14:textId="4B989AFD" w:rsidR="00327EB4" w:rsidRPr="00D8017D" w:rsidRDefault="00327EB4" w:rsidP="00510AA8">
      <w:pPr>
        <w:spacing w:before="120"/>
        <w:rPr>
          <w:rFonts w:eastAsia="Aptos" w:cs="Times New Roman"/>
          <w:szCs w:val="20"/>
          <w:lang w:eastAsia="en-US"/>
          <w14:ligatures w14:val="standardContextual"/>
        </w:rPr>
      </w:pPr>
      <w:r w:rsidRPr="00D8017D">
        <w:rPr>
          <w:rFonts w:eastAsia="Aptos" w:cs="Times New Roman"/>
          <w:szCs w:val="20"/>
          <w:lang w:eastAsia="en-US"/>
          <w14:ligatures w14:val="standardContextual"/>
        </w:rPr>
        <w:t>Strādājošo reālajai algai pēdējos divus gadus visai spēcīgi pieaugot, jau no 2024. gada vidus būtiski aug mājsaimniecību uzkrājumi komercbankās, gada pieauguma tempam pēdējos mēnešos jau pārsniedzot 9%, kamēr privātā patēriņa pieauguma tempi Latvijā joprojām saglabājas zemi. 2025. gada jūlija beigās mājsaimniecību noguldījumi bija par 9,7% lielāki nekā pirms gada, kopējai uzkrājumu summai sasniedzot 11,4 m</w:t>
      </w:r>
      <w:r w:rsidR="005136DF">
        <w:rPr>
          <w:rFonts w:eastAsia="Aptos" w:cs="Times New Roman"/>
          <w:szCs w:val="20"/>
          <w:lang w:eastAsia="en-US"/>
          <w14:ligatures w14:val="standardContextual"/>
        </w:rPr>
        <w:t>ljrd.</w:t>
      </w:r>
      <w:r w:rsidRPr="00D8017D">
        <w:rPr>
          <w:rFonts w:eastAsia="Aptos" w:cs="Times New Roman"/>
          <w:szCs w:val="20"/>
          <w:lang w:eastAsia="en-US"/>
          <w14:ligatures w14:val="standardContextual"/>
        </w:rPr>
        <w:t xml:space="preserve">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(skat. 1.19.</w:t>
      </w:r>
      <w:r w:rsidR="00510AA8" w:rsidRPr="00D8017D">
        <w:rPr>
          <w:rFonts w:eastAsia="Aptos" w:cs="Times New Roman"/>
          <w:szCs w:val="20"/>
          <w:lang w:eastAsia="en-US"/>
          <w14:ligatures w14:val="standardContextual"/>
        </w:rPr>
        <w:t xml:space="preserve"> </w:t>
      </w:r>
      <w:r w:rsidRPr="00D8017D">
        <w:rPr>
          <w:rFonts w:eastAsia="Aptos" w:cs="Times New Roman"/>
          <w:szCs w:val="20"/>
          <w:lang w:eastAsia="en-US"/>
          <w14:ligatures w14:val="standardContextual"/>
        </w:rPr>
        <w:t>att</w:t>
      </w:r>
      <w:r w:rsidR="00510AA8" w:rsidRPr="00D8017D">
        <w:rPr>
          <w:rFonts w:eastAsia="Aptos" w:cs="Times New Roman"/>
          <w:szCs w:val="20"/>
          <w:lang w:eastAsia="en-US"/>
          <w14:ligatures w14:val="standardContextual"/>
        </w:rPr>
        <w:t>ēlu</w:t>
      </w:r>
      <w:r w:rsidRPr="00D8017D">
        <w:rPr>
          <w:rFonts w:eastAsia="Aptos" w:cs="Times New Roman"/>
          <w:szCs w:val="20"/>
          <w:lang w:eastAsia="en-US"/>
          <w14:ligatures w14:val="standardContextual"/>
        </w:rPr>
        <w:t>).</w:t>
      </w:r>
    </w:p>
    <w:p w14:paraId="5F2F1A10" w14:textId="77777777" w:rsidR="00327EB4" w:rsidRPr="00D8017D" w:rsidRDefault="00327EB4" w:rsidP="00327EB4">
      <w:pPr>
        <w:spacing w:before="60" w:after="60"/>
        <w:rPr>
          <w:rFonts w:eastAsia="Aptos" w:cs="Times New Roman"/>
          <w:szCs w:val="20"/>
          <w:lang w:eastAsia="en-US"/>
          <w14:ligatures w14:val="standardContextual"/>
        </w:rPr>
      </w:pPr>
    </w:p>
    <w:p w14:paraId="4C562791" w14:textId="77777777" w:rsidR="00327EB4" w:rsidRPr="00D8017D" w:rsidRDefault="00327EB4" w:rsidP="00327EB4">
      <w:pPr>
        <w:spacing w:after="0"/>
        <w:ind w:firstLine="0"/>
        <w:jc w:val="center"/>
        <w:rPr>
          <w:rFonts w:eastAsia="Times New Roman" w:cs="Times New Roman"/>
          <w:sz w:val="22"/>
          <w:lang w:eastAsia="en-US"/>
        </w:rPr>
      </w:pPr>
      <w:r w:rsidRPr="00D8017D">
        <w:rPr>
          <w:rFonts w:eastAsia="Times New Roman" w:cs="Times New Roman"/>
          <w:noProof/>
          <w:sz w:val="22"/>
          <w:lang w:eastAsia="en-US"/>
        </w:rPr>
        <w:drawing>
          <wp:inline distT="0" distB="0" distL="0" distR="0" wp14:anchorId="622ED3A1" wp14:editId="7A760426">
            <wp:extent cx="4692375" cy="2617541"/>
            <wp:effectExtent l="0" t="0" r="0" b="0"/>
            <wp:docPr id="948578779" name="Chart 1">
              <a:extLst xmlns:a="http://schemas.openxmlformats.org/drawingml/2006/main">
                <a:ext uri="{FF2B5EF4-FFF2-40B4-BE49-F238E27FC236}">
                  <a16:creationId xmlns:a16="http://schemas.microsoft.com/office/drawing/2014/main" id="{B61692AD-39DB-40EF-8931-E9B7238339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038D492" w14:textId="77777777" w:rsidR="00327EB4" w:rsidRPr="00D8017D" w:rsidRDefault="00327EB4" w:rsidP="00327EB4">
      <w:pPr>
        <w:spacing w:after="0"/>
        <w:ind w:firstLine="0"/>
        <w:jc w:val="center"/>
        <w:rPr>
          <w:rFonts w:eastAsia="Times New Roman" w:cs="Times New Roman"/>
          <w:b/>
          <w:i/>
          <w:sz w:val="22"/>
          <w:lang w:eastAsia="en-US"/>
        </w:rPr>
      </w:pPr>
      <w:r w:rsidRPr="00D8017D">
        <w:rPr>
          <w:rFonts w:eastAsia="Times New Roman" w:cs="Times New Roman"/>
          <w:b/>
          <w:i/>
          <w:sz w:val="22"/>
          <w:lang w:eastAsia="en-US"/>
        </w:rPr>
        <w:t>1.19. </w:t>
      </w:r>
      <w:r w:rsidRPr="00D8017D">
        <w:rPr>
          <w:rFonts w:eastAsia="Calibri" w:cs="Times New Roman"/>
          <w:b/>
          <w:i/>
          <w:szCs w:val="24"/>
          <w:lang w:eastAsia="en-US"/>
        </w:rPr>
        <w:t>attēls</w:t>
      </w:r>
      <w:r w:rsidRPr="00D8017D">
        <w:rPr>
          <w:rFonts w:eastAsia="Times New Roman" w:cs="Times New Roman"/>
          <w:b/>
          <w:i/>
          <w:sz w:val="22"/>
          <w:lang w:eastAsia="en-US"/>
        </w:rPr>
        <w:t>. Rezidentu mājsaimniecību kopējie noguldījumi Latvijas komercbankās, milj. euro un izmaiņas %</w:t>
      </w:r>
    </w:p>
    <w:p w14:paraId="3E349A24" w14:textId="77777777" w:rsidR="00327EB4" w:rsidRPr="00D8017D" w:rsidRDefault="00327EB4" w:rsidP="00327EB4">
      <w:pPr>
        <w:spacing w:after="0"/>
        <w:ind w:firstLine="0"/>
        <w:jc w:val="center"/>
        <w:rPr>
          <w:rFonts w:eastAsia="Times New Roman" w:cs="Times New Roman"/>
          <w:b/>
          <w:i/>
          <w:sz w:val="22"/>
          <w:lang w:eastAsia="en-US"/>
        </w:rPr>
      </w:pPr>
    </w:p>
    <w:p w14:paraId="3F3FB849" w14:textId="446AB28E" w:rsidR="00327EB4" w:rsidRPr="00D8017D" w:rsidRDefault="00327EB4" w:rsidP="00327EB4">
      <w:pPr>
        <w:rPr>
          <w:rFonts w:eastAsia="Aptos" w:cs="Times New Roman"/>
          <w:szCs w:val="20"/>
          <w:lang w:eastAsia="en-US"/>
          <w14:ligatures w14:val="standardContextual"/>
        </w:rPr>
      </w:pPr>
      <w:r w:rsidRPr="00D8017D">
        <w:rPr>
          <w:rFonts w:eastAsia="Aptos" w:cs="Times New Roman"/>
          <w:szCs w:val="20"/>
          <w:lang w:eastAsia="en-US"/>
          <w14:ligatures w14:val="standardContextual"/>
        </w:rPr>
        <w:t>Kamēr kopējie iedzīvotāju ienākumi turpināja palielināties, to sadalījums joprojām ir visai nevienmērīgs un nevienlīdzības līmenis pēdējā desmitgadē kopš pagājušās 2008.</w:t>
      </w:r>
      <w:r w:rsidR="00E17768">
        <w:rPr>
          <w:rFonts w:eastAsia="Aptos" w:cs="Times New Roman"/>
          <w:szCs w:val="20"/>
          <w:lang w:eastAsia="en-US"/>
          <w14:ligatures w14:val="standardContextual"/>
        </w:rPr>
        <w:t xml:space="preserve"> – </w:t>
      </w:r>
      <w:r w:rsidRPr="00D8017D">
        <w:rPr>
          <w:rFonts w:eastAsia="Aptos" w:cs="Times New Roman"/>
          <w:szCs w:val="20"/>
          <w:lang w:eastAsia="en-US"/>
          <w14:ligatures w14:val="standardContextual"/>
        </w:rPr>
        <w:t xml:space="preserve">2009. gada </w:t>
      </w:r>
      <w:r w:rsidRPr="00D8017D">
        <w:rPr>
          <w:rFonts w:eastAsia="Aptos" w:cs="Times New Roman"/>
          <w:szCs w:val="20"/>
          <w:lang w:eastAsia="en-US"/>
          <w14:ligatures w14:val="standardContextual"/>
        </w:rPr>
        <w:lastRenderedPageBreak/>
        <w:t xml:space="preserve">finanšu krīzes nav būtiski mainījies, saglabājoties vienā no augstākajiem līmeņiem starp </w:t>
      </w:r>
      <w:r w:rsidR="005136DF">
        <w:rPr>
          <w:rFonts w:eastAsia="Aptos" w:cs="Times New Roman"/>
          <w:szCs w:val="20"/>
          <w:lang w:eastAsia="en-US"/>
          <w14:ligatures w14:val="standardContextual"/>
        </w:rPr>
        <w:t>ES</w:t>
      </w:r>
      <w:r w:rsidRPr="00D8017D">
        <w:rPr>
          <w:rFonts w:eastAsia="Aptos" w:cs="Times New Roman"/>
          <w:szCs w:val="20"/>
          <w:lang w:eastAsia="en-US"/>
          <w14:ligatures w14:val="standardContextual"/>
        </w:rPr>
        <w:t xml:space="preserve"> valstīm. Nevienlīdzības līmeni raksturojošais Džini koeficients laikā kopš 2010. gada ir svārstījies 34-35 līmenī, 2022. gadā samazinoties līdz vēsturiski zemākajam 34,0 līmenim, bet 2023. gadā nebūtiski pieaugot līdz 34,2 un joprojām ir trešais augstākais </w:t>
      </w:r>
      <w:r w:rsidR="005136DF">
        <w:rPr>
          <w:rFonts w:eastAsia="Aptos" w:cs="Times New Roman"/>
          <w:szCs w:val="20"/>
          <w:lang w:eastAsia="en-US"/>
          <w14:ligatures w14:val="standardContextual"/>
        </w:rPr>
        <w:t>ES</w:t>
      </w:r>
      <w:r w:rsidRPr="00D8017D">
        <w:rPr>
          <w:rFonts w:eastAsia="Aptos" w:cs="Times New Roman"/>
          <w:szCs w:val="20"/>
          <w:lang w:eastAsia="en-US"/>
          <w14:ligatures w14:val="standardContextual"/>
        </w:rPr>
        <w:t xml:space="preserve"> pēc Bulgārijas un Lietuvas.</w:t>
      </w:r>
    </w:p>
    <w:p w14:paraId="0A8D9ACB" w14:textId="77777777" w:rsidR="00327EB4" w:rsidRPr="00D8017D" w:rsidRDefault="00327EB4" w:rsidP="00327EB4">
      <w:pPr>
        <w:spacing w:before="60"/>
        <w:rPr>
          <w:rFonts w:eastAsia="Aptos" w:cs="Times New Roman"/>
          <w:szCs w:val="20"/>
          <w:lang w:eastAsia="en-US"/>
          <w14:ligatures w14:val="standardContextual"/>
        </w:rPr>
      </w:pPr>
      <w:r w:rsidRPr="00D8017D">
        <w:rPr>
          <w:rFonts w:eastAsia="Aptos" w:cs="Times New Roman"/>
          <w:szCs w:val="20"/>
          <w:lang w:eastAsia="en-US"/>
          <w14:ligatures w14:val="standardContextual"/>
        </w:rPr>
        <w:t>Salīdzinoši augsto nevienlīdzības līmeni Latvijā galvenokārt nosaka augstais nabadzības riskam pakļauto iedzīvotāju īpatsvars pensionāru grupā, kur tas ir būtiski augstāks nekā ES vidēji. Skatoties pēc nodarbošanās statusa, Latvijā nabadzības riskam 2023. gadā bija pakļauti 50,2% pensionāru, kamēr ES vidēji – tikai 18,0%. Savukārt strādājošajiem iedzīvotājiem nabadzības risks (10,2%) ir pat nedaudz zemāks par ES vidējo rādītāju.</w:t>
      </w:r>
    </w:p>
    <w:p w14:paraId="75782227" w14:textId="55EB99EE" w:rsidR="00327EB4" w:rsidRPr="00D8017D" w:rsidRDefault="00327EB4" w:rsidP="00327EB4">
      <w:pPr>
        <w:spacing w:before="60"/>
        <w:rPr>
          <w:rFonts w:eastAsia="Aptos" w:cs="Times New Roman"/>
          <w:szCs w:val="20"/>
          <w:lang w:eastAsia="en-US"/>
          <w14:ligatures w14:val="standardContextual"/>
        </w:rPr>
      </w:pPr>
      <w:r w:rsidRPr="00D8017D">
        <w:rPr>
          <w:rFonts w:eastAsia="Aptos" w:cs="Times New Roman"/>
          <w:szCs w:val="20"/>
          <w:lang w:eastAsia="en-US"/>
          <w14:ligatures w14:val="standardContextual"/>
        </w:rPr>
        <w:t>Līdz ar ekonomikas izaugsmi laikā kopš 2010. gada Latvijas iedzīvotāju ienākumi kopumā arvien ir tuvinājušies ES vidējam līmenim, bet joprojām no tā būtiski atpaliek. Laikā no 2011. līdz 2023. gadam mājsaimniecību vidējie rīcībā esošie ienākumi uz vienu iedzīvotāju pēc pirktspējas paritātes standarta ir palielinājušies no 52% no ES vidējā līdz 63% no ES vidējā. Neskatoties uz to, Latvijas mājsaimniecību ienākumi joprojām ir starp zemākajiem ES, apsteidzot tikai Bulgāriju, par kuru arī vēl nav pieejami 2023. gada dati (1.20. att.).</w:t>
      </w:r>
    </w:p>
    <w:p w14:paraId="1CC32C27" w14:textId="77777777" w:rsidR="00327EB4" w:rsidRPr="00D8017D" w:rsidRDefault="00327EB4" w:rsidP="00327EB4">
      <w:pPr>
        <w:spacing w:before="60" w:after="60"/>
        <w:ind w:firstLine="0"/>
        <w:jc w:val="center"/>
        <w:rPr>
          <w:rFonts w:eastAsia="Aptos" w:cs="Times New Roman"/>
          <w:szCs w:val="20"/>
          <w:lang w:eastAsia="en-US"/>
          <w14:ligatures w14:val="standardContextual"/>
        </w:rPr>
      </w:pPr>
      <w:r w:rsidRPr="00D8017D">
        <w:rPr>
          <w:rFonts w:ascii="Calibri" w:eastAsia="Calibri" w:hAnsi="Calibri" w:cs="Times New Roman"/>
          <w:noProof/>
          <w:sz w:val="22"/>
          <w:lang w:eastAsia="en-US"/>
        </w:rPr>
        <w:drawing>
          <wp:inline distT="0" distB="0" distL="0" distR="0" wp14:anchorId="0B70D6B5" wp14:editId="02E98F96">
            <wp:extent cx="5274310" cy="2978785"/>
            <wp:effectExtent l="0" t="0" r="2540" b="0"/>
            <wp:docPr id="724438975" name="Chart 1">
              <a:extLst xmlns:a="http://schemas.openxmlformats.org/drawingml/2006/main">
                <a:ext uri="{FF2B5EF4-FFF2-40B4-BE49-F238E27FC236}">
                  <a16:creationId xmlns:a16="http://schemas.microsoft.com/office/drawing/2014/main" id="{48A5EE4B-45D8-3C9A-7B83-D01E8F557B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681A2EC" w14:textId="4B960932" w:rsidR="00327EB4" w:rsidRPr="00D8017D" w:rsidRDefault="00327EB4" w:rsidP="00327EB4">
      <w:pPr>
        <w:spacing w:after="0"/>
        <w:ind w:firstLine="0"/>
        <w:jc w:val="center"/>
        <w:rPr>
          <w:rFonts w:eastAsia="Times New Roman" w:cs="Times New Roman"/>
          <w:b/>
          <w:i/>
          <w:szCs w:val="24"/>
          <w:lang w:eastAsia="en-US"/>
        </w:rPr>
      </w:pPr>
      <w:r w:rsidRPr="00D8017D">
        <w:rPr>
          <w:rFonts w:eastAsia="Times New Roman" w:cs="Times New Roman"/>
          <w:b/>
          <w:i/>
          <w:szCs w:val="24"/>
          <w:lang w:eastAsia="en-US"/>
        </w:rPr>
        <w:t>1.20. </w:t>
      </w:r>
      <w:r w:rsidRPr="00D8017D">
        <w:rPr>
          <w:rFonts w:eastAsia="Calibri" w:cs="Times New Roman"/>
          <w:b/>
          <w:i/>
          <w:szCs w:val="24"/>
          <w:lang w:eastAsia="en-US"/>
        </w:rPr>
        <w:t>att</w:t>
      </w:r>
      <w:r w:rsidRPr="00D8017D">
        <w:rPr>
          <w:rFonts w:eastAsia="Times New Roman" w:cs="Times New Roman"/>
          <w:b/>
          <w:i/>
          <w:szCs w:val="24"/>
          <w:lang w:eastAsia="en-US"/>
        </w:rPr>
        <w:t>. Mājsaimniecību rīcībā esošie ienākumi uz vienu iedzīvotāju pēc pirktspējas paritātes standarta ES valstīs, 2023. gadā, % no ES vidējā</w:t>
      </w:r>
    </w:p>
    <w:p w14:paraId="02CCAE2F" w14:textId="30097078" w:rsidR="0070161D" w:rsidRPr="00D8017D" w:rsidRDefault="0070161D" w:rsidP="008349F0">
      <w:pPr>
        <w:spacing w:after="0"/>
        <w:ind w:firstLine="0"/>
        <w:jc w:val="center"/>
        <w:rPr>
          <w:rFonts w:eastAsia="Times New Roman" w:cs="Times New Roman"/>
          <w:b/>
          <w:i/>
          <w:szCs w:val="24"/>
          <w:highlight w:val="lightGray"/>
          <w:lang w:eastAsia="en-US"/>
        </w:rPr>
      </w:pPr>
    </w:p>
    <w:p w14:paraId="0142E977" w14:textId="77777777" w:rsidR="0070161D" w:rsidRPr="00D8017D" w:rsidRDefault="0070161D" w:rsidP="008349F0">
      <w:pPr>
        <w:spacing w:before="240" w:after="240"/>
        <w:ind w:firstLine="0"/>
        <w:jc w:val="center"/>
        <w:outlineLvl w:val="2"/>
        <w:rPr>
          <w:rFonts w:eastAsia="Times New Roman" w:cs="Times New Roman"/>
          <w:b/>
          <w:sz w:val="32"/>
          <w:szCs w:val="20"/>
          <w:lang w:eastAsia="en-US"/>
        </w:rPr>
      </w:pPr>
      <w:bookmarkStart w:id="15" w:name="_Toc178763480"/>
      <w:bookmarkStart w:id="16" w:name="_Toc210289870"/>
      <w:r w:rsidRPr="00D8017D">
        <w:rPr>
          <w:rFonts w:eastAsia="Times New Roman" w:cs="Times New Roman"/>
          <w:b/>
          <w:sz w:val="32"/>
          <w:szCs w:val="20"/>
          <w:lang w:eastAsia="en-US"/>
        </w:rPr>
        <w:t>1.2.5. Ārējā tirdzniecība un maksājumu bilance</w:t>
      </w:r>
      <w:bookmarkEnd w:id="15"/>
      <w:bookmarkEnd w:id="16"/>
    </w:p>
    <w:p w14:paraId="2D840189" w14:textId="2D3D4051" w:rsidR="00012C72" w:rsidRPr="00D8017D" w:rsidRDefault="00012C72" w:rsidP="00012C72">
      <w:pPr>
        <w:rPr>
          <w:rFonts w:eastAsia="Aptos" w:cs="Times New Roman"/>
          <w:szCs w:val="20"/>
          <w:lang w:eastAsia="en-US"/>
          <w14:ligatures w14:val="standardContextual"/>
        </w:rPr>
      </w:pPr>
      <w:bookmarkStart w:id="17" w:name="_Toc178763481"/>
      <w:r w:rsidRPr="00D8017D">
        <w:rPr>
          <w:rFonts w:eastAsia="Aptos" w:cs="Times New Roman"/>
          <w:szCs w:val="20"/>
          <w:lang w:eastAsia="en-US"/>
          <w14:ligatures w14:val="standardContextual"/>
        </w:rPr>
        <w:t xml:space="preserve">2024. gads Latvijas eksportētājiem bija ļoti izaicinošs, jo ārējās tirdzniecības aktivitātes kritums pērnajā gadā bija vērojams visā </w:t>
      </w:r>
      <w:r w:rsidR="000C6147" w:rsidRPr="00D8017D">
        <w:rPr>
          <w:rFonts w:eastAsia="Aptos" w:cs="Times New Roman"/>
          <w:szCs w:val="20"/>
          <w:lang w:eastAsia="en-US"/>
          <w14:ligatures w14:val="standardContextual"/>
        </w:rPr>
        <w:t>ES</w:t>
      </w:r>
      <w:r w:rsidRPr="00D8017D">
        <w:rPr>
          <w:rFonts w:eastAsia="Aptos" w:cs="Times New Roman"/>
          <w:szCs w:val="20"/>
          <w:lang w:eastAsia="en-US"/>
          <w14:ligatures w14:val="standardContextual"/>
        </w:rPr>
        <w:t xml:space="preserve"> – eksporta tirgū, kas nodrošina gandrīz 70% no kopējā Latvijas eksporta. Vārgā ekonomikas izaugsme ES, ko negatīvi ietekmēja cīņa ar augsto inflāciju iepriekšējos gados un starptautisko piegādes ķēžu maiņa ģeopolitisko faktoru dēļ, vājināja apstrādes rūpniecību un būvniecības nozari ES, kas ir īpaši svarīga Latvijas preču eksportētājiem. 2024. gadā kopumā Latvijas preču un pakalpojumu eksporta vērtība salīdzināmajās cenās veidoja 20,9 m</w:t>
      </w:r>
      <w:r w:rsidR="005136DF">
        <w:rPr>
          <w:rFonts w:eastAsia="Aptos" w:cs="Times New Roman"/>
          <w:szCs w:val="20"/>
          <w:lang w:eastAsia="en-US"/>
          <w14:ligatures w14:val="standardContextual"/>
        </w:rPr>
        <w:t>ljrd.</w:t>
      </w:r>
      <w:r w:rsidRPr="00D8017D">
        <w:rPr>
          <w:rFonts w:eastAsia="Aptos" w:cs="Times New Roman"/>
          <w:szCs w:val="20"/>
          <w:lang w:eastAsia="en-US"/>
          <w14:ligatures w14:val="standardContextual"/>
        </w:rPr>
        <w:t xml:space="preserve">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kas bija par 1,6% mazāk nekā 2023. gadā, ko negatīvi ietekmēja gan preču, gan pakalpojumu eksporta samazinājums. Kopējā eksporta vērtība samazinājās jau otro gadu pēc kārtas. Lai arī eksporta samazinājumu 1,6% apmērā pērnajā gadā var uzskatīt par mērenu, tomēr </w:t>
      </w:r>
      <w:r w:rsidRPr="00D8017D">
        <w:rPr>
          <w:rFonts w:eastAsia="Aptos" w:cs="Times New Roman"/>
          <w:szCs w:val="20"/>
          <w:lang w:eastAsia="en-US"/>
          <w14:ligatures w14:val="standardContextual"/>
        </w:rPr>
        <w:lastRenderedPageBreak/>
        <w:t>divos gados kopā eksporta kritums veidoja jau 6,2% un bija viens no straujākajiem ES. Vēl straujāks preču un pakalpojumu eksporta kritums pēdējos divos gados bijis tikai Luksemburgā – par 11,7%, Igaunijā – par 10,5% un Beļģijā – par 10,3%. Lietuvā arī 2023. gadā bija eksporta samazinājums, tomēr tikai 1,4% apmērā. Savukārt, 2024.</w:t>
      </w:r>
      <w:r w:rsidR="005136DF">
        <w:rPr>
          <w:rFonts w:eastAsia="Aptos" w:cs="Times New Roman"/>
          <w:szCs w:val="20"/>
          <w:lang w:eastAsia="en-US"/>
          <w14:ligatures w14:val="standardContextual"/>
        </w:rPr>
        <w:t xml:space="preserve"> </w:t>
      </w:r>
      <w:r w:rsidRPr="00D8017D">
        <w:rPr>
          <w:rFonts w:eastAsia="Aptos" w:cs="Times New Roman"/>
          <w:szCs w:val="20"/>
          <w:lang w:eastAsia="en-US"/>
          <w14:ligatures w14:val="standardContextual"/>
        </w:rPr>
        <w:t xml:space="preserve">gadā pretēji kaimiņvalstu tendencēm, Lietuvas eksports palielinājies par 2,1%. Ņemot vērā, ka kopējais ES eksports pēdējos gados uzrāda nelielu kāpumu, tas nozīmē, ka Baltijas valstis visasāk izjuta ārējā pieprasījuma kritumu. </w:t>
      </w:r>
    </w:p>
    <w:p w14:paraId="3C3BB47E" w14:textId="57D085A6"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2024. gadā samazinājusies arī Latvijas preču un pakalpojumu importa vērtība – par 2,3%, ko noteica gan preču, it īpaši kapitālpreču un starppatēriņa preču imports, gan pakalpojumu importa samazinājums. Kopējā preču un pakalpojumu importa vērtība salīdzināmajās cenās veidoja 21,7 m</w:t>
      </w:r>
      <w:r w:rsidR="005136DF">
        <w:rPr>
          <w:rFonts w:eastAsia="Aptos" w:cs="Times New Roman"/>
          <w:szCs w:val="20"/>
          <w:lang w:eastAsia="en-US"/>
          <w14:ligatures w14:val="standardContextual"/>
        </w:rPr>
        <w:t>ljrd.</w:t>
      </w:r>
      <w:r w:rsidRPr="00D8017D">
        <w:rPr>
          <w:rFonts w:eastAsia="Aptos" w:cs="Times New Roman"/>
          <w:szCs w:val="20"/>
          <w:lang w:eastAsia="en-US"/>
          <w14:ligatures w14:val="standardContextual"/>
        </w:rPr>
        <w:t xml:space="preserve">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Ņemot vērā, ka preču un pakalpojumu imports ir samazinājies straujāk nekā eksports, ārējās tirdzniecības bilance 2024. gadā ir uzlabojusies. Ārējās tirdzniecības deficīts pērnajā gadā veidoja 799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kas bija par 182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mazāk nekā gadu iepriekš salīdzināmajās cenās (faktiskajās cenas deficīts veidoja 1029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kas bija par 432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mazāk nekā gadu iepriekš). Tādējādi ārējās tirdzniecības devums IKP izaugsmē bija pozitīvs jeb 0,6 p</w:t>
      </w:r>
      <w:r w:rsidR="005136DF">
        <w:rPr>
          <w:rFonts w:eastAsia="Aptos" w:cs="Times New Roman"/>
          <w:szCs w:val="20"/>
          <w:lang w:eastAsia="en-US"/>
          <w14:ligatures w14:val="standardContextual"/>
        </w:rPr>
        <w:t>p</w:t>
      </w:r>
      <w:r w:rsidRPr="00D8017D">
        <w:rPr>
          <w:rFonts w:eastAsia="Aptos" w:cs="Times New Roman"/>
          <w:szCs w:val="20"/>
          <w:lang w:eastAsia="en-US"/>
          <w14:ligatures w14:val="standardContextual"/>
        </w:rPr>
        <w:t>. Ārējās tirdzniecības nozīme 2024. gadā nedaudz samazinājusies. Eksporta un importa īpatsvars IKP veidoja attiecīgi 64,1% un 66,5%.</w:t>
      </w:r>
    </w:p>
    <w:p w14:paraId="598829CD"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2025. gada pirmajā pusgadā situācija ārējā tirdzniecībā saglabājas saspringta. Kopējā eksporta vērtība salīdzināmajās cenās bija tikai par 0,2% augstāka nekā pērnā gada pirmajā pusgadā, ko ietekmēja pakalpojumu eksporta pieauguma atjaunošanās. Pakalpojumu eksporta vērtība palielinājās par 4,2%. Tomēr šo pieaugumu gandrīz pilnā apmērā nosedza preču eksporta kritums 1,2% apmērā. Vienlaicīgi importam fiksēts būtisks pieaugums, gan precēm, gan pakalpojumiem, tādējādi palielinot ārējās tirdzniecības deficītu vairāk nekā divas reizes, no 427 milj. </w:t>
      </w:r>
      <w:r w:rsidRPr="00D8017D">
        <w:rPr>
          <w:rFonts w:eastAsia="Aptos" w:cs="Times New Roman"/>
          <w:i/>
          <w:iCs/>
          <w:szCs w:val="20"/>
          <w:lang w:eastAsia="en-US"/>
          <w14:ligatures w14:val="standardContextual"/>
        </w:rPr>
        <w:t xml:space="preserve">euro </w:t>
      </w:r>
      <w:r w:rsidRPr="00D8017D">
        <w:rPr>
          <w:rFonts w:eastAsia="Aptos" w:cs="Times New Roman"/>
          <w:szCs w:val="20"/>
          <w:lang w:eastAsia="en-US"/>
          <w14:ligatures w14:val="standardContextual"/>
        </w:rPr>
        <w:t>līdz 1045</w:t>
      </w:r>
      <w:r w:rsidRPr="00D8017D">
        <w:rPr>
          <w:rFonts w:eastAsia="Aptos" w:cs="Times New Roman"/>
          <w:i/>
          <w:iCs/>
          <w:szCs w:val="20"/>
          <w:lang w:eastAsia="en-US"/>
          <w14:ligatures w14:val="standardContextual"/>
        </w:rPr>
        <w:t xml:space="preserve"> </w:t>
      </w:r>
      <w:r w:rsidRPr="00D8017D">
        <w:rPr>
          <w:rFonts w:eastAsia="Aptos" w:cs="Times New Roman"/>
          <w:szCs w:val="20"/>
          <w:lang w:eastAsia="en-US"/>
          <w14:ligatures w14:val="standardContextual"/>
        </w:rPr>
        <w:t xml:space="preserve">milj. </w:t>
      </w:r>
      <w:r w:rsidRPr="00D8017D">
        <w:rPr>
          <w:rFonts w:eastAsia="Aptos" w:cs="Times New Roman"/>
          <w:i/>
          <w:iCs/>
          <w:szCs w:val="20"/>
          <w:lang w:eastAsia="en-US"/>
          <w14:ligatures w14:val="standardContextual"/>
        </w:rPr>
        <w:t xml:space="preserve">euro </w:t>
      </w:r>
      <w:r w:rsidRPr="00D8017D">
        <w:rPr>
          <w:rFonts w:eastAsia="Aptos" w:cs="Times New Roman"/>
          <w:szCs w:val="20"/>
          <w:lang w:eastAsia="en-US"/>
          <w14:ligatures w14:val="standardContextual"/>
        </w:rPr>
        <w:t>2025. gada pirmajā pusē. Importa vērtība šā gada pirmajā pusgadā bija 5,6% augstāka.</w:t>
      </w:r>
    </w:p>
    <w:p w14:paraId="57B88A1E" w14:textId="4957BA1E"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Aktuālākie ikmēneša preču ārējās tirdzniecības dati 2025. gadā iezīmē pozitīvāku preču eksporta attīstību nekā iepriekšējos divos gados. Tomēr preču eksporta pārmaiņas ir pārāk svārstīgas (no 11,1% pieauguma šā gada aprīlī līdz 1,8% kritumam šā gada jūnijā), lai droši apgalvotu kā ārējais pieprasījums ir uzlabojies. Atbilstoši CSP datiem, preču eksporta vērtība faktiskajās cenās šā gada pirmajos septiņos mēnešos bija par 3,9% jeb 424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augstāka nekā attiecīgajā periodā 2024. gadā. Tomēr jāatzīmē, ka mēneša dati tiek atspoguļoti faktiskajās cenās, kas nozīmē, ka no datiem nav izslēgta cenu pārmaiņu ietekme. </w:t>
      </w:r>
    </w:p>
    <w:p w14:paraId="5D978946"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Preču eksporta pieaugums bija fiksēts lielākajai daļai no preču grupām, izņemot koksnes un koka izstrādājumus, papīru un poligrāfijas izstrādājumus, kā arī metālu un metālu izstrādājumus.</w:t>
      </w:r>
    </w:p>
    <w:p w14:paraId="197A1D3F"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Lielāko devumu preču eksporta pieaugumā nodrošināja minerālproduktu eksporta pieaugums par 30,0% jeb 254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tādējādi izskaidrojot gandrīz divas trešdaļas no preču eksporta pieauguma šā gada septiņos mēnešos. </w:t>
      </w:r>
      <w:bookmarkStart w:id="18" w:name="_Hlk197961944"/>
      <w:r w:rsidRPr="00D8017D">
        <w:rPr>
          <w:rFonts w:eastAsia="Aptos" w:cs="Times New Roman"/>
          <w:szCs w:val="20"/>
          <w:lang w:eastAsia="en-US"/>
          <w14:ligatures w14:val="standardContextual"/>
        </w:rPr>
        <w:t xml:space="preserve">Minerālproduktu eksporta kāpumu noteica naftas un akmeņogļu reeksports. Lai gan šāds pieaugums vērtējams pozitīvi, tomēr no eksporta attīstības skatu punkta </w:t>
      </w:r>
      <w:bookmarkEnd w:id="18"/>
      <w:r w:rsidRPr="00D8017D">
        <w:rPr>
          <w:rFonts w:eastAsia="Aptos" w:cs="Times New Roman"/>
          <w:szCs w:val="20"/>
          <w:lang w:eastAsia="en-US"/>
          <w14:ligatures w14:val="standardContextual"/>
        </w:rPr>
        <w:t xml:space="preserve">fakts, ka vairāk nekā pusi no kopējā preču eksporta pieauguma nodrošina ar reeksportu saistīta preču grupa, ir slikti, jo reeksporta apjomi ir nepastāvīgi un svārstīgi. Naftas gadījumā būtisku ietekmi atstāj arī cenu svārstības pasaules biržās. Papildus tam, ieguldījums pievienotajā vērtībā no reeksporta ir būtiski mazāks nekā no tiešā eksporta precēm, kuras saražotas Latvijā. Elektroenerģijas eksports, kas arī ietilpst minerālproduktu grupā un veido nozīmīgu daļu no šis grupas eksporta vērtības, bijis par trešdaļu jeb 59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mazāks nekā pērnā gada septiņos mēnešos. Arī importa datos minerālproduktiem fiksēts straujš pieaugums (+255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jeb 20,5%, salīdzinot ar 2024. gada septiņiem mēnešiem), ko tāpat nodrošināja naftas un akmeņogļu importa pieaugums. Tas apliecina, ka eksporta pieaugumu šajā grupā nodrošina reeksports. Svarīgi </w:t>
      </w:r>
      <w:r w:rsidRPr="00D8017D">
        <w:rPr>
          <w:rFonts w:eastAsia="Aptos" w:cs="Times New Roman"/>
          <w:szCs w:val="20"/>
          <w:lang w:eastAsia="en-US"/>
          <w14:ligatures w14:val="standardContextual"/>
        </w:rPr>
        <w:lastRenderedPageBreak/>
        <w:t xml:space="preserve">norādīt, ka nafta tiek importēta no ES valstīm, bet eksportēta lielākoties uz trešajām valstīm kā Nigēriju, Togo, Trinidādu un Tobāgo, ASV. Savukārt akmeņogļu gadījumā ārējās tirdzniecības plūsmas galvenokārt notiek ES iekšienē. </w:t>
      </w:r>
    </w:p>
    <w:p w14:paraId="7CC0B30E"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Nozīmīgu devumu preču eksporta izaugsmē šā gada septiņos mēnešos noteica satiksmes līdzekļi, eksporta vērtībai palielinoties par 9,6% jeb 58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ko veicināja automobiļu reeksports 74 milj. </w:t>
      </w:r>
      <w:r w:rsidRPr="00D8017D">
        <w:rPr>
          <w:rFonts w:eastAsia="Aptos" w:cs="Times New Roman"/>
          <w:i/>
          <w:iCs/>
          <w:szCs w:val="20"/>
          <w:lang w:eastAsia="en-US"/>
          <w14:ligatures w14:val="standardContextual"/>
        </w:rPr>
        <w:t xml:space="preserve">euro </w:t>
      </w:r>
      <w:r w:rsidRPr="00D8017D">
        <w:rPr>
          <w:rFonts w:eastAsia="Aptos" w:cs="Times New Roman"/>
          <w:szCs w:val="20"/>
          <w:lang w:eastAsia="en-US"/>
          <w14:ligatures w14:val="standardContextual"/>
        </w:rPr>
        <w:t xml:space="preserve">apmērā. Importa pusē, automobiļiem un citiem mehāniskajiem transportlīdzekļiem tika fiksēts vēl lielāks pieaugums, 133 milj. </w:t>
      </w:r>
      <w:r w:rsidRPr="00D8017D">
        <w:rPr>
          <w:rFonts w:eastAsia="Aptos" w:cs="Times New Roman"/>
          <w:i/>
          <w:iCs/>
          <w:szCs w:val="20"/>
          <w:lang w:eastAsia="en-US"/>
          <w14:ligatures w14:val="standardContextual"/>
        </w:rPr>
        <w:t xml:space="preserve">euro </w:t>
      </w:r>
      <w:r w:rsidRPr="00D8017D">
        <w:rPr>
          <w:rFonts w:eastAsia="Aptos" w:cs="Times New Roman"/>
          <w:szCs w:val="20"/>
          <w:lang w:eastAsia="en-US"/>
          <w14:ligatures w14:val="standardContextual"/>
        </w:rPr>
        <w:t>apmērā, kas norāda uz to, ka eksporta izaugsme šajā preču grupā notiek, balstoties uz reeksportu. Starpību starp importu un eksportu var attiecināt uz iekšējo patēriņu, kas arī pieaug. Atbilstoši Ceļu satiksmes drošības direkcijas datiem, šā gada astoņos mēnešos pirmoreiz reģistrēto vieglo automašīnu skaits palielinājies par 12,0% salīdzinājumā ar attiecīgo periodu pērn, sasniedzot 43 264.</w:t>
      </w:r>
    </w:p>
    <w:p w14:paraId="07A210A2"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Vēl viena preču grupa, kurai tika fiksēts eksporta pieaugums, tajā skaitā pateicoties reeksporta kāpumam, ir mehāniskās ierīces un elektroiekārtas. Šīs preču grupas eksporta vērtība šā gada septiņos mēnešos bija par 2,2% jeb 37 milj. </w:t>
      </w:r>
      <w:r w:rsidRPr="00D8017D">
        <w:rPr>
          <w:rFonts w:eastAsia="Aptos" w:cs="Times New Roman"/>
          <w:i/>
          <w:iCs/>
          <w:szCs w:val="20"/>
          <w:lang w:eastAsia="en-US"/>
          <w14:ligatures w14:val="standardContextual"/>
        </w:rPr>
        <w:t xml:space="preserve">euro </w:t>
      </w:r>
      <w:r w:rsidRPr="00D8017D">
        <w:rPr>
          <w:rFonts w:eastAsia="Aptos" w:cs="Times New Roman"/>
          <w:szCs w:val="20"/>
          <w:lang w:eastAsia="en-US"/>
          <w14:ligatures w14:val="standardContextual"/>
        </w:rPr>
        <w:t>augstāka nekā 2024. gada attiecīgajā periodā. Eksporta kāpumu veicināja augstāks grāmatu iesiešanas iekārtu, kā arī elektriskai kontrolei paredzēto paneļu eksports. Papildus tam, būtisku artavu eksporta kāpumā šajā preču grupā nodrošināja viedtālruņu un zibatmiņu karšu reeksporta pieaugums.</w:t>
      </w:r>
    </w:p>
    <w:p w14:paraId="6F64C3BB" w14:textId="75A42585"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Pārējo preču grupu eksporta pārmaiņas bija būtiski mazākas. Pēc īpatsvara lielākās preču grupas - lauksaimniecības un pārtikas preču eksporta vērtība 2025.</w:t>
      </w:r>
      <w:r w:rsidR="005136DF">
        <w:rPr>
          <w:rFonts w:eastAsia="Aptos" w:cs="Times New Roman"/>
          <w:szCs w:val="20"/>
          <w:lang w:eastAsia="en-US"/>
          <w14:ligatures w14:val="standardContextual"/>
        </w:rPr>
        <w:t xml:space="preserve"> </w:t>
      </w:r>
      <w:r w:rsidRPr="00D8017D">
        <w:rPr>
          <w:rFonts w:eastAsia="Aptos" w:cs="Times New Roman"/>
          <w:szCs w:val="20"/>
          <w:lang w:eastAsia="en-US"/>
          <w14:ligatures w14:val="standardContextual"/>
        </w:rPr>
        <w:t xml:space="preserve">gada septiņos mēnešos palielinājusies par 0,8% jeb 20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Tomēr eksporta pārmaiņas šajā preču grupā bija neviendabīgas, jo piena produktu, gaļas un zivju, kā arī labības, miltu un izstrādājumu eksports uzrādīja būtisku kāpumu. Vienlaicīgi graudaugu, dārzeņu un augļu, alkoholisko dzērienu, kā arī pārtikas rūpniecības atlieku eksports ievērojami samazinājies. Tādējādi ietekme uz kopējo šīs preču grupas eksporta vērtību bija neitrāla. Šis grupas kopējais eksports šā gada septiņos mēnešos sastādīja 2403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kas veidoja 21,5% no kopējās preču eksporta vērtības.</w:t>
      </w:r>
    </w:p>
    <w:p w14:paraId="4B410286" w14:textId="77777777" w:rsidR="00A067CB" w:rsidRDefault="00012C72" w:rsidP="00A067CB">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Vēl viena Latvijas eksportam un apstrādes rūpniecībai svarīga preču grupa ir koksne un koka izstrādājumi. Šis grupas eksporta vērtība bija par 1,4% jeb 25 milj. </w:t>
      </w:r>
      <w:r w:rsidRPr="00D8017D">
        <w:rPr>
          <w:rFonts w:eastAsia="Aptos" w:cs="Times New Roman"/>
          <w:i/>
          <w:iCs/>
          <w:szCs w:val="20"/>
          <w:lang w:eastAsia="en-US"/>
          <w14:ligatures w14:val="standardContextual"/>
        </w:rPr>
        <w:t xml:space="preserve">euro </w:t>
      </w:r>
      <w:r w:rsidRPr="00D8017D">
        <w:rPr>
          <w:rFonts w:eastAsia="Aptos" w:cs="Times New Roman"/>
          <w:szCs w:val="20"/>
          <w:lang w:eastAsia="en-US"/>
          <w14:ligatures w14:val="standardContextual"/>
        </w:rPr>
        <w:t>zemāka salīdzinājumā ar 2024. gada septiņiem mēnešiem. Ar 15,8% īpatsvaru kopējā preču eksportā tā ierindojas otrajā vietā lielāko preču eksporta grupu sarakstā. Pēc būtiskā pieauguma 16,8% apmērā 2022. gadā, ko noteica koksnes cenu kāpums enerģētiskās krīzes dēļ, kopš 2023. gada koksnes un koka izstrādājumu eksports ir stabilizējies un būtiskas svārstības šajā preču grupā nav vērojamas. Ņemot vērā, ka pēdējos gados rūpniecības un būvniecības nozares ES stagnēja, Latvijas kokrūpnieku eksporta sniegumu var raksturot kā labu. Turpmāko šīs preču grupas eksporta attīstību noteiks rūpniecības un būvniecības nozares aktivitāte ES, kas ir īpaši svarīga Latvijas kokrūpniekiem. Papildus tam, svarīga nozīme būs arī ASV īstenotai ārējās tirdzniecības politikai un muitas tarifiem precēm no ES. Latvijas preču eksporta grupu devumi un kopējais eksporta pieaugums ir atspoguļots 1.21. attēlā.</w:t>
      </w:r>
    </w:p>
    <w:p w14:paraId="65CF0699" w14:textId="7BE99689" w:rsidR="00012C72" w:rsidRPr="00D8017D" w:rsidRDefault="00012C72" w:rsidP="00A067CB">
      <w:pPr>
        <w:jc w:val="center"/>
        <w:rPr>
          <w:rFonts w:eastAsia="Aptos" w:cs="Times New Roman"/>
          <w:szCs w:val="20"/>
          <w:lang w:eastAsia="en-US"/>
          <w14:ligatures w14:val="standardContextual"/>
        </w:rPr>
      </w:pPr>
      <w:r w:rsidRPr="00D8017D">
        <w:rPr>
          <w:rFonts w:eastAsia="Aptos" w:cs="Times New Roman"/>
          <w:noProof/>
          <w:szCs w:val="24"/>
          <w:lang w:eastAsia="en-US"/>
        </w:rPr>
        <w:lastRenderedPageBreak/>
        <w:drawing>
          <wp:inline distT="0" distB="0" distL="0" distR="0" wp14:anchorId="6E61A17D" wp14:editId="688184B1">
            <wp:extent cx="5391150" cy="4159250"/>
            <wp:effectExtent l="0" t="0" r="0" b="0"/>
            <wp:docPr id="1906004763" name="Chart 1">
              <a:extLst xmlns:a="http://schemas.openxmlformats.org/drawingml/2006/main">
                <a:ext uri="{FF2B5EF4-FFF2-40B4-BE49-F238E27FC236}">
                  <a16:creationId xmlns:a16="http://schemas.microsoft.com/office/drawing/2014/main" id="{445B9B1D-AA61-4D12-AEDE-67B4CA9DB7FB}"/>
                </a:ext>
                <a:ext uri="{147F2762-F138-4A5C-976F-8EAC2B608ADB}">
                  <a16:predDERef xmlns:a16="http://schemas.microsoft.com/office/drawing/2014/main" pred="{84269C5B-CF6E-9CE8-50A0-054248CEC6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23CFD23" w14:textId="325FBDBE" w:rsidR="00012C72" w:rsidRPr="00D8017D" w:rsidRDefault="00012C72" w:rsidP="00012C72">
      <w:pPr>
        <w:spacing w:after="0"/>
        <w:jc w:val="center"/>
        <w:rPr>
          <w:rFonts w:eastAsia="Aptos" w:cs="Times New Roman"/>
          <w:b/>
          <w:bCs/>
          <w:i/>
          <w:iCs/>
          <w:szCs w:val="24"/>
          <w:lang w:eastAsia="en-US"/>
        </w:rPr>
      </w:pPr>
      <w:r w:rsidRPr="00D8017D">
        <w:rPr>
          <w:rFonts w:eastAsia="Aptos" w:cs="Times New Roman"/>
          <w:b/>
          <w:bCs/>
          <w:i/>
          <w:iCs/>
          <w:szCs w:val="24"/>
          <w:lang w:eastAsia="en-US"/>
        </w:rPr>
        <w:t xml:space="preserve">1.21. att. Latvijas preču eksporta kopējais gada pieaugums (%) </w:t>
      </w:r>
      <w:r w:rsidRPr="00D8017D">
        <w:rPr>
          <w:rFonts w:eastAsia="Aptos" w:cs="Times New Roman"/>
          <w:b/>
          <w:bCs/>
          <w:i/>
          <w:iCs/>
          <w:szCs w:val="24"/>
          <w:lang w:eastAsia="en-US"/>
        </w:rPr>
        <w:br/>
        <w:t>un preču grupu devums kopējā pieaugumā (pp)</w:t>
      </w:r>
    </w:p>
    <w:p w14:paraId="0621F43D" w14:textId="77777777" w:rsidR="00012C72" w:rsidRPr="00D8017D" w:rsidRDefault="00012C72" w:rsidP="00012C72">
      <w:pPr>
        <w:spacing w:after="0"/>
        <w:jc w:val="center"/>
        <w:rPr>
          <w:rFonts w:eastAsia="Aptos" w:cs="Times New Roman"/>
          <w:b/>
          <w:bCs/>
          <w:i/>
          <w:iCs/>
          <w:szCs w:val="24"/>
          <w:lang w:eastAsia="en-US"/>
        </w:rPr>
      </w:pPr>
    </w:p>
    <w:p w14:paraId="08C81497"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Pakalpojumu eksports šā gada pirmajā pusgadā bija par 7,7% augstāks nekā attiecīgajā periodā pagājušajā gadā, ko veicināja visi pakalpojumu veidi, izņemot transporta pakalpojumus. Lielāko devumu pakalpojumu eksporta kāpumā nodrošināja telesakaru, informācijas un datorpakalpojumu eksporta pieaugums par 20,2%.</w:t>
      </w:r>
    </w:p>
    <w:p w14:paraId="7ECA9568" w14:textId="6589011C"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Palielinājās arī ārvalstu tūristu izdevumi Latvijā, kopumā sasniedzot 625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kas bija par 14,7% jeb 80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vairāk nekā 2025. gada pirmajā pusgadā. Apkalpoto ārvalstu viesu skaits šā gada sešos mēnešos palielinājies par 9,3%, veidojot 708 tūkst. cilvēku. Savukārt ārvalstu viesu pavadīto nakšu skaits palielinājies vēl vairāk, kopumā par 12,8%. Vislielākais ārvalstu viesu skaita pieaugums bija fiksēts no Apvienotās Karalistes, Igaunijas, Nīderlandes, Polijas, Somijas, Zviedrijas un ASV. Savukārt no Lietuvas, kura nodrošina lielāko ārvalstu tūristu plūsmu, tūristu skaits šā gada pirmajos sešos mēnešos ir samazinājies. Lai arī kopējais ārvalstu tūristu skaits Latvijā nepārtraukti palielinās kopš Covid-19 ierobežojumu atcelšanas, tomēr ārvalstu viesu skaits joprojām aptuveni par 20% atpaliek no pirmspandēmijas līmeņa. Vienlaicīgi svarīgi norādīt, ka šā gada augustā un septembrī Rīgā norisinājās Eiropas čempionāts basketbolā, kas piesaistīja lielu skaitu ārvalstu basketbola cienītāju. Statistikas dati par šiem mēnešiem vēl nav pieejami, bet neapšaubāmi tas veicināja pieprasījumu pēc izmitināšanas un ēdināšanas pakopojumiem. Straujāku pakalpojumu eksporta izaugsmi bremzē transporta pakalpojumu eksporta kritums par 7,7% jeb 92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salīdzinājumā ar pērnā gada sešiem mēnešiem. </w:t>
      </w:r>
      <w:bookmarkStart w:id="19" w:name="_Hlk204332676"/>
      <w:r w:rsidRPr="00D8017D">
        <w:rPr>
          <w:rFonts w:eastAsia="Aptos" w:cs="Times New Roman"/>
          <w:szCs w:val="20"/>
          <w:lang w:eastAsia="en-US"/>
          <w14:ligatures w14:val="standardContextual"/>
        </w:rPr>
        <w:t>Noteicošā loma transporta pakalpojumu eksporta samazinājumā bija ieņēmumu kritumam no pasažieru pārvadājumiem ar gaisa transportu un kravu pārvadājumiem pa dzelzceļu.</w:t>
      </w:r>
    </w:p>
    <w:tbl>
      <w:tblPr>
        <w:tblStyle w:val="TableGrid9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4776"/>
      </w:tblGrid>
      <w:tr w:rsidR="00012C72" w:rsidRPr="00D8017D" w14:paraId="2096453A" w14:textId="77777777" w:rsidTr="00141289">
        <w:tc>
          <w:tcPr>
            <w:tcW w:w="4356" w:type="dxa"/>
          </w:tcPr>
          <w:p w14:paraId="3CD2AB98" w14:textId="77777777" w:rsidR="00012C72" w:rsidRPr="00D8017D" w:rsidRDefault="00012C72" w:rsidP="00012C72">
            <w:pPr>
              <w:spacing w:before="60" w:after="60"/>
              <w:ind w:firstLine="0"/>
              <w:jc w:val="left"/>
              <w:rPr>
                <w:rFonts w:ascii="Calibri" w:hAnsi="Calibri" w:cs="Times New Roman"/>
                <w:szCs w:val="20"/>
                <w14:ligatures w14:val="standardContextual"/>
              </w:rPr>
            </w:pPr>
            <w:r w:rsidRPr="00D8017D">
              <w:rPr>
                <w:rFonts w:ascii="Calibri" w:eastAsia="Aptos" w:hAnsi="Calibri" w:cs="Times New Roman"/>
                <w:noProof/>
                <w:szCs w:val="24"/>
              </w:rPr>
              <w:lastRenderedPageBreak/>
              <w:drawing>
                <wp:inline distT="0" distB="0" distL="0" distR="0" wp14:anchorId="040994C4" wp14:editId="7E9CD301">
                  <wp:extent cx="2619375" cy="3409950"/>
                  <wp:effectExtent l="0" t="0" r="0" b="0"/>
                  <wp:docPr id="907254375" name="Chart 1">
                    <a:extLst xmlns:a="http://schemas.openxmlformats.org/drawingml/2006/main">
                      <a:ext uri="{FF2B5EF4-FFF2-40B4-BE49-F238E27FC236}">
                        <a16:creationId xmlns:a16="http://schemas.microsoft.com/office/drawing/2014/main" id="{FEA232D9-8851-4CFC-8BE0-0AAABDCB54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c>
          <w:tcPr>
            <w:tcW w:w="4327" w:type="dxa"/>
          </w:tcPr>
          <w:p w14:paraId="790DC6F3" w14:textId="77777777" w:rsidR="00012C72" w:rsidRPr="00D8017D" w:rsidRDefault="00012C72" w:rsidP="00012C72">
            <w:pPr>
              <w:spacing w:before="60" w:after="60"/>
              <w:ind w:firstLine="0"/>
              <w:jc w:val="left"/>
              <w:rPr>
                <w:rFonts w:ascii="Calibri" w:hAnsi="Calibri" w:cs="Times New Roman"/>
                <w:szCs w:val="20"/>
                <w14:ligatures w14:val="standardContextual"/>
              </w:rPr>
            </w:pPr>
            <w:r w:rsidRPr="00D8017D">
              <w:rPr>
                <w:rFonts w:ascii="Calibri" w:eastAsia="Aptos" w:hAnsi="Calibri" w:cs="Times New Roman"/>
                <w:noProof/>
                <w:szCs w:val="24"/>
              </w:rPr>
              <w:drawing>
                <wp:inline distT="0" distB="0" distL="0" distR="0" wp14:anchorId="6157C938" wp14:editId="7FCF4CEB">
                  <wp:extent cx="2895600" cy="3686175"/>
                  <wp:effectExtent l="0" t="0" r="0" b="0"/>
                  <wp:docPr id="1056482136" name="Chart 1">
                    <a:extLst xmlns:a="http://schemas.openxmlformats.org/drawingml/2006/main">
                      <a:ext uri="{FF2B5EF4-FFF2-40B4-BE49-F238E27FC236}">
                        <a16:creationId xmlns:a16="http://schemas.microsoft.com/office/drawing/2014/main" id="{00000000-0008-0000-2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r w:rsidR="00012C72" w:rsidRPr="00D8017D" w14:paraId="2C8E5DAD" w14:textId="77777777" w:rsidTr="00141289">
        <w:tc>
          <w:tcPr>
            <w:tcW w:w="4356" w:type="dxa"/>
          </w:tcPr>
          <w:p w14:paraId="3FEA79BE" w14:textId="179C1D2C" w:rsidR="00012C72" w:rsidRPr="00D8017D" w:rsidRDefault="00012C72" w:rsidP="00012C72">
            <w:pPr>
              <w:spacing w:before="60" w:after="60"/>
              <w:ind w:firstLine="0"/>
              <w:jc w:val="left"/>
              <w:rPr>
                <w:rFonts w:cs="Times New Roman"/>
                <w:i/>
                <w:iCs/>
                <w:szCs w:val="20"/>
                <w14:ligatures w14:val="standardContextual"/>
              </w:rPr>
            </w:pPr>
            <w:r w:rsidRPr="00D8017D">
              <w:rPr>
                <w:rFonts w:eastAsia="Aptos" w:cs="Times New Roman"/>
                <w:b/>
                <w:bCs/>
                <w:i/>
                <w:iCs/>
                <w:szCs w:val="24"/>
              </w:rPr>
              <w:t>1.22. att. Latvijas pakalpojumu eksports faktiskajās cenās pa grupām (milj. euro) un grupu īpatsvars (%)</w:t>
            </w:r>
          </w:p>
        </w:tc>
        <w:tc>
          <w:tcPr>
            <w:tcW w:w="4327" w:type="dxa"/>
          </w:tcPr>
          <w:p w14:paraId="214D464B" w14:textId="5B17F07B" w:rsidR="00012C72" w:rsidRPr="00D8017D" w:rsidRDefault="00012C72" w:rsidP="00012C72">
            <w:pPr>
              <w:spacing w:before="60" w:after="60"/>
              <w:ind w:firstLine="0"/>
              <w:jc w:val="left"/>
              <w:rPr>
                <w:rFonts w:cs="Times New Roman"/>
                <w:i/>
                <w:iCs/>
                <w:szCs w:val="20"/>
                <w14:ligatures w14:val="standardContextual"/>
              </w:rPr>
            </w:pPr>
            <w:r w:rsidRPr="00D8017D">
              <w:rPr>
                <w:rFonts w:eastAsia="Aptos" w:cs="Times New Roman"/>
                <w:b/>
                <w:bCs/>
                <w:i/>
                <w:iCs/>
                <w:szCs w:val="24"/>
              </w:rPr>
              <w:t>1.23. att. Latvijas pakalpojumu eksports faktiskajās cenās pa grupām, devumi (pp) un kopējais pieaugums (%)</w:t>
            </w:r>
          </w:p>
        </w:tc>
      </w:tr>
    </w:tbl>
    <w:bookmarkEnd w:id="19"/>
    <w:p w14:paraId="6CAC72B0" w14:textId="70A5C2E2"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Eksporta izaugsmi šā gada pirmajā pusē var uzskatīt par trauslu, ņemot vērā vājo starptautiskās tirdzniecības aktivitāti sarežģītajos ģeopolitiskajos apstākļos. ASV īstenotās ārējās tirdzniecības politikas dēļ Latvijas preču eksporta pieauguma izredzes pasliktinās. Latvijas preču eksporta konkurētspēja pēdējos gados ir samazinājusies, tādējādi zaudējot tirgus daļas pasaules preču importā. Vēl viens trieciens ārējai tirdzniecībai, kas izpaustos kā protekcionisma vilnis pasaules tirdzniecībā, varētu mazināt eksporta attīstības iespējas šogad. </w:t>
      </w:r>
      <w:r w:rsidR="00CB74DF">
        <w:rPr>
          <w:rFonts w:eastAsia="Aptos" w:cs="Times New Roman"/>
          <w:szCs w:val="20"/>
          <w:lang w:eastAsia="en-US"/>
          <w14:ligatures w14:val="standardContextual"/>
        </w:rPr>
        <w:t>ES</w:t>
      </w:r>
      <w:r w:rsidRPr="00D8017D">
        <w:rPr>
          <w:rFonts w:eastAsia="Aptos" w:cs="Times New Roman"/>
          <w:szCs w:val="20"/>
          <w:lang w:eastAsia="en-US"/>
          <w14:ligatures w14:val="standardContextual"/>
        </w:rPr>
        <w:t xml:space="preserve">, kas nodrošina gandrīz trīs ceturtdaļas no Latvijas eksporta, kopējais eksports un imports šā gada pirmajā ceturksnī palielinājies attiecīgi par 4,3% un 5,5% faktiskajās cenās, ko var uzskatīt par atzīstamu pieaugumu uz pagājušā gada fona. Tomēr otrajā ceturksnī ārējās tirdzniecības aktivitātes pieaugums ES sabremzējies, jo eksporta un importa pieauguma tempi attiecīgi veidoja 0,9% un 2,2%. Ārējās tirdzniecības aktivitāti turpmāk negatīvi ietekmēs ASV 9. aprīlī izziņotie muitas tarifi ES un citām valstīm. Muitas tarifi stājas spēkā tikai šā gada augustā, līdz ar to lielāka ietekme atspoguļosies šā gada otrajā pusē. </w:t>
      </w:r>
    </w:p>
    <w:p w14:paraId="2EB8B6A9"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Lai arī preču un pakalpojumu eksports uz ASV 2024. gadā pieaudzis attiecīgi līdz 530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un 457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ASV eksporta tirgus ar 2,8% īpatsvaru precēm un 5,9% pakalpojumiem nav tik nozīmīgs, lai būtiski ietekmētu preču eksporta dinamiku. Svarīgi norādīt, ka muitas tarifu ieviešanas gadījumā visām precēm eksports uz ASV netiek apturēts. Muitas tarifu būtība ir iekasēt vairāk nodokļu ieņēmumu, nevis apturēt importu, līdz ar to sagaidāms, ka Latvijas preču eksports turpinās plūst uz ASV, pat ja tiks ieviesti muitas tarifi visām precēm, bet mazākā apmērā. </w:t>
      </w:r>
    </w:p>
    <w:p w14:paraId="7F443A72" w14:textId="5157A23A"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No šā gada 12. marta stājās spēkā ASV ieviestā muitas nodeva 25% apmērā tēraudam un alumīnijam no visām valstīm, tajā skaitā arī ES dalībvalstīm. Savukārt no 4. jūnija šie tarifi tika palielināti līdz 50% visām valstīm, izņemot Lielbritāniju. Pērnajā gadā Latvijas tērauda un alumīnija eksporta vērtība uz ASV bija vien 13,5 milj</w:t>
      </w:r>
      <w:r w:rsidR="00CB74DF">
        <w:rPr>
          <w:rFonts w:eastAsia="Aptos" w:cs="Times New Roman"/>
          <w:szCs w:val="20"/>
          <w:lang w:eastAsia="en-US"/>
          <w14:ligatures w14:val="standardContextual"/>
        </w:rPr>
        <w:t>.</w:t>
      </w:r>
      <w:r w:rsidRPr="00D8017D">
        <w:rPr>
          <w:rFonts w:eastAsia="Aptos" w:cs="Times New Roman"/>
          <w:szCs w:val="20"/>
          <w:lang w:eastAsia="en-US"/>
          <w14:ligatures w14:val="standardContextual"/>
        </w:rPr>
        <w:t xml:space="preserve">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kas uz kopējā preču eksporta fona </w:t>
      </w:r>
      <w:r w:rsidRPr="00D8017D">
        <w:rPr>
          <w:rFonts w:eastAsia="Aptos" w:cs="Times New Roman"/>
          <w:szCs w:val="20"/>
          <w:lang w:eastAsia="en-US"/>
          <w14:ligatures w14:val="standardContextual"/>
        </w:rPr>
        <w:lastRenderedPageBreak/>
        <w:t>18,8 mlj</w:t>
      </w:r>
      <w:r w:rsidR="00CB74DF">
        <w:rPr>
          <w:rFonts w:eastAsia="Aptos" w:cs="Times New Roman"/>
          <w:szCs w:val="20"/>
          <w:lang w:eastAsia="en-US"/>
          <w14:ligatures w14:val="standardContextual"/>
        </w:rPr>
        <w:t>rd.</w:t>
      </w:r>
      <w:r w:rsidRPr="00D8017D">
        <w:rPr>
          <w:rFonts w:eastAsia="Aptos" w:cs="Times New Roman"/>
          <w:szCs w:val="20"/>
          <w:lang w:eastAsia="en-US"/>
          <w14:ligatures w14:val="standardContextual"/>
        </w:rPr>
        <w:t xml:space="preserve">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apmērā ir sīkums. Līdz ar to tiešā ietekme ir nebūtiska. Tomēr kopējā Latvijas tērauda un alumīnija, kā arī to izstrādājumu eksporta vērtība pērnajā gadā bija gandrīz 750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Galvenie eksporta tirgi bija ES, Apvienotā Karaliste un Norvēģija, tādējādi ieviesto muitas tarifu netiešā ietekme, kas atspoguļosies caur eksporta kritumu mūsu galvenajos noieta tirgos, varētu būt jūtama. Kopējā preču eksporta vērtība uz ASV šā gada sešos mēnešos bija pērnā gada līmenī, bet pakalpojumu eksports palielinājies par 13,3%. Jāsaka, ka kopš šā gada aprīļa situācija ar muitas tarifiem bijusi haotiska, jo tie vairākas reizes tika pārskatīti, atlikti, Ķīnas gadījumā arī samazināti. Tāda neparedzamība no pasaules lielākās ekonomikas puses rada nenoteiktību gan preču, gan finanšu tirgos, kas negatīvi ietekmē ekonomisko aktivitāti. Tādējādi riski pasaules tirdzniecībai saglabājas augsti. </w:t>
      </w:r>
    </w:p>
    <w:p w14:paraId="77832B6F" w14:textId="78DA24C5"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Atbilstoši </w:t>
      </w:r>
      <w:r w:rsidR="005136DF">
        <w:rPr>
          <w:rFonts w:eastAsia="Aptos" w:cs="Times New Roman"/>
          <w:szCs w:val="20"/>
          <w:lang w:eastAsia="en-US"/>
          <w14:ligatures w14:val="standardContextual"/>
        </w:rPr>
        <w:t>FM</w:t>
      </w:r>
      <w:r w:rsidRPr="00D8017D">
        <w:rPr>
          <w:rFonts w:eastAsia="Aptos" w:cs="Times New Roman"/>
          <w:szCs w:val="20"/>
          <w:lang w:eastAsia="en-US"/>
          <w14:ligatures w14:val="standardContextual"/>
        </w:rPr>
        <w:t xml:space="preserve"> aktualizētajām makroekonomisko rādītāju prognozēm, Latvijas preču un pakalpojumu eksports 2025. gadā salīdzināmajās cenās palielināsies par 1,9%, bet preču un pakalpojumu imports pieaugs par 3,2%. Tādējādi ārējās tirdzniecības devums IKP pieaugumā būs negatīvs, 0,9 </w:t>
      </w:r>
      <w:r w:rsidR="00936796">
        <w:rPr>
          <w:rFonts w:eastAsia="Aptos" w:cs="Times New Roman"/>
          <w:szCs w:val="20"/>
          <w:lang w:eastAsia="en-US"/>
          <w14:ligatures w14:val="standardContextual"/>
        </w:rPr>
        <w:t>pp</w:t>
      </w:r>
      <w:r w:rsidRPr="00D8017D">
        <w:rPr>
          <w:rFonts w:eastAsia="Aptos" w:cs="Times New Roman"/>
          <w:szCs w:val="20"/>
          <w:lang w:eastAsia="en-US"/>
          <w14:ligatures w14:val="standardContextual"/>
        </w:rPr>
        <w:t xml:space="preserve"> apmērā. Nenoteiktība ar muitas tarifiem negatīvi ietekmēs pasaules ārējo tirdzniecību. ASV noteikto muitas tarifu tiešā ietekme uz Latvijas ekonomiku un ārējo tirdzniecību varētu būt samēra maza. Savukārt netiešā ietekme, kas izpaudīsies </w:t>
      </w:r>
      <w:r w:rsidR="005136DF">
        <w:rPr>
          <w:rFonts w:eastAsia="Aptos" w:cs="Times New Roman"/>
          <w:szCs w:val="20"/>
          <w:lang w:eastAsia="en-US"/>
          <w14:ligatures w14:val="standardContextual"/>
        </w:rPr>
        <w:t>ES</w:t>
      </w:r>
      <w:r w:rsidRPr="00D8017D">
        <w:rPr>
          <w:rFonts w:eastAsia="Aptos" w:cs="Times New Roman"/>
          <w:szCs w:val="20"/>
          <w:lang w:eastAsia="en-US"/>
          <w14:ligatures w14:val="standardContextual"/>
        </w:rPr>
        <w:t xml:space="preserve"> ekonomikas izaugsmes palēninājumā, varētu būt jūtama. Tas mazinās pieprasījumu pēc Latvijas precēm ES tirgū. Tarifu ietekme uz Eiropas ekonomiku kopumā ir daudz lielāka nekā uz Latvijas ekonomiku, ņemot vērā, ka eksports uz ASV veido vairāk nekā 20% no kopējā ES eksporta. Īpaši smagi skartas ir lielās autobūves valstis, tajā skaitā Vācija, kas ir trešā lielākā Latvijas ārējās tirdzniecības partnervalsts. Apstākļos, kad ASV piemēro tirdzniecības tarifus gan ES, gan citām pasaules ekonomikām, ātri pārorientēt uz ASV eksportētās preces uz citiem tirgiem būs grūti. Tomēr šajos ģeopolitiskajos apstākļos ir svarīgi turpināt meklēt jaunas piegāžu iespējas un preču noieta tirgus no vienas puses, kā arī uzlabot preču eksporta struktūru, palielinot preču ar augstu pievienoto vērtību ražošanu un eksportu. Šis process ilgstošs un prasa lielu investīciju apjomu, tomēr ilgtermiņā tas ir vienīgais ceļš, lai paaugstinātu eksporta konkurētspēju. </w:t>
      </w:r>
    </w:p>
    <w:p w14:paraId="7E26439F" w14:textId="77777777" w:rsidR="00012C72" w:rsidRPr="00D8017D" w:rsidRDefault="00012C72" w:rsidP="00012C72">
      <w:pPr>
        <w:spacing w:before="240"/>
        <w:outlineLvl w:val="3"/>
        <w:rPr>
          <w:rFonts w:eastAsia="Times New Roman" w:cs="Times New Roman"/>
          <w:b/>
          <w:iCs/>
          <w:szCs w:val="24"/>
          <w:lang w:eastAsia="en-US"/>
        </w:rPr>
      </w:pPr>
      <w:r w:rsidRPr="00D8017D">
        <w:rPr>
          <w:rFonts w:eastAsia="Times New Roman" w:cs="Times New Roman"/>
          <w:b/>
          <w:iCs/>
          <w:szCs w:val="24"/>
          <w:lang w:eastAsia="en-US"/>
        </w:rPr>
        <w:t>Tekošais konts</w:t>
      </w:r>
    </w:p>
    <w:p w14:paraId="1CFD262C"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Maksājumu bilances tekošā konta deficīts pēdējos divos gados samazinās. Ja 2022. gadā tekošā konta deficīts bija 5,5% no IKP, tad 2023. gadā un 2024. gadā tas pakāpeniski samazinājies attiecīgi līdz 3,8% un 1,6%. Tādējādi tekošā konta deficīts pērnajā gadā veidoja 630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pretstatā 1974 milj. </w:t>
      </w:r>
      <w:r w:rsidRPr="00D8017D">
        <w:rPr>
          <w:rFonts w:eastAsia="Aptos" w:cs="Times New Roman"/>
          <w:i/>
          <w:iCs/>
          <w:szCs w:val="20"/>
          <w:lang w:eastAsia="en-US"/>
          <w14:ligatures w14:val="standardContextual"/>
        </w:rPr>
        <w:t xml:space="preserve">euro </w:t>
      </w:r>
      <w:r w:rsidRPr="00D8017D">
        <w:rPr>
          <w:rFonts w:eastAsia="Aptos" w:cs="Times New Roman"/>
          <w:szCs w:val="20"/>
          <w:lang w:eastAsia="en-US"/>
          <w14:ligatures w14:val="standardContextual"/>
        </w:rPr>
        <w:t>deficītam 2022. gadā. Šādu deficītu var uzskatīt par tādu, kas nerada ekonomikas nesabalansētības riskus un atspoguļo lēnu tautsaimniecības attīstību. Tekošā konta deficīta samazinājumu 2024. gadā noteica visi apakškonti, izņemot otrreizējo ienākumu kontu, kurā pārpalikums palika pērnā gada līmenī. Tomēr noteicošā loma bija preču un sākotnējo ienākumu kontam.</w:t>
      </w:r>
    </w:p>
    <w:p w14:paraId="36AE1FC1"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Ņemot vērā, ka preču imports samazinājies straujāk par preču eksportu, preču konta deficīts samazinājies par 606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un veidoja 3008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Pateicoties straujākam pakalpojumu eksporta pieaugumam, pakalpojumu konta pārpalikums pērnajā gadā bija par 200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augstāks, sasniedzot 2364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Tādējādi pakalpojumu konta pārpalikums nosedza 79% no preču konta deficīta. </w:t>
      </w:r>
    </w:p>
    <w:p w14:paraId="51050AAD"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Sākotnējo ienākumu konta deficīts 2024. gadā samazinājies par 77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un veidoja 837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Konta bilances uzlabošanos labvēlīgi ietekmēja augstāki ieguldījumu ienākumi, ko Latvijas rezidenti saņēma no aktīviem citās valstīs, kā arī lielāka nodarbināto saņemtā atlīdzība ārvalstīs. Otrreizējo ienākumu konta pārpalikums veidoja 850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kas bija par 3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mazāk nekā 2023. gadā. Pārpalikuma kritumu noteica augstāki finanšu sabiedrību, kā arī mājsaimniecību nerezidentu iegūtie un pārskaitītie ienākumi ārvalstīs. </w:t>
      </w:r>
    </w:p>
    <w:tbl>
      <w:tblPr>
        <w:tblStyle w:val="TableGrid9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6"/>
        <w:gridCol w:w="4545"/>
      </w:tblGrid>
      <w:tr w:rsidR="00012C72" w:rsidRPr="00D8017D" w14:paraId="773C3D07" w14:textId="77777777" w:rsidTr="00141289">
        <w:tc>
          <w:tcPr>
            <w:tcW w:w="4386" w:type="dxa"/>
          </w:tcPr>
          <w:p w14:paraId="49776756" w14:textId="77777777" w:rsidR="00012C72" w:rsidRPr="00D8017D" w:rsidRDefault="00012C72" w:rsidP="00012C72">
            <w:pPr>
              <w:spacing w:before="60" w:after="60"/>
              <w:ind w:firstLine="0"/>
              <w:jc w:val="left"/>
              <w:rPr>
                <w:rFonts w:ascii="Calibri" w:hAnsi="Calibri" w:cs="Times New Roman"/>
                <w:szCs w:val="20"/>
                <w14:ligatures w14:val="standardContextual"/>
              </w:rPr>
            </w:pPr>
            <w:r w:rsidRPr="00D8017D">
              <w:rPr>
                <w:rFonts w:ascii="Calibri" w:eastAsia="Aptos" w:hAnsi="Calibri" w:cs="Times New Roman"/>
                <w:noProof/>
                <w:szCs w:val="24"/>
              </w:rPr>
              <w:lastRenderedPageBreak/>
              <w:drawing>
                <wp:inline distT="0" distB="0" distL="0" distR="0" wp14:anchorId="4EC6E2EF" wp14:editId="3EFCC590">
                  <wp:extent cx="2638425" cy="3943350"/>
                  <wp:effectExtent l="0" t="0" r="0" b="0"/>
                  <wp:docPr id="673124025" name="Chart 1">
                    <a:extLst xmlns:a="http://schemas.openxmlformats.org/drawingml/2006/main">
                      <a:ext uri="{FF2B5EF4-FFF2-40B4-BE49-F238E27FC236}">
                        <a16:creationId xmlns:a16="http://schemas.microsoft.com/office/drawing/2014/main" id="{10BB196A-8F06-4203-A95D-9877D6A102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4297" w:type="dxa"/>
          </w:tcPr>
          <w:p w14:paraId="04C43BF1" w14:textId="77777777" w:rsidR="00012C72" w:rsidRPr="00D8017D" w:rsidRDefault="00012C72" w:rsidP="00012C72">
            <w:pPr>
              <w:spacing w:before="60" w:after="60"/>
              <w:ind w:firstLine="0"/>
              <w:jc w:val="left"/>
              <w:rPr>
                <w:rFonts w:cs="Times New Roman"/>
                <w:sz w:val="18"/>
                <w:szCs w:val="18"/>
                <w14:ligatures w14:val="standardContextual"/>
              </w:rPr>
            </w:pPr>
            <w:r w:rsidRPr="00D8017D">
              <w:rPr>
                <w:rFonts w:eastAsia="Aptos" w:cs="Times New Roman"/>
                <w:noProof/>
                <w:sz w:val="18"/>
                <w:szCs w:val="18"/>
              </w:rPr>
              <w:drawing>
                <wp:inline distT="0" distB="0" distL="0" distR="0" wp14:anchorId="0233FDE2" wp14:editId="1F9F6F0A">
                  <wp:extent cx="2748915" cy="3857625"/>
                  <wp:effectExtent l="0" t="0" r="0" b="0"/>
                  <wp:docPr id="1782329594" name="Chart 1">
                    <a:extLst xmlns:a="http://schemas.openxmlformats.org/drawingml/2006/main">
                      <a:ext uri="{FF2B5EF4-FFF2-40B4-BE49-F238E27FC236}">
                        <a16:creationId xmlns:a16="http://schemas.microsoft.com/office/drawing/2014/main" id="{D0D0F076-3DD2-52B9-D7D3-0F959A1EEF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r w:rsidR="00012C72" w:rsidRPr="00D8017D" w14:paraId="1CA071E5" w14:textId="77777777" w:rsidTr="00141289">
        <w:tc>
          <w:tcPr>
            <w:tcW w:w="8683" w:type="dxa"/>
            <w:gridSpan w:val="2"/>
          </w:tcPr>
          <w:p w14:paraId="5CFE2363" w14:textId="636DB436" w:rsidR="00012C72" w:rsidRPr="00D8017D" w:rsidRDefault="00012C72" w:rsidP="00012C72">
            <w:pPr>
              <w:ind w:firstLine="0"/>
              <w:jc w:val="center"/>
              <w:rPr>
                <w:rFonts w:ascii="Calibri" w:hAnsi="Calibri" w:cs="Arial"/>
                <w:b/>
                <w:bCs/>
                <w:szCs w:val="24"/>
              </w:rPr>
            </w:pPr>
            <w:r w:rsidRPr="00D8017D">
              <w:rPr>
                <w:rFonts w:cs="Times New Roman"/>
                <w:b/>
                <w:bCs/>
                <w:i/>
                <w:iCs/>
                <w:szCs w:val="24"/>
              </w:rPr>
              <w:t xml:space="preserve">1.24. att. Latvijas maksājumu bilances tekošā konta komponentes (milj. euro) </w:t>
            </w:r>
            <w:r w:rsidRPr="00D8017D">
              <w:rPr>
                <w:rFonts w:cs="Times New Roman"/>
                <w:b/>
                <w:bCs/>
                <w:i/>
                <w:iCs/>
                <w:szCs w:val="24"/>
              </w:rPr>
              <w:br/>
              <w:t>un tekošais konts procentos no IKP (labā ass</w:t>
            </w:r>
            <w:r w:rsidRPr="00D8017D">
              <w:rPr>
                <w:rFonts w:ascii="Calibri" w:hAnsi="Calibri" w:cs="Arial"/>
                <w:b/>
                <w:bCs/>
                <w:szCs w:val="24"/>
              </w:rPr>
              <w:t>)</w:t>
            </w:r>
          </w:p>
        </w:tc>
      </w:tr>
    </w:tbl>
    <w:p w14:paraId="523E2B5E"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2025. gada pirmajā pusgadā tekošā konta deficīts palielinājies līdz 750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pretstatā 3448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deficītam pērnā gada attiecīgajā periodā. Būtiskas svārstības notika visos tekošā konta apakškontos, bet deficīta pieaugumu noteica ar ārējo tirdzniecību saistītie faktori. Būtiski palielinoties preču importa vērtībai, preču konta deficīts pieauga par 503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sastādot 1800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Preču imports palielinājies visās preču grupās, izņemot lauksaimniecības un pārtikas preces. Vairāk nekā no preču importa pieauguma noteica augstāka minerālproduktu, kā arī mehānisko ierīču un elektroiekārtu importa vērtība. Tāpat būtiski palielinājies farmaceitisko un mēslošanas līdzekļu imports, tādējādi veicinot ķīmiskās rūpniecības ražojumu importu. Salīdzinājumā ar 2024. gada pirmo pusgadu palielinājies arī plastmasas, koksnes, tekstilmateriālu imports. </w:t>
      </w:r>
    </w:p>
    <w:p w14:paraId="3612926F"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Pakalpojumu konta bilance arī pasliktinājusies, ko tāpat noteica straujāks pakalpojumu importa pieaugums. Īpaši pieprasīti bija ārvalstnieku sniegtie būvniecības, finanšu pakalpojumi, informācijas un datorpakalpojumi. Palielinājās arī importētie transporta pakalpojumi. Papildus tam, Latvijas iedzīvotāju tēriņi ārvalstīs bija nedaudz augstāki, kas arī veicināja pakalpojumu importu. Kopumā pakalpojumu konta pārpalikums samazinājies par 178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sastādot 850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w:t>
      </w:r>
    </w:p>
    <w:p w14:paraId="01888BA3" w14:textId="77777777" w:rsidR="00012C72" w:rsidRPr="00D8017D" w:rsidRDefault="00012C72" w:rsidP="00012C72">
      <w:pPr>
        <w:rPr>
          <w:rFonts w:eastAsia="Aptos" w:cs="Times New Roman"/>
          <w:szCs w:val="20"/>
          <w:lang w:eastAsia="en-US"/>
          <w14:ligatures w14:val="standardContextual"/>
        </w:rPr>
      </w:pPr>
      <w:r w:rsidRPr="00D8017D">
        <w:rPr>
          <w:rFonts w:eastAsia="Aptos" w:cs="Times New Roman"/>
          <w:szCs w:val="20"/>
          <w:lang w:eastAsia="en-US"/>
          <w14:ligatures w14:val="standardContextual"/>
        </w:rPr>
        <w:t xml:space="preserve">Ienākumu kontiem arī bija fiksētas ievērojamas svārstības, bet pozitīvas, kas nedaudz samazināja ārējās tirdzniecības deficīta kāpumu. Sākotnējo ienākumu konta deficīts samazinājies par 186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līdz 234 milj.</w:t>
      </w:r>
      <w:r w:rsidRPr="00D8017D">
        <w:rPr>
          <w:rFonts w:eastAsia="Aptos" w:cs="Times New Roman"/>
          <w:i/>
          <w:iCs/>
          <w:szCs w:val="20"/>
          <w:lang w:eastAsia="en-US"/>
          <w14:ligatures w14:val="standardContextual"/>
        </w:rPr>
        <w:t xml:space="preserve"> euro</w:t>
      </w:r>
      <w:r w:rsidRPr="00D8017D">
        <w:rPr>
          <w:rFonts w:eastAsia="Aptos" w:cs="Times New Roman"/>
          <w:szCs w:val="20"/>
          <w:lang w:eastAsia="en-US"/>
          <w14:ligatures w14:val="standardContextual"/>
        </w:rPr>
        <w:t xml:space="preserve">, ko noteica mazāks ārvalstu investoru reinvestētas peļņas apjoms. Vienlaicīgi, jāatzīmē, ka ārvalstu investoriem izmaksāto dividenžu apjoms būtiski palielinājies. Otrreizējo ienākumu konta pārpalikums palielinājies līdz 435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kas bija par 95 milj. </w:t>
      </w:r>
      <w:r w:rsidRPr="00D8017D">
        <w:rPr>
          <w:rFonts w:eastAsia="Aptos" w:cs="Times New Roman"/>
          <w:i/>
          <w:iCs/>
          <w:szCs w:val="20"/>
          <w:lang w:eastAsia="en-US"/>
          <w14:ligatures w14:val="standardContextual"/>
        </w:rPr>
        <w:t>euro</w:t>
      </w:r>
      <w:r w:rsidRPr="00D8017D">
        <w:rPr>
          <w:rFonts w:eastAsia="Aptos" w:cs="Times New Roman"/>
          <w:szCs w:val="20"/>
          <w:lang w:eastAsia="en-US"/>
          <w14:ligatures w14:val="standardContextual"/>
        </w:rPr>
        <w:t xml:space="preserve"> lielāks nekā 2024. gada pirmajā pusgadā, ko veicināja augstāka ES fondu investīciju plūsma un augstāki mājsaimniecību un uzņēmumu gūtie ienākumi ārvalstīs. </w:t>
      </w:r>
    </w:p>
    <w:p w14:paraId="4E960161" w14:textId="77777777" w:rsidR="0070161D" w:rsidRPr="00D8017D" w:rsidRDefault="0070161D" w:rsidP="008349F0">
      <w:pPr>
        <w:keepNext/>
        <w:keepLines/>
        <w:spacing w:before="200"/>
        <w:ind w:left="993" w:hanging="567"/>
        <w:jc w:val="center"/>
        <w:outlineLvl w:val="2"/>
        <w:rPr>
          <w:rFonts w:eastAsia="Times New Roman" w:cs="Times New Roman"/>
          <w:bCs/>
          <w:color w:val="000000" w:themeColor="text1"/>
          <w:sz w:val="32"/>
          <w:szCs w:val="20"/>
          <w:lang w:eastAsia="en-US"/>
        </w:rPr>
      </w:pPr>
      <w:bookmarkStart w:id="20" w:name="_Toc210289871"/>
      <w:r w:rsidRPr="00D8017D">
        <w:rPr>
          <w:rFonts w:eastAsia="Times New Roman" w:cs="Times New Roman"/>
          <w:b/>
          <w:bCs/>
          <w:color w:val="000000" w:themeColor="text1"/>
          <w:sz w:val="32"/>
          <w:szCs w:val="20"/>
          <w:lang w:eastAsia="en-US"/>
        </w:rPr>
        <w:lastRenderedPageBreak/>
        <w:t>1.2.6. </w:t>
      </w:r>
      <w:r w:rsidRPr="00D8017D">
        <w:rPr>
          <w:rFonts w:eastAsia="Calibri" w:cs="Times New Roman"/>
          <w:b/>
          <w:bCs/>
          <w:color w:val="000000" w:themeColor="text1"/>
          <w:sz w:val="32"/>
          <w:szCs w:val="28"/>
        </w:rPr>
        <w:t>Investīcijas</w:t>
      </w:r>
      <w:bookmarkEnd w:id="17"/>
      <w:bookmarkEnd w:id="20"/>
    </w:p>
    <w:p w14:paraId="09B03E31" w14:textId="7132C30C" w:rsidR="00510AA8" w:rsidRPr="00D8017D" w:rsidRDefault="00510AA8" w:rsidP="00510AA8">
      <w:pPr>
        <w:ind w:firstLine="709"/>
        <w:rPr>
          <w:rFonts w:eastAsia="Calibri" w:cs="Times New Roman"/>
          <w:lang w:eastAsia="en-US"/>
        </w:rPr>
      </w:pPr>
      <w:bookmarkStart w:id="21" w:name="_Toc178763482"/>
      <w:r w:rsidRPr="00D8017D">
        <w:rPr>
          <w:rFonts w:eastAsia="Calibri" w:cs="Times New Roman"/>
          <w:lang w:eastAsia="en-US"/>
        </w:rPr>
        <w:t xml:space="preserve">2024. gadā investīciju dinamika uz iepriekšējā gada fona bija nīkulīga. Pērnajā gadā Latvijas IKP bijis par 0,4% mazāks, ko negatīvi ietekmēja investīciju un eksporta kritums. Tomēr tieši investīciju samazinājumam bija noteicošā loma ekonomikas attīstības tempu kritumā. 2024. gadā investīciju apjoms Latvijā salīdzināmajās cenās samazinājies par 6,7%, kopumā veidojot 7250 milj. </w:t>
      </w:r>
      <w:r w:rsidRPr="00D8017D">
        <w:rPr>
          <w:rFonts w:eastAsia="Calibri" w:cs="Times New Roman"/>
          <w:i/>
          <w:iCs/>
          <w:lang w:eastAsia="en-US"/>
        </w:rPr>
        <w:t>euro</w:t>
      </w:r>
      <w:r w:rsidRPr="00D8017D">
        <w:rPr>
          <w:rFonts w:eastAsia="Calibri" w:cs="Times New Roman"/>
          <w:lang w:eastAsia="en-US"/>
        </w:rPr>
        <w:t xml:space="preserve">. Tādējādi investīciju devums IKP kritumā veidoja -1,7 </w:t>
      </w:r>
      <w:r w:rsidR="00936796">
        <w:rPr>
          <w:rFonts w:eastAsia="Calibri" w:cs="Times New Roman"/>
          <w:lang w:eastAsia="en-US"/>
        </w:rPr>
        <w:t>pp</w:t>
      </w:r>
      <w:r w:rsidRPr="00D8017D">
        <w:rPr>
          <w:rFonts w:eastAsia="Calibri" w:cs="Times New Roman"/>
          <w:lang w:eastAsia="en-US"/>
        </w:rPr>
        <w:t>. Investīciju īpatsvars IKP samazinājies par 1,5 p</w:t>
      </w:r>
      <w:r w:rsidR="005136DF">
        <w:rPr>
          <w:rFonts w:eastAsia="Calibri" w:cs="Times New Roman"/>
          <w:lang w:eastAsia="en-US"/>
        </w:rPr>
        <w:t>p</w:t>
      </w:r>
      <w:r w:rsidRPr="00D8017D">
        <w:rPr>
          <w:rFonts w:eastAsia="Calibri" w:cs="Times New Roman"/>
          <w:lang w:eastAsia="en-US"/>
        </w:rPr>
        <w:t xml:space="preserve"> – līdz 22,3%. Šāds investīciju apmērs ir līdzvērtīgs 2022. gadā fiksētajam, kā arī pēdējo 10 gadu vidējam līmenim. Tādējādi nevar apgalvot, ka investīciju loma ekonomika ir mazinājusies. Tomēr šāds investīciju īpatsvars tautsaimniecībā nav pietiekošs, lai veicinātu konkurētspēju un produktivitāti, it īpaši salīdzinājumā ar pārējām ES dalībvalstīm. Piemēram, investīciju īpatsvars Lietuvas un Igaunijas ekonomikā ir bijis augstāks gan pērnajā gadā, gan pēdējos piecos gados vidēji. </w:t>
      </w:r>
    </w:p>
    <w:p w14:paraId="494E9ADE" w14:textId="663A7A0D" w:rsidR="00510AA8" w:rsidRPr="00D8017D" w:rsidRDefault="00510AA8" w:rsidP="00510AA8">
      <w:pPr>
        <w:ind w:firstLine="709"/>
        <w:rPr>
          <w:rFonts w:eastAsia="Calibri" w:cs="Times New Roman"/>
          <w:lang w:eastAsia="en-US"/>
        </w:rPr>
      </w:pPr>
      <w:r w:rsidRPr="00D8017D">
        <w:rPr>
          <w:rFonts w:eastAsia="Calibri" w:cs="Times New Roman"/>
          <w:lang w:eastAsia="en-US"/>
        </w:rPr>
        <w:t xml:space="preserve">Investīciju kritums pērnajā gadā bija fiksēts visos pamatlīdzekļos. Lielāko devumu kopējā investīciju kritumā 2024. gadā noteica zemākas investīcijas tehnoloģiskajās iekārtās un mašīnās. Investīciju apjoms šajos pamatlīdzekļos samazinājies par 9,6% jeb 299 milj. </w:t>
      </w:r>
      <w:r w:rsidRPr="00D8017D">
        <w:rPr>
          <w:rFonts w:eastAsia="Calibri" w:cs="Times New Roman"/>
          <w:i/>
          <w:iCs/>
          <w:lang w:eastAsia="en-US"/>
        </w:rPr>
        <w:t>euro</w:t>
      </w:r>
      <w:r w:rsidRPr="00D8017D">
        <w:rPr>
          <w:rFonts w:eastAsia="Calibri" w:cs="Times New Roman"/>
          <w:lang w:eastAsia="en-US"/>
        </w:rPr>
        <w:t xml:space="preserve">. Investīcijas transportlīdzekļos samazinājās par 8,9% jeb 96 milj. </w:t>
      </w:r>
      <w:r w:rsidRPr="00D8017D">
        <w:rPr>
          <w:rFonts w:eastAsia="Calibri" w:cs="Times New Roman"/>
          <w:i/>
          <w:iCs/>
          <w:lang w:eastAsia="en-US"/>
        </w:rPr>
        <w:t>euro</w:t>
      </w:r>
      <w:r w:rsidRPr="00D8017D">
        <w:rPr>
          <w:rFonts w:eastAsia="Calibri" w:cs="Times New Roman"/>
          <w:lang w:eastAsia="en-US"/>
        </w:rPr>
        <w:t>. Lielā mērā to noteica mazāks investīciju apjoms dzelzceļa ritošā sastāv</w:t>
      </w:r>
      <w:r w:rsidR="0040753F">
        <w:rPr>
          <w:rFonts w:eastAsia="Calibri" w:cs="Times New Roman"/>
          <w:lang w:eastAsia="en-US"/>
        </w:rPr>
        <w:t>a</w:t>
      </w:r>
      <w:r w:rsidRPr="00D8017D">
        <w:rPr>
          <w:rFonts w:eastAsia="Calibri" w:cs="Times New Roman"/>
          <w:lang w:eastAsia="en-US"/>
        </w:rPr>
        <w:t xml:space="preserve"> atjaunošanā saistībā ar jauno elektrovilcienu sastāvu iegādi. Papildus tam, atbilstoši Ceļu satiksmes drošības direkcijas datiem, pirmoreiz reģistrēto kravas automašīnu skaits 2024. gadā bijis 5,5% mazāks. Samazinājies arī pirmoreiz reģistrēto citu transportlīdzekļu, proti motociklu, piekabju, mopēdu un laivu skaits. Tas kopumā izskaidro investīciju samazinājumu šajos pamatlīdzekļos. Investīciju apjoms pārējos pamatlīdzekļos šajā grupā (informācijas un komunikācijas iekārtās, ieroču sistēmās un pārējās tehnoloģiskās iekārtās) ir samazinājies par 9,9% jeb 203 milj. </w:t>
      </w:r>
      <w:r w:rsidRPr="00D8017D">
        <w:rPr>
          <w:rFonts w:eastAsia="Calibri" w:cs="Times New Roman"/>
          <w:i/>
          <w:iCs/>
          <w:lang w:eastAsia="en-US"/>
        </w:rPr>
        <w:t>euro</w:t>
      </w:r>
      <w:r w:rsidRPr="00D8017D">
        <w:rPr>
          <w:rFonts w:eastAsia="Calibri" w:cs="Times New Roman"/>
          <w:lang w:eastAsia="en-US"/>
        </w:rPr>
        <w:t xml:space="preserve">. </w:t>
      </w:r>
    </w:p>
    <w:p w14:paraId="679811E9" w14:textId="77777777" w:rsidR="00510AA8" w:rsidRPr="00D8017D" w:rsidRDefault="00510AA8" w:rsidP="00510AA8">
      <w:pPr>
        <w:ind w:firstLine="709"/>
        <w:rPr>
          <w:rFonts w:eastAsia="Calibri" w:cs="Times New Roman"/>
          <w:lang w:eastAsia="en-US"/>
        </w:rPr>
      </w:pPr>
      <w:r w:rsidRPr="00D8017D">
        <w:rPr>
          <w:rFonts w:eastAsia="Calibri" w:cs="Times New Roman"/>
          <w:lang w:eastAsia="en-US"/>
        </w:rPr>
        <w:t>Investīciju kritumu tehnoloģiskajās iekārtās un mašīnās spilgti raksturo ārējās tirdzniecības dati, jo transportlīdzekļi, IKT iekārtas un pārējās tehnoloģiskās iekārtas lielākoties tika importētas. Atbilstoši preču ārējās tirdzniecības datiem, kapitālietilpīgo preču imports 2024. gadā faktiskajās cenās samazinājies par 11,0%.</w:t>
      </w:r>
    </w:p>
    <w:p w14:paraId="4FF3FAA0" w14:textId="285937B5" w:rsidR="00510AA8" w:rsidRPr="00D8017D" w:rsidRDefault="00510AA8" w:rsidP="00510AA8">
      <w:pPr>
        <w:ind w:firstLine="709"/>
        <w:rPr>
          <w:rFonts w:eastAsia="Calibri" w:cs="Times New Roman"/>
          <w:lang w:eastAsia="en-US"/>
        </w:rPr>
      </w:pPr>
      <w:bookmarkStart w:id="22" w:name="_Hlk192770314"/>
      <w:r w:rsidRPr="00D8017D">
        <w:rPr>
          <w:rFonts w:eastAsia="Calibri" w:cs="Times New Roman"/>
          <w:lang w:eastAsia="en-US"/>
        </w:rPr>
        <w:t xml:space="preserve">Investīciju apjoms biroju, mājokļu, noliktavu un citu ēku būvniecībā 2024. gadā samazinājies par 5,0% jeb 194 milj. </w:t>
      </w:r>
      <w:r w:rsidRPr="00D8017D">
        <w:rPr>
          <w:rFonts w:eastAsia="Calibri" w:cs="Times New Roman"/>
          <w:i/>
          <w:iCs/>
          <w:lang w:eastAsia="en-US"/>
        </w:rPr>
        <w:t>euro</w:t>
      </w:r>
      <w:r w:rsidRPr="00D8017D">
        <w:rPr>
          <w:rFonts w:eastAsia="Calibri" w:cs="Times New Roman"/>
          <w:lang w:eastAsia="en-US"/>
        </w:rPr>
        <w:t xml:space="preserve">. </w:t>
      </w:r>
      <w:bookmarkEnd w:id="22"/>
      <w:r w:rsidRPr="00D8017D">
        <w:rPr>
          <w:rFonts w:eastAsia="Calibri" w:cs="Times New Roman"/>
          <w:lang w:eastAsia="en-US"/>
        </w:rPr>
        <w:t xml:space="preserve">Kritums tika fiksēts gan dzīvojamiem mājokļiem (-8,6%), gan citām ēkām un būvēm (-3,9%). ES struktūrfondu, </w:t>
      </w:r>
      <w:r w:rsidR="0040753F">
        <w:rPr>
          <w:rFonts w:eastAsia="Calibri" w:cs="Times New Roman"/>
          <w:lang w:eastAsia="en-US"/>
        </w:rPr>
        <w:t>ANM</w:t>
      </w:r>
      <w:r w:rsidRPr="00D8017D">
        <w:rPr>
          <w:rFonts w:eastAsia="Calibri" w:cs="Times New Roman"/>
          <w:lang w:eastAsia="en-US"/>
        </w:rPr>
        <w:t xml:space="preserve">, kā arī citas ārvalstu finanšu palīdzības apjoms, kas ir nozīmīgs investīciju avots, 2024. gadā veidoja 792,6 milj. </w:t>
      </w:r>
      <w:r w:rsidRPr="00D8017D">
        <w:rPr>
          <w:rFonts w:eastAsia="Calibri" w:cs="Times New Roman"/>
          <w:i/>
          <w:iCs/>
          <w:lang w:eastAsia="en-US"/>
        </w:rPr>
        <w:t>euro</w:t>
      </w:r>
      <w:r w:rsidRPr="00D8017D">
        <w:rPr>
          <w:rFonts w:eastAsia="Calibri" w:cs="Times New Roman"/>
          <w:lang w:eastAsia="en-US"/>
        </w:rPr>
        <w:t xml:space="preserve">, kas bija par 320,8 milj. </w:t>
      </w:r>
      <w:r w:rsidRPr="00D8017D">
        <w:rPr>
          <w:rFonts w:eastAsia="Calibri" w:cs="Times New Roman"/>
          <w:i/>
          <w:iCs/>
          <w:lang w:eastAsia="en-US"/>
        </w:rPr>
        <w:t>euro</w:t>
      </w:r>
      <w:r w:rsidRPr="00D8017D">
        <w:rPr>
          <w:rFonts w:eastAsia="Calibri" w:cs="Times New Roman"/>
          <w:lang w:eastAsia="en-US"/>
        </w:rPr>
        <w:t xml:space="preserve"> mazāk nekā 2023. gadā. Ņemot vērā, ka aptuveni divas trešdaļas no ES fondu līdzekļiem tiek investētas būvniecībā, tas negatīvi ietekmēja būvniecības aktivitāti inženierbūvniecības sektorā, kas veido gandrīz 80% no kopējām investīcijām būvniecībā. Būvniecības produkcijas apjoms 2024. gadā samazinājies par 4,3%. Tāpat būvniecības aktivitāti negatīvi ietekmēja augstās procentu likmes, kas vidēji bija augstākas nekā 2023. gadā un kavēja jauno projektu realizēšanu un negatīvi ietekmēja kredītsaistību uzturēšanas izmaksas. </w:t>
      </w:r>
    </w:p>
    <w:p w14:paraId="5DE2A3F1" w14:textId="77777777" w:rsidR="00510AA8" w:rsidRPr="00D8017D" w:rsidRDefault="00510AA8" w:rsidP="00510AA8">
      <w:pPr>
        <w:ind w:firstLine="709"/>
        <w:rPr>
          <w:rFonts w:eastAsia="Calibri" w:cs="Times New Roman"/>
          <w:lang w:eastAsia="en-US"/>
        </w:rPr>
      </w:pPr>
      <w:r w:rsidRPr="00D8017D">
        <w:rPr>
          <w:rFonts w:eastAsia="Calibri" w:cs="Times New Roman"/>
          <w:lang w:eastAsia="en-US"/>
        </w:rPr>
        <w:t xml:space="preserve">2025. gada pirmajā pusgadā investīciju pieaugums atjaunojās. Šā gada pirmajā un otrajā ceturksnī investīciju apjoms salīdzināmajās cenās palielinājies attiecīgi par 6,4% un 8,6%, salīdzinot ar pērnā gada attiecīgo periodu. Šā gadā pirmajā pusē investīciju apjoms kopumā bija par 7,7% jeb 245 milj. </w:t>
      </w:r>
      <w:r w:rsidRPr="00D8017D">
        <w:rPr>
          <w:rFonts w:eastAsia="Calibri" w:cs="Times New Roman"/>
          <w:i/>
          <w:iCs/>
          <w:lang w:eastAsia="en-US"/>
        </w:rPr>
        <w:t>euro</w:t>
      </w:r>
      <w:r w:rsidRPr="00D8017D">
        <w:rPr>
          <w:rFonts w:eastAsia="Calibri" w:cs="Times New Roman"/>
          <w:lang w:eastAsia="en-US"/>
        </w:rPr>
        <w:t xml:space="preserve"> augstāks nekā 2024. gada pirmajā pusgadā. Investīciju kāpums bija fiksēts visās pamatlīdzekļu grupās, izņemot mājokļu būvniecību.</w:t>
      </w:r>
    </w:p>
    <w:p w14:paraId="5AB829E5" w14:textId="20504ED1" w:rsidR="00510AA8" w:rsidRPr="00D8017D" w:rsidRDefault="00510AA8" w:rsidP="00510AA8">
      <w:pPr>
        <w:ind w:firstLine="709"/>
        <w:rPr>
          <w:rFonts w:eastAsia="Calibri" w:cs="Times New Roman"/>
          <w:lang w:eastAsia="en-US"/>
        </w:rPr>
      </w:pPr>
      <w:r w:rsidRPr="00D8017D">
        <w:rPr>
          <w:rFonts w:eastAsia="Calibri" w:cs="Times New Roman"/>
          <w:lang w:eastAsia="en-US"/>
        </w:rPr>
        <w:t xml:space="preserve">Lielāko devumu investīciju kāpumā 2025. gada pirmajā pusē nodrošināja augstāka investīciju aktivitāte inženierbūvju sektorā, par 10,6% jeb 131 milj. </w:t>
      </w:r>
      <w:r w:rsidRPr="00D8017D">
        <w:rPr>
          <w:rFonts w:eastAsia="Calibri" w:cs="Times New Roman"/>
          <w:i/>
          <w:iCs/>
          <w:lang w:eastAsia="en-US"/>
        </w:rPr>
        <w:t>euro</w:t>
      </w:r>
      <w:r w:rsidRPr="00D8017D">
        <w:rPr>
          <w:rFonts w:eastAsia="Calibri" w:cs="Times New Roman"/>
          <w:lang w:eastAsia="en-US"/>
        </w:rPr>
        <w:t xml:space="preserve"> vairāk nekā pērnā gada attiecīgajā periodā. Investīcijas mājokļu sektorā, kā jau tika atzīmēts, attiecīgajā periodā samazinājās par 0,3%. Analizējot ar būvniecības nozari saistītās investīcijas, jāatzīmē svarīga </w:t>
      </w:r>
      <w:r w:rsidRPr="00D8017D">
        <w:rPr>
          <w:rFonts w:eastAsia="Calibri" w:cs="Times New Roman"/>
          <w:lang w:eastAsia="en-US"/>
        </w:rPr>
        <w:lastRenderedPageBreak/>
        <w:t xml:space="preserve">statistikas datu metodoloģiskā īpatnība, ka investīcijas ēkās un būvēs atspoguļojas tikai tajā brīdī, kad ēka ir nodota ekspluatācijā, nevis tad, kad notiek aktīvs būvniecības process. Līdz ar to pusgada datus jāvērtē piesardzīgi, it īpaši ņemot vērā to, ka tradicionāli tieši trešajā ceturksnī ir lielākais investīciju apjoms gada laikā. Tomēr var droši teikt, ka būvniecības aktivitāte salīdzinājumā ar iepriekšējiem gadiem palielinās. Būvniecības produkcijas apjoms šā gadā pirmajā pusgadā bijis par 7,8% augstāks nekā attiecīgajā periodā pirms gada, ko veicināja inženierbūvniecības sektors. Aktivitātes atjaunošanās būvniecības nozarē saistīta arī ar būtiski augstāku ES fondu investīciju izmantošanu. 2025. gada pirmajā pusgadā ES fondu līdzekļu apjoms veidoja 1026 milj. </w:t>
      </w:r>
      <w:r w:rsidRPr="00D8017D">
        <w:rPr>
          <w:rFonts w:eastAsia="Calibri" w:cs="Times New Roman"/>
          <w:i/>
          <w:iCs/>
          <w:lang w:eastAsia="en-US"/>
        </w:rPr>
        <w:t xml:space="preserve">euro </w:t>
      </w:r>
      <w:r w:rsidRPr="00D8017D">
        <w:rPr>
          <w:rFonts w:eastAsia="Calibri" w:cs="Times New Roman"/>
          <w:lang w:eastAsia="en-US"/>
        </w:rPr>
        <w:t xml:space="preserve">faktiskajās cenās, kas bija par 58% jeb 376 milj. </w:t>
      </w:r>
      <w:r w:rsidRPr="00D8017D">
        <w:rPr>
          <w:rFonts w:eastAsia="Calibri" w:cs="Times New Roman"/>
          <w:i/>
          <w:iCs/>
          <w:lang w:eastAsia="en-US"/>
        </w:rPr>
        <w:t>euro</w:t>
      </w:r>
      <w:r w:rsidRPr="00D8017D">
        <w:rPr>
          <w:rFonts w:eastAsia="Calibri" w:cs="Times New Roman"/>
          <w:lang w:eastAsia="en-US"/>
        </w:rPr>
        <w:t xml:space="preserve"> vairāk nekā attiecīgajā periodā pērn. Precīzi nav iespējams pateikt, cik liela daļa no šiem līdzekļiem attiecināma uz ar būvniecības sektoru saistītā bruto pamatkapitāla veidošanas apjomu. Tomēr var droši apgalvot, ka investīciju kāpumu šā gada pirmajā pusē būtiski veicināja lielāka ES fondu līdzekļu ieplūde. ES fondu investīcijas veicināja arī vispārējās valdības sektora ieguldījumus. Šā gada pirmajā ceturksnī (dati par otro ceturksni vēl nav pieejami) vispārējas valdības investīciju apjoms bija par 135 milj. </w:t>
      </w:r>
      <w:r w:rsidRPr="00D8017D">
        <w:rPr>
          <w:rFonts w:eastAsia="Calibri" w:cs="Times New Roman"/>
          <w:i/>
          <w:iCs/>
          <w:lang w:eastAsia="en-US"/>
        </w:rPr>
        <w:t>euro</w:t>
      </w:r>
      <w:r w:rsidRPr="00D8017D">
        <w:rPr>
          <w:rFonts w:eastAsia="Calibri" w:cs="Times New Roman"/>
          <w:lang w:eastAsia="en-US"/>
        </w:rPr>
        <w:t xml:space="preserve"> jeb 43% augstāks nekā pērnā gada attiecīgajā ceturksnī. Arī privātā sektora investīcijas pirmajā ceturksnī ir palielinājušās, bet šis pieaugums bijis pieticīgs, tikai 17 milj. </w:t>
      </w:r>
      <w:r w:rsidRPr="00D8017D">
        <w:rPr>
          <w:rFonts w:eastAsia="Calibri" w:cs="Times New Roman"/>
          <w:i/>
          <w:iCs/>
          <w:lang w:eastAsia="en-US"/>
        </w:rPr>
        <w:t>euro</w:t>
      </w:r>
      <w:r w:rsidRPr="00D8017D">
        <w:rPr>
          <w:rFonts w:eastAsia="Calibri" w:cs="Times New Roman"/>
          <w:lang w:eastAsia="en-US"/>
        </w:rPr>
        <w:t xml:space="preserve"> jeb 1,1% salīdzinājumā ar 2024. gada pirmo ceturksni. </w:t>
      </w:r>
      <w:r w:rsidR="00851864">
        <w:rPr>
          <w:rFonts w:eastAsia="Calibri" w:cs="Times New Roman"/>
          <w:lang w:eastAsia="en-US"/>
        </w:rPr>
        <w:t>A</w:t>
      </w:r>
      <w:r w:rsidRPr="00D8017D">
        <w:rPr>
          <w:rFonts w:eastAsia="Calibri" w:cs="Times New Roman"/>
          <w:lang w:eastAsia="en-US"/>
        </w:rPr>
        <w:t xml:space="preserve">ttiecībā uz ES fondu investīcijām jāatzīmē, ka operatīvie dati par šā gada jūliju un augustu apliecina, ka arī trešajā ceturksnī var sagaidīt būtisku investīciju kāpumu būvniecības sektorā, jo ES fondu investīciju apjoms jūlijā un augustā bija par 109 milj. </w:t>
      </w:r>
      <w:r w:rsidRPr="00D8017D">
        <w:rPr>
          <w:rFonts w:eastAsia="Calibri" w:cs="Times New Roman"/>
          <w:i/>
          <w:iCs/>
          <w:lang w:eastAsia="en-US"/>
        </w:rPr>
        <w:t>euro</w:t>
      </w:r>
      <w:r w:rsidRPr="00D8017D">
        <w:rPr>
          <w:rFonts w:eastAsia="Calibri" w:cs="Times New Roman"/>
          <w:lang w:eastAsia="en-US"/>
        </w:rPr>
        <w:t xml:space="preserve"> augstāks nekā pērnā gada attiecīgajos mēnešos. Papildus tam, investīciju pieaugumu var veicināt arī mājokļu tirgus atdzīvošanās un hipotekāro kredītu izsniegšanas pieaugums.</w:t>
      </w:r>
    </w:p>
    <w:tbl>
      <w:tblPr>
        <w:tblStyle w:val="TableGrid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9"/>
        <w:gridCol w:w="4446"/>
      </w:tblGrid>
      <w:tr w:rsidR="00510AA8" w:rsidRPr="00D8017D" w14:paraId="268D7764" w14:textId="77777777" w:rsidTr="00141289">
        <w:trPr>
          <w:cantSplit/>
        </w:trPr>
        <w:tc>
          <w:tcPr>
            <w:tcW w:w="4379" w:type="dxa"/>
          </w:tcPr>
          <w:p w14:paraId="662C0BC2" w14:textId="77777777" w:rsidR="00510AA8" w:rsidRPr="00D8017D" w:rsidRDefault="00510AA8" w:rsidP="00510AA8">
            <w:pPr>
              <w:spacing w:before="60" w:after="60"/>
              <w:ind w:firstLine="0"/>
              <w:jc w:val="left"/>
              <w:rPr>
                <w:rFonts w:ascii="Calibri" w:eastAsia="Aptos" w:hAnsi="Calibri"/>
                <w:sz w:val="22"/>
                <w14:ligatures w14:val="standardContextual"/>
              </w:rPr>
            </w:pPr>
            <w:r w:rsidRPr="00D8017D">
              <w:rPr>
                <w:rFonts w:ascii="Calibri" w:hAnsi="Calibri"/>
                <w:noProof/>
                <w:sz w:val="22"/>
              </w:rPr>
              <w:drawing>
                <wp:inline distT="0" distB="0" distL="0" distR="0" wp14:anchorId="1A3EA4D8" wp14:editId="360FF217">
                  <wp:extent cx="2444750" cy="3581400"/>
                  <wp:effectExtent l="0" t="0" r="0" b="0"/>
                  <wp:docPr id="1569630568" name="Chart 1">
                    <a:extLst xmlns:a="http://schemas.openxmlformats.org/drawingml/2006/main">
                      <a:ext uri="{FF2B5EF4-FFF2-40B4-BE49-F238E27FC236}">
                        <a16:creationId xmlns:a16="http://schemas.microsoft.com/office/drawing/2014/main" id="{00000000-0008-0000-01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c>
          <w:tcPr>
            <w:tcW w:w="4446" w:type="dxa"/>
          </w:tcPr>
          <w:p w14:paraId="42CBFBF3" w14:textId="77777777" w:rsidR="00510AA8" w:rsidRPr="00D8017D" w:rsidRDefault="00510AA8" w:rsidP="00510AA8">
            <w:pPr>
              <w:spacing w:before="60" w:after="60"/>
              <w:ind w:firstLine="0"/>
              <w:jc w:val="left"/>
              <w:rPr>
                <w:rFonts w:ascii="Calibri" w:eastAsia="Aptos" w:hAnsi="Calibri"/>
                <w:sz w:val="22"/>
                <w14:ligatures w14:val="standardContextual"/>
              </w:rPr>
            </w:pPr>
            <w:r w:rsidRPr="00D8017D">
              <w:rPr>
                <w:rFonts w:ascii="Calibri" w:hAnsi="Calibri"/>
                <w:noProof/>
                <w:sz w:val="22"/>
              </w:rPr>
              <w:drawing>
                <wp:inline distT="0" distB="0" distL="0" distR="0" wp14:anchorId="65723761" wp14:editId="70BB2D73">
                  <wp:extent cx="2247900" cy="3530600"/>
                  <wp:effectExtent l="0" t="0" r="0" b="0"/>
                  <wp:docPr id="1820931946" name="Chart 1">
                    <a:extLst xmlns:a="http://schemas.openxmlformats.org/drawingml/2006/main">
                      <a:ext uri="{FF2B5EF4-FFF2-40B4-BE49-F238E27FC236}">
                        <a16:creationId xmlns:a16="http://schemas.microsoft.com/office/drawing/2014/main" id="{00000000-0008-0000-2C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r w:rsidR="00510AA8" w:rsidRPr="00D8017D" w14:paraId="3FB05039" w14:textId="77777777" w:rsidTr="00141289">
        <w:trPr>
          <w:cantSplit/>
        </w:trPr>
        <w:tc>
          <w:tcPr>
            <w:tcW w:w="4379" w:type="dxa"/>
          </w:tcPr>
          <w:p w14:paraId="1C29F034" w14:textId="560C0D41" w:rsidR="00510AA8" w:rsidRPr="00D8017D" w:rsidRDefault="00510AA8" w:rsidP="00510AA8">
            <w:pPr>
              <w:spacing w:before="60" w:after="60"/>
              <w:ind w:firstLine="34"/>
              <w:jc w:val="center"/>
              <w:rPr>
                <w:rFonts w:eastAsia="Aptos"/>
                <w:b/>
                <w:bCs/>
                <w:i/>
                <w:iCs/>
                <w:szCs w:val="24"/>
                <w14:ligatures w14:val="standardContextual"/>
              </w:rPr>
            </w:pPr>
            <w:r w:rsidRPr="00D8017D">
              <w:rPr>
                <w:rFonts w:eastAsia="Aptos"/>
                <w:b/>
                <w:bCs/>
                <w:i/>
                <w:iCs/>
                <w:szCs w:val="24"/>
                <w14:ligatures w14:val="standardContextual"/>
              </w:rPr>
              <w:t>1.2</w:t>
            </w:r>
            <w:r w:rsidR="00012C72" w:rsidRPr="00D8017D">
              <w:rPr>
                <w:rFonts w:eastAsia="Aptos"/>
                <w:b/>
                <w:bCs/>
                <w:i/>
                <w:iCs/>
                <w:szCs w:val="24"/>
                <w14:ligatures w14:val="standardContextual"/>
              </w:rPr>
              <w:t>5</w:t>
            </w:r>
            <w:r w:rsidRPr="00D8017D">
              <w:rPr>
                <w:rFonts w:eastAsia="Aptos"/>
                <w:b/>
                <w:bCs/>
                <w:i/>
                <w:iCs/>
                <w:szCs w:val="24"/>
                <w14:ligatures w14:val="standardContextual"/>
              </w:rPr>
              <w:t>.</w:t>
            </w:r>
            <w:r w:rsidR="00BB3CFE" w:rsidRPr="00D8017D">
              <w:rPr>
                <w:rFonts w:eastAsia="Aptos"/>
                <w:b/>
                <w:bCs/>
                <w:i/>
                <w:iCs/>
                <w:szCs w:val="24"/>
                <w14:ligatures w14:val="standardContextual"/>
              </w:rPr>
              <w:t xml:space="preserve"> </w:t>
            </w:r>
            <w:r w:rsidRPr="00D8017D">
              <w:rPr>
                <w:rFonts w:eastAsia="Aptos"/>
                <w:b/>
                <w:bCs/>
                <w:i/>
                <w:iCs/>
                <w:szCs w:val="24"/>
                <w14:ligatures w14:val="standardContextual"/>
              </w:rPr>
              <w:t>att. Investīcijas raksturojošie rādītāji, 2021=100</w:t>
            </w:r>
          </w:p>
          <w:p w14:paraId="0FF0A933" w14:textId="77777777" w:rsidR="00510AA8" w:rsidRPr="00D8017D" w:rsidRDefault="00510AA8" w:rsidP="00510AA8">
            <w:pPr>
              <w:spacing w:before="60" w:after="60"/>
              <w:ind w:firstLine="0"/>
              <w:jc w:val="center"/>
              <w:rPr>
                <w:rFonts w:eastAsia="Aptos"/>
                <w:szCs w:val="24"/>
                <w14:ligatures w14:val="standardContextual"/>
              </w:rPr>
            </w:pPr>
          </w:p>
        </w:tc>
        <w:tc>
          <w:tcPr>
            <w:tcW w:w="4446" w:type="dxa"/>
          </w:tcPr>
          <w:p w14:paraId="1E97C6BF" w14:textId="775BA653" w:rsidR="00510AA8" w:rsidRPr="00D8017D" w:rsidRDefault="00510AA8" w:rsidP="00510AA8">
            <w:pPr>
              <w:spacing w:before="60" w:after="60"/>
              <w:ind w:firstLine="0"/>
              <w:jc w:val="center"/>
              <w:rPr>
                <w:rFonts w:eastAsia="Aptos"/>
                <w:szCs w:val="24"/>
                <w14:ligatures w14:val="standardContextual"/>
              </w:rPr>
            </w:pPr>
            <w:r w:rsidRPr="00D8017D">
              <w:rPr>
                <w:rFonts w:eastAsia="Calibri"/>
                <w:b/>
                <w:i/>
                <w:iCs/>
                <w:szCs w:val="24"/>
              </w:rPr>
              <w:t>1.2</w:t>
            </w:r>
            <w:r w:rsidR="00012C72" w:rsidRPr="00D8017D">
              <w:rPr>
                <w:rFonts w:eastAsia="Calibri"/>
                <w:b/>
                <w:i/>
                <w:iCs/>
                <w:szCs w:val="24"/>
              </w:rPr>
              <w:t>6</w:t>
            </w:r>
            <w:r w:rsidRPr="00D8017D">
              <w:rPr>
                <w:rFonts w:eastAsia="Calibri"/>
                <w:b/>
                <w:i/>
                <w:iCs/>
                <w:szCs w:val="24"/>
              </w:rPr>
              <w:t>. att. Bruto kapitālieguldījumu izmaiņas pa darbības veidiem</w:t>
            </w:r>
            <w:r w:rsidRPr="00D8017D">
              <w:rPr>
                <w:rFonts w:eastAsia="Calibri"/>
                <w:b/>
                <w:i/>
                <w:iCs/>
                <w:szCs w:val="24"/>
              </w:rPr>
              <w:br/>
              <w:t>(milj. euro, salīdzināmajās cenās) un kopējās pārmaiņas (%, labā ass)</w:t>
            </w:r>
          </w:p>
        </w:tc>
      </w:tr>
    </w:tbl>
    <w:p w14:paraId="6A027571" w14:textId="77777777" w:rsidR="00510AA8" w:rsidRPr="00D8017D" w:rsidRDefault="00510AA8" w:rsidP="00510AA8">
      <w:pPr>
        <w:spacing w:before="240"/>
        <w:ind w:firstLine="709"/>
        <w:rPr>
          <w:rFonts w:eastAsia="Calibri" w:cs="Times New Roman"/>
          <w:lang w:eastAsia="en-US"/>
        </w:rPr>
      </w:pPr>
      <w:r w:rsidRPr="00D8017D">
        <w:rPr>
          <w:rFonts w:eastAsia="Calibri" w:cs="Times New Roman"/>
          <w:lang w:eastAsia="en-US"/>
        </w:rPr>
        <w:lastRenderedPageBreak/>
        <w:t xml:space="preserve">Investīcijas tehnoloģiskajās iekārtās un mašīnās 2025. gada pirmajos divos ceturkšņos sasniedza 1362 milj. </w:t>
      </w:r>
      <w:r w:rsidRPr="00D8017D">
        <w:rPr>
          <w:rFonts w:eastAsia="Calibri" w:cs="Times New Roman"/>
          <w:i/>
          <w:iCs/>
          <w:lang w:eastAsia="en-US"/>
        </w:rPr>
        <w:t>euro</w:t>
      </w:r>
      <w:r w:rsidRPr="00D8017D">
        <w:rPr>
          <w:rFonts w:eastAsia="Calibri" w:cs="Times New Roman"/>
          <w:lang w:eastAsia="en-US"/>
        </w:rPr>
        <w:t xml:space="preserve">, kas bija par 116 milj. </w:t>
      </w:r>
      <w:r w:rsidRPr="00D8017D">
        <w:rPr>
          <w:rFonts w:eastAsia="Calibri" w:cs="Times New Roman"/>
          <w:i/>
          <w:iCs/>
          <w:lang w:eastAsia="en-US"/>
        </w:rPr>
        <w:t>euro</w:t>
      </w:r>
      <w:r w:rsidRPr="00D8017D">
        <w:rPr>
          <w:rFonts w:eastAsia="Calibri" w:cs="Times New Roman"/>
          <w:lang w:eastAsia="en-US"/>
        </w:rPr>
        <w:t xml:space="preserve"> jeb 9,3% vairāk nekā pērnā gada attiecīgajā periodā. Tādējādi šo pamatlīdzekļu īpatsvars kopējās investīcijās veidoja 39,6% pretstatā 51,0% īpatsvaram ar būvniecību saistītajiem pamatlīdzekļiem. Investīcijas tehnoloģiskajās iekārtās un mašīnās veicināja investīciju pieaugums informācijas un komunikācijas iekārtās, ieroču sistēmās un pārējās tehnoloģiskajās iekārtās, kopumā par 11,7%. Investīcijas transportlīdzekļos palielinājās par 5,9%, salīdzinot ar 2024. gada pirmo pusgadu.</w:t>
      </w:r>
    </w:p>
    <w:p w14:paraId="7B606EFA" w14:textId="77777777" w:rsidR="00510AA8" w:rsidRPr="00D8017D" w:rsidRDefault="00510AA8" w:rsidP="00510AA8">
      <w:pPr>
        <w:ind w:firstLine="709"/>
        <w:rPr>
          <w:rFonts w:eastAsia="Calibri" w:cs="Times New Roman"/>
          <w:lang w:eastAsia="en-US"/>
        </w:rPr>
      </w:pPr>
      <w:r w:rsidRPr="00D8017D">
        <w:rPr>
          <w:rFonts w:eastAsia="Calibri" w:cs="Times New Roman"/>
          <w:lang w:eastAsia="en-US"/>
        </w:rPr>
        <w:t xml:space="preserve">Aktuālākie apstrādes rūpniecības nozarē strādājošo uzņēmēju aptaujas dati rāda, ka 31% no plānotajām investīcijām 2025. gadā būs vērstas uz veco iekārtu aizvietošanu. Tas joprojām ir galvenais investīciju mērķis apstrādes rūpniecības nozarē strādājošajiem uzņēmumiem. Tomēr šo investīciju īpatsvars pakāpeniski samazinās. Tā, 2024. gadā 34,2% no plānotajām investīcijām bija vērsti uz veco iekārtu aizvietošanu, bet līdz 2022. gadam šis īpatsvars bija tuvāk 40%. Šī īpatsvara samazinājums notiek uz tās investīciju daļas pieauguma rēķina, kura ir vērsta uz racionalizāciju. Aptaujas dati liecina, ka 2025. gadā 26,7% no plānotajām investīcijām būs vērstas uz ražošanas procesu racionalizāciju, kamēr līdz 2024. gadam šis īpatsvars bija svārstījies ap 20%. Lai arī dati uzrāda pozitīvu tendenci, tomēr šādi dati jāvērtē piesardzīgi, jo tie atspoguļo tikai nodomu par investīciju veikšanu, nevis faktiski veiktās investīcijas. Papildus tam, lai būtiski veicinātu ražošanas produktivitāti, investīciju daļai, kura ir orientēta uz racionalizāciju, jābūt samērā augstai ilgstoši. Negatīvi vērtējams tas, ka samazinājies to investīciju īpatsvars, kuras ir vērstas uz ražošanas paplašināšanu. </w:t>
      </w:r>
    </w:p>
    <w:p w14:paraId="3D8E617C" w14:textId="6B7B4FB1" w:rsidR="00510AA8" w:rsidRPr="00D8017D" w:rsidRDefault="00510AA8" w:rsidP="00510AA8">
      <w:pPr>
        <w:ind w:firstLine="709"/>
        <w:rPr>
          <w:rFonts w:eastAsia="Calibri" w:cs="Times New Roman"/>
          <w:lang w:eastAsia="en-US"/>
        </w:rPr>
      </w:pPr>
      <w:r w:rsidRPr="00D8017D">
        <w:rPr>
          <w:rFonts w:eastAsia="Calibri" w:cs="Times New Roman"/>
          <w:lang w:eastAsia="en-US"/>
        </w:rPr>
        <w:t xml:space="preserve">Atbilstoši makroekonomikas prognozēm, investīciju apjoms 2025. gadā pieaugs par 3,7% salīdzināmajās cenās. Jānorāda, ka attiecībā uz investīciju aktivitāti riski ir zemi un pastāv visi priekšnosacījumi, lai 2025. gadā investīciju pieaugums būtu augstāks. Pastāv vairāki faktori, kuri varētu veicināt straujāku investīciju kāpumu. Pirmkārt, stabilizējušās būvniecības izmaksas. 2024. gadā kopējās būvizmaksas pieauga tikai par 2,1%. 2025. gada pirmajā pusgadā būvniecības izmaksas palielinājās par 1,8% salīdzinājumā ar pērnā gada pirmo pusgadu (strādnieku algas +5,6%, tehnikas uzturēšana +2,5%, būvmateriāli -0,6%), un šāds mērens izmaksu kāpums vairs nav nopietns šķērslis jaunu projektu uzsākšanai. Otrkārt, pakāpeniski uzlabojas finanšu nosacījumi. Procentu likmes sāk samazināties, lai gan saglabājas augstākas nekā pirms 2023. gada. Likmju samazinājums uzlabo kreditēšanas iespējas un var dot impulsu jauniem projektiem. Turklāt bankas aktīvāk piesaista jaunus klientus, piemēram, mājsaimniecību sektorā, kas arī veicina kreditēšanas aktivitāti. Treškārt, gaidāma lielāka </w:t>
      </w:r>
      <w:r w:rsidR="00BB3CFE" w:rsidRPr="00D8017D">
        <w:rPr>
          <w:rFonts w:eastAsia="Calibri" w:cs="Times New Roman"/>
          <w:lang w:eastAsia="en-US"/>
        </w:rPr>
        <w:t>ES</w:t>
      </w:r>
      <w:r w:rsidRPr="00D8017D">
        <w:rPr>
          <w:rFonts w:eastAsia="Calibri" w:cs="Times New Roman"/>
          <w:lang w:eastAsia="en-US"/>
        </w:rPr>
        <w:t xml:space="preserve"> fondu investīciju ieplūde. Prognozes liecina, ka 2025. gadā ES struktūrfondu un ANM investīciju apjoms būs vairāk nekā par 600 milj. </w:t>
      </w:r>
      <w:r w:rsidRPr="00D8017D">
        <w:rPr>
          <w:rFonts w:eastAsia="Calibri" w:cs="Times New Roman"/>
          <w:i/>
          <w:iCs/>
          <w:lang w:eastAsia="en-US"/>
        </w:rPr>
        <w:t>euro</w:t>
      </w:r>
      <w:r w:rsidRPr="00D8017D">
        <w:rPr>
          <w:rFonts w:eastAsia="Calibri" w:cs="Times New Roman"/>
          <w:lang w:eastAsia="en-US"/>
        </w:rPr>
        <w:t xml:space="preserve"> lielāks nekā 2024. gadā, kas palielinās publiskās investīcijas un sniegs papildu impulsu arī privātajām investīcijām. </w:t>
      </w:r>
    </w:p>
    <w:p w14:paraId="3C90FE78" w14:textId="457632DD" w:rsidR="0070161D" w:rsidRPr="00D8017D" w:rsidRDefault="0070161D" w:rsidP="008349F0">
      <w:pPr>
        <w:keepNext/>
        <w:keepLines/>
        <w:spacing w:before="240" w:after="240"/>
        <w:ind w:firstLine="0"/>
        <w:jc w:val="center"/>
        <w:outlineLvl w:val="1"/>
        <w:rPr>
          <w:rFonts w:eastAsia="Times New Roman" w:cs="Times New Roman"/>
          <w:b/>
          <w:bCs/>
          <w:color w:val="000000"/>
          <w:sz w:val="36"/>
          <w:szCs w:val="28"/>
        </w:rPr>
      </w:pPr>
      <w:bookmarkStart w:id="23" w:name="_Toc210289872"/>
      <w:r w:rsidRPr="00D8017D">
        <w:rPr>
          <w:rFonts w:eastAsia="Times New Roman" w:cs="Times New Roman"/>
          <w:b/>
          <w:bCs/>
          <w:color w:val="000000"/>
          <w:sz w:val="36"/>
          <w:szCs w:val="28"/>
        </w:rPr>
        <w:t xml:space="preserve">1.3. Makroekonomisko nelīdzsvarotību uzraudzība </w:t>
      </w:r>
      <w:bookmarkEnd w:id="21"/>
      <w:r w:rsidR="00EE6EFD" w:rsidRPr="00D8017D">
        <w:rPr>
          <w:rFonts w:eastAsia="Times New Roman" w:cs="Times New Roman"/>
          <w:b/>
          <w:bCs/>
          <w:color w:val="000000"/>
          <w:sz w:val="36"/>
          <w:szCs w:val="28"/>
        </w:rPr>
        <w:t>ES</w:t>
      </w:r>
      <w:bookmarkEnd w:id="23"/>
    </w:p>
    <w:p w14:paraId="07F0899C" w14:textId="6C3A183E" w:rsidR="00510AA8" w:rsidRPr="00D8017D" w:rsidRDefault="00510AA8" w:rsidP="005703D1">
      <w:pPr>
        <w:widowControl w:val="0"/>
        <w:ind w:firstLine="0"/>
        <w:rPr>
          <w:rFonts w:eastAsia="Calibri" w:cs="Times New Roman"/>
          <w:lang w:eastAsia="en-US"/>
        </w:rPr>
      </w:pPr>
      <w:bookmarkStart w:id="24" w:name="_Toc178763483"/>
      <w:r w:rsidRPr="00D8017D">
        <w:rPr>
          <w:rFonts w:eastAsia="Calibri" w:cs="Times New Roman"/>
          <w:lang w:eastAsia="en-US"/>
        </w:rPr>
        <w:t xml:space="preserve">Agrās brīdināšanas mehānisma ziņojums tiek publicēts tekošā gada beigās, kas ir arī sākums jaunam makroekonomiskās nesabalansētības uzraudzības ciklam. Tādējādi šobrīd, sagatavojot </w:t>
      </w:r>
      <w:r w:rsidR="0043297E">
        <w:rPr>
          <w:rFonts w:eastAsia="Times New Roman" w:cs="Times New Roman"/>
          <w:bCs/>
          <w:szCs w:val="24"/>
        </w:rPr>
        <w:t>l</w:t>
      </w:r>
      <w:r w:rsidR="0043297E" w:rsidRPr="0043297E">
        <w:rPr>
          <w:rFonts w:eastAsia="Times New Roman" w:cs="Times New Roman"/>
          <w:bCs/>
          <w:szCs w:val="24"/>
        </w:rPr>
        <w:t>ikumprojekta “Par valsts budžetu 2026. gadam un budžeta ietvaru 2026., 2027. un 2028. gadam”</w:t>
      </w:r>
      <w:r w:rsidR="0043297E">
        <w:rPr>
          <w:rFonts w:eastAsia="Times New Roman" w:cs="Times New Roman"/>
          <w:bCs/>
          <w:szCs w:val="24"/>
        </w:rPr>
        <w:t xml:space="preserve"> </w:t>
      </w:r>
      <w:r w:rsidRPr="00D8017D">
        <w:rPr>
          <w:rFonts w:eastAsia="Calibri" w:cs="Times New Roman"/>
          <w:lang w:eastAsia="en-US"/>
        </w:rPr>
        <w:t>paskaidrojumus, tiek izmantots “Agrās brīdināšanas mehānisma ziņojums 2025” (</w:t>
      </w:r>
      <w:r w:rsidRPr="00D8017D">
        <w:rPr>
          <w:rFonts w:eastAsia="Calibri" w:cs="Times New Roman"/>
          <w:i/>
          <w:iCs/>
          <w:lang w:eastAsia="en-US"/>
        </w:rPr>
        <w:t>Alert Mechanism Report 2025</w:t>
      </w:r>
      <w:r w:rsidRPr="00D8017D">
        <w:rPr>
          <w:rFonts w:eastAsia="Calibri" w:cs="Times New Roman"/>
          <w:lang w:eastAsia="en-US"/>
        </w:rPr>
        <w:t xml:space="preserve">), kurš tika publicēts 2024. gada 18. decembrī. Ziņojumu izstrādē tiek lietoti statistikas dati ar gada nobīdi, attiecīgi 2025. gada Agrās brīdināšanas mehānisma ziņojums balstās uz 2023. gada statistikas datiem, kas tika interpretēti, ņemot vērā iespējamo risku attīstību nākotnē. Ziņojuma pamatā ir divas rādītāju grupas – 13 pamata rādītāji un 23 papildinoši rādītāji, kuri 2025. gada ziņojumā ir rediģēti, lai būtu uz nākotni vērsti. Šāda pieeja ļauj valstīm, kurām ir ilgstošas nesabalansētības, bet ir vērojams to uzlabojums, t.i., ir skaidras tendences uz situācijas </w:t>
      </w:r>
      <w:r w:rsidRPr="00D8017D">
        <w:rPr>
          <w:rFonts w:eastAsia="Calibri" w:cs="Times New Roman"/>
          <w:lang w:eastAsia="en-US"/>
        </w:rPr>
        <w:lastRenderedPageBreak/>
        <w:t>uzlabošanos, izvērtējumā ņemt šo dinamiku vērā.</w:t>
      </w:r>
    </w:p>
    <w:p w14:paraId="31DBD840" w14:textId="77777777" w:rsidR="00510AA8" w:rsidRPr="00D8017D" w:rsidRDefault="00510AA8" w:rsidP="00510AA8">
      <w:pPr>
        <w:ind w:firstLine="709"/>
        <w:rPr>
          <w:rFonts w:eastAsia="Calibri" w:cs="Times New Roman"/>
          <w:lang w:eastAsia="en-US"/>
        </w:rPr>
      </w:pPr>
      <w:r w:rsidRPr="00D8017D">
        <w:rPr>
          <w:rFonts w:eastAsia="Calibri" w:cs="Times New Roman"/>
          <w:lang w:eastAsia="en-US"/>
        </w:rPr>
        <w:t xml:space="preserve"> Pamata rādītājiem ir definēti mērķlīmeņi jeb pieļaujamās robežvērtības, kuru pārsniegšana var iniciēt attiecīgās dalībvalsts Padziļinātās izpētes ziņojuma (IDR) izstrādi. Lēmums par attiecīgās valsts ekonomikas padziļinātās izpētes procedūras uzsākšanu var tikt pieņemts pamatojoties uz izvērstu, fundamentālu ekonomiskās situācijas un saistīto risku analīzi, kā arī ņemot vērā rādītāju sagaidāmo dinamiku. Automātiska padziļinātās izpētes procedūras uzsākšana, pamatojoties vienīgi uz tehnisku dažu rādītāju noteikto robežvērtību pārsniegšanu, netiek praktizēta. Pamata rādītāju tabula (</w:t>
      </w:r>
      <w:r w:rsidRPr="00D8017D">
        <w:rPr>
          <w:rFonts w:eastAsia="Calibri" w:cs="Times New Roman"/>
          <w:i/>
          <w:iCs/>
          <w:lang w:eastAsia="en-US"/>
        </w:rPr>
        <w:t>scoreboard</w:t>
      </w:r>
      <w:r w:rsidRPr="00D8017D">
        <w:rPr>
          <w:rFonts w:eastAsia="Calibri" w:cs="Times New Roman"/>
          <w:lang w:eastAsia="en-US"/>
        </w:rPr>
        <w:t>) ietver šādus rādītājus:</w:t>
      </w:r>
    </w:p>
    <w:p w14:paraId="5A03DA07" w14:textId="77777777" w:rsidR="00510AA8" w:rsidRPr="00D8017D" w:rsidRDefault="00510AA8" w:rsidP="003160BE">
      <w:pPr>
        <w:numPr>
          <w:ilvl w:val="0"/>
          <w:numId w:val="19"/>
        </w:numPr>
        <w:spacing w:after="160" w:line="259" w:lineRule="auto"/>
        <w:ind w:left="927"/>
        <w:contextualSpacing/>
        <w:jc w:val="left"/>
        <w:rPr>
          <w:rFonts w:eastAsia="Calibri" w:cs="Arial"/>
          <w:szCs w:val="20"/>
          <w:lang w:eastAsia="en-US"/>
        </w:rPr>
      </w:pPr>
      <w:r w:rsidRPr="00D8017D">
        <w:rPr>
          <w:rFonts w:eastAsia="Calibri" w:cs="Arial"/>
          <w:szCs w:val="20"/>
          <w:lang w:eastAsia="en-US"/>
        </w:rPr>
        <w:t>Tekošā konta bilance, % no IKP, 3 gadu vidējais rādītājs;</w:t>
      </w:r>
    </w:p>
    <w:p w14:paraId="60D02305" w14:textId="77777777" w:rsidR="00510AA8" w:rsidRPr="00D8017D" w:rsidRDefault="00510AA8" w:rsidP="003160BE">
      <w:pPr>
        <w:numPr>
          <w:ilvl w:val="0"/>
          <w:numId w:val="19"/>
        </w:numPr>
        <w:spacing w:after="160" w:line="259" w:lineRule="auto"/>
        <w:ind w:left="927"/>
        <w:contextualSpacing/>
        <w:jc w:val="left"/>
        <w:rPr>
          <w:rFonts w:eastAsia="Calibri" w:cs="Arial"/>
          <w:szCs w:val="20"/>
          <w:lang w:eastAsia="en-US"/>
        </w:rPr>
      </w:pPr>
      <w:r w:rsidRPr="00D8017D">
        <w:rPr>
          <w:rFonts w:eastAsia="Calibri" w:cs="Arial"/>
          <w:szCs w:val="20"/>
          <w:lang w:eastAsia="en-US"/>
        </w:rPr>
        <w:t>Neto starptautisko investīciju pozīcija, % no IKP;</w:t>
      </w:r>
    </w:p>
    <w:p w14:paraId="2BDC66E9" w14:textId="77777777" w:rsidR="00510AA8" w:rsidRPr="00D8017D" w:rsidRDefault="00510AA8" w:rsidP="003160BE">
      <w:pPr>
        <w:numPr>
          <w:ilvl w:val="0"/>
          <w:numId w:val="19"/>
        </w:numPr>
        <w:spacing w:after="160" w:line="259" w:lineRule="auto"/>
        <w:ind w:left="927"/>
        <w:contextualSpacing/>
        <w:jc w:val="left"/>
        <w:rPr>
          <w:rFonts w:eastAsia="Calibri" w:cs="Arial"/>
          <w:szCs w:val="20"/>
          <w:lang w:eastAsia="en-US"/>
        </w:rPr>
      </w:pPr>
      <w:r w:rsidRPr="00D8017D">
        <w:rPr>
          <w:rFonts w:eastAsia="Calibri" w:cs="Arial"/>
          <w:szCs w:val="20"/>
          <w:lang w:eastAsia="en-US"/>
        </w:rPr>
        <w:t>Reālais efektīvais valūtas kurss (HICP deflators), 3 gadu % izmaiņas;</w:t>
      </w:r>
    </w:p>
    <w:p w14:paraId="4164C84B" w14:textId="77777777" w:rsidR="00510AA8" w:rsidRPr="00D8017D" w:rsidRDefault="00510AA8" w:rsidP="003160BE">
      <w:pPr>
        <w:numPr>
          <w:ilvl w:val="0"/>
          <w:numId w:val="19"/>
        </w:numPr>
        <w:spacing w:after="160" w:line="259" w:lineRule="auto"/>
        <w:ind w:left="927"/>
        <w:contextualSpacing/>
        <w:jc w:val="left"/>
        <w:rPr>
          <w:rFonts w:eastAsia="Calibri" w:cs="Arial"/>
          <w:szCs w:val="24"/>
          <w:lang w:eastAsia="en-US"/>
        </w:rPr>
      </w:pPr>
      <w:r w:rsidRPr="00D8017D">
        <w:rPr>
          <w:rFonts w:eastAsia="Calibri" w:cs="Arial"/>
          <w:szCs w:val="24"/>
          <w:lang w:eastAsia="en-US"/>
        </w:rPr>
        <w:t>Eksporta tirgus daļa, % no attīstītajām ekonomikām, 3 gadu % izmaiņas;</w:t>
      </w:r>
    </w:p>
    <w:p w14:paraId="5264C24E" w14:textId="77777777" w:rsidR="00510AA8" w:rsidRPr="00D8017D" w:rsidRDefault="00510AA8" w:rsidP="003160BE">
      <w:pPr>
        <w:numPr>
          <w:ilvl w:val="0"/>
          <w:numId w:val="19"/>
        </w:numPr>
        <w:spacing w:after="160" w:line="259" w:lineRule="auto"/>
        <w:ind w:left="927"/>
        <w:contextualSpacing/>
        <w:jc w:val="left"/>
        <w:rPr>
          <w:rFonts w:eastAsia="Calibri" w:cs="Arial"/>
          <w:szCs w:val="24"/>
          <w:lang w:eastAsia="en-US"/>
        </w:rPr>
      </w:pPr>
      <w:r w:rsidRPr="00D8017D">
        <w:rPr>
          <w:rFonts w:eastAsia="Calibri" w:cs="Arial"/>
          <w:szCs w:val="24"/>
          <w:lang w:eastAsia="en-US"/>
        </w:rPr>
        <w:t>Nominālo vienības darbaspēka izmaksu indekss,</w:t>
      </w:r>
      <w:r w:rsidRPr="00D8017D">
        <w:rPr>
          <w:rFonts w:eastAsia="Calibri" w:cs="Arial"/>
          <w:szCs w:val="24"/>
          <w:vertAlign w:val="superscript"/>
          <w:lang w:eastAsia="en-US"/>
        </w:rPr>
        <w:footnoteReference w:id="4"/>
      </w:r>
      <w:r w:rsidRPr="00D8017D">
        <w:rPr>
          <w:rFonts w:eastAsia="Calibri" w:cs="Arial"/>
          <w:szCs w:val="24"/>
          <w:lang w:eastAsia="en-US"/>
        </w:rPr>
        <w:t xml:space="preserve"> 3 gadu % izmaiņas, (2010=100);</w:t>
      </w:r>
    </w:p>
    <w:p w14:paraId="7E7F1B19" w14:textId="77777777" w:rsidR="00510AA8" w:rsidRPr="00D8017D" w:rsidRDefault="00510AA8" w:rsidP="003160BE">
      <w:pPr>
        <w:numPr>
          <w:ilvl w:val="0"/>
          <w:numId w:val="19"/>
        </w:numPr>
        <w:spacing w:after="160" w:line="259" w:lineRule="auto"/>
        <w:ind w:left="927"/>
        <w:contextualSpacing/>
        <w:jc w:val="left"/>
        <w:rPr>
          <w:rFonts w:eastAsia="Calibri" w:cs="Arial"/>
          <w:szCs w:val="24"/>
          <w:lang w:eastAsia="en-US"/>
        </w:rPr>
      </w:pPr>
      <w:r w:rsidRPr="00D8017D">
        <w:rPr>
          <w:rFonts w:eastAsia="Aptos" w:cs="Times New Roman"/>
          <w:color w:val="000000"/>
          <w:szCs w:val="24"/>
          <w:lang w:eastAsia="en-US"/>
        </w:rPr>
        <w:t>Nefinanšu sabiedrību parādsaistības (konsolidētas)</w:t>
      </w:r>
    </w:p>
    <w:p w14:paraId="6D3F9C71" w14:textId="77777777" w:rsidR="00510AA8" w:rsidRPr="00D8017D" w:rsidRDefault="00510AA8" w:rsidP="003160BE">
      <w:pPr>
        <w:numPr>
          <w:ilvl w:val="0"/>
          <w:numId w:val="19"/>
        </w:numPr>
        <w:spacing w:after="160" w:line="259" w:lineRule="auto"/>
        <w:ind w:left="927"/>
        <w:contextualSpacing/>
        <w:jc w:val="left"/>
        <w:rPr>
          <w:rFonts w:eastAsia="Calibri" w:cs="Arial"/>
          <w:szCs w:val="24"/>
          <w:lang w:eastAsia="en-US"/>
        </w:rPr>
      </w:pPr>
      <w:r w:rsidRPr="00D8017D">
        <w:rPr>
          <w:rFonts w:eastAsia="Aptos" w:cs="Times New Roman"/>
          <w:color w:val="000000"/>
          <w:szCs w:val="24"/>
          <w:lang w:eastAsia="en-US"/>
        </w:rPr>
        <w:t>Nefinanšu sabiedrību kredītplūsma (konsolidēta)</w:t>
      </w:r>
    </w:p>
    <w:p w14:paraId="3C619FC0" w14:textId="77777777" w:rsidR="00510AA8" w:rsidRPr="00D8017D" w:rsidRDefault="00510AA8" w:rsidP="003160BE">
      <w:pPr>
        <w:numPr>
          <w:ilvl w:val="0"/>
          <w:numId w:val="19"/>
        </w:numPr>
        <w:spacing w:after="160" w:line="259" w:lineRule="auto"/>
        <w:ind w:left="927"/>
        <w:contextualSpacing/>
        <w:jc w:val="left"/>
        <w:rPr>
          <w:rFonts w:eastAsia="Calibri" w:cs="Arial"/>
          <w:szCs w:val="24"/>
          <w:lang w:eastAsia="en-US"/>
        </w:rPr>
      </w:pPr>
      <w:r w:rsidRPr="00D8017D">
        <w:rPr>
          <w:rFonts w:eastAsia="Aptos" w:cs="Times New Roman"/>
          <w:color w:val="000000"/>
          <w:szCs w:val="24"/>
          <w:lang w:eastAsia="en-US"/>
        </w:rPr>
        <w:t>Mājsaimniecību parādsaistības (konsolidētas)</w:t>
      </w:r>
    </w:p>
    <w:p w14:paraId="083A569B" w14:textId="77777777" w:rsidR="00510AA8" w:rsidRPr="00D8017D" w:rsidRDefault="00510AA8" w:rsidP="003160BE">
      <w:pPr>
        <w:numPr>
          <w:ilvl w:val="0"/>
          <w:numId w:val="19"/>
        </w:numPr>
        <w:spacing w:after="160" w:line="259" w:lineRule="auto"/>
        <w:ind w:left="927"/>
        <w:contextualSpacing/>
        <w:jc w:val="left"/>
        <w:rPr>
          <w:rFonts w:eastAsia="Calibri" w:cs="Arial"/>
          <w:szCs w:val="24"/>
          <w:lang w:eastAsia="en-US"/>
        </w:rPr>
      </w:pPr>
      <w:r w:rsidRPr="00D8017D">
        <w:rPr>
          <w:rFonts w:eastAsia="Aptos" w:cs="Times New Roman"/>
          <w:color w:val="000000"/>
          <w:szCs w:val="24"/>
          <w:lang w:eastAsia="en-US"/>
        </w:rPr>
        <w:t>Mājsaimniecību kredītplūsma % no kopajoma t-1</w:t>
      </w:r>
    </w:p>
    <w:p w14:paraId="41192138" w14:textId="77777777" w:rsidR="00510AA8" w:rsidRPr="00D8017D" w:rsidRDefault="00510AA8" w:rsidP="003160BE">
      <w:pPr>
        <w:numPr>
          <w:ilvl w:val="0"/>
          <w:numId w:val="19"/>
        </w:numPr>
        <w:spacing w:after="160" w:line="259" w:lineRule="auto"/>
        <w:ind w:left="927"/>
        <w:contextualSpacing/>
        <w:jc w:val="left"/>
        <w:rPr>
          <w:rFonts w:eastAsia="Calibri" w:cs="Arial"/>
          <w:szCs w:val="24"/>
          <w:lang w:eastAsia="en-US"/>
        </w:rPr>
      </w:pPr>
      <w:r w:rsidRPr="00D8017D">
        <w:rPr>
          <w:rFonts w:eastAsia="Calibri" w:cs="Arial"/>
          <w:szCs w:val="24"/>
          <w:lang w:eastAsia="en-US"/>
        </w:rPr>
        <w:t>Mājokļu cenu indekss (nomināls), gada % izmaiņas;</w:t>
      </w:r>
    </w:p>
    <w:p w14:paraId="7C1C41EC" w14:textId="77777777" w:rsidR="00510AA8" w:rsidRPr="00D8017D" w:rsidRDefault="00510AA8" w:rsidP="003160BE">
      <w:pPr>
        <w:numPr>
          <w:ilvl w:val="0"/>
          <w:numId w:val="19"/>
        </w:numPr>
        <w:spacing w:after="160" w:line="259" w:lineRule="auto"/>
        <w:ind w:left="927"/>
        <w:contextualSpacing/>
        <w:jc w:val="left"/>
        <w:rPr>
          <w:rFonts w:eastAsia="Calibri" w:cs="Arial"/>
          <w:szCs w:val="20"/>
          <w:lang w:eastAsia="en-US"/>
        </w:rPr>
      </w:pPr>
      <w:r w:rsidRPr="00D8017D">
        <w:rPr>
          <w:rFonts w:eastAsia="Calibri" w:cs="Arial"/>
          <w:szCs w:val="24"/>
          <w:lang w:eastAsia="en-US"/>
        </w:rPr>
        <w:t>Vispārējais valdības parāds, %</w:t>
      </w:r>
      <w:r w:rsidRPr="00D8017D">
        <w:rPr>
          <w:rFonts w:eastAsia="Calibri" w:cs="Arial"/>
          <w:szCs w:val="20"/>
          <w:lang w:eastAsia="en-US"/>
        </w:rPr>
        <w:t xml:space="preserve"> no IKP;</w:t>
      </w:r>
    </w:p>
    <w:p w14:paraId="631A001B" w14:textId="77777777" w:rsidR="00510AA8" w:rsidRPr="00D8017D" w:rsidRDefault="00510AA8" w:rsidP="003160BE">
      <w:pPr>
        <w:numPr>
          <w:ilvl w:val="0"/>
          <w:numId w:val="19"/>
        </w:numPr>
        <w:spacing w:after="160" w:line="259" w:lineRule="auto"/>
        <w:ind w:left="927"/>
        <w:contextualSpacing/>
        <w:jc w:val="left"/>
        <w:rPr>
          <w:rFonts w:eastAsia="Calibri" w:cs="Arial"/>
          <w:szCs w:val="20"/>
          <w:lang w:eastAsia="en-US"/>
        </w:rPr>
      </w:pPr>
      <w:r w:rsidRPr="00D8017D">
        <w:rPr>
          <w:rFonts w:eastAsia="Calibri" w:cs="Arial"/>
          <w:szCs w:val="20"/>
          <w:lang w:eastAsia="en-US"/>
        </w:rPr>
        <w:t>Bezdarba līmenis % no kopējā darbaspēka Y15 - 64 , 1 gada vidējais;</w:t>
      </w:r>
    </w:p>
    <w:p w14:paraId="7782F1EF" w14:textId="77777777" w:rsidR="00510AA8" w:rsidRPr="00D8017D" w:rsidRDefault="00510AA8" w:rsidP="003160BE">
      <w:pPr>
        <w:numPr>
          <w:ilvl w:val="0"/>
          <w:numId w:val="19"/>
        </w:numPr>
        <w:spacing w:after="160" w:line="259" w:lineRule="auto"/>
        <w:ind w:left="924" w:hanging="357"/>
        <w:contextualSpacing/>
        <w:jc w:val="left"/>
        <w:rPr>
          <w:rFonts w:eastAsia="Calibri" w:cs="Arial"/>
          <w:szCs w:val="20"/>
          <w:lang w:eastAsia="en-US"/>
        </w:rPr>
      </w:pPr>
      <w:r w:rsidRPr="00D8017D">
        <w:rPr>
          <w:rFonts w:eastAsia="Calibri" w:cs="Arial"/>
          <w:szCs w:val="20"/>
          <w:lang w:eastAsia="en-US"/>
        </w:rPr>
        <w:t>Iedzīvotāju ekonomiskās aktivitātes līmenis – 3 gadu izmaiņas procentu punktos no visiem iedzīvotājiem Y15 – 64.</w:t>
      </w:r>
    </w:p>
    <w:p w14:paraId="75884DC4" w14:textId="77777777" w:rsidR="00510AA8" w:rsidRPr="00D8017D" w:rsidRDefault="00510AA8" w:rsidP="00510AA8">
      <w:pPr>
        <w:ind w:left="924" w:firstLine="0"/>
        <w:contextualSpacing/>
        <w:rPr>
          <w:rFonts w:eastAsia="Calibri" w:cs="Arial"/>
          <w:sz w:val="8"/>
          <w:szCs w:val="8"/>
          <w:lang w:eastAsia="en-US"/>
        </w:rPr>
      </w:pPr>
    </w:p>
    <w:p w14:paraId="091C406F" w14:textId="77777777" w:rsidR="00510AA8" w:rsidRPr="00D8017D" w:rsidRDefault="00510AA8" w:rsidP="00510AA8">
      <w:pPr>
        <w:spacing w:before="120"/>
        <w:ind w:firstLine="709"/>
        <w:rPr>
          <w:rFonts w:eastAsia="Calibri" w:cs="Times New Roman"/>
          <w:lang w:eastAsia="en-US"/>
        </w:rPr>
      </w:pPr>
      <w:r w:rsidRPr="00D8017D">
        <w:rPr>
          <w:rFonts w:eastAsia="Calibri" w:cs="Times New Roman"/>
          <w:lang w:eastAsia="en-US"/>
        </w:rPr>
        <w:t>Līdzīgi kā pamata rādītāju tehniskā neievērošana, arī papildinošo jeb sociālo rādītāju robežvērtību tehniska neievērošana nevar kalpot par makroekonomiskās nesabalansētības fakta atzīšanu kādā no dalībvalstīm – šāds lēmums vienmēr tiek balstīts uz padziļinātu, vispārēju situācijas analīzi, ņemot vērā rādītāju dinamiku un attīstības perspektīvas.</w:t>
      </w:r>
    </w:p>
    <w:p w14:paraId="0306FA8E" w14:textId="77777777" w:rsidR="0070161D" w:rsidRPr="00D8017D" w:rsidRDefault="0070161D" w:rsidP="008349F0">
      <w:pPr>
        <w:spacing w:before="240" w:after="240"/>
        <w:ind w:firstLine="0"/>
        <w:jc w:val="center"/>
        <w:outlineLvl w:val="2"/>
        <w:rPr>
          <w:rFonts w:eastAsia="Times New Roman" w:cs="Times New Roman"/>
          <w:b/>
          <w:sz w:val="32"/>
          <w:szCs w:val="20"/>
          <w:lang w:eastAsia="en-US"/>
        </w:rPr>
      </w:pPr>
      <w:bookmarkStart w:id="25" w:name="_Toc210289873"/>
      <w:r w:rsidRPr="00D8017D">
        <w:rPr>
          <w:rFonts w:eastAsia="Times New Roman" w:cs="Times New Roman"/>
          <w:b/>
          <w:sz w:val="32"/>
          <w:szCs w:val="20"/>
          <w:lang w:eastAsia="en-US"/>
        </w:rPr>
        <w:t>1.3.1. Pārmērīga makroekonomiskā nesabalansētība un Padziļināto izpētes ziņojumu izstrāde</w:t>
      </w:r>
      <w:bookmarkEnd w:id="24"/>
      <w:bookmarkEnd w:id="25"/>
    </w:p>
    <w:p w14:paraId="06F8AFDD" w14:textId="5256327E" w:rsidR="00510AA8" w:rsidRPr="00D8017D" w:rsidRDefault="00510AA8" w:rsidP="00510AA8">
      <w:pPr>
        <w:rPr>
          <w:rFonts w:eastAsia="Calibri" w:cs="Arial"/>
          <w:szCs w:val="20"/>
          <w:lang w:eastAsia="en-US"/>
        </w:rPr>
      </w:pPr>
      <w:bookmarkStart w:id="26" w:name="_Toc178763484"/>
      <w:r w:rsidRPr="00D8017D">
        <w:rPr>
          <w:rFonts w:eastAsia="Calibri" w:cs="Arial"/>
          <w:szCs w:val="20"/>
          <w:lang w:eastAsia="en-US"/>
        </w:rPr>
        <w:t>Saskaņā ar 2025. gada Agrās brīdināšanas mehānisma ziņojumu</w:t>
      </w:r>
      <w:r w:rsidR="005E6EA2">
        <w:rPr>
          <w:rFonts w:eastAsia="Calibri" w:cs="Arial"/>
          <w:szCs w:val="20"/>
          <w:lang w:eastAsia="en-US"/>
        </w:rPr>
        <w:t xml:space="preserve"> </w:t>
      </w:r>
      <w:r w:rsidRPr="00D8017D">
        <w:rPr>
          <w:rFonts w:eastAsia="Calibri" w:cs="Arial"/>
          <w:szCs w:val="20"/>
          <w:lang w:eastAsia="en-US"/>
        </w:rPr>
        <w:t>2025. gadā tika sagatavoti padziļināti pārskati par 10 dalībvalstīm, kurās bija konstatētas nesabalansētības vai pārmērīgas nesabalansētības 2023. gadā. Šīs valstis ir Kipra</w:t>
      </w:r>
      <w:r w:rsidRPr="00D8017D">
        <w:rPr>
          <w:rFonts w:eastAsia="Aptos" w:cs="Times New Roman"/>
          <w:szCs w:val="24"/>
          <w:lang w:eastAsia="en-US"/>
        </w:rPr>
        <w:t>, Igaunija, Vācija, Grieķija, Itālija, Ungārija, Nīderlande, Rumānija, Slovākija un Zviedrija</w:t>
      </w:r>
      <w:r w:rsidRPr="00D8017D">
        <w:rPr>
          <w:rFonts w:eastAsia="Calibri" w:cs="Arial"/>
          <w:szCs w:val="20"/>
          <w:lang w:eastAsia="en-US"/>
        </w:rPr>
        <w:t>.</w:t>
      </w:r>
    </w:p>
    <w:p w14:paraId="0D7F6C1B" w14:textId="4BD4D967" w:rsidR="00510AA8" w:rsidRPr="00D8017D" w:rsidRDefault="00510AA8" w:rsidP="00510AA8">
      <w:pPr>
        <w:ind w:firstLine="0"/>
        <w:jc w:val="right"/>
        <w:rPr>
          <w:rFonts w:eastAsia="Calibri" w:cs="Arial"/>
          <w:b/>
          <w:bCs/>
          <w:i/>
          <w:iCs/>
          <w:szCs w:val="20"/>
          <w:lang w:eastAsia="en-US"/>
        </w:rPr>
      </w:pPr>
      <w:r w:rsidRPr="00D8017D">
        <w:rPr>
          <w:rFonts w:eastAsia="Calibri" w:cs="Arial"/>
          <w:b/>
          <w:bCs/>
          <w:i/>
          <w:iCs/>
          <w:szCs w:val="20"/>
          <w:lang w:eastAsia="en-US"/>
        </w:rPr>
        <w:t>1.</w:t>
      </w:r>
      <w:r w:rsidR="00926C33">
        <w:rPr>
          <w:rFonts w:eastAsia="Calibri" w:cs="Arial"/>
          <w:b/>
          <w:bCs/>
          <w:i/>
          <w:iCs/>
          <w:szCs w:val="20"/>
          <w:lang w:eastAsia="en-US"/>
        </w:rPr>
        <w:t>2</w:t>
      </w:r>
      <w:r w:rsidRPr="00D8017D">
        <w:rPr>
          <w:rFonts w:eastAsia="Calibri" w:cs="Arial"/>
          <w:b/>
          <w:bCs/>
          <w:i/>
          <w:iCs/>
          <w:szCs w:val="20"/>
          <w:lang w:eastAsia="en-US"/>
        </w:rPr>
        <w:t xml:space="preserve">. tabula. 2025. gada Agrās brīdināšanas mehānisma ziņojuma rezultāts </w:t>
      </w:r>
    </w:p>
    <w:tbl>
      <w:tblPr>
        <w:tblStyle w:val="ListTable2-Accent120"/>
        <w:tblW w:w="5000" w:type="pct"/>
        <w:jc w:val="center"/>
        <w:tblLook w:val="04A0" w:firstRow="1" w:lastRow="0" w:firstColumn="1" w:lastColumn="0" w:noHBand="0" w:noVBand="1"/>
      </w:tblPr>
      <w:tblGrid>
        <w:gridCol w:w="4468"/>
        <w:gridCol w:w="4886"/>
      </w:tblGrid>
      <w:tr w:rsidR="00510AA8" w:rsidRPr="00D8017D" w14:paraId="14523F5C" w14:textId="77777777" w:rsidTr="00141289">
        <w:trPr>
          <w:cnfStyle w:val="100000000000" w:firstRow="1" w:lastRow="0" w:firstColumn="0" w:lastColumn="0" w:oddVBand="0" w:evenVBand="0" w:oddHBand="0" w:evenHBand="0" w:firstRowFirstColumn="0" w:firstRowLastColumn="0" w:lastRowFirstColumn="0" w:lastRowLastColumn="0"/>
          <w:trHeight w:val="498"/>
          <w:jc w:val="center"/>
        </w:trPr>
        <w:tc>
          <w:tcPr>
            <w:cnfStyle w:val="001000000000" w:firstRow="0" w:lastRow="0" w:firstColumn="1" w:lastColumn="0" w:oddVBand="0" w:evenVBand="0" w:oddHBand="0" w:evenHBand="0" w:firstRowFirstColumn="0" w:firstRowLastColumn="0" w:lastRowFirstColumn="0" w:lastRowLastColumn="0"/>
            <w:tcW w:w="3967" w:type="dxa"/>
          </w:tcPr>
          <w:p w14:paraId="6C6311D6" w14:textId="77777777" w:rsidR="00510AA8" w:rsidRPr="00D8017D" w:rsidRDefault="00510AA8" w:rsidP="003160BE">
            <w:pPr>
              <w:numPr>
                <w:ilvl w:val="0"/>
                <w:numId w:val="20"/>
              </w:numPr>
              <w:spacing w:before="60" w:after="60"/>
              <w:contextualSpacing/>
              <w:jc w:val="left"/>
              <w:rPr>
                <w:rFonts w:eastAsia="Aptos" w:cs="Times New Roman"/>
                <w:sz w:val="20"/>
                <w:szCs w:val="20"/>
              </w:rPr>
            </w:pPr>
            <w:r w:rsidRPr="00D8017D">
              <w:rPr>
                <w:rFonts w:eastAsia="Aptos" w:cs="Times New Roman"/>
                <w:sz w:val="20"/>
                <w:szCs w:val="20"/>
              </w:rPr>
              <w:t xml:space="preserve">Nesabalansētības netika konstatētas un netiek iniciēta Padziļinātā izpētes ziņojuma izstrāde </w:t>
            </w:r>
          </w:p>
        </w:tc>
        <w:tc>
          <w:tcPr>
            <w:tcW w:w="4339" w:type="dxa"/>
            <w:vAlign w:val="center"/>
          </w:tcPr>
          <w:p w14:paraId="2FB02A44" w14:textId="77777777" w:rsidR="00510AA8" w:rsidRPr="00D8017D" w:rsidRDefault="00510AA8" w:rsidP="00510AA8">
            <w:pPr>
              <w:spacing w:before="60" w:after="60"/>
              <w:jc w:val="center"/>
              <w:cnfStyle w:val="100000000000" w:firstRow="1" w:lastRow="0" w:firstColumn="0" w:lastColumn="0" w:oddVBand="0" w:evenVBand="0" w:oddHBand="0" w:evenHBand="0" w:firstRowFirstColumn="0" w:firstRowLastColumn="0" w:lastRowFirstColumn="0" w:lastRowLastColumn="0"/>
              <w:rPr>
                <w:rFonts w:eastAsia="Aptos" w:cs="Times New Roman"/>
                <w:sz w:val="20"/>
                <w:szCs w:val="20"/>
              </w:rPr>
            </w:pPr>
            <w:r w:rsidRPr="00D8017D">
              <w:rPr>
                <w:rFonts w:eastAsia="Aptos" w:cs="Times New Roman"/>
                <w:sz w:val="20"/>
                <w:szCs w:val="20"/>
              </w:rPr>
              <w:t>Austrija, Beļģija, Bulgārija, Īrija, Horvātija, Čehija, Dānija, Latvija, Lietuva, Luksemburga, Malta, Polija, Slovēnija, Somija, Spānija, Francija, Portugāle</w:t>
            </w:r>
          </w:p>
        </w:tc>
      </w:tr>
      <w:tr w:rsidR="00510AA8" w:rsidRPr="00D8017D" w14:paraId="5DAF2EA0" w14:textId="77777777" w:rsidTr="00141289">
        <w:trPr>
          <w:cnfStyle w:val="000000100000" w:firstRow="0" w:lastRow="0" w:firstColumn="0" w:lastColumn="0" w:oddVBand="0" w:evenVBand="0" w:oddHBand="1" w:evenHBand="0" w:firstRowFirstColumn="0" w:firstRowLastColumn="0" w:lastRowFirstColumn="0" w:lastRowLastColumn="0"/>
          <w:trHeight w:val="498"/>
          <w:jc w:val="center"/>
        </w:trPr>
        <w:tc>
          <w:tcPr>
            <w:cnfStyle w:val="001000000000" w:firstRow="0" w:lastRow="0" w:firstColumn="1" w:lastColumn="0" w:oddVBand="0" w:evenVBand="0" w:oddHBand="0" w:evenHBand="0" w:firstRowFirstColumn="0" w:firstRowLastColumn="0" w:lastRowFirstColumn="0" w:lastRowLastColumn="0"/>
            <w:tcW w:w="3967" w:type="dxa"/>
          </w:tcPr>
          <w:p w14:paraId="325558EE" w14:textId="77777777" w:rsidR="00510AA8" w:rsidRPr="00D8017D" w:rsidRDefault="00510AA8" w:rsidP="003160BE">
            <w:pPr>
              <w:numPr>
                <w:ilvl w:val="0"/>
                <w:numId w:val="20"/>
              </w:numPr>
              <w:spacing w:before="60" w:after="60"/>
              <w:contextualSpacing/>
              <w:jc w:val="left"/>
              <w:rPr>
                <w:rFonts w:eastAsia="Aptos" w:cs="Times New Roman"/>
                <w:sz w:val="20"/>
                <w:szCs w:val="20"/>
              </w:rPr>
            </w:pPr>
            <w:r w:rsidRPr="00D8017D">
              <w:rPr>
                <w:rFonts w:eastAsia="Aptos" w:cs="Times New Roman"/>
                <w:sz w:val="20"/>
                <w:szCs w:val="20"/>
              </w:rPr>
              <w:t>Pastāv makroekonomiskās nesabalansētības saskaņā ar 2025. gada padziļinātiem pārskatiem</w:t>
            </w:r>
          </w:p>
        </w:tc>
        <w:tc>
          <w:tcPr>
            <w:tcW w:w="4339" w:type="dxa"/>
            <w:vAlign w:val="center"/>
          </w:tcPr>
          <w:p w14:paraId="0F417842" w14:textId="77777777" w:rsidR="00510AA8" w:rsidRPr="00D8017D" w:rsidRDefault="00510AA8" w:rsidP="00510AA8">
            <w:pPr>
              <w:spacing w:before="60" w:after="60"/>
              <w:jc w:val="center"/>
              <w:cnfStyle w:val="000000100000" w:firstRow="0" w:lastRow="0" w:firstColumn="0" w:lastColumn="0" w:oddVBand="0" w:evenVBand="0" w:oddHBand="1" w:evenHBand="0" w:firstRowFirstColumn="0" w:firstRowLastColumn="0" w:lastRowFirstColumn="0" w:lastRowLastColumn="0"/>
              <w:rPr>
                <w:rFonts w:eastAsia="Aptos" w:cs="Times New Roman"/>
                <w:sz w:val="20"/>
                <w:szCs w:val="20"/>
              </w:rPr>
            </w:pPr>
            <w:r w:rsidRPr="00D8017D">
              <w:rPr>
                <w:rFonts w:eastAsia="Aptos" w:cs="Times New Roman"/>
                <w:sz w:val="20"/>
                <w:szCs w:val="20"/>
              </w:rPr>
              <w:t>Grieķija, Itālija, Ungārija, Nīderlande, Slovākija, Zviedrija</w:t>
            </w:r>
          </w:p>
        </w:tc>
      </w:tr>
      <w:tr w:rsidR="00510AA8" w:rsidRPr="00D8017D" w14:paraId="700056A2" w14:textId="77777777" w:rsidTr="00141289">
        <w:trPr>
          <w:trHeight w:val="498"/>
          <w:jc w:val="center"/>
        </w:trPr>
        <w:tc>
          <w:tcPr>
            <w:cnfStyle w:val="001000000000" w:firstRow="0" w:lastRow="0" w:firstColumn="1" w:lastColumn="0" w:oddVBand="0" w:evenVBand="0" w:oddHBand="0" w:evenHBand="0" w:firstRowFirstColumn="0" w:firstRowLastColumn="0" w:lastRowFirstColumn="0" w:lastRowLastColumn="0"/>
            <w:tcW w:w="3967" w:type="dxa"/>
          </w:tcPr>
          <w:p w14:paraId="249CA83D" w14:textId="77777777" w:rsidR="00510AA8" w:rsidRPr="00D8017D" w:rsidRDefault="00510AA8" w:rsidP="003160BE">
            <w:pPr>
              <w:numPr>
                <w:ilvl w:val="0"/>
                <w:numId w:val="20"/>
              </w:numPr>
              <w:spacing w:before="60" w:after="60"/>
              <w:contextualSpacing/>
              <w:jc w:val="left"/>
              <w:rPr>
                <w:rFonts w:eastAsia="Aptos" w:cs="Times New Roman"/>
                <w:sz w:val="20"/>
                <w:szCs w:val="20"/>
              </w:rPr>
            </w:pPr>
            <w:r w:rsidRPr="00D8017D">
              <w:rPr>
                <w:rFonts w:eastAsia="Aptos" w:cs="Times New Roman"/>
                <w:sz w:val="20"/>
                <w:szCs w:val="20"/>
              </w:rPr>
              <w:lastRenderedPageBreak/>
              <w:t>Nesabalsētības vairs netika konstatētas pēc 2025. gada padziļināto pārskatu veikšanas</w:t>
            </w:r>
          </w:p>
        </w:tc>
        <w:tc>
          <w:tcPr>
            <w:tcW w:w="4339" w:type="dxa"/>
            <w:vAlign w:val="center"/>
          </w:tcPr>
          <w:p w14:paraId="28EEE628" w14:textId="77777777" w:rsidR="00510AA8" w:rsidRPr="00D8017D" w:rsidRDefault="00510AA8" w:rsidP="00510AA8">
            <w:pPr>
              <w:spacing w:before="60" w:after="6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D8017D">
              <w:rPr>
                <w:rFonts w:cs="Times New Roman"/>
                <w:sz w:val="20"/>
                <w:szCs w:val="20"/>
              </w:rPr>
              <w:t>Kipra, Vācija, Igaunija</w:t>
            </w:r>
          </w:p>
        </w:tc>
      </w:tr>
      <w:tr w:rsidR="00510AA8" w:rsidRPr="00D8017D" w14:paraId="75DCA8DF" w14:textId="77777777" w:rsidTr="00141289">
        <w:trPr>
          <w:cnfStyle w:val="000000100000" w:firstRow="0" w:lastRow="0" w:firstColumn="0" w:lastColumn="0" w:oddVBand="0" w:evenVBand="0" w:oddHBand="1" w:evenHBand="0" w:firstRowFirstColumn="0" w:firstRowLastColumn="0" w:lastRowFirstColumn="0" w:lastRowLastColumn="0"/>
          <w:trHeight w:val="498"/>
          <w:jc w:val="center"/>
        </w:trPr>
        <w:tc>
          <w:tcPr>
            <w:cnfStyle w:val="001000000000" w:firstRow="0" w:lastRow="0" w:firstColumn="1" w:lastColumn="0" w:oddVBand="0" w:evenVBand="0" w:oddHBand="0" w:evenHBand="0" w:firstRowFirstColumn="0" w:firstRowLastColumn="0" w:lastRowFirstColumn="0" w:lastRowLastColumn="0"/>
            <w:tcW w:w="3967" w:type="dxa"/>
          </w:tcPr>
          <w:p w14:paraId="58087757" w14:textId="77777777" w:rsidR="00510AA8" w:rsidRPr="00D8017D" w:rsidRDefault="00510AA8" w:rsidP="003160BE">
            <w:pPr>
              <w:numPr>
                <w:ilvl w:val="0"/>
                <w:numId w:val="20"/>
              </w:numPr>
              <w:spacing w:before="60" w:after="60"/>
              <w:contextualSpacing/>
              <w:jc w:val="left"/>
              <w:rPr>
                <w:rFonts w:eastAsia="Aptos" w:cs="Times New Roman"/>
                <w:sz w:val="20"/>
                <w:szCs w:val="20"/>
              </w:rPr>
            </w:pPr>
            <w:r w:rsidRPr="00D8017D">
              <w:rPr>
                <w:rFonts w:eastAsia="Aptos" w:cs="Times New Roman"/>
                <w:sz w:val="20"/>
                <w:szCs w:val="20"/>
              </w:rPr>
              <w:t>Joprojām pastāv pārmērīgas nesabalansētības</w:t>
            </w:r>
          </w:p>
        </w:tc>
        <w:tc>
          <w:tcPr>
            <w:tcW w:w="4339" w:type="dxa"/>
            <w:vAlign w:val="center"/>
          </w:tcPr>
          <w:p w14:paraId="57D7336C" w14:textId="77777777" w:rsidR="00510AA8" w:rsidRPr="00D8017D" w:rsidRDefault="00510AA8" w:rsidP="00510AA8">
            <w:pPr>
              <w:spacing w:before="60" w:after="60"/>
              <w:jc w:val="center"/>
              <w:cnfStyle w:val="000000100000" w:firstRow="0" w:lastRow="0" w:firstColumn="0" w:lastColumn="0" w:oddVBand="0" w:evenVBand="0" w:oddHBand="1" w:evenHBand="0" w:firstRowFirstColumn="0" w:firstRowLastColumn="0" w:lastRowFirstColumn="0" w:lastRowLastColumn="0"/>
              <w:rPr>
                <w:rFonts w:eastAsia="Aptos" w:cs="Times New Roman"/>
                <w:sz w:val="20"/>
                <w:szCs w:val="20"/>
              </w:rPr>
            </w:pPr>
            <w:r w:rsidRPr="00D8017D">
              <w:rPr>
                <w:rFonts w:eastAsia="Aptos" w:cs="Times New Roman"/>
                <w:sz w:val="20"/>
                <w:szCs w:val="20"/>
              </w:rPr>
              <w:t>Rumānija</w:t>
            </w:r>
          </w:p>
        </w:tc>
      </w:tr>
    </w:tbl>
    <w:p w14:paraId="2D476FC5" w14:textId="77777777" w:rsidR="00510AA8" w:rsidRPr="00D8017D" w:rsidRDefault="00510AA8" w:rsidP="00510AA8">
      <w:pPr>
        <w:spacing w:before="120"/>
        <w:ind w:firstLine="709"/>
        <w:rPr>
          <w:rFonts w:eastAsia="Calibri" w:cs="Times New Roman"/>
          <w:lang w:eastAsia="en-US"/>
        </w:rPr>
      </w:pPr>
      <w:r w:rsidRPr="00D8017D">
        <w:rPr>
          <w:rFonts w:eastAsia="Calibri" w:cs="Times New Roman"/>
          <w:lang w:eastAsia="en-US"/>
        </w:rPr>
        <w:t>Tādējādi trīs valstīs (Kiprā, Vācijā un Igaunijā) pēc padziļināto pārskatu veikšanas un valstu izvērtēšanas ir secināts, ka tajās vairs nepastāv nesabalansētības. Šobrīd vienīgā valsts, kurā pastāv pārmērīgas nesabalansētības, ir Rumānija, kas saistīts ar to, ka Rumānijas tekošā konta deficīts un izmaksu konkurētspēja 2024. gadā vēl vairāk ir pasliktinājusies un nekāds būtisks progress nav panākts.</w:t>
      </w:r>
    </w:p>
    <w:p w14:paraId="28979CAE" w14:textId="3EDDDCA0" w:rsidR="00510AA8" w:rsidRPr="00D8017D" w:rsidRDefault="00510AA8" w:rsidP="00510AA8">
      <w:pPr>
        <w:ind w:firstLine="0"/>
        <w:jc w:val="center"/>
        <w:rPr>
          <w:rFonts w:eastAsia="Calibri" w:cs="Arial"/>
          <w:b/>
          <w:bCs/>
          <w:i/>
          <w:iCs/>
          <w:szCs w:val="20"/>
          <w:lang w:eastAsia="en-US"/>
        </w:rPr>
      </w:pPr>
      <w:r w:rsidRPr="00D8017D">
        <w:rPr>
          <w:rFonts w:eastAsia="Aptos" w:cs="Times New Roman"/>
          <w:noProof/>
          <w:szCs w:val="24"/>
          <w:lang w:eastAsia="en-US"/>
          <w14:ligatures w14:val="standardContextual"/>
        </w:rPr>
        <w:drawing>
          <wp:inline distT="0" distB="0" distL="0" distR="0" wp14:anchorId="6B7A743C" wp14:editId="53CA1CD4">
            <wp:extent cx="4572000" cy="2743200"/>
            <wp:effectExtent l="0" t="0" r="0" b="0"/>
            <wp:docPr id="1838940798" name="Chart 1">
              <a:extLst xmlns:a="http://schemas.openxmlformats.org/drawingml/2006/main">
                <a:ext uri="{FF2B5EF4-FFF2-40B4-BE49-F238E27FC236}">
                  <a16:creationId xmlns:a16="http://schemas.microsoft.com/office/drawing/2014/main" id="{4CA7F975-50DF-4001-8B54-E20B0B2B65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B6276F5" w14:textId="119C5064" w:rsidR="00510AA8" w:rsidRPr="00D8017D" w:rsidRDefault="00510AA8" w:rsidP="00510AA8">
      <w:pPr>
        <w:ind w:firstLine="0"/>
        <w:jc w:val="center"/>
        <w:rPr>
          <w:rFonts w:eastAsia="Calibri" w:cs="Arial"/>
          <w:b/>
          <w:bCs/>
          <w:i/>
          <w:iCs/>
          <w:szCs w:val="20"/>
          <w:lang w:eastAsia="en-US"/>
        </w:rPr>
      </w:pPr>
      <w:r w:rsidRPr="00D8017D">
        <w:rPr>
          <w:rFonts w:eastAsia="Calibri" w:cs="Arial"/>
          <w:b/>
          <w:bCs/>
          <w:i/>
          <w:iCs/>
          <w:szCs w:val="20"/>
          <w:lang w:eastAsia="en-US"/>
        </w:rPr>
        <w:t>1.2</w:t>
      </w:r>
      <w:r w:rsidR="00012C72" w:rsidRPr="00D8017D">
        <w:rPr>
          <w:rFonts w:eastAsia="Calibri" w:cs="Arial"/>
          <w:b/>
          <w:bCs/>
          <w:i/>
          <w:iCs/>
          <w:szCs w:val="20"/>
          <w:lang w:eastAsia="en-US"/>
        </w:rPr>
        <w:t>7</w:t>
      </w:r>
      <w:r w:rsidRPr="00D8017D">
        <w:rPr>
          <w:rFonts w:eastAsia="Calibri" w:cs="Arial"/>
          <w:b/>
          <w:bCs/>
          <w:i/>
          <w:iCs/>
          <w:szCs w:val="20"/>
          <w:lang w:eastAsia="en-US"/>
        </w:rPr>
        <w:t>. att. Valstu skaits, kurās pārsniegts Agrās brīdināšanas mehānisma rādītāju noteiktais robežslieksnis 2025. gada ziņojumā</w:t>
      </w:r>
    </w:p>
    <w:p w14:paraId="292BDEF3" w14:textId="78316E19" w:rsidR="0070161D" w:rsidRPr="00D8017D" w:rsidRDefault="0070161D" w:rsidP="008349F0">
      <w:pPr>
        <w:spacing w:before="240" w:after="240"/>
        <w:ind w:firstLine="0"/>
        <w:jc w:val="center"/>
        <w:outlineLvl w:val="2"/>
        <w:rPr>
          <w:rFonts w:eastAsia="Times New Roman" w:cs="Times New Roman"/>
          <w:b/>
          <w:sz w:val="32"/>
          <w:szCs w:val="20"/>
          <w:lang w:eastAsia="en-US"/>
        </w:rPr>
      </w:pPr>
      <w:bookmarkStart w:id="27" w:name="_Toc210289874"/>
      <w:r w:rsidRPr="00D8017D">
        <w:rPr>
          <w:rFonts w:eastAsia="Times New Roman" w:cs="Times New Roman"/>
          <w:b/>
          <w:sz w:val="32"/>
          <w:szCs w:val="20"/>
          <w:lang w:eastAsia="en-US"/>
        </w:rPr>
        <w:t>1.3.2. Latvijas ekonomiskās situācijas novērtējums 202</w:t>
      </w:r>
      <w:r w:rsidR="00041F28" w:rsidRPr="00D8017D">
        <w:rPr>
          <w:rFonts w:eastAsia="Times New Roman" w:cs="Times New Roman"/>
          <w:b/>
          <w:sz w:val="32"/>
          <w:szCs w:val="20"/>
          <w:lang w:eastAsia="en-US"/>
        </w:rPr>
        <w:t>5</w:t>
      </w:r>
      <w:r w:rsidRPr="00D8017D">
        <w:rPr>
          <w:rFonts w:eastAsia="Times New Roman" w:cs="Times New Roman"/>
          <w:b/>
          <w:sz w:val="32"/>
          <w:szCs w:val="20"/>
          <w:lang w:eastAsia="en-US"/>
        </w:rPr>
        <w:t>. gada Agrās brīdināšanas mehānisma ziņojumā un iespējamās tendences 202</w:t>
      </w:r>
      <w:r w:rsidR="00041F28" w:rsidRPr="00D8017D">
        <w:rPr>
          <w:rFonts w:eastAsia="Times New Roman" w:cs="Times New Roman"/>
          <w:b/>
          <w:sz w:val="32"/>
          <w:szCs w:val="20"/>
          <w:lang w:eastAsia="en-US"/>
        </w:rPr>
        <w:t>6</w:t>
      </w:r>
      <w:r w:rsidRPr="00D8017D">
        <w:rPr>
          <w:rFonts w:eastAsia="Times New Roman" w:cs="Times New Roman"/>
          <w:b/>
          <w:sz w:val="32"/>
          <w:szCs w:val="20"/>
          <w:lang w:eastAsia="en-US"/>
        </w:rPr>
        <w:t>. gada ziņojumā</w:t>
      </w:r>
      <w:bookmarkEnd w:id="26"/>
      <w:bookmarkEnd w:id="27"/>
    </w:p>
    <w:p w14:paraId="16C45CF1" w14:textId="77777777" w:rsidR="00041F28" w:rsidRPr="00D8017D" w:rsidRDefault="00041F28" w:rsidP="00041F28">
      <w:pPr>
        <w:spacing w:before="120"/>
        <w:rPr>
          <w:rFonts w:eastAsia="Aptos" w:cs="Times New Roman"/>
          <w:iCs/>
          <w:szCs w:val="24"/>
          <w:lang w:eastAsia="en-US"/>
        </w:rPr>
      </w:pPr>
      <w:bookmarkStart w:id="28" w:name="_Toc178763485"/>
      <w:r w:rsidRPr="00D8017D">
        <w:rPr>
          <w:rFonts w:eastAsia="Aptos" w:cs="Times New Roman"/>
          <w:b/>
          <w:bCs/>
          <w:iCs/>
          <w:szCs w:val="24"/>
          <w:lang w:eastAsia="en-US"/>
        </w:rPr>
        <w:t xml:space="preserve">2025. gada Agrās brīdināšanas mehānisma ziņojumā </w:t>
      </w:r>
      <w:r w:rsidRPr="00D8017D">
        <w:rPr>
          <w:rFonts w:eastAsia="Aptos" w:cs="Times New Roman"/>
          <w:bCs/>
          <w:iCs/>
          <w:szCs w:val="24"/>
          <w:lang w:eastAsia="x-none"/>
        </w:rPr>
        <w:t xml:space="preserve">Latvija nav minēta starp valstīm, kurām būtu jebkādas makroekonomiskās nelīdzsvarotības. </w:t>
      </w:r>
      <w:r w:rsidRPr="00D8017D">
        <w:rPr>
          <w:rFonts w:eastAsia="Aptos" w:cs="Times New Roman"/>
          <w:szCs w:val="24"/>
          <w:lang w:eastAsia="en-US"/>
        </w:rPr>
        <w:t>Latvijas</w:t>
      </w:r>
      <w:r w:rsidRPr="00D8017D">
        <w:rPr>
          <w:rFonts w:eastAsia="Aptos" w:cs="Times New Roman"/>
          <w:iCs/>
          <w:szCs w:val="24"/>
          <w:lang w:eastAsia="en-US"/>
        </w:rPr>
        <w:t xml:space="preserve"> rezultātu apkopojums liecina, ka četri pamatrādītāji 2023. gadā pārsniedza indikatīvos sliekšņus, proti, tekošā konta deficīts, reālais efektīvais valūtas kurss, </w:t>
      </w:r>
      <w:r w:rsidRPr="00D8017D">
        <w:rPr>
          <w:rFonts w:eastAsia="Aptos" w:cs="Times New Roman"/>
          <w:szCs w:val="24"/>
          <w:lang w:eastAsia="en-US"/>
        </w:rPr>
        <w:t>nominālās darbaspēka vienības izmaksu indekss vienai darba stundai</w:t>
      </w:r>
      <w:r w:rsidRPr="00D8017D">
        <w:rPr>
          <w:rFonts w:eastAsia="Aptos" w:cs="Times New Roman"/>
          <w:iCs/>
          <w:szCs w:val="24"/>
          <w:lang w:eastAsia="en-US"/>
        </w:rPr>
        <w:t xml:space="preserve"> un e</w:t>
      </w:r>
      <w:r w:rsidRPr="00D8017D">
        <w:rPr>
          <w:rFonts w:eastAsia="Aptos" w:cs="Times New Roman"/>
          <w:szCs w:val="24"/>
          <w:lang w:eastAsia="en-US"/>
        </w:rPr>
        <w:t>konomiski aktīvo iedzīvotāju īpatsvars % no visiem iedzīvotājiem (Y15-64)</w:t>
      </w:r>
      <w:r w:rsidRPr="00D8017D">
        <w:rPr>
          <w:rFonts w:eastAsia="Aptos" w:cs="Times New Roman"/>
          <w:iCs/>
          <w:szCs w:val="24"/>
          <w:lang w:eastAsia="en-US"/>
        </w:rPr>
        <w:t xml:space="preserve">. </w:t>
      </w:r>
    </w:p>
    <w:p w14:paraId="062E469F" w14:textId="77777777" w:rsidR="00041F28" w:rsidRPr="00D8017D" w:rsidRDefault="00041F28" w:rsidP="00C74BC6">
      <w:pPr>
        <w:numPr>
          <w:ilvl w:val="0"/>
          <w:numId w:val="21"/>
        </w:numPr>
        <w:spacing w:before="120" w:after="160" w:line="259" w:lineRule="auto"/>
        <w:ind w:left="460" w:hanging="284"/>
        <w:rPr>
          <w:rFonts w:eastAsia="Aptos" w:cs="Times New Roman"/>
          <w:iCs/>
          <w:szCs w:val="24"/>
          <w:lang w:eastAsia="en-US"/>
        </w:rPr>
      </w:pPr>
      <w:r w:rsidRPr="00D8017D">
        <w:rPr>
          <w:rFonts w:eastAsia="Aptos" w:cs="Times New Roman"/>
          <w:iCs/>
          <w:szCs w:val="24"/>
          <w:lang w:eastAsia="en-US"/>
        </w:rPr>
        <w:t>Tekošais konts joprojām ir ievērojamā deficītā. Atšķirībā no daudzām ES valstīm, Latvijā 2023. gadā tekošā konta deficīts būtiski nesamazinājās. Līdz ar to tekošā konta bilances trīs gadu vidējais rādītājs noslīdēja zem noteiktās robežvērtības sliekšņa (-4%) un bija -4,5%, taču 2024. gadā tas samazinājās līdz -3,8%, kas bija labāks rādītājs nekā sākotnēji prognozēts. Arī 2025. gada pirmajos divos ceturkšņos saskaņā ar Latvijas Bankas datiem tekošā konta bilance bija negatīva, attiecīgi -4,1% un -4,5% no IKP. Komisija savā Agrās brīdināšanas mehānisma ziņojumā prognozēja, ka 2025. gadā trīs gadu vidējais rādītājs netiks pārkāpts un būs -3,1%, taču, ja 2025. gada otrajā pusgadā situācija neuzlabojas, tad šāda prognoze varētu arī nepiepildīties.</w:t>
      </w:r>
    </w:p>
    <w:p w14:paraId="3857F6A9" w14:textId="77777777" w:rsidR="00041F28" w:rsidRPr="00D8017D" w:rsidRDefault="00041F28" w:rsidP="00C74BC6">
      <w:pPr>
        <w:numPr>
          <w:ilvl w:val="0"/>
          <w:numId w:val="21"/>
        </w:numPr>
        <w:spacing w:before="120" w:after="160" w:line="259" w:lineRule="auto"/>
        <w:ind w:left="460" w:hanging="284"/>
        <w:rPr>
          <w:rFonts w:eastAsia="Aptos" w:cs="Times New Roman"/>
          <w:iCs/>
          <w:szCs w:val="24"/>
          <w:lang w:eastAsia="en-US"/>
        </w:rPr>
      </w:pPr>
      <w:r w:rsidRPr="00D8017D">
        <w:rPr>
          <w:rFonts w:eastAsia="Aptos" w:cs="Times New Roman"/>
          <w:iCs/>
          <w:szCs w:val="24"/>
          <w:lang w:eastAsia="en-US"/>
        </w:rPr>
        <w:lastRenderedPageBreak/>
        <w:t xml:space="preserve">Paredzams, ka </w:t>
      </w:r>
      <w:r w:rsidRPr="00D8017D">
        <w:rPr>
          <w:rFonts w:eastAsia="Aptos" w:cs="Times New Roman"/>
          <w:szCs w:val="24"/>
          <w:lang w:eastAsia="en-US"/>
        </w:rPr>
        <w:t xml:space="preserve">nominālās darbaspēka vienības izmaksu </w:t>
      </w:r>
      <w:r w:rsidRPr="00D8017D">
        <w:rPr>
          <w:rFonts w:eastAsia="Aptos" w:cs="Times New Roman"/>
          <w:iCs/>
          <w:szCs w:val="24"/>
          <w:lang w:eastAsia="en-US"/>
        </w:rPr>
        <w:t>pieaugums</w:t>
      </w:r>
      <w:r w:rsidRPr="00D8017D">
        <w:rPr>
          <w:rFonts w:eastAsia="Aptos" w:cs="Times New Roman"/>
          <w:szCs w:val="24"/>
          <w:lang w:eastAsia="en-US"/>
        </w:rPr>
        <w:t xml:space="preserve"> </w:t>
      </w:r>
      <w:r w:rsidRPr="00D8017D">
        <w:rPr>
          <w:rFonts w:eastAsia="Aptos" w:cs="Times New Roman"/>
          <w:iCs/>
          <w:szCs w:val="24"/>
          <w:lang w:eastAsia="en-US"/>
        </w:rPr>
        <w:t xml:space="preserve">šogad palēnināsies, pateicoties mērenākam algu pieaugumam un spēcīgākam produktivitātes kāpumam. </w:t>
      </w:r>
    </w:p>
    <w:p w14:paraId="219E9461" w14:textId="77777777" w:rsidR="00041F28" w:rsidRPr="00D8017D" w:rsidRDefault="00041F28" w:rsidP="00C74BC6">
      <w:pPr>
        <w:numPr>
          <w:ilvl w:val="0"/>
          <w:numId w:val="21"/>
        </w:numPr>
        <w:spacing w:before="120" w:after="160" w:line="259" w:lineRule="auto"/>
        <w:ind w:left="460" w:hanging="284"/>
        <w:rPr>
          <w:rFonts w:eastAsia="Aptos" w:cs="Times New Roman"/>
          <w:iCs/>
          <w:szCs w:val="24"/>
          <w:lang w:eastAsia="en-US"/>
        </w:rPr>
      </w:pPr>
      <w:r w:rsidRPr="00D8017D">
        <w:rPr>
          <w:rFonts w:eastAsia="Aptos" w:cs="Times New Roman"/>
          <w:iCs/>
          <w:szCs w:val="24"/>
          <w:lang w:eastAsia="en-US"/>
        </w:rPr>
        <w:t>Mājokļu cenu kāpums 2023. gadā bija mērens. EK norāda, ka mājokļu cenas ir pārvērtētas aptuveni par 15%, taču cenu kāpums ir mazinājies, 2023. gadā veidojot vairs tikai 3,7%, pēc attiecīgi 10,9% un 13,8% pieauguma 2021. un 2022. gadā.</w:t>
      </w:r>
    </w:p>
    <w:p w14:paraId="636DA1A4" w14:textId="3DCD6F51" w:rsidR="00041F28" w:rsidRPr="00D8017D" w:rsidRDefault="00041F28" w:rsidP="00C74BC6">
      <w:pPr>
        <w:numPr>
          <w:ilvl w:val="0"/>
          <w:numId w:val="21"/>
        </w:numPr>
        <w:spacing w:before="120" w:after="0" w:line="259" w:lineRule="auto"/>
        <w:ind w:left="460" w:hanging="284"/>
        <w:rPr>
          <w:rFonts w:eastAsia="Aptos" w:cs="Times New Roman"/>
          <w:iCs/>
          <w:szCs w:val="24"/>
          <w:lang w:eastAsia="en-US"/>
        </w:rPr>
      </w:pPr>
      <w:r w:rsidRPr="00D8017D">
        <w:rPr>
          <w:rFonts w:eastAsia="Aptos" w:cs="Times New Roman"/>
          <w:iCs/>
          <w:szCs w:val="24"/>
          <w:lang w:eastAsia="en-US"/>
        </w:rPr>
        <w:t>Arī finanšu sektora noturība atspoguļo stabilu un labi kapitalizētu banku sektoru un kredītu dinamika joprojām ir diezgan pieticīga.</w:t>
      </w:r>
    </w:p>
    <w:p w14:paraId="2A401AA7" w14:textId="77777777" w:rsidR="00041F28" w:rsidRPr="00D8017D" w:rsidRDefault="00041F28" w:rsidP="00041F28">
      <w:pPr>
        <w:spacing w:after="0" w:line="259" w:lineRule="auto"/>
        <w:ind w:firstLine="0"/>
        <w:jc w:val="left"/>
        <w:rPr>
          <w:rFonts w:eastAsia="Aptos" w:cs="Times New Roman"/>
          <w:iCs/>
          <w:szCs w:val="24"/>
          <w:lang w:eastAsia="en-US"/>
        </w:rPr>
      </w:pPr>
    </w:p>
    <w:p w14:paraId="7FDF0C82" w14:textId="3EA8C314" w:rsidR="00041F28" w:rsidRPr="00D8017D" w:rsidRDefault="00041F28" w:rsidP="00BB3CFE">
      <w:pPr>
        <w:spacing w:after="0"/>
        <w:ind w:firstLine="0"/>
        <w:jc w:val="right"/>
        <w:rPr>
          <w:rFonts w:eastAsia="Aptos" w:cs="Times New Roman"/>
          <w:b/>
          <w:bCs/>
          <w:i/>
          <w:szCs w:val="24"/>
          <w:lang w:eastAsia="x-none"/>
        </w:rPr>
      </w:pPr>
      <w:r w:rsidRPr="00D8017D">
        <w:rPr>
          <w:rFonts w:eastAsia="Aptos" w:cs="Times New Roman"/>
          <w:b/>
          <w:bCs/>
          <w:i/>
          <w:szCs w:val="24"/>
          <w:lang w:eastAsia="x-none"/>
        </w:rPr>
        <w:t>1.</w:t>
      </w:r>
      <w:r w:rsidR="00926C33">
        <w:rPr>
          <w:rFonts w:eastAsia="Aptos" w:cs="Times New Roman"/>
          <w:b/>
          <w:bCs/>
          <w:i/>
          <w:szCs w:val="24"/>
          <w:lang w:eastAsia="x-none"/>
        </w:rPr>
        <w:t>3</w:t>
      </w:r>
      <w:r w:rsidRPr="00D8017D">
        <w:rPr>
          <w:rFonts w:eastAsia="Aptos" w:cs="Times New Roman"/>
          <w:b/>
          <w:bCs/>
          <w:i/>
          <w:szCs w:val="24"/>
          <w:lang w:eastAsia="x-none"/>
        </w:rPr>
        <w:t>. tabula. Agrās brīdināšanas mehānismā noteikto pamatrādītāju vērtības Latvijai 2025. gada ziņojumā</w:t>
      </w:r>
    </w:p>
    <w:p w14:paraId="2AEFC1B4" w14:textId="77777777" w:rsidR="00041F28" w:rsidRPr="00D8017D" w:rsidRDefault="00041F28" w:rsidP="00041F28">
      <w:pPr>
        <w:spacing w:before="120" w:after="60"/>
        <w:ind w:firstLine="0"/>
        <w:jc w:val="center"/>
        <w:rPr>
          <w:rFonts w:eastAsia="Aptos" w:cs="Times New Roman"/>
          <w:iCs/>
          <w:szCs w:val="24"/>
          <w:lang w:eastAsia="en-US"/>
        </w:rPr>
      </w:pPr>
      <w:r w:rsidRPr="00D8017D">
        <w:rPr>
          <w:rFonts w:eastAsia="Aptos" w:cs="Times New Roman"/>
          <w:noProof/>
          <w:szCs w:val="24"/>
          <w:lang w:eastAsia="en-US"/>
        </w:rPr>
        <w:drawing>
          <wp:inline distT="0" distB="0" distL="0" distR="0" wp14:anchorId="4AE6CE36" wp14:editId="3611FB8C">
            <wp:extent cx="5106749" cy="5820563"/>
            <wp:effectExtent l="19050" t="19050" r="17780" b="27940"/>
            <wp:docPr id="14682498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20952" cy="5836752"/>
                    </a:xfrm>
                    <a:prstGeom prst="rect">
                      <a:avLst/>
                    </a:prstGeom>
                    <a:noFill/>
                    <a:ln w="6350">
                      <a:solidFill>
                        <a:schemeClr val="tx1"/>
                      </a:solidFill>
                    </a:ln>
                  </pic:spPr>
                </pic:pic>
              </a:graphicData>
            </a:graphic>
          </wp:inline>
        </w:drawing>
      </w:r>
    </w:p>
    <w:p w14:paraId="1F5094D4" w14:textId="53C64EDB" w:rsidR="0070161D" w:rsidRPr="00873A39" w:rsidRDefault="0070161D" w:rsidP="008349F0">
      <w:pPr>
        <w:keepNext/>
        <w:keepLines/>
        <w:spacing w:before="240" w:after="240"/>
        <w:ind w:firstLine="0"/>
        <w:jc w:val="center"/>
        <w:outlineLvl w:val="1"/>
        <w:rPr>
          <w:rFonts w:eastAsia="Times New Roman" w:cs="Times New Roman"/>
          <w:b/>
          <w:bCs/>
          <w:color w:val="000000"/>
          <w:sz w:val="36"/>
          <w:szCs w:val="28"/>
        </w:rPr>
      </w:pPr>
      <w:bookmarkStart w:id="29" w:name="_Toc210289875"/>
      <w:r w:rsidRPr="00D8017D">
        <w:rPr>
          <w:rFonts w:eastAsia="Times New Roman" w:cs="Times New Roman"/>
          <w:b/>
          <w:bCs/>
          <w:color w:val="000000"/>
          <w:sz w:val="36"/>
          <w:szCs w:val="28"/>
        </w:rPr>
        <w:lastRenderedPageBreak/>
        <w:t xml:space="preserve">1.4. Makroekonomiskās attīstības </w:t>
      </w:r>
      <w:r w:rsidRPr="00873A39">
        <w:rPr>
          <w:rFonts w:eastAsia="Times New Roman" w:cs="Times New Roman"/>
          <w:b/>
          <w:bCs/>
          <w:color w:val="000000"/>
          <w:sz w:val="36"/>
          <w:szCs w:val="28"/>
        </w:rPr>
        <w:t>scenārijs</w:t>
      </w:r>
      <w:bookmarkEnd w:id="28"/>
      <w:bookmarkEnd w:id="29"/>
      <w:r w:rsidR="004D7C5A" w:rsidRPr="00873A39">
        <w:rPr>
          <w:rStyle w:val="FootnoteReference"/>
          <w:rFonts w:eastAsia="Times New Roman" w:cs="Times New Roman"/>
          <w:b/>
          <w:bCs/>
          <w:color w:val="000000"/>
          <w:sz w:val="36"/>
          <w:szCs w:val="28"/>
        </w:rPr>
        <w:footnoteReference w:id="5"/>
      </w:r>
    </w:p>
    <w:p w14:paraId="605F39A5" w14:textId="5DF8E4C9" w:rsidR="00041F28" w:rsidRPr="00D8017D" w:rsidRDefault="00041F28" w:rsidP="00751953">
      <w:pPr>
        <w:rPr>
          <w:rFonts w:eastAsia="Calibri" w:cs="Times New Roman"/>
          <w:lang w:eastAsia="en-US"/>
        </w:rPr>
      </w:pPr>
      <w:r w:rsidRPr="00873A39">
        <w:rPr>
          <w:rFonts w:eastAsia="Calibri" w:cs="Times New Roman"/>
          <w:lang w:eastAsia="en-US"/>
        </w:rPr>
        <w:t>Vidēja termiņa makroekonomiskās attīstības scenārijs 2025.</w:t>
      </w:r>
      <w:r w:rsidR="00E36B59">
        <w:rPr>
          <w:rFonts w:eastAsia="Calibri" w:cs="Times New Roman"/>
          <w:lang w:eastAsia="en-US"/>
        </w:rPr>
        <w:t xml:space="preserve"> – </w:t>
      </w:r>
      <w:r w:rsidRPr="00873A39">
        <w:rPr>
          <w:rFonts w:eastAsia="Calibri" w:cs="Times New Roman"/>
          <w:lang w:eastAsia="en-US"/>
        </w:rPr>
        <w:t>2029. gadam izstrādāts</w:t>
      </w:r>
      <w:r w:rsidRPr="00D8017D">
        <w:rPr>
          <w:rFonts w:eastAsia="Calibri" w:cs="Times New Roman"/>
          <w:lang w:eastAsia="en-US"/>
        </w:rPr>
        <w:t xml:space="preserve"> 2025. gada jūnijā, balstoties uz 2025. gada pirmā ceturkšņa IKP datiem, kā arī līdz šā gada jūnijam pieejamo īstermiņa makroekonomisko informāciju. Izstrādājot vidēja termiņa makroekonomiskās attīstības scenāriju, FM ir konsultējusies ar Latvijas Bankas, </w:t>
      </w:r>
      <w:r w:rsidR="00BB3CFE" w:rsidRPr="00D8017D">
        <w:rPr>
          <w:rFonts w:eastAsia="Calibri" w:cs="Times New Roman"/>
          <w:lang w:eastAsia="en-US"/>
        </w:rPr>
        <w:t>EM</w:t>
      </w:r>
      <w:r w:rsidRPr="00D8017D">
        <w:rPr>
          <w:rFonts w:eastAsia="Calibri" w:cs="Times New Roman"/>
          <w:lang w:eastAsia="en-US"/>
        </w:rPr>
        <w:t xml:space="preserve"> un komercbanku ekspertiem. Makroekonomisko rādītāju prognozes ir saskaņotas ar Latvijas Banku un </w:t>
      </w:r>
      <w:r w:rsidR="00BB3CFE" w:rsidRPr="00D8017D">
        <w:rPr>
          <w:rFonts w:eastAsia="Calibri" w:cs="Times New Roman"/>
          <w:lang w:eastAsia="en-US"/>
        </w:rPr>
        <w:t>EM</w:t>
      </w:r>
      <w:r w:rsidRPr="00D8017D">
        <w:rPr>
          <w:rFonts w:eastAsia="Calibri" w:cs="Times New Roman"/>
          <w:lang w:eastAsia="en-US"/>
        </w:rPr>
        <w:t xml:space="preserve">, kā arī tās 2025. gada 9. jūnijā ir apstiprinājusi Fiskālās disciplīnas padome. </w:t>
      </w:r>
    </w:p>
    <w:p w14:paraId="403360AF" w14:textId="513EB4AD" w:rsidR="00041F28" w:rsidRPr="00D8017D" w:rsidRDefault="00041F28" w:rsidP="00751953">
      <w:pPr>
        <w:rPr>
          <w:rFonts w:eastAsia="Calibri" w:cs="Times New Roman"/>
          <w:lang w:eastAsia="en-US"/>
        </w:rPr>
      </w:pPr>
      <w:r w:rsidRPr="00D8017D">
        <w:rPr>
          <w:rFonts w:eastAsia="Calibri" w:cs="Times New Roman"/>
          <w:lang w:eastAsia="en-US"/>
        </w:rPr>
        <w:t>Makroekonomiskās attīstības scenārijs 2025.-</w:t>
      </w:r>
      <w:r w:rsidRPr="00C74BC6">
        <w:rPr>
          <w:rFonts w:eastAsia="Calibri" w:cs="Times New Roman"/>
          <w:lang w:eastAsia="en-US"/>
        </w:rPr>
        <w:t>2029.</w:t>
      </w:r>
      <w:r w:rsidRPr="00D8017D">
        <w:rPr>
          <w:rFonts w:eastAsia="Calibri" w:cs="Times New Roman"/>
          <w:lang w:eastAsia="en-US"/>
        </w:rPr>
        <w:t xml:space="preserve"> gadam paredz Latvijas ekonomikas stabilizēšanos ar mērenu izaugsmi 2025. gadā, kad prognozēts 1,1% </w:t>
      </w:r>
      <w:r w:rsidR="00BA2237" w:rsidRPr="00D8017D">
        <w:rPr>
          <w:rFonts w:eastAsia="Calibri" w:cs="Times New Roman"/>
          <w:b/>
          <w:bCs/>
          <w:lang w:eastAsia="en-US"/>
        </w:rPr>
        <w:t>IKP</w:t>
      </w:r>
      <w:r w:rsidRPr="00D8017D">
        <w:rPr>
          <w:rFonts w:eastAsia="Calibri" w:cs="Times New Roman"/>
          <w:lang w:eastAsia="en-US"/>
        </w:rPr>
        <w:t xml:space="preserve"> pieaugums, 2026. gadā izaugsme paātrināsies līdz 2,1%, un nākamajos gados tā turpināsies 2,2% apmērā. Ekonomiskās izaugsmes atjaunošanos nodrošinās gan sabiedriskā, gan privātā patēriņa pieaugums, kā arī intensīvāka </w:t>
      </w:r>
      <w:r w:rsidR="00BB3CFE" w:rsidRPr="00D8017D">
        <w:rPr>
          <w:rFonts w:eastAsia="Calibri" w:cs="Times New Roman"/>
          <w:lang w:eastAsia="en-US"/>
        </w:rPr>
        <w:t>ES</w:t>
      </w:r>
      <w:r w:rsidRPr="00D8017D">
        <w:rPr>
          <w:rFonts w:eastAsia="Calibri" w:cs="Times New Roman"/>
          <w:lang w:eastAsia="en-US"/>
        </w:rPr>
        <w:t xml:space="preserve"> fondu investīciju apguve un straujāks eksporta kāpums.</w:t>
      </w:r>
    </w:p>
    <w:p w14:paraId="0E10E914" w14:textId="4713971E" w:rsidR="00041F28" w:rsidRPr="00D8017D" w:rsidRDefault="00041F28" w:rsidP="00751953">
      <w:pPr>
        <w:rPr>
          <w:rFonts w:eastAsia="Calibri" w:cs="Times New Roman"/>
          <w:lang w:eastAsia="en-US"/>
        </w:rPr>
      </w:pPr>
      <w:r w:rsidRPr="00D8017D">
        <w:rPr>
          <w:rFonts w:eastAsia="Calibri" w:cs="Times New Roman"/>
          <w:b/>
          <w:bCs/>
          <w:lang w:eastAsia="en-US"/>
        </w:rPr>
        <w:t>Privātais patēriņš</w:t>
      </w:r>
      <w:r w:rsidRPr="00D8017D">
        <w:rPr>
          <w:rFonts w:eastAsia="Calibri" w:cs="Times New Roman"/>
          <w:lang w:eastAsia="en-US"/>
        </w:rPr>
        <w:t xml:space="preserve"> 2025. gadā palielināsies par 0,2%, ko nodrošinās iedzīvotāju ienākumu pieaugums un pirktspējas atjaunošanās. Nākamajos gados, patērētāju konfidencei uzlabojoties un vienlaikus saglabājoties darba samaksas pieaugumam, privātā patēriņa pieaugums kļūs straujāks, 2026. gadā sasniedzot 1,9% un nākamajos divos gados palielinoties līdz 2,3-2,5%. Privātā patēriņa pieaugumu veicinās arī procentu likmju mazināšanās, mazinot noguldījumu pievilcību. Privātā patēriņa devums IKP izaugsmē 2025. gadā būs 0,1 procentpunkts, īpatsvaram pakāpeniski palielinoties un vidējā termiņā veidojot aptuveni 1,4 </w:t>
      </w:r>
      <w:r w:rsidR="00936796">
        <w:rPr>
          <w:rFonts w:eastAsia="Calibri" w:cs="Times New Roman"/>
          <w:lang w:eastAsia="en-US"/>
        </w:rPr>
        <w:t>pp</w:t>
      </w:r>
      <w:r w:rsidRPr="00D8017D">
        <w:rPr>
          <w:rFonts w:eastAsia="Calibri" w:cs="Times New Roman"/>
          <w:lang w:eastAsia="en-US"/>
        </w:rPr>
        <w:t xml:space="preserve">. </w:t>
      </w:r>
    </w:p>
    <w:p w14:paraId="39CA4D07" w14:textId="77777777" w:rsidR="00041F28" w:rsidRPr="00D8017D" w:rsidRDefault="00041F28" w:rsidP="00751953">
      <w:pPr>
        <w:rPr>
          <w:rFonts w:eastAsia="Calibri" w:cs="Times New Roman"/>
          <w:lang w:eastAsia="en-US"/>
        </w:rPr>
      </w:pPr>
      <w:r w:rsidRPr="00D8017D">
        <w:rPr>
          <w:rFonts w:eastAsia="Calibri" w:cs="Times New Roman"/>
          <w:b/>
          <w:bCs/>
          <w:lang w:eastAsia="en-US"/>
        </w:rPr>
        <w:t>Sabiedriskais patēriņš</w:t>
      </w:r>
      <w:r w:rsidRPr="00D8017D">
        <w:rPr>
          <w:rFonts w:eastAsia="Calibri" w:cs="Times New Roman"/>
          <w:lang w:eastAsia="en-US"/>
        </w:rPr>
        <w:t>, ko līdz šim veicinājis algu kāpums sabiedriskajā sektora darbiniekiem, pirmām kārtām iekšlietu un izglītības nozarēs, kā arī aizsardzības izdevumu pieaugums, 2025. gadā palielināsies lēnākā tempā nekā iepriekš (+4,4%), vēlākos gados pieaugums vēl pazemināsies un vidējā termiņā stabilizēsies ap 2% gadā.</w:t>
      </w:r>
    </w:p>
    <w:p w14:paraId="20F9D831" w14:textId="64BF4A24" w:rsidR="00041F28" w:rsidRPr="00D8017D" w:rsidRDefault="00041F28" w:rsidP="00751953">
      <w:pPr>
        <w:rPr>
          <w:rFonts w:eastAsia="Calibri" w:cs="Times New Roman"/>
          <w:lang w:eastAsia="en-US"/>
        </w:rPr>
      </w:pPr>
      <w:r w:rsidRPr="00D8017D">
        <w:rPr>
          <w:rFonts w:eastAsia="Calibri" w:cs="Times New Roman"/>
          <w:b/>
          <w:bCs/>
          <w:lang w:eastAsia="en-US"/>
        </w:rPr>
        <w:t>Investīciju</w:t>
      </w:r>
      <w:r w:rsidRPr="00D8017D">
        <w:rPr>
          <w:rFonts w:eastAsia="Calibri" w:cs="Times New Roman"/>
          <w:lang w:eastAsia="en-US"/>
        </w:rPr>
        <w:t xml:space="preserve"> pieaugums 2025. gadā prognozēts 3,7% apmērā salīdzināmajās cenās, ko veicinās būvniecības aktivitātes atjaunošanās, uzlabojoties kreditēšanas nosacījumiem, kā arī pateicoties straujākai ES fondu investīciju projektu realizācijai. 2026. gadā kopējā pamatkapitāla veidošana varētu palielināties līdz 4,5%, pēc tam laika posmā līdz </w:t>
      </w:r>
      <w:r w:rsidR="00E961C9" w:rsidRPr="00D8017D">
        <w:rPr>
          <w:rFonts w:eastAsia="Calibri" w:cs="Times New Roman"/>
          <w:lang w:eastAsia="en-US"/>
        </w:rPr>
        <w:t>202</w:t>
      </w:r>
      <w:r w:rsidR="00E961C9">
        <w:rPr>
          <w:rFonts w:eastAsia="Calibri" w:cs="Times New Roman"/>
          <w:lang w:eastAsia="en-US"/>
        </w:rPr>
        <w:t>8</w:t>
      </w:r>
      <w:r w:rsidRPr="00D8017D">
        <w:rPr>
          <w:rFonts w:eastAsia="Calibri" w:cs="Times New Roman"/>
          <w:lang w:eastAsia="en-US"/>
        </w:rPr>
        <w:t xml:space="preserve">. gadam stabilizējoties 2% līmenī. </w:t>
      </w:r>
    </w:p>
    <w:p w14:paraId="2BE790B1" w14:textId="77777777" w:rsidR="00041F28" w:rsidRPr="00D8017D" w:rsidRDefault="00041F28" w:rsidP="00751953">
      <w:pPr>
        <w:rPr>
          <w:rFonts w:eastAsia="Calibri" w:cs="Times New Roman"/>
          <w:lang w:eastAsia="en-US"/>
        </w:rPr>
      </w:pPr>
      <w:r w:rsidRPr="00D8017D">
        <w:rPr>
          <w:rFonts w:eastAsia="Calibri" w:cs="Times New Roman"/>
          <w:lang w:eastAsia="en-US"/>
        </w:rPr>
        <w:t xml:space="preserve">Preču un pakalpojumu </w:t>
      </w:r>
      <w:r w:rsidRPr="00D8017D">
        <w:rPr>
          <w:rFonts w:eastAsia="Calibri" w:cs="Times New Roman"/>
          <w:b/>
          <w:bCs/>
          <w:lang w:eastAsia="en-US"/>
        </w:rPr>
        <w:t xml:space="preserve">eksports </w:t>
      </w:r>
      <w:r w:rsidRPr="00D8017D">
        <w:rPr>
          <w:rFonts w:eastAsia="Calibri" w:cs="Times New Roman"/>
          <w:lang w:eastAsia="en-US"/>
        </w:rPr>
        <w:t>pēc iepriekšējos divos gados piedzīvotā krituma šogad atjaunos mērenu, 1,9% izaugsmi, uzlabojoties pieprasījumam ārējos tirgos, pēc tam vidējā termiņā izaugsmei pietuvojoties 3%.</w:t>
      </w:r>
    </w:p>
    <w:p w14:paraId="6DA69550" w14:textId="0F13E96B" w:rsidR="00041F28" w:rsidRPr="00D8017D" w:rsidRDefault="00041F28" w:rsidP="00BB3CFE">
      <w:pPr>
        <w:spacing w:after="0"/>
        <w:ind w:firstLine="0"/>
        <w:jc w:val="right"/>
        <w:rPr>
          <w:rFonts w:eastAsia="Calibri" w:cs="Times New Roman"/>
          <w:b/>
          <w:i/>
          <w:iCs/>
          <w:szCs w:val="24"/>
        </w:rPr>
      </w:pPr>
      <w:r w:rsidRPr="00D8017D">
        <w:rPr>
          <w:rFonts w:eastAsia="Calibri" w:cs="Times New Roman"/>
          <w:b/>
          <w:i/>
          <w:iCs/>
          <w:szCs w:val="24"/>
        </w:rPr>
        <w:t>1.</w:t>
      </w:r>
      <w:r w:rsidR="00926C33">
        <w:rPr>
          <w:rFonts w:eastAsia="Calibri" w:cs="Times New Roman"/>
          <w:b/>
          <w:i/>
          <w:iCs/>
          <w:szCs w:val="24"/>
        </w:rPr>
        <w:t>4</w:t>
      </w:r>
      <w:r w:rsidRPr="00D8017D">
        <w:rPr>
          <w:rFonts w:eastAsia="Calibri" w:cs="Times New Roman"/>
          <w:b/>
          <w:i/>
          <w:iCs/>
          <w:szCs w:val="24"/>
        </w:rPr>
        <w:t>. tabula. Makroekonomisko prognožu kopsavilkums</w:t>
      </w:r>
    </w:p>
    <w:tbl>
      <w:tblPr>
        <w:tblW w:w="44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6"/>
        <w:gridCol w:w="972"/>
        <w:gridCol w:w="973"/>
        <w:gridCol w:w="973"/>
        <w:gridCol w:w="973"/>
        <w:gridCol w:w="973"/>
      </w:tblGrid>
      <w:tr w:rsidR="00041F28" w:rsidRPr="00D8017D" w14:paraId="155253C8" w14:textId="77777777" w:rsidTr="0059188E">
        <w:trPr>
          <w:trHeight w:val="300"/>
          <w:tblHeader/>
          <w:jc w:val="center"/>
        </w:trPr>
        <w:tc>
          <w:tcPr>
            <w:tcW w:w="3113" w:type="dxa"/>
            <w:vMerge w:val="restart"/>
            <w:shd w:val="clear" w:color="auto" w:fill="BDD6EE"/>
            <w:noWrap/>
            <w:vAlign w:val="center"/>
            <w:hideMark/>
          </w:tcPr>
          <w:p w14:paraId="2ABB150D" w14:textId="77777777" w:rsidR="00041F28" w:rsidRPr="00D8017D" w:rsidRDefault="00041F28" w:rsidP="00041F28">
            <w:pPr>
              <w:spacing w:after="0"/>
              <w:ind w:firstLine="0"/>
              <w:rPr>
                <w:rFonts w:eastAsia="Times New Roman" w:cs="Times New Roman"/>
                <w:sz w:val="18"/>
                <w:szCs w:val="20"/>
              </w:rPr>
            </w:pPr>
          </w:p>
        </w:tc>
        <w:tc>
          <w:tcPr>
            <w:tcW w:w="863" w:type="dxa"/>
            <w:shd w:val="clear" w:color="auto" w:fill="BDD6EE"/>
            <w:noWrap/>
            <w:vAlign w:val="center"/>
            <w:hideMark/>
          </w:tcPr>
          <w:p w14:paraId="66235848" w14:textId="77777777" w:rsidR="00041F28" w:rsidRPr="00D8017D" w:rsidRDefault="00041F28" w:rsidP="00041F28">
            <w:pPr>
              <w:spacing w:after="0"/>
              <w:ind w:firstLine="0"/>
              <w:jc w:val="center"/>
              <w:rPr>
                <w:rFonts w:eastAsia="Times New Roman" w:cs="Times New Roman"/>
                <w:sz w:val="18"/>
                <w:szCs w:val="20"/>
              </w:rPr>
            </w:pPr>
            <w:r w:rsidRPr="00D8017D">
              <w:rPr>
                <w:rFonts w:eastAsia="Times New Roman" w:cs="Times New Roman"/>
                <w:sz w:val="18"/>
                <w:szCs w:val="20"/>
              </w:rPr>
              <w:t>2024</w:t>
            </w:r>
          </w:p>
        </w:tc>
        <w:tc>
          <w:tcPr>
            <w:tcW w:w="864" w:type="dxa"/>
            <w:shd w:val="clear" w:color="auto" w:fill="BDD6EE"/>
            <w:noWrap/>
            <w:vAlign w:val="center"/>
          </w:tcPr>
          <w:p w14:paraId="74FEA3B6" w14:textId="77777777" w:rsidR="00041F28" w:rsidRPr="00D8017D" w:rsidRDefault="00041F28" w:rsidP="00041F28">
            <w:pPr>
              <w:spacing w:after="0"/>
              <w:ind w:firstLine="0"/>
              <w:jc w:val="center"/>
              <w:rPr>
                <w:rFonts w:eastAsia="Times New Roman" w:cs="Times New Roman"/>
                <w:sz w:val="18"/>
                <w:szCs w:val="20"/>
              </w:rPr>
            </w:pPr>
            <w:r w:rsidRPr="00D8017D">
              <w:rPr>
                <w:rFonts w:eastAsia="Times New Roman" w:cs="Times New Roman"/>
                <w:sz w:val="18"/>
                <w:szCs w:val="20"/>
              </w:rPr>
              <w:t>2025</w:t>
            </w:r>
          </w:p>
        </w:tc>
        <w:tc>
          <w:tcPr>
            <w:tcW w:w="864" w:type="dxa"/>
            <w:shd w:val="clear" w:color="auto" w:fill="BDD6EE"/>
            <w:noWrap/>
            <w:vAlign w:val="center"/>
          </w:tcPr>
          <w:p w14:paraId="67DB69FC" w14:textId="77777777" w:rsidR="00041F28" w:rsidRPr="00D8017D" w:rsidRDefault="00041F28" w:rsidP="00041F28">
            <w:pPr>
              <w:spacing w:after="0"/>
              <w:ind w:firstLine="0"/>
              <w:jc w:val="center"/>
              <w:rPr>
                <w:rFonts w:eastAsia="Times New Roman" w:cs="Times New Roman"/>
                <w:sz w:val="18"/>
                <w:szCs w:val="20"/>
              </w:rPr>
            </w:pPr>
            <w:r w:rsidRPr="00D8017D">
              <w:rPr>
                <w:rFonts w:eastAsia="Times New Roman" w:cs="Times New Roman"/>
                <w:sz w:val="18"/>
                <w:szCs w:val="20"/>
              </w:rPr>
              <w:t>2026</w:t>
            </w:r>
          </w:p>
        </w:tc>
        <w:tc>
          <w:tcPr>
            <w:tcW w:w="864" w:type="dxa"/>
            <w:shd w:val="clear" w:color="auto" w:fill="BDD6EE"/>
            <w:noWrap/>
            <w:vAlign w:val="center"/>
          </w:tcPr>
          <w:p w14:paraId="677DE5E6" w14:textId="77777777" w:rsidR="00041F28" w:rsidRPr="00D8017D" w:rsidRDefault="00041F28" w:rsidP="00041F28">
            <w:pPr>
              <w:spacing w:after="0"/>
              <w:ind w:firstLine="0"/>
              <w:jc w:val="center"/>
              <w:rPr>
                <w:rFonts w:eastAsia="Times New Roman" w:cs="Times New Roman"/>
                <w:sz w:val="18"/>
                <w:szCs w:val="20"/>
              </w:rPr>
            </w:pPr>
            <w:r w:rsidRPr="00D8017D">
              <w:rPr>
                <w:rFonts w:eastAsia="Times New Roman" w:cs="Times New Roman"/>
                <w:sz w:val="18"/>
                <w:szCs w:val="20"/>
              </w:rPr>
              <w:t>2027</w:t>
            </w:r>
          </w:p>
        </w:tc>
        <w:tc>
          <w:tcPr>
            <w:tcW w:w="864" w:type="dxa"/>
            <w:shd w:val="clear" w:color="auto" w:fill="BDD6EE"/>
            <w:noWrap/>
            <w:vAlign w:val="center"/>
          </w:tcPr>
          <w:p w14:paraId="63E9A456" w14:textId="77777777" w:rsidR="00041F28" w:rsidRPr="00D8017D" w:rsidRDefault="00041F28" w:rsidP="00041F28">
            <w:pPr>
              <w:spacing w:after="0"/>
              <w:ind w:firstLine="0"/>
              <w:jc w:val="center"/>
              <w:rPr>
                <w:rFonts w:eastAsia="Times New Roman" w:cs="Times New Roman"/>
                <w:sz w:val="18"/>
                <w:szCs w:val="20"/>
              </w:rPr>
            </w:pPr>
            <w:r w:rsidRPr="00D8017D">
              <w:rPr>
                <w:rFonts w:eastAsia="Times New Roman" w:cs="Times New Roman"/>
                <w:sz w:val="18"/>
                <w:szCs w:val="20"/>
              </w:rPr>
              <w:t>2028</w:t>
            </w:r>
          </w:p>
        </w:tc>
      </w:tr>
      <w:tr w:rsidR="00041F28" w:rsidRPr="00D8017D" w14:paraId="3AE63D20" w14:textId="77777777" w:rsidTr="0059188E">
        <w:trPr>
          <w:trHeight w:val="300"/>
          <w:tblHeader/>
          <w:jc w:val="center"/>
        </w:trPr>
        <w:tc>
          <w:tcPr>
            <w:tcW w:w="3113" w:type="dxa"/>
            <w:vMerge/>
            <w:shd w:val="clear" w:color="auto" w:fill="BDD6EE"/>
            <w:noWrap/>
            <w:vAlign w:val="center"/>
          </w:tcPr>
          <w:p w14:paraId="1264DFA6" w14:textId="77777777" w:rsidR="00041F28" w:rsidRPr="00D8017D" w:rsidRDefault="00041F28" w:rsidP="00041F28">
            <w:pPr>
              <w:spacing w:after="0"/>
              <w:ind w:firstLine="0"/>
              <w:rPr>
                <w:rFonts w:eastAsia="Times New Roman" w:cs="Times New Roman"/>
                <w:sz w:val="18"/>
                <w:szCs w:val="20"/>
              </w:rPr>
            </w:pPr>
          </w:p>
        </w:tc>
        <w:tc>
          <w:tcPr>
            <w:tcW w:w="863" w:type="dxa"/>
            <w:shd w:val="clear" w:color="auto" w:fill="BDD6EE"/>
            <w:noWrap/>
            <w:vAlign w:val="center"/>
          </w:tcPr>
          <w:p w14:paraId="42E49B6D" w14:textId="77777777" w:rsidR="00041F28" w:rsidRPr="00D8017D" w:rsidRDefault="00041F28" w:rsidP="00041F28">
            <w:pPr>
              <w:spacing w:after="0"/>
              <w:ind w:firstLine="0"/>
              <w:jc w:val="center"/>
              <w:rPr>
                <w:rFonts w:eastAsia="Times New Roman" w:cs="Times New Roman"/>
                <w:sz w:val="18"/>
                <w:szCs w:val="20"/>
              </w:rPr>
            </w:pPr>
            <w:r w:rsidRPr="00D8017D">
              <w:rPr>
                <w:rFonts w:eastAsia="Times New Roman" w:cs="Times New Roman"/>
                <w:sz w:val="18"/>
                <w:szCs w:val="20"/>
              </w:rPr>
              <w:t>fakts</w:t>
            </w:r>
          </w:p>
        </w:tc>
        <w:tc>
          <w:tcPr>
            <w:tcW w:w="3456" w:type="dxa"/>
            <w:gridSpan w:val="4"/>
            <w:shd w:val="clear" w:color="auto" w:fill="BDD6EE"/>
            <w:noWrap/>
            <w:vAlign w:val="center"/>
          </w:tcPr>
          <w:p w14:paraId="572B804F" w14:textId="77777777" w:rsidR="00041F28" w:rsidRPr="00D8017D" w:rsidRDefault="00041F28" w:rsidP="00041F28">
            <w:pPr>
              <w:spacing w:after="0"/>
              <w:ind w:firstLine="0"/>
              <w:jc w:val="center"/>
              <w:rPr>
                <w:rFonts w:eastAsia="Times New Roman" w:cs="Times New Roman"/>
                <w:sz w:val="18"/>
                <w:szCs w:val="20"/>
              </w:rPr>
            </w:pPr>
            <w:r w:rsidRPr="00D8017D">
              <w:rPr>
                <w:rFonts w:eastAsia="Times New Roman" w:cs="Times New Roman"/>
                <w:sz w:val="18"/>
                <w:szCs w:val="20"/>
              </w:rPr>
              <w:t>prognoze</w:t>
            </w:r>
          </w:p>
        </w:tc>
      </w:tr>
      <w:tr w:rsidR="00041F28" w:rsidRPr="00D8017D" w14:paraId="475F83A5" w14:textId="77777777" w:rsidTr="00141289">
        <w:trPr>
          <w:trHeight w:val="300"/>
          <w:jc w:val="center"/>
        </w:trPr>
        <w:tc>
          <w:tcPr>
            <w:tcW w:w="3113" w:type="dxa"/>
            <w:noWrap/>
            <w:vAlign w:val="center"/>
            <w:hideMark/>
          </w:tcPr>
          <w:p w14:paraId="2DC3DA14" w14:textId="77777777" w:rsidR="00041F28" w:rsidRPr="00D8017D" w:rsidRDefault="00041F28" w:rsidP="00041F28">
            <w:pPr>
              <w:spacing w:after="0"/>
              <w:ind w:firstLine="0"/>
              <w:rPr>
                <w:rFonts w:eastAsia="Times New Roman" w:cs="Times New Roman"/>
                <w:sz w:val="18"/>
                <w:szCs w:val="20"/>
              </w:rPr>
            </w:pPr>
            <w:r w:rsidRPr="00D8017D">
              <w:rPr>
                <w:rFonts w:eastAsia="Times New Roman" w:cs="Times New Roman"/>
                <w:sz w:val="18"/>
                <w:szCs w:val="20"/>
              </w:rPr>
              <w:t>Iekšzemes kopprodukts (milj.</w:t>
            </w:r>
            <w:r w:rsidRPr="00D8017D">
              <w:rPr>
                <w:rFonts w:eastAsia="Times New Roman" w:cs="Times New Roman"/>
                <w:i/>
                <w:iCs/>
                <w:sz w:val="18"/>
                <w:szCs w:val="20"/>
              </w:rPr>
              <w:t xml:space="preserve"> euro</w:t>
            </w:r>
            <w:r w:rsidRPr="00D8017D">
              <w:rPr>
                <w:rFonts w:eastAsia="Times New Roman" w:cs="Times New Roman"/>
                <w:sz w:val="18"/>
                <w:szCs w:val="20"/>
              </w:rPr>
              <w:t>)</w:t>
            </w:r>
          </w:p>
        </w:tc>
        <w:tc>
          <w:tcPr>
            <w:tcW w:w="863"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4D9208DB"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40208</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66AA05B"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41985</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396CB5A"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43953</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B04251E"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46026</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910DF9D"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48154</w:t>
            </w:r>
          </w:p>
        </w:tc>
      </w:tr>
      <w:tr w:rsidR="00041F28" w:rsidRPr="00D8017D" w14:paraId="468BE62D" w14:textId="77777777" w:rsidTr="00141289">
        <w:trPr>
          <w:trHeight w:val="300"/>
          <w:jc w:val="center"/>
        </w:trPr>
        <w:tc>
          <w:tcPr>
            <w:tcW w:w="3113" w:type="dxa"/>
            <w:noWrap/>
            <w:vAlign w:val="center"/>
            <w:hideMark/>
          </w:tcPr>
          <w:p w14:paraId="364A2337" w14:textId="77777777" w:rsidR="00041F28" w:rsidRPr="00D8017D" w:rsidRDefault="00041F28" w:rsidP="00041F28">
            <w:pPr>
              <w:spacing w:after="0"/>
              <w:ind w:left="174" w:firstLine="0"/>
              <w:rPr>
                <w:rFonts w:eastAsia="Times New Roman" w:cs="Times New Roman"/>
                <w:sz w:val="18"/>
                <w:szCs w:val="20"/>
              </w:rPr>
            </w:pPr>
            <w:r w:rsidRPr="00D8017D">
              <w:rPr>
                <w:rFonts w:eastAsia="Times New Roman" w:cs="Times New Roman"/>
                <w:sz w:val="18"/>
                <w:szCs w:val="20"/>
              </w:rPr>
              <w:t>pieaugums faktiskajās cenās (%)</w:t>
            </w:r>
          </w:p>
        </w:tc>
        <w:tc>
          <w:tcPr>
            <w:tcW w:w="863"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5535B964"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2,1</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91604F4"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4,4</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CC8AD07"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4,7</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9A2BBB6"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4,7</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3080A9C"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4,6</w:t>
            </w:r>
          </w:p>
        </w:tc>
      </w:tr>
      <w:tr w:rsidR="00041F28" w:rsidRPr="00D8017D" w14:paraId="341FB902" w14:textId="77777777" w:rsidTr="00141289">
        <w:trPr>
          <w:trHeight w:val="300"/>
          <w:jc w:val="center"/>
        </w:trPr>
        <w:tc>
          <w:tcPr>
            <w:tcW w:w="3113" w:type="dxa"/>
            <w:noWrap/>
            <w:vAlign w:val="center"/>
            <w:hideMark/>
          </w:tcPr>
          <w:p w14:paraId="000A2E95" w14:textId="77777777" w:rsidR="00041F28" w:rsidRPr="00D8017D" w:rsidRDefault="00041F28" w:rsidP="00041F28">
            <w:pPr>
              <w:spacing w:after="0"/>
              <w:ind w:left="174" w:firstLine="0"/>
              <w:rPr>
                <w:rFonts w:eastAsia="Times New Roman" w:cs="Times New Roman"/>
                <w:sz w:val="18"/>
                <w:szCs w:val="20"/>
              </w:rPr>
            </w:pPr>
            <w:r w:rsidRPr="00D8017D">
              <w:rPr>
                <w:rFonts w:eastAsia="Times New Roman" w:cs="Times New Roman"/>
                <w:sz w:val="18"/>
                <w:szCs w:val="20"/>
              </w:rPr>
              <w:t>pieaugums salīdzināmās cenās (%)</w:t>
            </w:r>
          </w:p>
        </w:tc>
        <w:tc>
          <w:tcPr>
            <w:tcW w:w="863"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21A9C2A1"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-0,4</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89C4C52"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1,1</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F289EE2"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2,1</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4642DAE"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2,2</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2391D24"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2,2</w:t>
            </w:r>
          </w:p>
        </w:tc>
      </w:tr>
      <w:tr w:rsidR="00041F28" w:rsidRPr="00D8017D" w14:paraId="2E8DACFD" w14:textId="77777777" w:rsidTr="00141289">
        <w:trPr>
          <w:trHeight w:val="300"/>
          <w:jc w:val="center"/>
        </w:trPr>
        <w:tc>
          <w:tcPr>
            <w:tcW w:w="3113" w:type="dxa"/>
            <w:noWrap/>
            <w:vAlign w:val="center"/>
            <w:hideMark/>
          </w:tcPr>
          <w:p w14:paraId="40094DC7" w14:textId="77777777" w:rsidR="00041F28" w:rsidRPr="00D8017D" w:rsidRDefault="00041F28" w:rsidP="00041F28">
            <w:pPr>
              <w:spacing w:after="0"/>
              <w:ind w:firstLine="0"/>
              <w:rPr>
                <w:rFonts w:eastAsia="Times New Roman" w:cs="Times New Roman"/>
                <w:sz w:val="18"/>
                <w:szCs w:val="20"/>
              </w:rPr>
            </w:pPr>
            <w:r w:rsidRPr="00D8017D">
              <w:rPr>
                <w:rFonts w:eastAsia="Times New Roman" w:cs="Times New Roman"/>
                <w:sz w:val="18"/>
                <w:szCs w:val="20"/>
              </w:rPr>
              <w:t>IKP deflators (gads pret gadu, %)</w:t>
            </w:r>
          </w:p>
        </w:tc>
        <w:tc>
          <w:tcPr>
            <w:tcW w:w="863"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3FF9B325"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2,6</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95A62D6"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3,3</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4B8EA81F"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2,5</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AD49B2F"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2,5</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9521F76"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2,4</w:t>
            </w:r>
          </w:p>
        </w:tc>
      </w:tr>
      <w:tr w:rsidR="00041F28" w:rsidRPr="00D8017D" w14:paraId="146C6C31" w14:textId="77777777" w:rsidTr="00141289">
        <w:trPr>
          <w:trHeight w:val="301"/>
          <w:jc w:val="center"/>
        </w:trPr>
        <w:tc>
          <w:tcPr>
            <w:tcW w:w="3113" w:type="dxa"/>
            <w:noWrap/>
            <w:vAlign w:val="center"/>
            <w:hideMark/>
          </w:tcPr>
          <w:p w14:paraId="0C322574" w14:textId="77777777" w:rsidR="00041F28" w:rsidRPr="00D8017D" w:rsidRDefault="00041F28" w:rsidP="00041F28">
            <w:pPr>
              <w:spacing w:after="0"/>
              <w:ind w:firstLine="0"/>
              <w:rPr>
                <w:rFonts w:eastAsia="Times New Roman" w:cs="Times New Roman"/>
                <w:sz w:val="18"/>
                <w:szCs w:val="20"/>
              </w:rPr>
            </w:pPr>
            <w:r w:rsidRPr="00D8017D">
              <w:rPr>
                <w:rFonts w:eastAsia="Times New Roman" w:cs="Times New Roman"/>
                <w:sz w:val="18"/>
                <w:szCs w:val="20"/>
              </w:rPr>
              <w:t>PCI (gads pret gadu, %)</w:t>
            </w:r>
          </w:p>
        </w:tc>
        <w:tc>
          <w:tcPr>
            <w:tcW w:w="863"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7AD387D0"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1,3</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00E2B01"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3,5</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A948354"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2,3</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E7F0FAD"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2,2</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B891160"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2,2</w:t>
            </w:r>
          </w:p>
        </w:tc>
      </w:tr>
      <w:tr w:rsidR="00041F28" w:rsidRPr="00D8017D" w14:paraId="52F9A861" w14:textId="77777777" w:rsidTr="00141289">
        <w:trPr>
          <w:trHeight w:val="600"/>
          <w:jc w:val="center"/>
        </w:trPr>
        <w:tc>
          <w:tcPr>
            <w:tcW w:w="3113" w:type="dxa"/>
            <w:noWrap/>
            <w:vAlign w:val="center"/>
            <w:hideMark/>
          </w:tcPr>
          <w:p w14:paraId="1E7F3EE3" w14:textId="77777777" w:rsidR="00041F28" w:rsidRPr="00D8017D" w:rsidRDefault="00041F28" w:rsidP="00041F28">
            <w:pPr>
              <w:spacing w:after="0"/>
              <w:ind w:firstLine="0"/>
              <w:rPr>
                <w:rFonts w:eastAsia="Times New Roman" w:cs="Times New Roman"/>
                <w:sz w:val="18"/>
                <w:szCs w:val="20"/>
              </w:rPr>
            </w:pPr>
            <w:r w:rsidRPr="00D8017D">
              <w:rPr>
                <w:rFonts w:eastAsia="Times New Roman" w:cs="Times New Roman"/>
                <w:sz w:val="18"/>
                <w:szCs w:val="20"/>
              </w:rPr>
              <w:lastRenderedPageBreak/>
              <w:t xml:space="preserve">Tautsaimniecībā nodarbināto mēn. </w:t>
            </w:r>
            <w:r w:rsidRPr="00D8017D">
              <w:rPr>
                <w:rFonts w:eastAsia="Times New Roman" w:cs="Times New Roman"/>
                <w:sz w:val="18"/>
                <w:szCs w:val="20"/>
              </w:rPr>
              <w:br/>
              <w:t>vid. bruto darba samaksa (</w:t>
            </w:r>
            <w:r w:rsidRPr="00D8017D">
              <w:rPr>
                <w:rFonts w:eastAsia="Times New Roman" w:cs="Times New Roman"/>
                <w:i/>
                <w:iCs/>
                <w:sz w:val="18"/>
                <w:szCs w:val="20"/>
              </w:rPr>
              <w:t>euro</w:t>
            </w:r>
            <w:r w:rsidRPr="00D8017D">
              <w:rPr>
                <w:rFonts w:eastAsia="Times New Roman" w:cs="Times New Roman"/>
                <w:sz w:val="18"/>
                <w:szCs w:val="20"/>
              </w:rPr>
              <w:t>)</w:t>
            </w:r>
          </w:p>
        </w:tc>
        <w:tc>
          <w:tcPr>
            <w:tcW w:w="863"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129C4EF4"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1685</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18D9ADE"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1811</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07B0148"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1920</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9ECD757"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2026</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E0DD037"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2127</w:t>
            </w:r>
          </w:p>
        </w:tc>
      </w:tr>
      <w:tr w:rsidR="00041F28" w:rsidRPr="00D8017D" w14:paraId="6EB4B0A1" w14:textId="77777777" w:rsidTr="00141289">
        <w:trPr>
          <w:trHeight w:val="300"/>
          <w:jc w:val="center"/>
        </w:trPr>
        <w:tc>
          <w:tcPr>
            <w:tcW w:w="3113" w:type="dxa"/>
            <w:noWrap/>
            <w:vAlign w:val="center"/>
            <w:hideMark/>
          </w:tcPr>
          <w:p w14:paraId="4EBD8407" w14:textId="77777777" w:rsidR="00041F28" w:rsidRPr="00D8017D" w:rsidRDefault="00041F28" w:rsidP="00041F28">
            <w:pPr>
              <w:spacing w:after="0"/>
              <w:ind w:left="174" w:firstLine="0"/>
              <w:rPr>
                <w:rFonts w:eastAsia="Times New Roman" w:cs="Times New Roman"/>
                <w:sz w:val="18"/>
                <w:szCs w:val="20"/>
              </w:rPr>
            </w:pPr>
            <w:r w:rsidRPr="00D8017D">
              <w:rPr>
                <w:rFonts w:eastAsia="Times New Roman" w:cs="Times New Roman"/>
                <w:sz w:val="18"/>
                <w:szCs w:val="20"/>
              </w:rPr>
              <w:t>pieaugums faktiskajās cenās (%)</w:t>
            </w:r>
          </w:p>
        </w:tc>
        <w:tc>
          <w:tcPr>
            <w:tcW w:w="863"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577EE4DF"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9,6</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A1F212B"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7,5</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7484683"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6,0</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AC5EBE8"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5,5</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5F7CE5D"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5,0</w:t>
            </w:r>
          </w:p>
        </w:tc>
      </w:tr>
      <w:tr w:rsidR="00041F28" w:rsidRPr="00D8017D" w14:paraId="73503DFB" w14:textId="77777777" w:rsidTr="00141289">
        <w:trPr>
          <w:trHeight w:val="300"/>
          <w:jc w:val="center"/>
        </w:trPr>
        <w:tc>
          <w:tcPr>
            <w:tcW w:w="3113" w:type="dxa"/>
            <w:noWrap/>
            <w:vAlign w:val="center"/>
            <w:hideMark/>
          </w:tcPr>
          <w:p w14:paraId="24E91171" w14:textId="77777777" w:rsidR="00041F28" w:rsidRPr="00D8017D" w:rsidRDefault="00041F28" w:rsidP="00041F28">
            <w:pPr>
              <w:spacing w:after="0"/>
              <w:ind w:left="174" w:firstLine="0"/>
              <w:rPr>
                <w:rFonts w:eastAsia="Times New Roman" w:cs="Times New Roman"/>
                <w:sz w:val="18"/>
                <w:szCs w:val="20"/>
              </w:rPr>
            </w:pPr>
            <w:r w:rsidRPr="00D8017D">
              <w:rPr>
                <w:rFonts w:eastAsia="Times New Roman" w:cs="Times New Roman"/>
                <w:sz w:val="18"/>
                <w:szCs w:val="20"/>
              </w:rPr>
              <w:t>pieaugums salīdzināmās cenās (%)</w:t>
            </w:r>
          </w:p>
        </w:tc>
        <w:tc>
          <w:tcPr>
            <w:tcW w:w="863"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1C4EE6C2"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8,2</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9F757A0"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3,9</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40E962FA"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3,6</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486E018"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3,2</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54FD94D"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2,7</w:t>
            </w:r>
          </w:p>
        </w:tc>
      </w:tr>
      <w:tr w:rsidR="00041F28" w:rsidRPr="00D8017D" w14:paraId="4CACE525" w14:textId="77777777" w:rsidTr="00141289">
        <w:trPr>
          <w:trHeight w:val="600"/>
          <w:jc w:val="center"/>
        </w:trPr>
        <w:tc>
          <w:tcPr>
            <w:tcW w:w="3113" w:type="dxa"/>
            <w:noWrap/>
            <w:vAlign w:val="center"/>
            <w:hideMark/>
          </w:tcPr>
          <w:p w14:paraId="6866AC4F" w14:textId="77777777" w:rsidR="00041F28" w:rsidRPr="00D8017D" w:rsidRDefault="00041F28" w:rsidP="00041F28">
            <w:pPr>
              <w:spacing w:after="0"/>
              <w:ind w:firstLine="0"/>
              <w:rPr>
                <w:rFonts w:eastAsia="Times New Roman" w:cs="Times New Roman"/>
                <w:sz w:val="18"/>
                <w:szCs w:val="20"/>
              </w:rPr>
            </w:pPr>
            <w:r w:rsidRPr="00D8017D">
              <w:rPr>
                <w:rFonts w:eastAsia="Times New Roman" w:cs="Times New Roman"/>
                <w:sz w:val="18"/>
                <w:szCs w:val="20"/>
              </w:rPr>
              <w:t>Nodarbinātība (tūkst. iedzīvotāju</w:t>
            </w:r>
            <w:r w:rsidRPr="00D8017D">
              <w:rPr>
                <w:rFonts w:eastAsia="Times New Roman" w:cs="Times New Roman"/>
                <w:sz w:val="18"/>
                <w:szCs w:val="20"/>
              </w:rPr>
              <w:br/>
              <w:t>atbilstoši darbaspēka apsekojumiem)</w:t>
            </w:r>
          </w:p>
        </w:tc>
        <w:tc>
          <w:tcPr>
            <w:tcW w:w="863"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45ED42B8"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877</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A255586"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876</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454ED6DD"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874</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C95A650"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871</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41A3696"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867</w:t>
            </w:r>
          </w:p>
        </w:tc>
      </w:tr>
      <w:tr w:rsidR="00041F28" w:rsidRPr="00D8017D" w14:paraId="2FA166EA" w14:textId="77777777" w:rsidTr="00141289">
        <w:trPr>
          <w:trHeight w:val="300"/>
          <w:jc w:val="center"/>
        </w:trPr>
        <w:tc>
          <w:tcPr>
            <w:tcW w:w="3113" w:type="dxa"/>
            <w:noWrap/>
            <w:vAlign w:val="center"/>
            <w:hideMark/>
          </w:tcPr>
          <w:p w14:paraId="1FDF8F50" w14:textId="77777777" w:rsidR="00041F28" w:rsidRPr="00D8017D" w:rsidRDefault="00041F28" w:rsidP="00041F28">
            <w:pPr>
              <w:spacing w:after="0"/>
              <w:ind w:left="174" w:firstLine="0"/>
              <w:rPr>
                <w:rFonts w:eastAsia="Times New Roman" w:cs="Times New Roman"/>
                <w:sz w:val="18"/>
                <w:szCs w:val="20"/>
              </w:rPr>
            </w:pPr>
            <w:r w:rsidRPr="00D8017D">
              <w:rPr>
                <w:rFonts w:eastAsia="Times New Roman" w:cs="Times New Roman"/>
                <w:sz w:val="18"/>
                <w:szCs w:val="20"/>
              </w:rPr>
              <w:t>pieaugums (%)</w:t>
            </w:r>
          </w:p>
        </w:tc>
        <w:tc>
          <w:tcPr>
            <w:tcW w:w="863"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5E89C5DB"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-0,8</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6783B92"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-0,2</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D924827"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-0,2</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FE6BA29"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-0,3</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180A75D"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-0,5</w:t>
            </w:r>
          </w:p>
        </w:tc>
      </w:tr>
      <w:tr w:rsidR="00041F28" w:rsidRPr="00D8017D" w14:paraId="5CF7819A" w14:textId="77777777" w:rsidTr="00141289">
        <w:trPr>
          <w:trHeight w:val="300"/>
          <w:jc w:val="center"/>
        </w:trPr>
        <w:tc>
          <w:tcPr>
            <w:tcW w:w="3113" w:type="dxa"/>
            <w:noWrap/>
            <w:vAlign w:val="center"/>
            <w:hideMark/>
          </w:tcPr>
          <w:p w14:paraId="5DF5E776" w14:textId="77777777" w:rsidR="00041F28" w:rsidRPr="00D8017D" w:rsidRDefault="00041F28" w:rsidP="00041F28">
            <w:pPr>
              <w:spacing w:after="0"/>
              <w:ind w:firstLine="0"/>
              <w:rPr>
                <w:rFonts w:eastAsia="Times New Roman" w:cs="Times New Roman"/>
                <w:sz w:val="18"/>
                <w:szCs w:val="20"/>
              </w:rPr>
            </w:pPr>
            <w:r w:rsidRPr="00D8017D">
              <w:rPr>
                <w:rFonts w:eastAsia="Times New Roman" w:cs="Times New Roman"/>
                <w:sz w:val="18"/>
                <w:szCs w:val="20"/>
              </w:rPr>
              <w:t xml:space="preserve">Bezdarba līmenis (gada vidējais, </w:t>
            </w:r>
            <w:r w:rsidRPr="00D8017D">
              <w:rPr>
                <w:rFonts w:eastAsia="Times New Roman" w:cs="Times New Roman"/>
                <w:sz w:val="18"/>
                <w:szCs w:val="20"/>
              </w:rPr>
              <w:br/>
              <w:t>% no ekon. aktīviem iedzīv.)</w:t>
            </w:r>
          </w:p>
        </w:tc>
        <w:tc>
          <w:tcPr>
            <w:tcW w:w="863"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3DBD8C82"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6,9</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BC42D9F"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6,9</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016F0CD"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6,3</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B209941"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5,8</w:t>
            </w:r>
          </w:p>
        </w:tc>
        <w:tc>
          <w:tcPr>
            <w:tcW w:w="864"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CA40F9B" w14:textId="77777777" w:rsidR="00041F28" w:rsidRPr="00D8017D" w:rsidRDefault="00041F28" w:rsidP="00041F28">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5,5</w:t>
            </w:r>
          </w:p>
        </w:tc>
      </w:tr>
    </w:tbl>
    <w:p w14:paraId="46998CA6" w14:textId="77777777" w:rsidR="00041F28" w:rsidRPr="00D8017D" w:rsidRDefault="00041F28" w:rsidP="00041F28">
      <w:pPr>
        <w:spacing w:after="0"/>
        <w:rPr>
          <w:rFonts w:eastAsia="Calibri" w:cs="Times New Roman"/>
          <w:b/>
          <w:bCs/>
          <w:lang w:eastAsia="en-US"/>
        </w:rPr>
      </w:pPr>
    </w:p>
    <w:p w14:paraId="1E33D80D" w14:textId="6D349F12" w:rsidR="00041F28" w:rsidRPr="00D8017D" w:rsidRDefault="00041F28" w:rsidP="00041F28">
      <w:pPr>
        <w:rPr>
          <w:rFonts w:eastAsia="Calibri" w:cs="Times New Roman"/>
          <w:lang w:eastAsia="en-US"/>
        </w:rPr>
      </w:pPr>
      <w:r w:rsidRPr="00D8017D">
        <w:rPr>
          <w:rFonts w:eastAsia="Calibri" w:cs="Times New Roman"/>
          <w:b/>
          <w:bCs/>
          <w:lang w:eastAsia="en-US"/>
        </w:rPr>
        <w:t>Inflācija</w:t>
      </w:r>
      <w:r w:rsidRPr="00D8017D">
        <w:rPr>
          <w:rFonts w:eastAsia="Calibri" w:cs="Times New Roman"/>
          <w:lang w:eastAsia="en-US"/>
        </w:rPr>
        <w:t xml:space="preserve"> 2025. gadā ir prognozēta augstāka nekā pagājušajā gadā, ņemot vērā straujāk pieaugušās pārtikas cenas Latvijā un atsevišķu energoresursu cenas pasaules tirgū, kas ar laika nobīdi atstās ietekmi arī siltuma un gāzes apgādes tarifiem. Pēc FM prognozēm, gada vidējā inflācija šogad būs 3,5%, salīdzinot ar 1,3% 2024. gadā. 2026. gadā inflācija varētu noslīdēt līdz 2,3% līmenim, bet pēc tam laikā līdz 2028. gadam prognozējama inflācijas stabilizēšanās ap 2,2%, kas atbilst konverģējošas valsts cenu pieauguma līmenim.</w:t>
      </w:r>
    </w:p>
    <w:p w14:paraId="45F41BCD" w14:textId="5877979C" w:rsidR="00041F28" w:rsidRPr="00D8017D" w:rsidRDefault="00041F28" w:rsidP="00041F28">
      <w:pPr>
        <w:rPr>
          <w:rFonts w:eastAsia="Calibri" w:cs="Times New Roman"/>
          <w:lang w:eastAsia="en-US"/>
        </w:rPr>
      </w:pPr>
      <w:r w:rsidRPr="00D8017D">
        <w:rPr>
          <w:rFonts w:eastAsia="Calibri" w:cs="Times New Roman"/>
          <w:b/>
          <w:bCs/>
          <w:lang w:eastAsia="en-US"/>
        </w:rPr>
        <w:t>Mēneša vidējā darba samaksa</w:t>
      </w:r>
      <w:r w:rsidRPr="00D8017D">
        <w:rPr>
          <w:rFonts w:eastAsia="Calibri" w:cs="Times New Roman"/>
          <w:lang w:eastAsia="en-US"/>
        </w:rPr>
        <w:t xml:space="preserve"> pēc iepriekšējo divu gadu straujā kāpuma šogad palielināsies nedaudz lēnāk, ko noteiks gan kopējā ekonomiskā situācija – salīdzinoši zemā izaugsme un ierobežotais inflācijas līmenis, gan paredzētā algu fonda ierobežošana sabiedriskajā sektorā. FM prognozē, ka mēneša vidējā bruto darba samaksa šogad palielināsies par 7,5%, sasniedzot 1811</w:t>
      </w:r>
      <w:r w:rsidRPr="00D8017D">
        <w:rPr>
          <w:rFonts w:eastAsia="Calibri" w:cs="Times New Roman"/>
          <w:i/>
          <w:iCs/>
          <w:lang w:eastAsia="en-US"/>
        </w:rPr>
        <w:t xml:space="preserve"> euro</w:t>
      </w:r>
      <w:r w:rsidRPr="00D8017D">
        <w:rPr>
          <w:rFonts w:eastAsia="Calibri" w:cs="Times New Roman"/>
          <w:lang w:eastAsia="en-US"/>
        </w:rPr>
        <w:t xml:space="preserve">, laika posmā līdz </w:t>
      </w:r>
      <w:r w:rsidR="00E961C9" w:rsidRPr="00D8017D">
        <w:rPr>
          <w:rFonts w:eastAsia="Calibri" w:cs="Times New Roman"/>
          <w:lang w:eastAsia="en-US"/>
        </w:rPr>
        <w:t>202</w:t>
      </w:r>
      <w:r w:rsidR="00E961C9">
        <w:rPr>
          <w:rFonts w:eastAsia="Calibri" w:cs="Times New Roman"/>
          <w:lang w:eastAsia="en-US"/>
        </w:rPr>
        <w:t>8</w:t>
      </w:r>
      <w:r w:rsidRPr="00D8017D">
        <w:rPr>
          <w:rFonts w:eastAsia="Calibri" w:cs="Times New Roman"/>
          <w:lang w:eastAsia="en-US"/>
        </w:rPr>
        <w:t>. gadam pieauguma tempam samazinoties līdz 5-6% gadā.</w:t>
      </w:r>
    </w:p>
    <w:p w14:paraId="40DB6056" w14:textId="77777777" w:rsidR="00041F28" w:rsidRPr="00D8017D" w:rsidRDefault="00041F28" w:rsidP="00BB3CFE">
      <w:pPr>
        <w:rPr>
          <w:rFonts w:eastAsia="Calibri" w:cs="Times New Roman"/>
          <w:lang w:eastAsia="en-US"/>
        </w:rPr>
      </w:pPr>
      <w:r w:rsidRPr="00D8017D">
        <w:rPr>
          <w:rFonts w:eastAsia="Calibri" w:cs="Times New Roman"/>
          <w:lang w:eastAsia="en-US"/>
        </w:rPr>
        <w:t xml:space="preserve">Ekonomiskās izaugsmes palēnināšanās un pēdējos ceturkšņos arī kritums līdz šim nav būtiski ietekmējis darba tirgus rādītājus un bezdarbu, ko nosaka galvenokārt demogrāfiskā situācija un darbspējas vecuma iedzīvotāju skaita samazināšanās. </w:t>
      </w:r>
      <w:r w:rsidRPr="00D8017D">
        <w:rPr>
          <w:rFonts w:eastAsia="Calibri" w:cs="Times New Roman"/>
          <w:b/>
          <w:bCs/>
          <w:lang w:eastAsia="en-US"/>
        </w:rPr>
        <w:t>Bezdarba līmenim</w:t>
      </w:r>
      <w:r w:rsidRPr="00D8017D">
        <w:rPr>
          <w:rFonts w:eastAsia="Calibri" w:cs="Times New Roman"/>
          <w:lang w:eastAsia="en-US"/>
        </w:rPr>
        <w:t xml:space="preserve"> pēc īslaicīga nenozīmīga pieauguma 2024. gadā, šogad prognozējama stabilizēšanās 6,9% apmērā no ekonomiski aktīvajiem iedzīvotājiem. Nākamajos gados straujākas ekonomikas izaugsmes un demogrāfiskās situācijas ietekmē bezdarbs varētu pakāpeniski pietuvoties 5% līmenim. Tautsaimniecībā nodarbināto iedzīvotāju skaits saglabāsies salīdzinoši stabils, vidējā termiņā 876-860 tūkst. līmenī, ar nelielu lejupvērstu tendenci.</w:t>
      </w:r>
    </w:p>
    <w:p w14:paraId="3B0BAD6B" w14:textId="08B26B6E" w:rsidR="00041F28" w:rsidRPr="00D8017D" w:rsidRDefault="00041F28" w:rsidP="00751953">
      <w:pPr>
        <w:spacing w:after="0"/>
        <w:rPr>
          <w:rFonts w:eastAsia="Calibri" w:cs="Times New Roman"/>
          <w:lang w:eastAsia="en-US"/>
        </w:rPr>
      </w:pPr>
      <w:r w:rsidRPr="00D8017D">
        <w:rPr>
          <w:rFonts w:eastAsia="Calibri" w:cs="Times New Roman"/>
          <w:lang w:eastAsia="en-US"/>
        </w:rPr>
        <w:t xml:space="preserve">Izstrādājot makroekonomisko rādītāju prognozes, </w:t>
      </w:r>
      <w:r w:rsidR="00BB3CFE" w:rsidRPr="00D8017D">
        <w:rPr>
          <w:rFonts w:eastAsia="Calibri" w:cs="Times New Roman"/>
          <w:lang w:eastAsia="en-US"/>
        </w:rPr>
        <w:t>FM</w:t>
      </w:r>
      <w:r w:rsidRPr="00D8017D">
        <w:rPr>
          <w:rFonts w:eastAsia="Calibri" w:cs="Times New Roman"/>
          <w:lang w:eastAsia="en-US"/>
        </w:rPr>
        <w:t xml:space="preserve"> pieņēma, ka ģeopolitiskā situācija būtiski nepasliktināsies. Tika izvērtēti gan ārējie, gan iekšējie riski. Prognozes joprojām ir izstrādātas ļoti augstas nenoteiktības apstākļos, un būtiskākie negatīvie riski ir saistīti ar ģeopolitisko situāciju, kur pieaugoša spriedze var ievērojami vājināt investoru un patērētāju pārliecību, atkārtoti izraisīt strauju energoresursu cenu kāpumu vai piegādes ķēžu traucējumus. Citu risku vidū ir Latvijas ārējo tirdzniecības partnervalstu izaugsmes vājināšanās, inflācijas un procentu likmju ilgstoša saglabāšanās augstākā līmenī nekā prognozēts, kavēšanās ar </w:t>
      </w:r>
      <w:r w:rsidR="00BB3CFE" w:rsidRPr="00D8017D">
        <w:rPr>
          <w:rFonts w:eastAsia="Calibri" w:cs="Times New Roman"/>
          <w:lang w:eastAsia="en-US"/>
        </w:rPr>
        <w:t>ES</w:t>
      </w:r>
      <w:r w:rsidRPr="00D8017D">
        <w:rPr>
          <w:rFonts w:eastAsia="Calibri" w:cs="Times New Roman"/>
          <w:lang w:eastAsia="en-US"/>
        </w:rPr>
        <w:t xml:space="preserve"> fondu investīciju projektu realizāciju, kā arī ASV ievedmuitas tarifu ekonomiskā ietekme.</w:t>
      </w:r>
    </w:p>
    <w:p w14:paraId="47B21761" w14:textId="77777777" w:rsidR="0070161D" w:rsidRPr="00D8017D" w:rsidRDefault="0070161D" w:rsidP="00BA2237">
      <w:pPr>
        <w:spacing w:after="0"/>
        <w:rPr>
          <w:rFonts w:eastAsia="Times New Roman" w:cs="Times New Roman"/>
          <w:highlight w:val="lightGray"/>
        </w:rPr>
      </w:pPr>
    </w:p>
    <w:p w14:paraId="1637CCC4" w14:textId="77777777" w:rsidR="0070161D" w:rsidRPr="00D8017D" w:rsidRDefault="0070161D" w:rsidP="005E6EA2">
      <w:pPr>
        <w:ind w:firstLine="0"/>
        <w:jc w:val="center"/>
        <w:rPr>
          <w:rFonts w:eastAsia="Times New Roman"/>
          <w:b/>
          <w:bCs/>
          <w:lang w:eastAsia="en-US"/>
        </w:rPr>
      </w:pPr>
      <w:r w:rsidRPr="00D8017D">
        <w:rPr>
          <w:rFonts w:eastAsia="Times New Roman"/>
          <w:b/>
          <w:bCs/>
          <w:lang w:eastAsia="en-US"/>
        </w:rPr>
        <w:t>Makroekonomiskās attīstības scenārija riski</w:t>
      </w:r>
    </w:p>
    <w:p w14:paraId="22BF84D6" w14:textId="4317C775" w:rsidR="00751953" w:rsidRPr="00D8017D" w:rsidRDefault="00751953" w:rsidP="00751953">
      <w:pPr>
        <w:ind w:firstLine="709"/>
        <w:rPr>
          <w:rFonts w:eastAsia="Calibri" w:cs="Times New Roman"/>
          <w:lang w:eastAsia="en-US"/>
        </w:rPr>
      </w:pPr>
      <w:bookmarkStart w:id="30" w:name="_Toc178763486"/>
      <w:r w:rsidRPr="00D8017D">
        <w:rPr>
          <w:rFonts w:eastAsia="Calibri" w:cs="Times New Roman"/>
          <w:lang w:eastAsia="en-US"/>
        </w:rPr>
        <w:t xml:space="preserve">Izstrādājot makroekonomisko rādītāju prognozes, </w:t>
      </w:r>
      <w:r w:rsidR="00BB3CFE" w:rsidRPr="00D8017D">
        <w:rPr>
          <w:rFonts w:eastAsia="Calibri" w:cs="Times New Roman"/>
          <w:lang w:eastAsia="en-US"/>
        </w:rPr>
        <w:t>FM</w:t>
      </w:r>
      <w:r w:rsidRPr="00D8017D">
        <w:rPr>
          <w:rFonts w:eastAsia="Calibri" w:cs="Times New Roman"/>
          <w:lang w:eastAsia="en-US"/>
        </w:rPr>
        <w:t xml:space="preserve"> izmanto piesardzīgus pieņēmumus un izvērtē gan ārējos, gan iekšējos riskus, norādot, ka prognozes joprojām veidotas augstas nenoteiktības apstākļos. Būtiskākie negatīvie riski pašlaik saistīti ar ASV ievedmuitas tarifiem, kas var samazināt ekonomikas izaugsmi Latvijas ārējās tirdzniecības partnervalstīs, atstājot tiešu vai netiešu ietekmi arī uz Latvijas ekonomikas attīstību. Tāpat ekonomikas izaugsmi var negatīvi </w:t>
      </w:r>
      <w:r w:rsidRPr="00D8017D">
        <w:rPr>
          <w:rFonts w:eastAsia="Calibri" w:cs="Times New Roman"/>
          <w:lang w:eastAsia="en-US"/>
        </w:rPr>
        <w:lastRenderedPageBreak/>
        <w:t xml:space="preserve">ietekmēt augstas inflācijas un augstu procentu likmju saglabāšanās, kā arī joprojām nelabvēlīgā ģeopolitiskā situācija reģionā. Starp negatīvajiem riskiem ir arī ES fondu investīciju izmantošanas kavēšanās, kā arī patērētāju konfidences kritums, kas var ierobežot privātā patēriņa atjaunošanos, un pārmērīgi strauja algu kāpuma negatīva ietekme uz konkurētspēju. </w:t>
      </w:r>
    </w:p>
    <w:p w14:paraId="2857CDFA" w14:textId="512EE7C7" w:rsidR="00751953" w:rsidRPr="00D8017D" w:rsidRDefault="00751953" w:rsidP="00751953">
      <w:pPr>
        <w:ind w:firstLine="709"/>
        <w:rPr>
          <w:rFonts w:eastAsia="Calibri" w:cs="Times New Roman"/>
          <w:lang w:eastAsia="en-US"/>
        </w:rPr>
      </w:pPr>
      <w:r w:rsidRPr="00D8017D">
        <w:rPr>
          <w:rFonts w:eastAsia="Calibri" w:cs="Times New Roman"/>
          <w:lang w:eastAsia="en-US"/>
        </w:rPr>
        <w:t xml:space="preserve">Savukārt pozitīvie riski var veicināt straujāku izaugsmi, tajā skaitā izvairīšanās no plašākas pasaules tirdzniecības tarifu kara izvēršanās stimulētu ekonomikas izaugsmi un veicinātu investīciju aktivitāti. Tāpat arī karadarbības veiksmīga pārtraukšana Ukrainā uzlabotu drošību un investīciju klimatu reģionā. Papildu stimulu var nodrošināt arī straujāka </w:t>
      </w:r>
      <w:r w:rsidR="00BB3CFE" w:rsidRPr="00D8017D">
        <w:rPr>
          <w:rFonts w:eastAsia="Calibri" w:cs="Times New Roman"/>
          <w:lang w:eastAsia="en-US"/>
        </w:rPr>
        <w:t>ES</w:t>
      </w:r>
      <w:r w:rsidRPr="00D8017D">
        <w:rPr>
          <w:rFonts w:eastAsia="Calibri" w:cs="Times New Roman"/>
          <w:lang w:eastAsia="en-US"/>
        </w:rPr>
        <w:t xml:space="preserve"> fondu līdzekļu izmantošana un nozīmīgu projektu, piemēram, </w:t>
      </w:r>
      <w:r w:rsidRPr="00D8017D">
        <w:rPr>
          <w:rFonts w:eastAsia="Calibri" w:cs="Times New Roman"/>
          <w:i/>
          <w:iCs/>
          <w:lang w:eastAsia="en-US"/>
        </w:rPr>
        <w:t>Rail Baltica</w:t>
      </w:r>
      <w:r w:rsidRPr="00D8017D">
        <w:rPr>
          <w:rFonts w:eastAsia="Calibri" w:cs="Times New Roman"/>
          <w:lang w:eastAsia="en-US"/>
        </w:rPr>
        <w:t xml:space="preserve"> un </w:t>
      </w:r>
      <w:r w:rsidR="005E6EA2">
        <w:rPr>
          <w:rFonts w:eastAsia="Calibri" w:cs="Times New Roman"/>
          <w:lang w:eastAsia="en-US"/>
        </w:rPr>
        <w:t>ANM</w:t>
      </w:r>
      <w:r w:rsidRPr="00D8017D">
        <w:rPr>
          <w:rFonts w:eastAsia="Calibri" w:cs="Times New Roman"/>
          <w:lang w:eastAsia="en-US"/>
        </w:rPr>
        <w:t xml:space="preserve"> projektu sekmīga īstenošana.</w:t>
      </w:r>
    </w:p>
    <w:p w14:paraId="4B85A731" w14:textId="77777777" w:rsidR="00751953" w:rsidRPr="00D8017D" w:rsidRDefault="00751953" w:rsidP="00751953">
      <w:pPr>
        <w:ind w:firstLine="709"/>
        <w:rPr>
          <w:rFonts w:eastAsia="Calibri" w:cs="Times New Roman"/>
          <w:lang w:eastAsia="en-US"/>
        </w:rPr>
      </w:pPr>
      <w:r w:rsidRPr="00D8017D">
        <w:rPr>
          <w:rFonts w:eastAsia="Calibri" w:cs="Times New Roman"/>
          <w:lang w:eastAsia="en-US"/>
        </w:rPr>
        <w:t xml:space="preserve">Jāatzīmē, ka 2025. gada 1. pusgada IKP izaugsme ir augstāka, nekā tika prognozēts 2025. gada jūnijā. To lielā mērā ietekmēja tas, ka ārējos tirgos pieprasījums pēc Latvijas precēm un pakalpojumiem atjaunojas ātrāk, nekā gaidīts. </w:t>
      </w:r>
    </w:p>
    <w:p w14:paraId="70F84D38" w14:textId="77777777" w:rsidR="0070161D" w:rsidRPr="00D8017D" w:rsidRDefault="0070161D" w:rsidP="008349F0">
      <w:pPr>
        <w:keepNext/>
        <w:keepLines/>
        <w:spacing w:before="240" w:after="240"/>
        <w:ind w:firstLine="0"/>
        <w:jc w:val="center"/>
        <w:outlineLvl w:val="1"/>
        <w:rPr>
          <w:rFonts w:eastAsia="Times New Roman" w:cs="Times New Roman"/>
          <w:b/>
          <w:bCs/>
          <w:color w:val="000000"/>
          <w:sz w:val="36"/>
          <w:szCs w:val="28"/>
        </w:rPr>
      </w:pPr>
      <w:bookmarkStart w:id="31" w:name="_Toc210289876"/>
      <w:r w:rsidRPr="00D8017D">
        <w:rPr>
          <w:rFonts w:eastAsia="Times New Roman" w:cs="Times New Roman"/>
          <w:b/>
          <w:bCs/>
          <w:color w:val="000000"/>
          <w:sz w:val="36"/>
          <w:szCs w:val="28"/>
        </w:rPr>
        <w:t>1.5. Jutīguma analīze</w:t>
      </w:r>
      <w:bookmarkEnd w:id="30"/>
      <w:bookmarkEnd w:id="31"/>
    </w:p>
    <w:p w14:paraId="79CF8FDA" w14:textId="155EB302" w:rsidR="00751953" w:rsidRPr="00D8017D" w:rsidRDefault="00751953" w:rsidP="00751953">
      <w:pPr>
        <w:rPr>
          <w:rFonts w:eastAsia="Calibri" w:cs="Times New Roman"/>
        </w:rPr>
      </w:pPr>
      <w:r w:rsidRPr="00D8017D">
        <w:rPr>
          <w:rFonts w:eastAsia="Calibri" w:cs="Times New Roman"/>
        </w:rPr>
        <w:t xml:space="preserve">Ņemot vērā iespējamos negatīvos riskus ekonomikas izaugsmei, </w:t>
      </w:r>
      <w:r w:rsidR="001F086B" w:rsidRPr="00D8017D">
        <w:rPr>
          <w:rFonts w:eastAsia="Calibri" w:cs="Times New Roman"/>
        </w:rPr>
        <w:t>FM</w:t>
      </w:r>
      <w:r w:rsidRPr="00D8017D">
        <w:rPr>
          <w:rFonts w:eastAsia="Calibri" w:cs="Times New Roman"/>
        </w:rPr>
        <w:t xml:space="preserve"> ir sagatavojusi divus alternatīvus ekonomikas attīstības scenārijus periodam no 2025. līdz 202</w:t>
      </w:r>
      <w:r w:rsidR="00D118A9" w:rsidRPr="00D8017D">
        <w:rPr>
          <w:rFonts w:eastAsia="Calibri" w:cs="Times New Roman"/>
        </w:rPr>
        <w:t>8</w:t>
      </w:r>
      <w:r w:rsidRPr="00D8017D">
        <w:rPr>
          <w:rFonts w:eastAsia="Calibri" w:cs="Times New Roman"/>
        </w:rPr>
        <w:t>. gadam, attiecīgi paredzot negatīvo un pozitīvo risku ietekmes īstenošanos. Šajos scenārijos modelēta šo risku realizēšanās ietekme uz dažādiem makroekonomiskajiem rādītājiem un budžeta ieņēmumiem.</w:t>
      </w:r>
    </w:p>
    <w:p w14:paraId="0D6407AF" w14:textId="470EF1AC" w:rsidR="00E96BB6" w:rsidRPr="00D8017D" w:rsidRDefault="00E96BB6" w:rsidP="00E96BB6">
      <w:pPr>
        <w:spacing w:before="240" w:after="240"/>
        <w:ind w:firstLine="0"/>
        <w:jc w:val="center"/>
        <w:outlineLvl w:val="2"/>
        <w:rPr>
          <w:rFonts w:eastAsia="Times New Roman" w:cs="Times New Roman"/>
          <w:b/>
          <w:sz w:val="32"/>
          <w:szCs w:val="20"/>
          <w:lang w:eastAsia="en-US"/>
        </w:rPr>
      </w:pPr>
      <w:bookmarkStart w:id="32" w:name="_Toc210289877"/>
      <w:r w:rsidRPr="00D8017D">
        <w:rPr>
          <w:rFonts w:eastAsia="Times New Roman" w:cs="Times New Roman"/>
          <w:b/>
          <w:sz w:val="32"/>
          <w:szCs w:val="20"/>
          <w:lang w:eastAsia="en-US"/>
        </w:rPr>
        <w:t>1.5.1. Pesimistiskais scenārijs</w:t>
      </w:r>
      <w:bookmarkEnd w:id="32"/>
    </w:p>
    <w:p w14:paraId="56EA7174" w14:textId="77777777" w:rsidR="00751953" w:rsidRPr="00D8017D" w:rsidRDefault="00751953" w:rsidP="00751953">
      <w:pPr>
        <w:ind w:firstLine="709"/>
        <w:rPr>
          <w:rFonts w:eastAsia="Calibri" w:cs="Times New Roman"/>
          <w:lang w:eastAsia="en-US"/>
        </w:rPr>
      </w:pPr>
      <w:bookmarkStart w:id="33" w:name="_Hlk127201895"/>
      <w:bookmarkStart w:id="34" w:name="_Toc178763487"/>
      <w:r w:rsidRPr="00D8017D">
        <w:rPr>
          <w:rFonts w:eastAsia="Calibri" w:cs="Times New Roman"/>
          <w:lang w:eastAsia="en-US"/>
        </w:rPr>
        <w:t>Lielākais negatīvais risks ir ASV noteikto ievedmuitas tarifu negatīvā ietekme uz Eiropas ekonomiku, kas ierobežotu ekonomikas izaugsmi arī galvenajās Latvijas ārējās tirdzniecības partnervalstīs un mazinot pieprasījumu pēc Latvijas eksporta, atstātu negatīvu ietekmi uz eksporta attīstību. Vienlaikus arī ģeopolitiskā nenoteiktība ierobežotu investīciju aktivitāti un patērētāju konfidenci, mazinot arī iekšzemes pieprasījumu. Tirdzniecības tarifu kari un ģeopolitiskās situācijas saasināšanās vienlaikus veicinātu arī straujākas izejvielu cenu svārstības un nestabilitāti finanšu tirgos. Tā rezultātā ekonomiskās izaugsmes palēnināšanās būtu jūtama jau no 2025. gada vidus un turpinātos visu 2026. gadu, lielāko ietekmi atstājot tieši nākamajā gadā.</w:t>
      </w:r>
    </w:p>
    <w:p w14:paraId="7B0F515E" w14:textId="0C152E24" w:rsidR="00751953" w:rsidRPr="00D8017D" w:rsidRDefault="00751953" w:rsidP="00751953">
      <w:pPr>
        <w:ind w:firstLine="709"/>
        <w:rPr>
          <w:rFonts w:eastAsia="Calibri" w:cs="Times New Roman"/>
          <w:lang w:eastAsia="en-US"/>
        </w:rPr>
      </w:pPr>
      <w:r w:rsidRPr="00D8017D">
        <w:rPr>
          <w:rFonts w:eastAsia="Calibri" w:cs="Times New Roman"/>
          <w:lang w:eastAsia="en-US"/>
        </w:rPr>
        <w:t xml:space="preserve">Atbilstoši pesimistiskajam scenārijam 2025. gadā </w:t>
      </w:r>
      <w:r w:rsidR="005E6EA2">
        <w:rPr>
          <w:rFonts w:eastAsia="Calibri" w:cs="Times New Roman"/>
          <w:lang w:eastAsia="en-US"/>
        </w:rPr>
        <w:t>IKP</w:t>
      </w:r>
      <w:r w:rsidRPr="00D8017D">
        <w:rPr>
          <w:rFonts w:eastAsia="Calibri" w:cs="Times New Roman"/>
          <w:lang w:eastAsia="en-US"/>
        </w:rPr>
        <w:t xml:space="preserve"> pieaugums salīdzināmajās cenās varētu būt 0,0%, un 2026. gadā 1,3%, kas attiecīgi būtu par 1,1 un 0,8 p</w:t>
      </w:r>
      <w:r w:rsidR="005E6EA2">
        <w:rPr>
          <w:rFonts w:eastAsia="Calibri" w:cs="Times New Roman"/>
          <w:lang w:eastAsia="en-US"/>
        </w:rPr>
        <w:t>p</w:t>
      </w:r>
      <w:r w:rsidRPr="00D8017D">
        <w:rPr>
          <w:rFonts w:eastAsia="Calibri" w:cs="Times New Roman"/>
          <w:lang w:eastAsia="en-US"/>
        </w:rPr>
        <w:t xml:space="preserve"> mazāk nekā bāzes scenārijā. Noturīgāka ekonomikas izaugsme atsāktos tikai 2027. gadā. Ekonomiskās izaugsmes palēnināšanās atspoguļotos arī darba tirgū, kur nodarbināto skaita kritums būtu nedaudz straujāks, bet bezdarba līmenis nedaudz augstāks nekā bāzes scenārijā. Savukārt inflācija 2025. gadā sasniegtu 3,1% un 2026. gadā 1,8%, kas attiecīgi būtu par 0,4 p</w:t>
      </w:r>
      <w:r w:rsidR="005E6EA2">
        <w:rPr>
          <w:rFonts w:eastAsia="Calibri" w:cs="Times New Roman"/>
          <w:lang w:eastAsia="en-US"/>
        </w:rPr>
        <w:t>p</w:t>
      </w:r>
      <w:r w:rsidRPr="00D8017D">
        <w:rPr>
          <w:rFonts w:eastAsia="Calibri" w:cs="Times New Roman"/>
          <w:lang w:eastAsia="en-US"/>
        </w:rPr>
        <w:t xml:space="preserve"> un 0,5 p</w:t>
      </w:r>
      <w:r w:rsidR="005E6EA2">
        <w:rPr>
          <w:rFonts w:eastAsia="Calibri" w:cs="Times New Roman"/>
          <w:lang w:eastAsia="en-US"/>
        </w:rPr>
        <w:t>p</w:t>
      </w:r>
      <w:r w:rsidRPr="00D8017D">
        <w:rPr>
          <w:rFonts w:eastAsia="Calibri" w:cs="Times New Roman"/>
          <w:lang w:eastAsia="en-US"/>
        </w:rPr>
        <w:t xml:space="preserve"> zemāk nekā bāzes scenārijā.</w:t>
      </w:r>
    </w:p>
    <w:p w14:paraId="15B18860" w14:textId="1A38D813" w:rsidR="00751953" w:rsidRPr="00D8017D" w:rsidRDefault="00751953" w:rsidP="00751953">
      <w:pPr>
        <w:ind w:firstLine="0"/>
        <w:jc w:val="right"/>
        <w:rPr>
          <w:rFonts w:eastAsia="Calibri" w:cs="Times New Roman"/>
          <w:b/>
          <w:bCs/>
          <w:i/>
          <w:iCs/>
        </w:rPr>
      </w:pPr>
      <w:r w:rsidRPr="00D8017D">
        <w:rPr>
          <w:rFonts w:eastAsia="Calibri" w:cs="Times New Roman"/>
          <w:b/>
          <w:bCs/>
          <w:i/>
          <w:iCs/>
        </w:rPr>
        <w:t>1.</w:t>
      </w:r>
      <w:r w:rsidR="00926C33">
        <w:rPr>
          <w:rFonts w:eastAsia="Calibri" w:cs="Times New Roman"/>
          <w:b/>
          <w:bCs/>
          <w:i/>
          <w:iCs/>
        </w:rPr>
        <w:t>5</w:t>
      </w:r>
      <w:r w:rsidRPr="00D8017D">
        <w:rPr>
          <w:rFonts w:eastAsia="Calibri" w:cs="Times New Roman"/>
          <w:b/>
          <w:bCs/>
          <w:i/>
          <w:iCs/>
        </w:rPr>
        <w:t>. tabula. Pesimistiskais makroekonomisko rādītāju attīstības scenārijs</w:t>
      </w:r>
    </w:p>
    <w:tbl>
      <w:tblPr>
        <w:tblW w:w="44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4"/>
        <w:gridCol w:w="976"/>
        <w:gridCol w:w="979"/>
        <w:gridCol w:w="979"/>
        <w:gridCol w:w="978"/>
        <w:gridCol w:w="979"/>
      </w:tblGrid>
      <w:tr w:rsidR="00751953" w:rsidRPr="00D8017D" w14:paraId="1B4C7C19" w14:textId="77777777" w:rsidTr="004A4A24">
        <w:trPr>
          <w:trHeight w:val="300"/>
          <w:tblHeader/>
          <w:jc w:val="center"/>
        </w:trPr>
        <w:tc>
          <w:tcPr>
            <w:tcW w:w="3085" w:type="dxa"/>
            <w:vMerge w:val="restart"/>
            <w:shd w:val="clear" w:color="auto" w:fill="BDD6EE"/>
            <w:noWrap/>
            <w:vAlign w:val="center"/>
            <w:hideMark/>
          </w:tcPr>
          <w:p w14:paraId="56C97CDA" w14:textId="77777777" w:rsidR="00751953" w:rsidRPr="005E6EA2" w:rsidRDefault="00751953" w:rsidP="00751953">
            <w:pPr>
              <w:spacing w:after="0"/>
              <w:ind w:firstLine="0"/>
              <w:rPr>
                <w:rFonts w:eastAsia="Times New Roman" w:cs="Times New Roman"/>
                <w:b/>
                <w:bCs/>
                <w:sz w:val="18"/>
                <w:szCs w:val="20"/>
              </w:rPr>
            </w:pPr>
          </w:p>
        </w:tc>
        <w:tc>
          <w:tcPr>
            <w:tcW w:w="867" w:type="dxa"/>
            <w:shd w:val="clear" w:color="auto" w:fill="BDD6EE"/>
            <w:noWrap/>
            <w:vAlign w:val="center"/>
            <w:hideMark/>
          </w:tcPr>
          <w:p w14:paraId="0AC796F5" w14:textId="77777777" w:rsidR="00751953" w:rsidRPr="005E6EA2" w:rsidRDefault="00751953" w:rsidP="00751953">
            <w:pPr>
              <w:spacing w:after="0"/>
              <w:ind w:firstLine="0"/>
              <w:jc w:val="center"/>
              <w:rPr>
                <w:rFonts w:eastAsia="Times New Roman" w:cs="Times New Roman"/>
                <w:b/>
                <w:bCs/>
                <w:sz w:val="18"/>
                <w:szCs w:val="20"/>
              </w:rPr>
            </w:pPr>
            <w:r w:rsidRPr="005E6EA2">
              <w:rPr>
                <w:rFonts w:eastAsia="Times New Roman" w:cs="Times New Roman"/>
                <w:b/>
                <w:bCs/>
                <w:sz w:val="18"/>
                <w:szCs w:val="20"/>
              </w:rPr>
              <w:t>2024</w:t>
            </w:r>
          </w:p>
        </w:tc>
        <w:tc>
          <w:tcPr>
            <w:tcW w:w="869" w:type="dxa"/>
            <w:shd w:val="clear" w:color="auto" w:fill="BDD6EE"/>
            <w:noWrap/>
            <w:vAlign w:val="center"/>
          </w:tcPr>
          <w:p w14:paraId="25F6EDBA" w14:textId="77777777" w:rsidR="00751953" w:rsidRPr="005E6EA2" w:rsidRDefault="00751953" w:rsidP="00751953">
            <w:pPr>
              <w:spacing w:after="0"/>
              <w:ind w:firstLine="0"/>
              <w:jc w:val="center"/>
              <w:rPr>
                <w:rFonts w:eastAsia="Times New Roman" w:cs="Times New Roman"/>
                <w:b/>
                <w:bCs/>
                <w:sz w:val="18"/>
                <w:szCs w:val="20"/>
              </w:rPr>
            </w:pPr>
            <w:r w:rsidRPr="005E6EA2">
              <w:rPr>
                <w:rFonts w:eastAsia="Times New Roman" w:cs="Times New Roman"/>
                <w:b/>
                <w:bCs/>
                <w:sz w:val="18"/>
                <w:szCs w:val="20"/>
              </w:rPr>
              <w:t>2025</w:t>
            </w:r>
          </w:p>
        </w:tc>
        <w:tc>
          <w:tcPr>
            <w:tcW w:w="869" w:type="dxa"/>
            <w:shd w:val="clear" w:color="auto" w:fill="BDD6EE"/>
            <w:noWrap/>
            <w:vAlign w:val="center"/>
          </w:tcPr>
          <w:p w14:paraId="0D0ABF4E" w14:textId="77777777" w:rsidR="00751953" w:rsidRPr="005E6EA2" w:rsidRDefault="00751953" w:rsidP="00751953">
            <w:pPr>
              <w:spacing w:after="0"/>
              <w:ind w:firstLine="0"/>
              <w:jc w:val="center"/>
              <w:rPr>
                <w:rFonts w:eastAsia="Times New Roman" w:cs="Times New Roman"/>
                <w:b/>
                <w:bCs/>
                <w:sz w:val="18"/>
                <w:szCs w:val="20"/>
              </w:rPr>
            </w:pPr>
            <w:r w:rsidRPr="005E6EA2">
              <w:rPr>
                <w:rFonts w:eastAsia="Times New Roman" w:cs="Times New Roman"/>
                <w:b/>
                <w:bCs/>
                <w:sz w:val="18"/>
                <w:szCs w:val="20"/>
              </w:rPr>
              <w:t>2026</w:t>
            </w:r>
          </w:p>
        </w:tc>
        <w:tc>
          <w:tcPr>
            <w:tcW w:w="868" w:type="dxa"/>
            <w:shd w:val="clear" w:color="auto" w:fill="BDD6EE"/>
            <w:noWrap/>
            <w:vAlign w:val="center"/>
          </w:tcPr>
          <w:p w14:paraId="7059D8CB" w14:textId="77777777" w:rsidR="00751953" w:rsidRPr="005E6EA2" w:rsidRDefault="00751953" w:rsidP="00751953">
            <w:pPr>
              <w:spacing w:after="0"/>
              <w:ind w:firstLine="0"/>
              <w:jc w:val="center"/>
              <w:rPr>
                <w:rFonts w:eastAsia="Times New Roman" w:cs="Times New Roman"/>
                <w:b/>
                <w:bCs/>
                <w:sz w:val="18"/>
                <w:szCs w:val="20"/>
              </w:rPr>
            </w:pPr>
            <w:r w:rsidRPr="005E6EA2">
              <w:rPr>
                <w:rFonts w:eastAsia="Times New Roman" w:cs="Times New Roman"/>
                <w:b/>
                <w:bCs/>
                <w:sz w:val="18"/>
                <w:szCs w:val="20"/>
              </w:rPr>
              <w:t>2027</w:t>
            </w:r>
          </w:p>
        </w:tc>
        <w:tc>
          <w:tcPr>
            <w:tcW w:w="869" w:type="dxa"/>
            <w:shd w:val="clear" w:color="auto" w:fill="BDD6EE"/>
            <w:noWrap/>
            <w:vAlign w:val="center"/>
          </w:tcPr>
          <w:p w14:paraId="41DECC32" w14:textId="77777777" w:rsidR="00751953" w:rsidRPr="005E6EA2" w:rsidRDefault="00751953" w:rsidP="00751953">
            <w:pPr>
              <w:spacing w:after="0"/>
              <w:ind w:firstLine="0"/>
              <w:jc w:val="center"/>
              <w:rPr>
                <w:rFonts w:eastAsia="Times New Roman" w:cs="Times New Roman"/>
                <w:b/>
                <w:bCs/>
                <w:sz w:val="18"/>
                <w:szCs w:val="20"/>
              </w:rPr>
            </w:pPr>
            <w:r w:rsidRPr="005E6EA2">
              <w:rPr>
                <w:rFonts w:eastAsia="Times New Roman" w:cs="Times New Roman"/>
                <w:b/>
                <w:bCs/>
                <w:sz w:val="18"/>
                <w:szCs w:val="20"/>
              </w:rPr>
              <w:t>2028</w:t>
            </w:r>
          </w:p>
        </w:tc>
      </w:tr>
      <w:tr w:rsidR="00751953" w:rsidRPr="00D8017D" w14:paraId="10E6465E" w14:textId="77777777" w:rsidTr="004A4A24">
        <w:trPr>
          <w:trHeight w:val="300"/>
          <w:tblHeader/>
          <w:jc w:val="center"/>
        </w:trPr>
        <w:tc>
          <w:tcPr>
            <w:tcW w:w="3085" w:type="dxa"/>
            <w:vMerge/>
            <w:shd w:val="clear" w:color="auto" w:fill="BDD6EE"/>
            <w:noWrap/>
            <w:vAlign w:val="center"/>
          </w:tcPr>
          <w:p w14:paraId="60418E11" w14:textId="77777777" w:rsidR="00751953" w:rsidRPr="005E6EA2" w:rsidRDefault="00751953" w:rsidP="00751953">
            <w:pPr>
              <w:spacing w:after="0"/>
              <w:ind w:firstLine="0"/>
              <w:rPr>
                <w:rFonts w:eastAsia="Times New Roman" w:cs="Times New Roman"/>
                <w:b/>
                <w:bCs/>
                <w:sz w:val="18"/>
                <w:szCs w:val="20"/>
              </w:rPr>
            </w:pPr>
          </w:p>
        </w:tc>
        <w:tc>
          <w:tcPr>
            <w:tcW w:w="867" w:type="dxa"/>
            <w:shd w:val="clear" w:color="auto" w:fill="BDD6EE"/>
            <w:noWrap/>
            <w:vAlign w:val="center"/>
          </w:tcPr>
          <w:p w14:paraId="4DF40ADA" w14:textId="77777777" w:rsidR="00751953" w:rsidRPr="005E6EA2" w:rsidRDefault="00751953" w:rsidP="00751953">
            <w:pPr>
              <w:spacing w:after="0"/>
              <w:ind w:firstLine="0"/>
              <w:jc w:val="center"/>
              <w:rPr>
                <w:rFonts w:eastAsia="Times New Roman" w:cs="Times New Roman"/>
                <w:b/>
                <w:bCs/>
                <w:sz w:val="18"/>
                <w:szCs w:val="20"/>
              </w:rPr>
            </w:pPr>
            <w:r w:rsidRPr="005E6EA2">
              <w:rPr>
                <w:rFonts w:eastAsia="Times New Roman" w:cs="Times New Roman"/>
                <w:b/>
                <w:bCs/>
                <w:sz w:val="18"/>
                <w:szCs w:val="20"/>
              </w:rPr>
              <w:t>fakts</w:t>
            </w:r>
          </w:p>
        </w:tc>
        <w:tc>
          <w:tcPr>
            <w:tcW w:w="3475" w:type="dxa"/>
            <w:gridSpan w:val="4"/>
            <w:shd w:val="clear" w:color="auto" w:fill="BDD6EE"/>
            <w:noWrap/>
            <w:vAlign w:val="center"/>
          </w:tcPr>
          <w:p w14:paraId="26511D85" w14:textId="77777777" w:rsidR="00751953" w:rsidRPr="005E6EA2" w:rsidRDefault="00751953" w:rsidP="00751953">
            <w:pPr>
              <w:spacing w:after="0"/>
              <w:ind w:firstLine="0"/>
              <w:jc w:val="center"/>
              <w:rPr>
                <w:rFonts w:eastAsia="Times New Roman" w:cs="Times New Roman"/>
                <w:b/>
                <w:bCs/>
                <w:sz w:val="18"/>
                <w:szCs w:val="20"/>
              </w:rPr>
            </w:pPr>
            <w:r w:rsidRPr="005E6EA2">
              <w:rPr>
                <w:rFonts w:eastAsia="Times New Roman" w:cs="Times New Roman"/>
                <w:b/>
                <w:bCs/>
                <w:sz w:val="18"/>
                <w:szCs w:val="20"/>
              </w:rPr>
              <w:t>prognoze</w:t>
            </w:r>
          </w:p>
        </w:tc>
      </w:tr>
      <w:tr w:rsidR="00751953" w:rsidRPr="00D8017D" w14:paraId="206E88A2" w14:textId="77777777" w:rsidTr="00141289">
        <w:trPr>
          <w:trHeight w:val="300"/>
          <w:jc w:val="center"/>
        </w:trPr>
        <w:tc>
          <w:tcPr>
            <w:tcW w:w="3085" w:type="dxa"/>
            <w:noWrap/>
            <w:vAlign w:val="center"/>
            <w:hideMark/>
          </w:tcPr>
          <w:p w14:paraId="6D264FD3" w14:textId="76EEA3BB" w:rsidR="00751953" w:rsidRPr="00D8017D" w:rsidRDefault="001F086B" w:rsidP="00751953">
            <w:pPr>
              <w:spacing w:after="0"/>
              <w:ind w:firstLine="0"/>
              <w:jc w:val="left"/>
              <w:rPr>
                <w:rFonts w:eastAsia="Times New Roman" w:cs="Times New Roman"/>
                <w:sz w:val="18"/>
                <w:szCs w:val="20"/>
              </w:rPr>
            </w:pPr>
            <w:r w:rsidRPr="00D8017D">
              <w:rPr>
                <w:rFonts w:eastAsia="Times New Roman" w:cs="Times New Roman"/>
                <w:sz w:val="18"/>
                <w:szCs w:val="20"/>
              </w:rPr>
              <w:t>IKP</w:t>
            </w:r>
            <w:r w:rsidR="00751953" w:rsidRPr="00D8017D">
              <w:rPr>
                <w:rFonts w:eastAsia="Times New Roman" w:cs="Times New Roman"/>
                <w:sz w:val="18"/>
                <w:szCs w:val="20"/>
              </w:rPr>
              <w:t xml:space="preserve"> (milj. </w:t>
            </w:r>
            <w:r w:rsidR="00751953" w:rsidRPr="00D8017D">
              <w:rPr>
                <w:rFonts w:eastAsia="Times New Roman" w:cs="Times New Roman"/>
                <w:i/>
                <w:sz w:val="18"/>
                <w:szCs w:val="20"/>
              </w:rPr>
              <w:t>euro</w:t>
            </w:r>
            <w:r w:rsidR="00751953" w:rsidRPr="00D8017D">
              <w:rPr>
                <w:rFonts w:eastAsia="Times New Roman" w:cs="Times New Roman"/>
                <w:sz w:val="18"/>
                <w:szCs w:val="20"/>
              </w:rPr>
              <w:t>)</w:t>
            </w:r>
          </w:p>
        </w:tc>
        <w:tc>
          <w:tcPr>
            <w:tcW w:w="86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71D13D06"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40208</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31EF443"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41490</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58D632A"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43004</w:t>
            </w:r>
          </w:p>
        </w:tc>
        <w:tc>
          <w:tcPr>
            <w:tcW w:w="86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C221E46"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45006</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3F03002"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47086</w:t>
            </w:r>
          </w:p>
        </w:tc>
      </w:tr>
      <w:tr w:rsidR="00751953" w:rsidRPr="00D8017D" w14:paraId="223402C1" w14:textId="77777777" w:rsidTr="00141289">
        <w:trPr>
          <w:trHeight w:val="300"/>
          <w:jc w:val="center"/>
        </w:trPr>
        <w:tc>
          <w:tcPr>
            <w:tcW w:w="3085" w:type="dxa"/>
            <w:noWrap/>
            <w:vAlign w:val="center"/>
            <w:hideMark/>
          </w:tcPr>
          <w:p w14:paraId="4B7C6267" w14:textId="77777777" w:rsidR="00751953" w:rsidRPr="00D8017D" w:rsidRDefault="00751953" w:rsidP="00751953">
            <w:pPr>
              <w:spacing w:after="0"/>
              <w:ind w:left="174" w:firstLine="0"/>
              <w:jc w:val="left"/>
              <w:rPr>
                <w:rFonts w:eastAsia="Times New Roman" w:cs="Times New Roman"/>
                <w:sz w:val="18"/>
                <w:szCs w:val="20"/>
              </w:rPr>
            </w:pPr>
            <w:r w:rsidRPr="00D8017D">
              <w:rPr>
                <w:rFonts w:eastAsia="Times New Roman" w:cs="Times New Roman"/>
                <w:sz w:val="18"/>
                <w:szCs w:val="20"/>
              </w:rPr>
              <w:t>pieaugums faktiskajās cenās (%)</w:t>
            </w:r>
          </w:p>
        </w:tc>
        <w:tc>
          <w:tcPr>
            <w:tcW w:w="86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7DD7E20E"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2,1</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E082EB7"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3,2</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AF51797"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3,7</w:t>
            </w:r>
          </w:p>
        </w:tc>
        <w:tc>
          <w:tcPr>
            <w:tcW w:w="86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796F863"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4,7</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5C3C39B"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4,6</w:t>
            </w:r>
          </w:p>
        </w:tc>
      </w:tr>
      <w:tr w:rsidR="00751953" w:rsidRPr="00D8017D" w14:paraId="330CF84D" w14:textId="77777777" w:rsidTr="00141289">
        <w:trPr>
          <w:trHeight w:val="300"/>
          <w:jc w:val="center"/>
        </w:trPr>
        <w:tc>
          <w:tcPr>
            <w:tcW w:w="3085" w:type="dxa"/>
            <w:noWrap/>
            <w:vAlign w:val="center"/>
            <w:hideMark/>
          </w:tcPr>
          <w:p w14:paraId="405A59BD" w14:textId="77777777" w:rsidR="00751953" w:rsidRPr="00D8017D" w:rsidRDefault="00751953" w:rsidP="00751953">
            <w:pPr>
              <w:spacing w:after="0"/>
              <w:ind w:left="174" w:firstLine="0"/>
              <w:jc w:val="left"/>
              <w:rPr>
                <w:rFonts w:eastAsia="Times New Roman" w:cs="Times New Roman"/>
                <w:sz w:val="18"/>
                <w:szCs w:val="20"/>
              </w:rPr>
            </w:pPr>
            <w:r w:rsidRPr="00D8017D">
              <w:rPr>
                <w:rFonts w:eastAsia="Times New Roman" w:cs="Times New Roman"/>
                <w:sz w:val="18"/>
                <w:szCs w:val="20"/>
              </w:rPr>
              <w:t>pieaugums salīdzināmās cenās (%)</w:t>
            </w:r>
          </w:p>
        </w:tc>
        <w:tc>
          <w:tcPr>
            <w:tcW w:w="86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65318744"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-0,4</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81F3337"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0,0</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FFC93F5"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1,3</w:t>
            </w:r>
          </w:p>
        </w:tc>
        <w:tc>
          <w:tcPr>
            <w:tcW w:w="86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7C4E2B7"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2,2</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73A4F9D"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2,2</w:t>
            </w:r>
          </w:p>
        </w:tc>
      </w:tr>
      <w:tr w:rsidR="00751953" w:rsidRPr="00D8017D" w14:paraId="7CA21AD1" w14:textId="77777777" w:rsidTr="00141289">
        <w:trPr>
          <w:trHeight w:val="300"/>
          <w:jc w:val="center"/>
        </w:trPr>
        <w:tc>
          <w:tcPr>
            <w:tcW w:w="3085" w:type="dxa"/>
            <w:noWrap/>
            <w:vAlign w:val="center"/>
            <w:hideMark/>
          </w:tcPr>
          <w:p w14:paraId="139E79A4" w14:textId="77777777" w:rsidR="00751953" w:rsidRPr="00D8017D" w:rsidRDefault="00751953" w:rsidP="00751953">
            <w:pPr>
              <w:spacing w:after="0"/>
              <w:ind w:firstLine="0"/>
              <w:jc w:val="left"/>
              <w:rPr>
                <w:rFonts w:eastAsia="Times New Roman" w:cs="Times New Roman"/>
                <w:sz w:val="18"/>
                <w:szCs w:val="20"/>
              </w:rPr>
            </w:pPr>
            <w:r w:rsidRPr="00D8017D">
              <w:rPr>
                <w:rFonts w:eastAsia="Times New Roman" w:cs="Times New Roman"/>
                <w:sz w:val="18"/>
                <w:szCs w:val="20"/>
              </w:rPr>
              <w:t>IKP deflators (gads pret gadu, %)</w:t>
            </w:r>
          </w:p>
        </w:tc>
        <w:tc>
          <w:tcPr>
            <w:tcW w:w="86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41AD4FFC"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2,6</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0E2545C"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3,2</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5CB10C8"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2,3</w:t>
            </w:r>
          </w:p>
        </w:tc>
        <w:tc>
          <w:tcPr>
            <w:tcW w:w="86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A4FADD0"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2,4</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DCBC06F"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2,4</w:t>
            </w:r>
          </w:p>
        </w:tc>
      </w:tr>
      <w:tr w:rsidR="00751953" w:rsidRPr="00D8017D" w14:paraId="4AE3E68C" w14:textId="77777777" w:rsidTr="00141289">
        <w:trPr>
          <w:trHeight w:val="301"/>
          <w:jc w:val="center"/>
        </w:trPr>
        <w:tc>
          <w:tcPr>
            <w:tcW w:w="3085" w:type="dxa"/>
            <w:noWrap/>
            <w:vAlign w:val="center"/>
            <w:hideMark/>
          </w:tcPr>
          <w:p w14:paraId="71EBC27A" w14:textId="77777777" w:rsidR="00751953" w:rsidRPr="00D8017D" w:rsidRDefault="00751953" w:rsidP="00751953">
            <w:pPr>
              <w:spacing w:after="0"/>
              <w:ind w:firstLine="0"/>
              <w:jc w:val="left"/>
              <w:rPr>
                <w:rFonts w:eastAsia="Times New Roman" w:cs="Times New Roman"/>
                <w:sz w:val="18"/>
                <w:szCs w:val="20"/>
              </w:rPr>
            </w:pPr>
            <w:r w:rsidRPr="00D8017D">
              <w:rPr>
                <w:rFonts w:eastAsia="Times New Roman" w:cs="Times New Roman"/>
                <w:sz w:val="18"/>
                <w:szCs w:val="20"/>
              </w:rPr>
              <w:t>PCI (gads pret gadu, %)</w:t>
            </w:r>
          </w:p>
        </w:tc>
        <w:tc>
          <w:tcPr>
            <w:tcW w:w="86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7C90BA94"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1,3</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752AE22"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3,1</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9EF3D9F"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1,8</w:t>
            </w:r>
          </w:p>
        </w:tc>
        <w:tc>
          <w:tcPr>
            <w:tcW w:w="86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A1BCC7D"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2,2</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7809513"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2,2</w:t>
            </w:r>
          </w:p>
        </w:tc>
      </w:tr>
      <w:tr w:rsidR="00751953" w:rsidRPr="00D8017D" w14:paraId="0EE38D7A" w14:textId="77777777" w:rsidTr="00141289">
        <w:trPr>
          <w:trHeight w:val="600"/>
          <w:jc w:val="center"/>
        </w:trPr>
        <w:tc>
          <w:tcPr>
            <w:tcW w:w="3085" w:type="dxa"/>
            <w:noWrap/>
            <w:vAlign w:val="center"/>
            <w:hideMark/>
          </w:tcPr>
          <w:p w14:paraId="2410713D" w14:textId="77777777" w:rsidR="00751953" w:rsidRPr="00D8017D" w:rsidRDefault="00751953" w:rsidP="00751953">
            <w:pPr>
              <w:spacing w:after="0"/>
              <w:ind w:firstLine="0"/>
              <w:jc w:val="left"/>
              <w:rPr>
                <w:rFonts w:eastAsia="Times New Roman" w:cs="Times New Roman"/>
                <w:sz w:val="18"/>
                <w:szCs w:val="20"/>
              </w:rPr>
            </w:pPr>
            <w:r w:rsidRPr="00D8017D">
              <w:rPr>
                <w:rFonts w:eastAsia="Times New Roman" w:cs="Times New Roman"/>
                <w:sz w:val="18"/>
                <w:szCs w:val="20"/>
              </w:rPr>
              <w:lastRenderedPageBreak/>
              <w:t xml:space="preserve">Tautsaimniecībā nodarbināto mēn. </w:t>
            </w:r>
            <w:r w:rsidRPr="00D8017D">
              <w:rPr>
                <w:rFonts w:eastAsia="Times New Roman" w:cs="Times New Roman"/>
                <w:sz w:val="18"/>
                <w:szCs w:val="20"/>
              </w:rPr>
              <w:br/>
              <w:t>vid. bruto darba samaksa (</w:t>
            </w:r>
            <w:r w:rsidRPr="00D8017D">
              <w:rPr>
                <w:rFonts w:eastAsia="Times New Roman" w:cs="Times New Roman"/>
                <w:i/>
                <w:sz w:val="18"/>
                <w:szCs w:val="20"/>
              </w:rPr>
              <w:t>euro</w:t>
            </w:r>
            <w:r w:rsidRPr="00D8017D">
              <w:rPr>
                <w:rFonts w:eastAsia="Times New Roman" w:cs="Times New Roman"/>
                <w:sz w:val="18"/>
                <w:szCs w:val="20"/>
              </w:rPr>
              <w:t>)</w:t>
            </w:r>
          </w:p>
        </w:tc>
        <w:tc>
          <w:tcPr>
            <w:tcW w:w="86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25D4E59D"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1685</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3797134"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1805</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4F8C870"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1904</w:t>
            </w:r>
          </w:p>
        </w:tc>
        <w:tc>
          <w:tcPr>
            <w:tcW w:w="86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72E1D92"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2009</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F313C50"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2109</w:t>
            </w:r>
          </w:p>
        </w:tc>
      </w:tr>
      <w:tr w:rsidR="00751953" w:rsidRPr="00D8017D" w14:paraId="6F7D037E" w14:textId="77777777" w:rsidTr="00141289">
        <w:trPr>
          <w:trHeight w:val="300"/>
          <w:jc w:val="center"/>
        </w:trPr>
        <w:tc>
          <w:tcPr>
            <w:tcW w:w="3085" w:type="dxa"/>
            <w:noWrap/>
            <w:vAlign w:val="center"/>
            <w:hideMark/>
          </w:tcPr>
          <w:p w14:paraId="4AB72E94" w14:textId="77777777" w:rsidR="00751953" w:rsidRPr="00D8017D" w:rsidRDefault="00751953" w:rsidP="00751953">
            <w:pPr>
              <w:spacing w:after="0"/>
              <w:ind w:left="174" w:firstLine="0"/>
              <w:jc w:val="left"/>
              <w:rPr>
                <w:rFonts w:eastAsia="Times New Roman" w:cs="Times New Roman"/>
                <w:sz w:val="18"/>
                <w:szCs w:val="20"/>
              </w:rPr>
            </w:pPr>
            <w:r w:rsidRPr="00D8017D">
              <w:rPr>
                <w:rFonts w:eastAsia="Times New Roman" w:cs="Times New Roman"/>
                <w:sz w:val="18"/>
                <w:szCs w:val="20"/>
              </w:rPr>
              <w:t>pieaugums faktiskajās cenās (%)</w:t>
            </w:r>
          </w:p>
        </w:tc>
        <w:tc>
          <w:tcPr>
            <w:tcW w:w="86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7082B283"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9,6</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107481E"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7,1</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F66A2E7"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5,5</w:t>
            </w:r>
          </w:p>
        </w:tc>
        <w:tc>
          <w:tcPr>
            <w:tcW w:w="86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4F84695C"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5,5</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5CAC890"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5,0</w:t>
            </w:r>
          </w:p>
        </w:tc>
      </w:tr>
      <w:tr w:rsidR="00751953" w:rsidRPr="00D8017D" w14:paraId="31B5D87A" w14:textId="77777777" w:rsidTr="00141289">
        <w:trPr>
          <w:trHeight w:val="300"/>
          <w:jc w:val="center"/>
        </w:trPr>
        <w:tc>
          <w:tcPr>
            <w:tcW w:w="3085" w:type="dxa"/>
            <w:noWrap/>
            <w:vAlign w:val="center"/>
            <w:hideMark/>
          </w:tcPr>
          <w:p w14:paraId="29FBE80B" w14:textId="77777777" w:rsidR="00751953" w:rsidRPr="00D8017D" w:rsidRDefault="00751953" w:rsidP="00751953">
            <w:pPr>
              <w:spacing w:after="0"/>
              <w:ind w:left="174" w:firstLine="0"/>
              <w:jc w:val="left"/>
              <w:rPr>
                <w:rFonts w:eastAsia="Times New Roman" w:cs="Times New Roman"/>
                <w:sz w:val="18"/>
                <w:szCs w:val="20"/>
              </w:rPr>
            </w:pPr>
            <w:r w:rsidRPr="00D8017D">
              <w:rPr>
                <w:rFonts w:eastAsia="Times New Roman" w:cs="Times New Roman"/>
                <w:sz w:val="18"/>
                <w:szCs w:val="20"/>
              </w:rPr>
              <w:t>pieaugums salīdzināmās cenās (%)</w:t>
            </w:r>
          </w:p>
        </w:tc>
        <w:tc>
          <w:tcPr>
            <w:tcW w:w="86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4001BDCC"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8,2</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DDAFFBF"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3,9</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592048C"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3,6</w:t>
            </w:r>
          </w:p>
        </w:tc>
        <w:tc>
          <w:tcPr>
            <w:tcW w:w="86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DC5579B"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3,2</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6BED31E"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2,7</w:t>
            </w:r>
          </w:p>
        </w:tc>
      </w:tr>
      <w:tr w:rsidR="00751953" w:rsidRPr="00D8017D" w14:paraId="55A76382" w14:textId="77777777" w:rsidTr="00141289">
        <w:trPr>
          <w:trHeight w:val="600"/>
          <w:jc w:val="center"/>
        </w:trPr>
        <w:tc>
          <w:tcPr>
            <w:tcW w:w="3085" w:type="dxa"/>
            <w:noWrap/>
            <w:vAlign w:val="center"/>
            <w:hideMark/>
          </w:tcPr>
          <w:p w14:paraId="283E8B1A" w14:textId="77777777" w:rsidR="00751953" w:rsidRPr="00D8017D" w:rsidRDefault="00751953" w:rsidP="00751953">
            <w:pPr>
              <w:spacing w:after="0"/>
              <w:ind w:firstLine="0"/>
              <w:jc w:val="left"/>
              <w:rPr>
                <w:rFonts w:eastAsia="Times New Roman" w:cs="Times New Roman"/>
                <w:sz w:val="18"/>
                <w:szCs w:val="20"/>
              </w:rPr>
            </w:pPr>
            <w:r w:rsidRPr="00D8017D">
              <w:rPr>
                <w:rFonts w:eastAsia="Times New Roman" w:cs="Times New Roman"/>
                <w:sz w:val="18"/>
                <w:szCs w:val="20"/>
              </w:rPr>
              <w:t>Nodarbinātība (tūkst. iedzīvotāju</w:t>
            </w:r>
            <w:r w:rsidRPr="00D8017D">
              <w:rPr>
                <w:rFonts w:eastAsia="Times New Roman" w:cs="Times New Roman"/>
                <w:sz w:val="18"/>
                <w:szCs w:val="20"/>
              </w:rPr>
              <w:br/>
              <w:t>atbilstoši darbaspēka apsekojumiem)</w:t>
            </w:r>
          </w:p>
        </w:tc>
        <w:tc>
          <w:tcPr>
            <w:tcW w:w="86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026B2291"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877</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319B80A"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875</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CB64DA5"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872</w:t>
            </w:r>
          </w:p>
        </w:tc>
        <w:tc>
          <w:tcPr>
            <w:tcW w:w="86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8CDA702"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869</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48CB923"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864</w:t>
            </w:r>
          </w:p>
        </w:tc>
      </w:tr>
      <w:tr w:rsidR="00751953" w:rsidRPr="00D8017D" w14:paraId="72D596B9" w14:textId="77777777" w:rsidTr="00141289">
        <w:trPr>
          <w:trHeight w:val="300"/>
          <w:jc w:val="center"/>
        </w:trPr>
        <w:tc>
          <w:tcPr>
            <w:tcW w:w="3085" w:type="dxa"/>
            <w:noWrap/>
            <w:vAlign w:val="center"/>
            <w:hideMark/>
          </w:tcPr>
          <w:p w14:paraId="11A14C5E" w14:textId="77777777" w:rsidR="00751953" w:rsidRPr="00D8017D" w:rsidRDefault="00751953" w:rsidP="00751953">
            <w:pPr>
              <w:spacing w:after="0"/>
              <w:ind w:left="174" w:firstLine="0"/>
              <w:jc w:val="left"/>
              <w:rPr>
                <w:rFonts w:eastAsia="Times New Roman" w:cs="Times New Roman"/>
                <w:sz w:val="18"/>
                <w:szCs w:val="20"/>
              </w:rPr>
            </w:pPr>
            <w:r w:rsidRPr="00D8017D">
              <w:rPr>
                <w:rFonts w:eastAsia="Times New Roman" w:cs="Times New Roman"/>
                <w:sz w:val="18"/>
                <w:szCs w:val="20"/>
              </w:rPr>
              <w:t>pieaugums (%)</w:t>
            </w:r>
          </w:p>
        </w:tc>
        <w:tc>
          <w:tcPr>
            <w:tcW w:w="86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73FB7954"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-0,8</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16A7ACA"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-0,3</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CF540D2"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-0,3</w:t>
            </w:r>
          </w:p>
        </w:tc>
        <w:tc>
          <w:tcPr>
            <w:tcW w:w="86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7C47CED"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-0,4</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7F95243"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-0,5</w:t>
            </w:r>
          </w:p>
        </w:tc>
      </w:tr>
      <w:tr w:rsidR="00751953" w:rsidRPr="00D8017D" w14:paraId="2D737F28" w14:textId="77777777" w:rsidTr="00141289">
        <w:trPr>
          <w:trHeight w:val="300"/>
          <w:jc w:val="center"/>
        </w:trPr>
        <w:tc>
          <w:tcPr>
            <w:tcW w:w="3085" w:type="dxa"/>
            <w:noWrap/>
            <w:vAlign w:val="center"/>
            <w:hideMark/>
          </w:tcPr>
          <w:p w14:paraId="070434DE" w14:textId="77777777" w:rsidR="00751953" w:rsidRPr="00D8017D" w:rsidRDefault="00751953" w:rsidP="00751953">
            <w:pPr>
              <w:spacing w:after="0"/>
              <w:ind w:firstLine="0"/>
              <w:jc w:val="left"/>
              <w:rPr>
                <w:rFonts w:eastAsia="Times New Roman" w:cs="Times New Roman"/>
                <w:sz w:val="18"/>
                <w:szCs w:val="20"/>
              </w:rPr>
            </w:pPr>
            <w:r w:rsidRPr="00D8017D">
              <w:rPr>
                <w:rFonts w:eastAsia="Times New Roman" w:cs="Times New Roman"/>
                <w:sz w:val="18"/>
                <w:szCs w:val="20"/>
              </w:rPr>
              <w:t xml:space="preserve">Bezdarba līmenis (gada vidējais, </w:t>
            </w:r>
            <w:r w:rsidRPr="00D8017D">
              <w:rPr>
                <w:rFonts w:eastAsia="Times New Roman" w:cs="Times New Roman"/>
                <w:sz w:val="18"/>
                <w:szCs w:val="20"/>
              </w:rPr>
              <w:br/>
              <w:t>% no ekon. aktīviem iedzīv.)</w:t>
            </w:r>
          </w:p>
        </w:tc>
        <w:tc>
          <w:tcPr>
            <w:tcW w:w="86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476CCD4A"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6,9</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40C62E8"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7,0</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A3B1BA5"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6,5</w:t>
            </w:r>
          </w:p>
        </w:tc>
        <w:tc>
          <w:tcPr>
            <w:tcW w:w="86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8A08014"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6,1</w:t>
            </w:r>
          </w:p>
        </w:tc>
        <w:tc>
          <w:tcPr>
            <w:tcW w:w="86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05E51C3" w14:textId="77777777" w:rsidR="00751953" w:rsidRPr="00D8017D" w:rsidRDefault="00751953" w:rsidP="00751953">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5,8</w:t>
            </w:r>
          </w:p>
        </w:tc>
      </w:tr>
    </w:tbl>
    <w:p w14:paraId="36CD2923" w14:textId="77777777" w:rsidR="00E96BB6" w:rsidRPr="00D8017D" w:rsidRDefault="00E96BB6" w:rsidP="000C4293">
      <w:pPr>
        <w:spacing w:after="0"/>
        <w:ind w:firstLine="0"/>
        <w:jc w:val="right"/>
        <w:rPr>
          <w:rFonts w:eastAsia="Calibri" w:cs="Times New Roman"/>
          <w:b/>
          <w:i/>
          <w:szCs w:val="24"/>
          <w:highlight w:val="lightGray"/>
          <w:lang w:eastAsia="en-US"/>
        </w:rPr>
      </w:pPr>
    </w:p>
    <w:bookmarkEnd w:id="33"/>
    <w:p w14:paraId="296047A2" w14:textId="77777777" w:rsidR="000C4293" w:rsidRPr="00E96BB6" w:rsidRDefault="000C4293" w:rsidP="000C4293">
      <w:pPr>
        <w:autoSpaceDE w:val="0"/>
        <w:autoSpaceDN w:val="0"/>
        <w:adjustRightInd w:val="0"/>
        <w:spacing w:after="240"/>
        <w:ind w:firstLine="0"/>
        <w:jc w:val="center"/>
        <w:rPr>
          <w:rFonts w:eastAsia="Times New Roman" w:cs="Times New Roman"/>
          <w:b/>
          <w:color w:val="000000"/>
          <w:sz w:val="28"/>
          <w:szCs w:val="32"/>
        </w:rPr>
      </w:pPr>
      <w:r w:rsidRPr="00E96BB6">
        <w:rPr>
          <w:rFonts w:eastAsia="Times New Roman" w:cs="Times New Roman"/>
          <w:b/>
          <w:color w:val="000000"/>
          <w:sz w:val="28"/>
          <w:szCs w:val="32"/>
        </w:rPr>
        <w:t>Ietekme uz vispārējās valdības budžetu un parādu</w:t>
      </w:r>
    </w:p>
    <w:p w14:paraId="6DA8D3A3" w14:textId="77777777" w:rsidR="000C4293" w:rsidRPr="00E96BB6" w:rsidRDefault="000C4293" w:rsidP="000C4293">
      <w:pPr>
        <w:rPr>
          <w:noProof/>
          <w:szCs w:val="24"/>
        </w:rPr>
      </w:pPr>
      <w:r w:rsidRPr="00E96BB6">
        <w:rPr>
          <w:noProof/>
          <w:color w:val="000000" w:themeColor="text1"/>
        </w:rPr>
        <w:t xml:space="preserve">Ņemot vērā makroekonomiskās attīstības pesimistisko scenāriju, FM ir novērtējusi šī scenārija ietekmi uz vispārējās valdības budžeta bilanci, novērtējot izmaiņas nodokļu un nenodokļu ieņēmumos, kā arī valsts speciālā budžeta izdevumos un valsts parāda apkalpošanas (procentu) izdevumos salīdzinājumā ar bāzes scenāriju. </w:t>
      </w:r>
      <w:r w:rsidRPr="00E96BB6">
        <w:rPr>
          <w:noProof/>
          <w:szCs w:val="24"/>
        </w:rPr>
        <w:t>Rezultātā kopbudžeta nodokļu ieņēmumi, salīdzinot ar bāzes scenāriju 202</w:t>
      </w:r>
      <w:r>
        <w:rPr>
          <w:noProof/>
          <w:szCs w:val="24"/>
        </w:rPr>
        <w:t>6</w:t>
      </w:r>
      <w:r w:rsidRPr="00E96BB6">
        <w:rPr>
          <w:noProof/>
          <w:szCs w:val="24"/>
        </w:rPr>
        <w:t xml:space="preserve">.-2028. gadam, pēc naudas plūsmas tiek prognozēti ar samazinājumu </w:t>
      </w:r>
      <w:r w:rsidRPr="001C0357">
        <w:rPr>
          <w:noProof/>
          <w:szCs w:val="24"/>
        </w:rPr>
        <w:t>218,4 milj. </w:t>
      </w:r>
      <w:r w:rsidRPr="001C0357">
        <w:rPr>
          <w:i/>
          <w:iCs/>
          <w:noProof/>
          <w:szCs w:val="24"/>
        </w:rPr>
        <w:t>euro</w:t>
      </w:r>
      <w:r w:rsidRPr="001C0357">
        <w:rPr>
          <w:noProof/>
          <w:szCs w:val="24"/>
        </w:rPr>
        <w:t xml:space="preserve"> 2026. gadā, 242,5 milj. </w:t>
      </w:r>
      <w:r w:rsidRPr="001C0357">
        <w:rPr>
          <w:i/>
          <w:iCs/>
          <w:noProof/>
          <w:szCs w:val="24"/>
        </w:rPr>
        <w:t>euro</w:t>
      </w:r>
      <w:r w:rsidRPr="001C0357">
        <w:rPr>
          <w:noProof/>
          <w:szCs w:val="24"/>
        </w:rPr>
        <w:t xml:space="preserve"> 2027. gadā</w:t>
      </w:r>
      <w:r>
        <w:rPr>
          <w:noProof/>
          <w:szCs w:val="24"/>
        </w:rPr>
        <w:t xml:space="preserve"> un </w:t>
      </w:r>
      <w:r w:rsidRPr="001C0357">
        <w:rPr>
          <w:noProof/>
          <w:szCs w:val="24"/>
        </w:rPr>
        <w:t>254,3 milj. </w:t>
      </w:r>
      <w:r w:rsidRPr="001C0357">
        <w:rPr>
          <w:i/>
          <w:iCs/>
          <w:noProof/>
          <w:szCs w:val="24"/>
        </w:rPr>
        <w:t>euro</w:t>
      </w:r>
      <w:r w:rsidRPr="001C0357">
        <w:rPr>
          <w:noProof/>
          <w:szCs w:val="24"/>
        </w:rPr>
        <w:t xml:space="preserve"> 2028. gadā</w:t>
      </w:r>
      <w:r w:rsidRPr="00E96BB6">
        <w:rPr>
          <w:noProof/>
          <w:szCs w:val="24"/>
        </w:rPr>
        <w:t xml:space="preserve">, vadoties pēc pesimistiskā scenārijā iezīmētājām tautsaimniecības attīstības tendencēm. </w:t>
      </w:r>
    </w:p>
    <w:p w14:paraId="00CC007E" w14:textId="77777777" w:rsidR="000C4293" w:rsidRPr="00E96BB6" w:rsidRDefault="000C4293" w:rsidP="000C4293">
      <w:pPr>
        <w:autoSpaceDE w:val="0"/>
        <w:autoSpaceDN w:val="0"/>
        <w:adjustRightInd w:val="0"/>
        <w:spacing w:before="120"/>
        <w:rPr>
          <w:rFonts w:eastAsia="Times New Roman" w:cs="Times New Roman"/>
          <w:noProof/>
          <w:szCs w:val="24"/>
        </w:rPr>
      </w:pPr>
      <w:r w:rsidRPr="00E96BB6">
        <w:rPr>
          <w:rFonts w:eastAsia="Times New Roman" w:cs="Times New Roman"/>
          <w:noProof/>
          <w:szCs w:val="24"/>
        </w:rPr>
        <w:t>Īstenojoties pesimistiskajam scenārijam, 202</w:t>
      </w:r>
      <w:r>
        <w:rPr>
          <w:rFonts w:eastAsia="Times New Roman" w:cs="Times New Roman"/>
          <w:noProof/>
          <w:szCs w:val="24"/>
        </w:rPr>
        <w:t>6</w:t>
      </w:r>
      <w:r w:rsidRPr="00E96BB6">
        <w:rPr>
          <w:rFonts w:eastAsia="Times New Roman" w:cs="Times New Roman"/>
          <w:noProof/>
          <w:szCs w:val="24"/>
        </w:rPr>
        <w:t xml:space="preserve">. -2028. gadā vispārējās valdības budžeta deficīts tiek prognozēts </w:t>
      </w:r>
      <w:r w:rsidRPr="00FB28E7">
        <w:rPr>
          <w:rFonts w:eastAsia="Times New Roman" w:cs="Times New Roman"/>
          <w:noProof/>
          <w:szCs w:val="24"/>
        </w:rPr>
        <w:t xml:space="preserve">attiecīgi 3,9% no IKP 2026. gadā, 4,5% no IKP 2027. gadā, un 4,2% no IKP 2028. gadā. Pie šī scenārija </w:t>
      </w:r>
      <w:r w:rsidRPr="00E96BB6">
        <w:rPr>
          <w:rFonts w:eastAsia="Times New Roman" w:cs="Times New Roman"/>
          <w:noProof/>
          <w:szCs w:val="24"/>
        </w:rPr>
        <w:t>bilances pasliktināšanos galvenokārt nosaka zemāki kopbudžeta nodokļu ieņēmumi un augstāki izdevumi procentu izdevumiem, kamēr speciālā budžeta pabalstu izdevumi prognozēti zemākā apmērā kā bāzes scenārijā.</w:t>
      </w:r>
    </w:p>
    <w:p w14:paraId="2D3B8105" w14:textId="760CFE9D" w:rsidR="000C4293" w:rsidRPr="00E96BB6" w:rsidRDefault="000C4293" w:rsidP="000C4293">
      <w:pPr>
        <w:spacing w:before="240"/>
        <w:ind w:firstLine="0"/>
        <w:jc w:val="right"/>
        <w:rPr>
          <w:rFonts w:eastAsia="Calibri" w:cs="Times New Roman"/>
          <w:b/>
          <w:i/>
          <w:noProof/>
          <w:szCs w:val="24"/>
          <w:lang w:eastAsia="en-US"/>
        </w:rPr>
      </w:pPr>
      <w:r w:rsidRPr="000C4293">
        <w:rPr>
          <w:rFonts w:eastAsia="Calibri" w:cs="Times New Roman"/>
          <w:b/>
          <w:i/>
          <w:szCs w:val="24"/>
          <w:lang w:eastAsia="en-US"/>
        </w:rPr>
        <w:t>1.</w:t>
      </w:r>
      <w:r w:rsidR="00926C33">
        <w:rPr>
          <w:rFonts w:eastAsia="Calibri" w:cs="Times New Roman"/>
          <w:b/>
          <w:i/>
          <w:szCs w:val="24"/>
          <w:lang w:eastAsia="en-US"/>
        </w:rPr>
        <w:t>6</w:t>
      </w:r>
      <w:r w:rsidRPr="000C4293">
        <w:rPr>
          <w:rFonts w:eastAsia="Calibri" w:cs="Times New Roman"/>
          <w:b/>
          <w:i/>
          <w:szCs w:val="24"/>
          <w:lang w:eastAsia="en-US"/>
        </w:rPr>
        <w:t>.</w:t>
      </w:r>
      <w:r w:rsidRPr="00E96BB6">
        <w:rPr>
          <w:rFonts w:eastAsia="Calibri" w:cs="Times New Roman"/>
          <w:b/>
          <w:i/>
          <w:szCs w:val="24"/>
          <w:lang w:eastAsia="en-US"/>
        </w:rPr>
        <w:t xml:space="preserve"> tabula. Pesimistiskā scenārija ietekme uz vispārējās valdības budžetu, </w:t>
      </w:r>
      <w:r w:rsidRPr="00E96BB6">
        <w:rPr>
          <w:rFonts w:eastAsia="Calibri" w:cs="Times New Roman"/>
          <w:b/>
          <w:i/>
          <w:noProof/>
          <w:szCs w:val="24"/>
          <w:lang w:eastAsia="en-US"/>
        </w:rPr>
        <w:t>milj. euro</w:t>
      </w:r>
    </w:p>
    <w:tbl>
      <w:tblPr>
        <w:tblW w:w="9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943"/>
        <w:gridCol w:w="943"/>
        <w:gridCol w:w="943"/>
        <w:gridCol w:w="943"/>
        <w:gridCol w:w="943"/>
        <w:gridCol w:w="943"/>
      </w:tblGrid>
      <w:tr w:rsidR="000C4293" w:rsidRPr="00E96BB6" w14:paraId="709CB078" w14:textId="77777777" w:rsidTr="00C217B4">
        <w:trPr>
          <w:trHeight w:val="225"/>
          <w:tblHeader/>
          <w:jc w:val="center"/>
        </w:trPr>
        <w:tc>
          <w:tcPr>
            <w:tcW w:w="3422" w:type="dxa"/>
            <w:shd w:val="clear" w:color="auto" w:fill="BDD6EE" w:themeFill="accent1" w:themeFillTint="66"/>
            <w:vAlign w:val="center"/>
          </w:tcPr>
          <w:p w14:paraId="5ED16CD7" w14:textId="77777777" w:rsidR="000C4293" w:rsidRPr="00E96BB6" w:rsidRDefault="000C4293" w:rsidP="00C217B4">
            <w:pPr>
              <w:spacing w:after="0"/>
              <w:ind w:firstLine="0"/>
              <w:rPr>
                <w:rFonts w:cs="Times New Roman"/>
                <w:noProof/>
                <w:sz w:val="20"/>
                <w:szCs w:val="20"/>
              </w:rPr>
            </w:pPr>
          </w:p>
        </w:tc>
        <w:tc>
          <w:tcPr>
            <w:tcW w:w="2829" w:type="dxa"/>
            <w:gridSpan w:val="3"/>
            <w:shd w:val="clear" w:color="auto" w:fill="BDD6EE" w:themeFill="accent1" w:themeFillTint="66"/>
            <w:tcMar>
              <w:left w:w="57" w:type="dxa"/>
              <w:right w:w="57" w:type="dxa"/>
            </w:tcMar>
            <w:vAlign w:val="center"/>
          </w:tcPr>
          <w:p w14:paraId="23495926" w14:textId="77777777" w:rsidR="000C4293" w:rsidRPr="00E96BB6" w:rsidRDefault="000C4293" w:rsidP="00C217B4">
            <w:pPr>
              <w:spacing w:after="0"/>
              <w:ind w:firstLine="0"/>
              <w:jc w:val="center"/>
              <w:rPr>
                <w:rFonts w:cs="Times New Roman"/>
                <w:b/>
                <w:bCs/>
                <w:noProof/>
                <w:sz w:val="20"/>
                <w:szCs w:val="20"/>
              </w:rPr>
            </w:pPr>
            <w:r>
              <w:rPr>
                <w:rFonts w:cs="Times New Roman"/>
                <w:b/>
                <w:bCs/>
                <w:noProof/>
                <w:sz w:val="20"/>
                <w:szCs w:val="20"/>
              </w:rPr>
              <w:t>Pesimistiskais scenārijs</w:t>
            </w:r>
          </w:p>
        </w:tc>
        <w:tc>
          <w:tcPr>
            <w:tcW w:w="2829" w:type="dxa"/>
            <w:gridSpan w:val="3"/>
            <w:shd w:val="clear" w:color="auto" w:fill="BDD6EE" w:themeFill="accent1" w:themeFillTint="66"/>
            <w:tcMar>
              <w:left w:w="57" w:type="dxa"/>
              <w:right w:w="57" w:type="dxa"/>
            </w:tcMar>
            <w:vAlign w:val="center"/>
          </w:tcPr>
          <w:p w14:paraId="4FEDCB4A" w14:textId="77777777" w:rsidR="000C4293" w:rsidRPr="00E96BB6" w:rsidRDefault="000C4293" w:rsidP="00C217B4">
            <w:pPr>
              <w:spacing w:after="0"/>
              <w:ind w:firstLine="0"/>
              <w:jc w:val="center"/>
              <w:rPr>
                <w:rFonts w:cs="Times New Roman"/>
                <w:b/>
                <w:bCs/>
                <w:noProof/>
                <w:sz w:val="20"/>
                <w:szCs w:val="20"/>
              </w:rPr>
            </w:pPr>
            <w:r>
              <w:rPr>
                <w:rFonts w:cs="Times New Roman"/>
                <w:b/>
                <w:bCs/>
                <w:noProof/>
                <w:sz w:val="20"/>
                <w:szCs w:val="20"/>
              </w:rPr>
              <w:t>Novirze no bāzes scenārija</w:t>
            </w:r>
          </w:p>
        </w:tc>
      </w:tr>
      <w:tr w:rsidR="000C4293" w:rsidRPr="00E96BB6" w14:paraId="740FE85B" w14:textId="77777777" w:rsidTr="00C217B4">
        <w:trPr>
          <w:trHeight w:val="225"/>
          <w:tblHeader/>
          <w:jc w:val="center"/>
        </w:trPr>
        <w:tc>
          <w:tcPr>
            <w:tcW w:w="3422" w:type="dxa"/>
            <w:shd w:val="clear" w:color="auto" w:fill="BDD6EE" w:themeFill="accent1" w:themeFillTint="66"/>
            <w:vAlign w:val="center"/>
            <w:hideMark/>
          </w:tcPr>
          <w:p w14:paraId="462ADC96" w14:textId="77777777" w:rsidR="000C4293" w:rsidRPr="00E96BB6" w:rsidRDefault="000C4293" w:rsidP="00C217B4">
            <w:pPr>
              <w:spacing w:after="0"/>
              <w:ind w:firstLine="0"/>
              <w:rPr>
                <w:rFonts w:cs="Times New Roman"/>
                <w:noProof/>
                <w:sz w:val="20"/>
                <w:szCs w:val="20"/>
              </w:rPr>
            </w:pPr>
          </w:p>
        </w:tc>
        <w:tc>
          <w:tcPr>
            <w:tcW w:w="943" w:type="dxa"/>
            <w:shd w:val="clear" w:color="auto" w:fill="BDD6EE" w:themeFill="accent1" w:themeFillTint="66"/>
            <w:tcMar>
              <w:left w:w="57" w:type="dxa"/>
              <w:right w:w="57" w:type="dxa"/>
            </w:tcMar>
            <w:vAlign w:val="center"/>
          </w:tcPr>
          <w:p w14:paraId="755D3D08" w14:textId="77777777" w:rsidR="000C4293" w:rsidRPr="00E96BB6" w:rsidRDefault="000C4293" w:rsidP="00C217B4">
            <w:pPr>
              <w:spacing w:after="0"/>
              <w:ind w:firstLine="0"/>
              <w:jc w:val="center"/>
              <w:rPr>
                <w:rFonts w:cs="Times New Roman"/>
                <w:b/>
                <w:bCs/>
                <w:noProof/>
                <w:sz w:val="20"/>
                <w:szCs w:val="20"/>
              </w:rPr>
            </w:pPr>
            <w:r w:rsidRPr="00E96BB6">
              <w:rPr>
                <w:rFonts w:cs="Times New Roman"/>
                <w:b/>
                <w:bCs/>
                <w:noProof/>
                <w:sz w:val="20"/>
                <w:szCs w:val="20"/>
              </w:rPr>
              <w:t>202</w:t>
            </w:r>
            <w:r>
              <w:rPr>
                <w:rFonts w:cs="Times New Roman"/>
                <w:b/>
                <w:bCs/>
                <w:noProof/>
                <w:sz w:val="20"/>
                <w:szCs w:val="20"/>
              </w:rPr>
              <w:t>6</w:t>
            </w:r>
          </w:p>
        </w:tc>
        <w:tc>
          <w:tcPr>
            <w:tcW w:w="943" w:type="dxa"/>
            <w:shd w:val="clear" w:color="auto" w:fill="BDD6EE" w:themeFill="accent1" w:themeFillTint="66"/>
            <w:tcMar>
              <w:left w:w="57" w:type="dxa"/>
              <w:right w:w="57" w:type="dxa"/>
            </w:tcMar>
            <w:vAlign w:val="center"/>
          </w:tcPr>
          <w:p w14:paraId="14FB543E" w14:textId="77777777" w:rsidR="000C4293" w:rsidRPr="00E96BB6" w:rsidRDefault="000C4293" w:rsidP="00C217B4">
            <w:pPr>
              <w:spacing w:after="0"/>
              <w:ind w:firstLine="0"/>
              <w:jc w:val="center"/>
              <w:rPr>
                <w:rFonts w:cs="Times New Roman"/>
                <w:b/>
                <w:bCs/>
                <w:noProof/>
                <w:sz w:val="20"/>
                <w:szCs w:val="20"/>
              </w:rPr>
            </w:pPr>
            <w:r w:rsidRPr="00E96BB6">
              <w:rPr>
                <w:rFonts w:cs="Times New Roman"/>
                <w:b/>
                <w:bCs/>
                <w:noProof/>
                <w:sz w:val="20"/>
                <w:szCs w:val="20"/>
              </w:rPr>
              <w:t>202</w:t>
            </w:r>
            <w:r>
              <w:rPr>
                <w:rFonts w:cs="Times New Roman"/>
                <w:b/>
                <w:bCs/>
                <w:noProof/>
                <w:sz w:val="20"/>
                <w:szCs w:val="20"/>
              </w:rPr>
              <w:t>7</w:t>
            </w:r>
          </w:p>
        </w:tc>
        <w:tc>
          <w:tcPr>
            <w:tcW w:w="943" w:type="dxa"/>
            <w:shd w:val="clear" w:color="auto" w:fill="BDD6EE" w:themeFill="accent1" w:themeFillTint="66"/>
            <w:tcMar>
              <w:left w:w="57" w:type="dxa"/>
              <w:right w:w="57" w:type="dxa"/>
            </w:tcMar>
            <w:vAlign w:val="center"/>
          </w:tcPr>
          <w:p w14:paraId="08DB9D94" w14:textId="77777777" w:rsidR="000C4293" w:rsidRPr="00E96BB6" w:rsidRDefault="000C4293" w:rsidP="00C217B4">
            <w:pPr>
              <w:spacing w:after="0"/>
              <w:ind w:firstLine="0"/>
              <w:jc w:val="center"/>
              <w:rPr>
                <w:rFonts w:cs="Times New Roman"/>
                <w:b/>
                <w:bCs/>
                <w:noProof/>
                <w:sz w:val="20"/>
                <w:szCs w:val="20"/>
              </w:rPr>
            </w:pPr>
            <w:r w:rsidRPr="00E96BB6">
              <w:rPr>
                <w:rFonts w:cs="Times New Roman"/>
                <w:b/>
                <w:bCs/>
                <w:noProof/>
                <w:sz w:val="20"/>
                <w:szCs w:val="20"/>
              </w:rPr>
              <w:t>202</w:t>
            </w:r>
            <w:r>
              <w:rPr>
                <w:rFonts w:cs="Times New Roman"/>
                <w:b/>
                <w:bCs/>
                <w:noProof/>
                <w:sz w:val="20"/>
                <w:szCs w:val="20"/>
              </w:rPr>
              <w:t>8</w:t>
            </w:r>
          </w:p>
        </w:tc>
        <w:tc>
          <w:tcPr>
            <w:tcW w:w="943" w:type="dxa"/>
            <w:shd w:val="clear" w:color="auto" w:fill="BDD6EE" w:themeFill="accent1" w:themeFillTint="66"/>
            <w:tcMar>
              <w:left w:w="57" w:type="dxa"/>
              <w:right w:w="57" w:type="dxa"/>
            </w:tcMar>
            <w:vAlign w:val="center"/>
            <w:hideMark/>
          </w:tcPr>
          <w:p w14:paraId="6C38DC14" w14:textId="77777777" w:rsidR="000C4293" w:rsidRPr="00E96BB6" w:rsidRDefault="000C4293" w:rsidP="00C217B4">
            <w:pPr>
              <w:spacing w:after="0"/>
              <w:ind w:firstLine="0"/>
              <w:jc w:val="center"/>
              <w:rPr>
                <w:rFonts w:cs="Times New Roman"/>
                <w:b/>
                <w:bCs/>
                <w:noProof/>
                <w:sz w:val="20"/>
                <w:szCs w:val="20"/>
              </w:rPr>
            </w:pPr>
            <w:r w:rsidRPr="00E96BB6">
              <w:rPr>
                <w:rFonts w:cs="Times New Roman"/>
                <w:b/>
                <w:bCs/>
                <w:noProof/>
                <w:sz w:val="20"/>
                <w:szCs w:val="20"/>
              </w:rPr>
              <w:t>202</w:t>
            </w:r>
            <w:r>
              <w:rPr>
                <w:rFonts w:cs="Times New Roman"/>
                <w:b/>
                <w:bCs/>
                <w:noProof/>
                <w:sz w:val="20"/>
                <w:szCs w:val="20"/>
              </w:rPr>
              <w:t>6</w:t>
            </w:r>
          </w:p>
        </w:tc>
        <w:tc>
          <w:tcPr>
            <w:tcW w:w="943" w:type="dxa"/>
            <w:shd w:val="clear" w:color="auto" w:fill="BDD6EE" w:themeFill="accent1" w:themeFillTint="66"/>
            <w:tcMar>
              <w:left w:w="57" w:type="dxa"/>
              <w:right w:w="57" w:type="dxa"/>
            </w:tcMar>
            <w:vAlign w:val="center"/>
            <w:hideMark/>
          </w:tcPr>
          <w:p w14:paraId="5C5FD6A3" w14:textId="77777777" w:rsidR="000C4293" w:rsidRPr="00E96BB6" w:rsidRDefault="000C4293" w:rsidP="00C217B4">
            <w:pPr>
              <w:spacing w:after="0"/>
              <w:ind w:firstLine="0"/>
              <w:jc w:val="center"/>
              <w:rPr>
                <w:rFonts w:cs="Times New Roman"/>
                <w:b/>
                <w:bCs/>
                <w:noProof/>
                <w:sz w:val="20"/>
                <w:szCs w:val="20"/>
              </w:rPr>
            </w:pPr>
            <w:r w:rsidRPr="00E96BB6">
              <w:rPr>
                <w:rFonts w:cs="Times New Roman"/>
                <w:b/>
                <w:bCs/>
                <w:noProof/>
                <w:sz w:val="20"/>
                <w:szCs w:val="20"/>
              </w:rPr>
              <w:t>202</w:t>
            </w:r>
            <w:r>
              <w:rPr>
                <w:rFonts w:cs="Times New Roman"/>
                <w:b/>
                <w:bCs/>
                <w:noProof/>
                <w:sz w:val="20"/>
                <w:szCs w:val="20"/>
              </w:rPr>
              <w:t>7</w:t>
            </w:r>
          </w:p>
        </w:tc>
        <w:tc>
          <w:tcPr>
            <w:tcW w:w="943" w:type="dxa"/>
            <w:shd w:val="clear" w:color="auto" w:fill="BDD6EE" w:themeFill="accent1" w:themeFillTint="66"/>
            <w:tcMar>
              <w:left w:w="57" w:type="dxa"/>
              <w:right w:w="57" w:type="dxa"/>
            </w:tcMar>
            <w:vAlign w:val="center"/>
          </w:tcPr>
          <w:p w14:paraId="63BA104B" w14:textId="77777777" w:rsidR="000C4293" w:rsidRPr="00E96BB6" w:rsidRDefault="000C4293" w:rsidP="00C217B4">
            <w:pPr>
              <w:spacing w:after="0"/>
              <w:ind w:firstLine="0"/>
              <w:jc w:val="center"/>
              <w:rPr>
                <w:rFonts w:cs="Times New Roman"/>
                <w:b/>
                <w:bCs/>
                <w:noProof/>
                <w:sz w:val="20"/>
                <w:szCs w:val="20"/>
              </w:rPr>
            </w:pPr>
            <w:r w:rsidRPr="00E96BB6">
              <w:rPr>
                <w:rFonts w:cs="Times New Roman"/>
                <w:b/>
                <w:bCs/>
                <w:noProof/>
                <w:sz w:val="20"/>
                <w:szCs w:val="20"/>
              </w:rPr>
              <w:t>202</w:t>
            </w:r>
            <w:r>
              <w:rPr>
                <w:rFonts w:cs="Times New Roman"/>
                <w:b/>
                <w:bCs/>
                <w:noProof/>
                <w:sz w:val="20"/>
                <w:szCs w:val="20"/>
              </w:rPr>
              <w:t>8</w:t>
            </w:r>
          </w:p>
        </w:tc>
      </w:tr>
      <w:tr w:rsidR="000C4293" w:rsidRPr="00E96BB6" w14:paraId="70EE8BD9" w14:textId="77777777" w:rsidTr="00C217B4">
        <w:trPr>
          <w:trHeight w:val="374"/>
          <w:jc w:val="center"/>
        </w:trPr>
        <w:tc>
          <w:tcPr>
            <w:tcW w:w="3422" w:type="dxa"/>
            <w:vAlign w:val="center"/>
          </w:tcPr>
          <w:p w14:paraId="2151E678" w14:textId="77777777" w:rsidR="000C4293" w:rsidRPr="00E96BB6" w:rsidRDefault="000C4293" w:rsidP="00C217B4">
            <w:pPr>
              <w:spacing w:after="0"/>
              <w:ind w:firstLine="0"/>
              <w:jc w:val="left"/>
              <w:rPr>
                <w:rFonts w:eastAsia="Times New Roman" w:cs="Times New Roman"/>
                <w:b/>
                <w:sz w:val="18"/>
                <w:szCs w:val="18"/>
              </w:rPr>
            </w:pPr>
            <w:r w:rsidRPr="00E96BB6">
              <w:rPr>
                <w:rFonts w:eastAsia="Times New Roman" w:cs="Times New Roman"/>
                <w:b/>
                <w:sz w:val="18"/>
                <w:szCs w:val="18"/>
              </w:rPr>
              <w:t>Vispārējās valdības budžeta bilance, % no IKP</w:t>
            </w:r>
          </w:p>
        </w:tc>
        <w:tc>
          <w:tcPr>
            <w:tcW w:w="943" w:type="dxa"/>
            <w:tcMar>
              <w:left w:w="57" w:type="dxa"/>
              <w:right w:w="57" w:type="dxa"/>
            </w:tcMar>
            <w:vAlign w:val="center"/>
          </w:tcPr>
          <w:p w14:paraId="5E03435D" w14:textId="77777777" w:rsidR="000C4293" w:rsidRPr="00B55A38" w:rsidRDefault="000C4293" w:rsidP="00C217B4">
            <w:pPr>
              <w:spacing w:after="0"/>
              <w:ind w:firstLine="0"/>
              <w:jc w:val="right"/>
              <w:rPr>
                <w:rFonts w:eastAsia="Times New Roman" w:cs="Times New Roman"/>
                <w:b/>
                <w:sz w:val="18"/>
                <w:szCs w:val="18"/>
              </w:rPr>
            </w:pPr>
            <w:r w:rsidRPr="00B55A38">
              <w:rPr>
                <w:rFonts w:eastAsia="Times New Roman" w:cs="Times New Roman"/>
                <w:b/>
                <w:sz w:val="18"/>
                <w:szCs w:val="18"/>
              </w:rPr>
              <w:t>-3,</w:t>
            </w:r>
            <w:r>
              <w:rPr>
                <w:rFonts w:eastAsia="Times New Roman" w:cs="Times New Roman"/>
                <w:b/>
                <w:sz w:val="18"/>
                <w:szCs w:val="18"/>
              </w:rPr>
              <w:t>9</w:t>
            </w:r>
            <w:r w:rsidRPr="00B55A38">
              <w:rPr>
                <w:rFonts w:eastAsia="Times New Roman" w:cs="Times New Roman"/>
                <w:b/>
                <w:sz w:val="18"/>
                <w:szCs w:val="18"/>
              </w:rPr>
              <w:t>%</w:t>
            </w:r>
          </w:p>
        </w:tc>
        <w:tc>
          <w:tcPr>
            <w:tcW w:w="943" w:type="dxa"/>
            <w:tcMar>
              <w:left w:w="57" w:type="dxa"/>
              <w:right w:w="57" w:type="dxa"/>
            </w:tcMar>
            <w:vAlign w:val="center"/>
          </w:tcPr>
          <w:p w14:paraId="3E3C2259" w14:textId="77777777" w:rsidR="000C4293" w:rsidRPr="00FB28E7" w:rsidRDefault="000C4293" w:rsidP="00C217B4">
            <w:pPr>
              <w:spacing w:after="0"/>
              <w:ind w:firstLine="0"/>
              <w:jc w:val="right"/>
              <w:rPr>
                <w:rFonts w:eastAsia="Times New Roman" w:cs="Times New Roman"/>
                <w:b/>
                <w:sz w:val="18"/>
                <w:szCs w:val="18"/>
              </w:rPr>
            </w:pPr>
            <w:r w:rsidRPr="00FB28E7">
              <w:rPr>
                <w:rFonts w:eastAsia="Times New Roman" w:cs="Times New Roman"/>
                <w:b/>
                <w:sz w:val="18"/>
                <w:szCs w:val="18"/>
              </w:rPr>
              <w:t>-4,5%</w:t>
            </w:r>
          </w:p>
        </w:tc>
        <w:tc>
          <w:tcPr>
            <w:tcW w:w="943" w:type="dxa"/>
            <w:tcMar>
              <w:left w:w="57" w:type="dxa"/>
              <w:right w:w="57" w:type="dxa"/>
            </w:tcMar>
            <w:vAlign w:val="center"/>
          </w:tcPr>
          <w:p w14:paraId="23FE88D3" w14:textId="77777777" w:rsidR="000C4293" w:rsidRPr="00FB28E7" w:rsidRDefault="000C4293" w:rsidP="00C217B4">
            <w:pPr>
              <w:spacing w:after="0"/>
              <w:ind w:firstLine="0"/>
              <w:jc w:val="right"/>
              <w:rPr>
                <w:rFonts w:eastAsia="Times New Roman" w:cs="Times New Roman"/>
                <w:b/>
                <w:sz w:val="18"/>
                <w:szCs w:val="18"/>
              </w:rPr>
            </w:pPr>
            <w:r w:rsidRPr="00FB28E7">
              <w:rPr>
                <w:rFonts w:eastAsia="Times New Roman" w:cs="Times New Roman"/>
                <w:b/>
                <w:sz w:val="18"/>
                <w:szCs w:val="18"/>
              </w:rPr>
              <w:t>-4,2%</w:t>
            </w:r>
          </w:p>
        </w:tc>
        <w:tc>
          <w:tcPr>
            <w:tcW w:w="943" w:type="dxa"/>
            <w:tcMar>
              <w:left w:w="57" w:type="dxa"/>
              <w:right w:w="57" w:type="dxa"/>
            </w:tcMar>
            <w:vAlign w:val="center"/>
          </w:tcPr>
          <w:p w14:paraId="76D3CDFB" w14:textId="77777777" w:rsidR="000C4293" w:rsidRPr="00FB28E7" w:rsidRDefault="000C4293" w:rsidP="00C217B4">
            <w:pPr>
              <w:spacing w:after="0"/>
              <w:ind w:firstLine="0"/>
              <w:jc w:val="right"/>
              <w:rPr>
                <w:rFonts w:eastAsia="Times New Roman" w:cs="Times New Roman"/>
                <w:b/>
                <w:noProof/>
                <w:sz w:val="18"/>
                <w:szCs w:val="18"/>
              </w:rPr>
            </w:pPr>
            <w:r w:rsidRPr="00FB28E7">
              <w:rPr>
                <w:rFonts w:eastAsia="Times New Roman" w:cs="Times New Roman"/>
                <w:b/>
                <w:noProof/>
                <w:sz w:val="18"/>
                <w:szCs w:val="18"/>
              </w:rPr>
              <w:t>-0,6 pp</w:t>
            </w:r>
          </w:p>
        </w:tc>
        <w:tc>
          <w:tcPr>
            <w:tcW w:w="943" w:type="dxa"/>
            <w:tcMar>
              <w:left w:w="57" w:type="dxa"/>
              <w:right w:w="57" w:type="dxa"/>
            </w:tcMar>
            <w:vAlign w:val="center"/>
          </w:tcPr>
          <w:p w14:paraId="36921364" w14:textId="77777777" w:rsidR="000C4293" w:rsidRPr="00FB28E7" w:rsidRDefault="000C4293" w:rsidP="00C217B4">
            <w:pPr>
              <w:spacing w:after="0" w:line="259" w:lineRule="auto"/>
              <w:ind w:firstLine="0"/>
              <w:jc w:val="right"/>
              <w:rPr>
                <w:rFonts w:eastAsia="Times New Roman" w:cs="Times New Roman"/>
                <w:b/>
                <w:noProof/>
                <w:sz w:val="18"/>
                <w:szCs w:val="18"/>
              </w:rPr>
            </w:pPr>
            <w:r w:rsidRPr="00FB28E7">
              <w:rPr>
                <w:rFonts w:eastAsia="Times New Roman" w:cs="Times New Roman"/>
                <w:b/>
                <w:noProof/>
                <w:sz w:val="18"/>
                <w:szCs w:val="18"/>
              </w:rPr>
              <w:t>-0,6 pp</w:t>
            </w:r>
          </w:p>
        </w:tc>
        <w:tc>
          <w:tcPr>
            <w:tcW w:w="943" w:type="dxa"/>
            <w:tcMar>
              <w:left w:w="57" w:type="dxa"/>
              <w:right w:w="57" w:type="dxa"/>
            </w:tcMar>
            <w:vAlign w:val="center"/>
          </w:tcPr>
          <w:p w14:paraId="1CFEAAE3" w14:textId="77777777" w:rsidR="000C4293" w:rsidRPr="00FB28E7" w:rsidRDefault="000C4293" w:rsidP="00C217B4">
            <w:pPr>
              <w:spacing w:after="0" w:line="259" w:lineRule="auto"/>
              <w:ind w:firstLine="0"/>
              <w:jc w:val="right"/>
              <w:rPr>
                <w:rFonts w:eastAsia="Times New Roman" w:cs="Times New Roman"/>
                <w:b/>
                <w:noProof/>
                <w:sz w:val="18"/>
                <w:szCs w:val="18"/>
              </w:rPr>
            </w:pPr>
            <w:r w:rsidRPr="00FB28E7">
              <w:rPr>
                <w:rFonts w:eastAsia="Times New Roman" w:cs="Times New Roman"/>
                <w:b/>
                <w:noProof/>
                <w:sz w:val="18"/>
                <w:szCs w:val="18"/>
              </w:rPr>
              <w:t>-0,6 pp</w:t>
            </w:r>
          </w:p>
        </w:tc>
      </w:tr>
      <w:tr w:rsidR="000C4293" w:rsidRPr="00E96BB6" w14:paraId="788116D3" w14:textId="77777777" w:rsidTr="00C217B4">
        <w:trPr>
          <w:trHeight w:val="189"/>
          <w:jc w:val="center"/>
        </w:trPr>
        <w:tc>
          <w:tcPr>
            <w:tcW w:w="3422" w:type="dxa"/>
            <w:vAlign w:val="center"/>
          </w:tcPr>
          <w:p w14:paraId="0A77E551" w14:textId="77777777" w:rsidR="000C4293" w:rsidRPr="00E96BB6" w:rsidRDefault="000C4293" w:rsidP="00C217B4">
            <w:pPr>
              <w:spacing w:after="0"/>
              <w:ind w:firstLine="0"/>
              <w:jc w:val="left"/>
              <w:rPr>
                <w:rFonts w:eastAsia="Times New Roman" w:cs="Times New Roman"/>
                <w:sz w:val="18"/>
                <w:szCs w:val="18"/>
              </w:rPr>
            </w:pPr>
            <w:r w:rsidRPr="00E96BB6">
              <w:rPr>
                <w:rFonts w:eastAsia="Times New Roman" w:cs="Times New Roman"/>
                <w:sz w:val="18"/>
                <w:szCs w:val="18"/>
              </w:rPr>
              <w:t>Vispārējās valdības budžeta bilance</w:t>
            </w:r>
          </w:p>
        </w:tc>
        <w:tc>
          <w:tcPr>
            <w:tcW w:w="943" w:type="dxa"/>
            <w:tcMar>
              <w:left w:w="57" w:type="dxa"/>
              <w:right w:w="57" w:type="dxa"/>
            </w:tcMar>
            <w:vAlign w:val="bottom"/>
          </w:tcPr>
          <w:p w14:paraId="34A5140A"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-1 681,9</w:t>
            </w:r>
          </w:p>
        </w:tc>
        <w:tc>
          <w:tcPr>
            <w:tcW w:w="943" w:type="dxa"/>
            <w:tcMar>
              <w:left w:w="57" w:type="dxa"/>
              <w:right w:w="57" w:type="dxa"/>
            </w:tcMar>
            <w:vAlign w:val="bottom"/>
          </w:tcPr>
          <w:p w14:paraId="3BFEA5A4"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-2 023,0</w:t>
            </w:r>
          </w:p>
        </w:tc>
        <w:tc>
          <w:tcPr>
            <w:tcW w:w="943" w:type="dxa"/>
            <w:tcMar>
              <w:left w:w="57" w:type="dxa"/>
              <w:right w:w="57" w:type="dxa"/>
            </w:tcMar>
            <w:vAlign w:val="bottom"/>
          </w:tcPr>
          <w:p w14:paraId="33254E89"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-1 971,0</w:t>
            </w:r>
          </w:p>
        </w:tc>
        <w:tc>
          <w:tcPr>
            <w:tcW w:w="943" w:type="dxa"/>
            <w:tcMar>
              <w:left w:w="57" w:type="dxa"/>
              <w:right w:w="57" w:type="dxa"/>
            </w:tcMar>
            <w:vAlign w:val="bottom"/>
          </w:tcPr>
          <w:p w14:paraId="39429BF6" w14:textId="77777777" w:rsidR="000C4293" w:rsidRPr="00BE1286" w:rsidRDefault="000C4293" w:rsidP="00C217B4">
            <w:pPr>
              <w:spacing w:after="0"/>
              <w:ind w:firstLine="0"/>
              <w:jc w:val="right"/>
              <w:rPr>
                <w:rFonts w:eastAsia="Times New Roman" w:cs="Times New Roman"/>
                <w:noProof/>
                <w:color w:val="EE0000"/>
                <w:sz w:val="18"/>
                <w:szCs w:val="18"/>
              </w:rPr>
            </w:pPr>
            <w:r w:rsidRPr="00BE1286">
              <w:rPr>
                <w:rFonts w:cs="Times New Roman"/>
                <w:color w:val="000000"/>
                <w:sz w:val="18"/>
                <w:szCs w:val="18"/>
              </w:rPr>
              <w:t>-214,9</w:t>
            </w:r>
          </w:p>
        </w:tc>
        <w:tc>
          <w:tcPr>
            <w:tcW w:w="943" w:type="dxa"/>
            <w:tcMar>
              <w:left w:w="57" w:type="dxa"/>
              <w:right w:w="57" w:type="dxa"/>
            </w:tcMar>
            <w:vAlign w:val="bottom"/>
          </w:tcPr>
          <w:p w14:paraId="4B65FD11" w14:textId="77777777" w:rsidR="000C4293" w:rsidRPr="00BE1286" w:rsidRDefault="000C4293" w:rsidP="00C217B4">
            <w:pPr>
              <w:spacing w:after="0" w:line="259" w:lineRule="auto"/>
              <w:ind w:firstLine="0"/>
              <w:jc w:val="right"/>
              <w:rPr>
                <w:rFonts w:eastAsia="Times New Roman" w:cs="Times New Roman"/>
                <w:noProof/>
                <w:color w:val="EE0000"/>
                <w:sz w:val="18"/>
                <w:szCs w:val="18"/>
              </w:rPr>
            </w:pPr>
            <w:r w:rsidRPr="00BE1286">
              <w:rPr>
                <w:rFonts w:cs="Times New Roman"/>
                <w:color w:val="000000"/>
                <w:sz w:val="18"/>
                <w:szCs w:val="18"/>
              </w:rPr>
              <w:t>-238,7</w:t>
            </w:r>
          </w:p>
        </w:tc>
        <w:tc>
          <w:tcPr>
            <w:tcW w:w="943" w:type="dxa"/>
            <w:tcMar>
              <w:left w:w="57" w:type="dxa"/>
              <w:right w:w="57" w:type="dxa"/>
            </w:tcMar>
            <w:vAlign w:val="bottom"/>
          </w:tcPr>
          <w:p w14:paraId="22AA40B5" w14:textId="77777777" w:rsidR="000C4293" w:rsidRPr="00BE1286" w:rsidRDefault="000C4293" w:rsidP="00C217B4">
            <w:pPr>
              <w:spacing w:after="0" w:line="259" w:lineRule="auto"/>
              <w:ind w:firstLine="0"/>
              <w:jc w:val="right"/>
              <w:rPr>
                <w:rFonts w:eastAsia="Times New Roman" w:cs="Times New Roman"/>
                <w:noProof/>
                <w:color w:val="EE0000"/>
                <w:sz w:val="18"/>
                <w:szCs w:val="18"/>
              </w:rPr>
            </w:pPr>
            <w:r w:rsidRPr="00BE1286">
              <w:rPr>
                <w:rFonts w:cs="Times New Roman"/>
                <w:color w:val="000000"/>
                <w:sz w:val="18"/>
                <w:szCs w:val="18"/>
              </w:rPr>
              <w:t>-253,7</w:t>
            </w:r>
          </w:p>
        </w:tc>
      </w:tr>
      <w:tr w:rsidR="000C4293" w:rsidRPr="00E96BB6" w14:paraId="08CAE9E0" w14:textId="77777777" w:rsidTr="00C217B4">
        <w:trPr>
          <w:trHeight w:val="235"/>
          <w:jc w:val="center"/>
        </w:trPr>
        <w:tc>
          <w:tcPr>
            <w:tcW w:w="3422" w:type="dxa"/>
            <w:vAlign w:val="center"/>
          </w:tcPr>
          <w:p w14:paraId="0B5589E7" w14:textId="77777777" w:rsidR="000C4293" w:rsidRPr="00E96BB6" w:rsidRDefault="000C4293" w:rsidP="00C217B4">
            <w:pPr>
              <w:spacing w:after="0"/>
              <w:ind w:left="166" w:firstLine="0"/>
              <w:jc w:val="left"/>
              <w:rPr>
                <w:rFonts w:eastAsia="Times New Roman" w:cs="Times New Roman"/>
                <w:color w:val="FF0000"/>
                <w:sz w:val="18"/>
                <w:szCs w:val="18"/>
              </w:rPr>
            </w:pPr>
            <w:r w:rsidRPr="00E96BB6">
              <w:rPr>
                <w:rFonts w:eastAsia="Times New Roman" w:cs="Times New Roman"/>
                <w:sz w:val="18"/>
                <w:szCs w:val="18"/>
              </w:rPr>
              <w:t>Nodokļu ieņēmumi</w:t>
            </w:r>
          </w:p>
        </w:tc>
        <w:tc>
          <w:tcPr>
            <w:tcW w:w="943" w:type="dxa"/>
            <w:tcMar>
              <w:left w:w="57" w:type="dxa"/>
              <w:right w:w="57" w:type="dxa"/>
            </w:tcMar>
            <w:vAlign w:val="bottom"/>
          </w:tcPr>
          <w:p w14:paraId="6B981019"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15 001,4</w:t>
            </w:r>
          </w:p>
        </w:tc>
        <w:tc>
          <w:tcPr>
            <w:tcW w:w="943" w:type="dxa"/>
            <w:tcMar>
              <w:left w:w="57" w:type="dxa"/>
              <w:right w:w="57" w:type="dxa"/>
            </w:tcMar>
            <w:vAlign w:val="bottom"/>
          </w:tcPr>
          <w:p w14:paraId="43AE7D3A"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15 676,7</w:t>
            </w:r>
          </w:p>
        </w:tc>
        <w:tc>
          <w:tcPr>
            <w:tcW w:w="943" w:type="dxa"/>
            <w:tcMar>
              <w:left w:w="57" w:type="dxa"/>
              <w:right w:w="57" w:type="dxa"/>
            </w:tcMar>
            <w:vAlign w:val="bottom"/>
          </w:tcPr>
          <w:p w14:paraId="1806F483"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16 354,4</w:t>
            </w:r>
          </w:p>
        </w:tc>
        <w:tc>
          <w:tcPr>
            <w:tcW w:w="943" w:type="dxa"/>
            <w:tcMar>
              <w:left w:w="57" w:type="dxa"/>
              <w:right w:w="57" w:type="dxa"/>
            </w:tcMar>
            <w:vAlign w:val="bottom"/>
          </w:tcPr>
          <w:p w14:paraId="5DDF0248"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-218,4</w:t>
            </w:r>
          </w:p>
        </w:tc>
        <w:tc>
          <w:tcPr>
            <w:tcW w:w="943" w:type="dxa"/>
            <w:tcMar>
              <w:left w:w="57" w:type="dxa"/>
              <w:right w:w="57" w:type="dxa"/>
            </w:tcMar>
            <w:vAlign w:val="bottom"/>
          </w:tcPr>
          <w:p w14:paraId="4F6762F1" w14:textId="77777777" w:rsidR="000C4293" w:rsidRPr="00BE1286" w:rsidRDefault="000C4293" w:rsidP="00C217B4">
            <w:pPr>
              <w:spacing w:after="0" w:line="259" w:lineRule="auto"/>
              <w:ind w:firstLine="0"/>
              <w:jc w:val="right"/>
              <w:rPr>
                <w:rFonts w:eastAsia="Times New Roman" w:cs="Times New Roman"/>
                <w:color w:val="EE0000"/>
                <w:sz w:val="18"/>
                <w:szCs w:val="18"/>
              </w:rPr>
            </w:pPr>
            <w:r w:rsidRPr="00BE1286">
              <w:rPr>
                <w:rFonts w:cs="Times New Roman"/>
                <w:sz w:val="18"/>
                <w:szCs w:val="18"/>
              </w:rPr>
              <w:t>-242,5</w:t>
            </w:r>
          </w:p>
        </w:tc>
        <w:tc>
          <w:tcPr>
            <w:tcW w:w="943" w:type="dxa"/>
            <w:tcMar>
              <w:left w:w="57" w:type="dxa"/>
              <w:right w:w="57" w:type="dxa"/>
            </w:tcMar>
            <w:vAlign w:val="bottom"/>
          </w:tcPr>
          <w:p w14:paraId="4C4B88C6" w14:textId="77777777" w:rsidR="000C4293" w:rsidRPr="00BE1286" w:rsidRDefault="000C4293" w:rsidP="00C217B4">
            <w:pPr>
              <w:spacing w:after="0" w:line="259" w:lineRule="auto"/>
              <w:ind w:firstLine="0"/>
              <w:jc w:val="right"/>
              <w:rPr>
                <w:rFonts w:eastAsia="Times New Roman" w:cs="Times New Roman"/>
                <w:color w:val="EE0000"/>
                <w:sz w:val="18"/>
                <w:szCs w:val="18"/>
              </w:rPr>
            </w:pPr>
            <w:r w:rsidRPr="00BE1286">
              <w:rPr>
                <w:rFonts w:cs="Times New Roman"/>
                <w:sz w:val="18"/>
                <w:szCs w:val="18"/>
              </w:rPr>
              <w:t>-254,3</w:t>
            </w:r>
          </w:p>
        </w:tc>
      </w:tr>
      <w:tr w:rsidR="000C4293" w:rsidRPr="00E96BB6" w14:paraId="084D1AD1" w14:textId="77777777" w:rsidTr="00C217B4">
        <w:trPr>
          <w:trHeight w:val="137"/>
          <w:jc w:val="center"/>
        </w:trPr>
        <w:tc>
          <w:tcPr>
            <w:tcW w:w="3422" w:type="dxa"/>
            <w:vAlign w:val="center"/>
          </w:tcPr>
          <w:p w14:paraId="6B7AF6F6" w14:textId="77777777" w:rsidR="000C4293" w:rsidRPr="00E96BB6" w:rsidRDefault="000C4293" w:rsidP="00C217B4">
            <w:pPr>
              <w:spacing w:after="0"/>
              <w:ind w:left="166" w:firstLine="0"/>
              <w:jc w:val="left"/>
              <w:rPr>
                <w:rFonts w:eastAsia="Times New Roman" w:cs="Times New Roman"/>
                <w:noProof/>
                <w:sz w:val="18"/>
                <w:szCs w:val="18"/>
              </w:rPr>
            </w:pPr>
            <w:r w:rsidRPr="00E96BB6">
              <w:rPr>
                <w:rFonts w:eastAsia="Times New Roman" w:cs="Times New Roman"/>
                <w:noProof/>
                <w:sz w:val="18"/>
                <w:szCs w:val="18"/>
              </w:rPr>
              <w:t>Nenodokļu ieņēmumi</w:t>
            </w:r>
          </w:p>
        </w:tc>
        <w:tc>
          <w:tcPr>
            <w:tcW w:w="943" w:type="dxa"/>
            <w:tcMar>
              <w:left w:w="57" w:type="dxa"/>
              <w:right w:w="57" w:type="dxa"/>
            </w:tcMar>
            <w:vAlign w:val="bottom"/>
          </w:tcPr>
          <w:p w14:paraId="67612B3C"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1 046,4</w:t>
            </w:r>
          </w:p>
        </w:tc>
        <w:tc>
          <w:tcPr>
            <w:tcW w:w="943" w:type="dxa"/>
            <w:tcMar>
              <w:left w:w="57" w:type="dxa"/>
              <w:right w:w="57" w:type="dxa"/>
            </w:tcMar>
            <w:vAlign w:val="bottom"/>
          </w:tcPr>
          <w:p w14:paraId="15C47DFB"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1 052,4</w:t>
            </w:r>
          </w:p>
        </w:tc>
        <w:tc>
          <w:tcPr>
            <w:tcW w:w="943" w:type="dxa"/>
            <w:tcMar>
              <w:left w:w="57" w:type="dxa"/>
              <w:right w:w="57" w:type="dxa"/>
            </w:tcMar>
            <w:vAlign w:val="bottom"/>
          </w:tcPr>
          <w:p w14:paraId="2E21D037"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1 058,0</w:t>
            </w:r>
          </w:p>
        </w:tc>
        <w:tc>
          <w:tcPr>
            <w:tcW w:w="943" w:type="dxa"/>
            <w:tcMar>
              <w:left w:w="57" w:type="dxa"/>
              <w:right w:w="57" w:type="dxa"/>
            </w:tcMar>
            <w:vAlign w:val="bottom"/>
          </w:tcPr>
          <w:p w14:paraId="623D9323"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-6,3</w:t>
            </w:r>
          </w:p>
        </w:tc>
        <w:tc>
          <w:tcPr>
            <w:tcW w:w="943" w:type="dxa"/>
            <w:tcMar>
              <w:left w:w="57" w:type="dxa"/>
              <w:right w:w="57" w:type="dxa"/>
            </w:tcMar>
            <w:vAlign w:val="bottom"/>
          </w:tcPr>
          <w:p w14:paraId="6F4298A7" w14:textId="77777777" w:rsidR="000C4293" w:rsidRPr="00BE1286" w:rsidRDefault="000C4293" w:rsidP="00C217B4">
            <w:pPr>
              <w:spacing w:after="0" w:line="259" w:lineRule="auto"/>
              <w:ind w:firstLine="0"/>
              <w:jc w:val="right"/>
              <w:rPr>
                <w:rFonts w:eastAsia="Times New Roman" w:cs="Times New Roman"/>
                <w:color w:val="EE0000"/>
                <w:sz w:val="18"/>
                <w:szCs w:val="18"/>
              </w:rPr>
            </w:pPr>
            <w:r w:rsidRPr="00BE1286">
              <w:rPr>
                <w:rFonts w:cs="Times New Roman"/>
                <w:sz w:val="18"/>
                <w:szCs w:val="18"/>
              </w:rPr>
              <w:t>-6,0</w:t>
            </w:r>
          </w:p>
        </w:tc>
        <w:tc>
          <w:tcPr>
            <w:tcW w:w="943" w:type="dxa"/>
            <w:tcMar>
              <w:left w:w="57" w:type="dxa"/>
              <w:right w:w="57" w:type="dxa"/>
            </w:tcMar>
            <w:vAlign w:val="bottom"/>
          </w:tcPr>
          <w:p w14:paraId="68E730EE" w14:textId="77777777" w:rsidR="000C4293" w:rsidRPr="00BE1286" w:rsidRDefault="000C4293" w:rsidP="00C217B4">
            <w:pPr>
              <w:spacing w:after="0" w:line="259" w:lineRule="auto"/>
              <w:ind w:firstLine="0"/>
              <w:jc w:val="right"/>
              <w:rPr>
                <w:rFonts w:eastAsia="Times New Roman" w:cs="Times New Roman"/>
                <w:color w:val="EE0000"/>
                <w:sz w:val="18"/>
                <w:szCs w:val="18"/>
              </w:rPr>
            </w:pPr>
            <w:r w:rsidRPr="00BE1286">
              <w:rPr>
                <w:rFonts w:cs="Times New Roman"/>
                <w:sz w:val="18"/>
                <w:szCs w:val="18"/>
              </w:rPr>
              <w:t>-5,7</w:t>
            </w:r>
          </w:p>
        </w:tc>
      </w:tr>
      <w:tr w:rsidR="000C4293" w:rsidRPr="00E96BB6" w14:paraId="40DBC4EF" w14:textId="77777777" w:rsidTr="00C217B4">
        <w:trPr>
          <w:trHeight w:val="137"/>
          <w:jc w:val="center"/>
        </w:trPr>
        <w:tc>
          <w:tcPr>
            <w:tcW w:w="3422" w:type="dxa"/>
            <w:vAlign w:val="center"/>
          </w:tcPr>
          <w:p w14:paraId="110A7D2D" w14:textId="77777777" w:rsidR="000C4293" w:rsidRPr="00E96BB6" w:rsidRDefault="000C4293" w:rsidP="00C217B4">
            <w:pPr>
              <w:spacing w:after="0"/>
              <w:ind w:left="166" w:firstLine="0"/>
              <w:jc w:val="left"/>
              <w:rPr>
                <w:rFonts w:eastAsia="Times New Roman" w:cs="Times New Roman"/>
                <w:noProof/>
                <w:sz w:val="18"/>
                <w:szCs w:val="18"/>
              </w:rPr>
            </w:pPr>
            <w:r w:rsidRPr="00E96BB6">
              <w:rPr>
                <w:rFonts w:eastAsia="Times New Roman" w:cs="Times New Roman"/>
                <w:noProof/>
                <w:sz w:val="18"/>
                <w:szCs w:val="18"/>
              </w:rPr>
              <w:t>Soc.pabalstu izdevumi</w:t>
            </w:r>
          </w:p>
        </w:tc>
        <w:tc>
          <w:tcPr>
            <w:tcW w:w="943" w:type="dxa"/>
            <w:tcMar>
              <w:left w:w="57" w:type="dxa"/>
              <w:right w:w="57" w:type="dxa"/>
            </w:tcMar>
            <w:vAlign w:val="bottom"/>
          </w:tcPr>
          <w:p w14:paraId="5A70D221" w14:textId="77777777" w:rsidR="000C4293" w:rsidRPr="00BE1286" w:rsidRDefault="000C4293" w:rsidP="00C217B4">
            <w:pPr>
              <w:spacing w:after="0"/>
              <w:ind w:firstLine="0"/>
              <w:jc w:val="right"/>
              <w:rPr>
                <w:rFonts w:cs="Times New Roman"/>
                <w:color w:val="EE0000"/>
                <w:sz w:val="18"/>
                <w:szCs w:val="18"/>
              </w:rPr>
            </w:pPr>
            <w:r w:rsidRPr="00BE1286">
              <w:rPr>
                <w:rFonts w:cs="Times New Roman"/>
                <w:sz w:val="18"/>
                <w:szCs w:val="18"/>
              </w:rPr>
              <w:t>6 022,6</w:t>
            </w:r>
          </w:p>
        </w:tc>
        <w:tc>
          <w:tcPr>
            <w:tcW w:w="943" w:type="dxa"/>
            <w:tcMar>
              <w:left w:w="57" w:type="dxa"/>
              <w:right w:w="57" w:type="dxa"/>
            </w:tcMar>
            <w:vAlign w:val="bottom"/>
          </w:tcPr>
          <w:p w14:paraId="353A3154" w14:textId="77777777" w:rsidR="000C4293" w:rsidRPr="00BE1286" w:rsidRDefault="000C4293" w:rsidP="00C217B4">
            <w:pPr>
              <w:spacing w:after="0"/>
              <w:ind w:firstLine="0"/>
              <w:jc w:val="right"/>
              <w:rPr>
                <w:rFonts w:cs="Times New Roman"/>
                <w:color w:val="EE0000"/>
                <w:sz w:val="18"/>
                <w:szCs w:val="18"/>
              </w:rPr>
            </w:pPr>
            <w:r w:rsidRPr="00BE1286">
              <w:rPr>
                <w:rFonts w:cs="Times New Roman"/>
                <w:sz w:val="18"/>
                <w:szCs w:val="18"/>
              </w:rPr>
              <w:t>6 428,3</w:t>
            </w:r>
          </w:p>
        </w:tc>
        <w:tc>
          <w:tcPr>
            <w:tcW w:w="943" w:type="dxa"/>
            <w:tcMar>
              <w:left w:w="57" w:type="dxa"/>
              <w:right w:w="57" w:type="dxa"/>
            </w:tcMar>
            <w:vAlign w:val="bottom"/>
          </w:tcPr>
          <w:p w14:paraId="1483283A" w14:textId="77777777" w:rsidR="000C4293" w:rsidRPr="00BE1286" w:rsidRDefault="000C4293" w:rsidP="00C217B4">
            <w:pPr>
              <w:spacing w:after="0"/>
              <w:ind w:firstLine="0"/>
              <w:jc w:val="right"/>
              <w:rPr>
                <w:rFonts w:cs="Times New Roman"/>
                <w:color w:val="EE0000"/>
                <w:sz w:val="18"/>
                <w:szCs w:val="18"/>
              </w:rPr>
            </w:pPr>
            <w:r w:rsidRPr="00BE1286">
              <w:rPr>
                <w:rFonts w:cs="Times New Roman"/>
                <w:sz w:val="18"/>
                <w:szCs w:val="18"/>
              </w:rPr>
              <w:t>6 835,0</w:t>
            </w:r>
          </w:p>
        </w:tc>
        <w:tc>
          <w:tcPr>
            <w:tcW w:w="943" w:type="dxa"/>
            <w:tcMar>
              <w:left w:w="57" w:type="dxa"/>
              <w:right w:w="57" w:type="dxa"/>
            </w:tcMar>
            <w:vAlign w:val="bottom"/>
          </w:tcPr>
          <w:p w14:paraId="06AB0234" w14:textId="77777777" w:rsidR="000C4293" w:rsidRPr="00BE1286" w:rsidRDefault="000C4293" w:rsidP="00C217B4">
            <w:pPr>
              <w:spacing w:after="0"/>
              <w:ind w:firstLine="0"/>
              <w:jc w:val="right"/>
              <w:rPr>
                <w:rFonts w:cs="Times New Roman"/>
                <w:color w:val="EE0000"/>
                <w:sz w:val="18"/>
                <w:szCs w:val="18"/>
              </w:rPr>
            </w:pPr>
            <w:r w:rsidRPr="00BE1286">
              <w:rPr>
                <w:rFonts w:cs="Times New Roman"/>
                <w:sz w:val="18"/>
                <w:szCs w:val="18"/>
              </w:rPr>
              <w:t>-13,7</w:t>
            </w:r>
          </w:p>
        </w:tc>
        <w:tc>
          <w:tcPr>
            <w:tcW w:w="943" w:type="dxa"/>
            <w:tcMar>
              <w:left w:w="57" w:type="dxa"/>
              <w:right w:w="57" w:type="dxa"/>
            </w:tcMar>
            <w:vAlign w:val="bottom"/>
          </w:tcPr>
          <w:p w14:paraId="69804327" w14:textId="77777777" w:rsidR="000C4293" w:rsidRPr="00BE1286" w:rsidRDefault="000C4293" w:rsidP="00C217B4">
            <w:pPr>
              <w:spacing w:after="0" w:line="259" w:lineRule="auto"/>
              <w:ind w:firstLine="0"/>
              <w:jc w:val="right"/>
              <w:rPr>
                <w:rFonts w:cs="Times New Roman"/>
                <w:color w:val="EE0000"/>
                <w:sz w:val="18"/>
                <w:szCs w:val="18"/>
              </w:rPr>
            </w:pPr>
            <w:r w:rsidRPr="00BE1286">
              <w:rPr>
                <w:rFonts w:cs="Times New Roman"/>
                <w:sz w:val="18"/>
                <w:szCs w:val="18"/>
              </w:rPr>
              <w:t>-21,5</w:t>
            </w:r>
          </w:p>
        </w:tc>
        <w:tc>
          <w:tcPr>
            <w:tcW w:w="943" w:type="dxa"/>
            <w:tcMar>
              <w:left w:w="57" w:type="dxa"/>
              <w:right w:w="57" w:type="dxa"/>
            </w:tcMar>
            <w:vAlign w:val="bottom"/>
          </w:tcPr>
          <w:p w14:paraId="789D2D32" w14:textId="77777777" w:rsidR="000C4293" w:rsidRPr="00BE1286" w:rsidRDefault="000C4293" w:rsidP="00C217B4">
            <w:pPr>
              <w:spacing w:after="0" w:line="259" w:lineRule="auto"/>
              <w:ind w:firstLine="0"/>
              <w:jc w:val="right"/>
              <w:rPr>
                <w:rFonts w:cs="Times New Roman"/>
                <w:color w:val="EE0000"/>
                <w:sz w:val="18"/>
                <w:szCs w:val="18"/>
              </w:rPr>
            </w:pPr>
            <w:r w:rsidRPr="00BE1286">
              <w:rPr>
                <w:rFonts w:cs="Times New Roman"/>
                <w:sz w:val="18"/>
                <w:szCs w:val="18"/>
              </w:rPr>
              <w:t>-26,4</w:t>
            </w:r>
          </w:p>
        </w:tc>
      </w:tr>
      <w:tr w:rsidR="000C4293" w:rsidRPr="00E96BB6" w14:paraId="597D6146" w14:textId="77777777" w:rsidTr="00C217B4">
        <w:trPr>
          <w:trHeight w:val="184"/>
          <w:jc w:val="center"/>
        </w:trPr>
        <w:tc>
          <w:tcPr>
            <w:tcW w:w="3422" w:type="dxa"/>
            <w:tcBorders>
              <w:bottom w:val="double" w:sz="4" w:space="0" w:color="auto"/>
            </w:tcBorders>
            <w:vAlign w:val="center"/>
          </w:tcPr>
          <w:p w14:paraId="4A1EE2B6" w14:textId="77777777" w:rsidR="000C4293" w:rsidRPr="00E96BB6" w:rsidRDefault="000C4293" w:rsidP="00C217B4">
            <w:pPr>
              <w:spacing w:after="0"/>
              <w:ind w:left="166" w:firstLine="0"/>
              <w:jc w:val="left"/>
              <w:rPr>
                <w:rFonts w:eastAsia="Times New Roman" w:cs="Times New Roman"/>
                <w:noProof/>
                <w:sz w:val="18"/>
                <w:szCs w:val="18"/>
              </w:rPr>
            </w:pPr>
            <w:r w:rsidRPr="00E96BB6">
              <w:rPr>
                <w:rFonts w:eastAsia="Times New Roman" w:cs="Times New Roman"/>
                <w:noProof/>
                <w:sz w:val="18"/>
                <w:szCs w:val="18"/>
              </w:rPr>
              <w:t>Procentu izdevumi</w:t>
            </w:r>
            <w:r>
              <w:rPr>
                <w:rStyle w:val="FootnoteReference"/>
                <w:rFonts w:eastAsia="Times New Roman" w:cs="Times New Roman"/>
                <w:noProof/>
                <w:sz w:val="18"/>
                <w:szCs w:val="18"/>
              </w:rPr>
              <w:footnoteReference w:id="6"/>
            </w:r>
          </w:p>
        </w:tc>
        <w:tc>
          <w:tcPr>
            <w:tcW w:w="943" w:type="dxa"/>
            <w:tcBorders>
              <w:bottom w:val="double" w:sz="4" w:space="0" w:color="auto"/>
            </w:tcBorders>
            <w:tcMar>
              <w:left w:w="57" w:type="dxa"/>
              <w:right w:w="57" w:type="dxa"/>
            </w:tcMar>
            <w:vAlign w:val="bottom"/>
          </w:tcPr>
          <w:p w14:paraId="1DEC2A73"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572,6</w:t>
            </w:r>
          </w:p>
        </w:tc>
        <w:tc>
          <w:tcPr>
            <w:tcW w:w="943" w:type="dxa"/>
            <w:tcBorders>
              <w:bottom w:val="double" w:sz="4" w:space="0" w:color="auto"/>
            </w:tcBorders>
            <w:tcMar>
              <w:left w:w="57" w:type="dxa"/>
              <w:right w:w="57" w:type="dxa"/>
            </w:tcMar>
            <w:vAlign w:val="bottom"/>
          </w:tcPr>
          <w:p w14:paraId="08253873"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650,3</w:t>
            </w:r>
          </w:p>
        </w:tc>
        <w:tc>
          <w:tcPr>
            <w:tcW w:w="943" w:type="dxa"/>
            <w:tcBorders>
              <w:bottom w:val="double" w:sz="4" w:space="0" w:color="auto"/>
            </w:tcBorders>
            <w:tcMar>
              <w:left w:w="57" w:type="dxa"/>
              <w:right w:w="57" w:type="dxa"/>
            </w:tcMar>
            <w:vAlign w:val="bottom"/>
          </w:tcPr>
          <w:p w14:paraId="16F34FDF"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sz w:val="18"/>
                <w:szCs w:val="18"/>
              </w:rPr>
              <w:t>746,1</w:t>
            </w:r>
          </w:p>
        </w:tc>
        <w:tc>
          <w:tcPr>
            <w:tcW w:w="943" w:type="dxa"/>
            <w:tcBorders>
              <w:bottom w:val="double" w:sz="4" w:space="0" w:color="auto"/>
            </w:tcBorders>
            <w:tcMar>
              <w:left w:w="57" w:type="dxa"/>
              <w:right w:w="57" w:type="dxa"/>
            </w:tcMar>
            <w:vAlign w:val="bottom"/>
          </w:tcPr>
          <w:p w14:paraId="0F4BEB6A" w14:textId="77777777" w:rsidR="000C4293" w:rsidRPr="00BE1286" w:rsidRDefault="000C4293" w:rsidP="00C217B4">
            <w:pPr>
              <w:spacing w:after="0"/>
              <w:ind w:firstLine="0"/>
              <w:jc w:val="right"/>
              <w:rPr>
                <w:rFonts w:eastAsia="Times New Roman" w:cs="Times New Roman"/>
                <w:color w:val="EE0000"/>
                <w:sz w:val="18"/>
                <w:szCs w:val="18"/>
              </w:rPr>
            </w:pPr>
            <w:r w:rsidRPr="00BE1286">
              <w:rPr>
                <w:rFonts w:cs="Times New Roman"/>
                <w:color w:val="000000"/>
                <w:sz w:val="18"/>
                <w:szCs w:val="18"/>
              </w:rPr>
              <w:t>3,5</w:t>
            </w:r>
          </w:p>
        </w:tc>
        <w:tc>
          <w:tcPr>
            <w:tcW w:w="943" w:type="dxa"/>
            <w:tcBorders>
              <w:bottom w:val="double" w:sz="4" w:space="0" w:color="auto"/>
            </w:tcBorders>
            <w:tcMar>
              <w:left w:w="57" w:type="dxa"/>
              <w:right w:w="57" w:type="dxa"/>
            </w:tcMar>
            <w:vAlign w:val="bottom"/>
          </w:tcPr>
          <w:p w14:paraId="6E930D55" w14:textId="77777777" w:rsidR="000C4293" w:rsidRPr="00BE1286" w:rsidRDefault="000C4293" w:rsidP="00C217B4">
            <w:pPr>
              <w:spacing w:after="0" w:line="259" w:lineRule="auto"/>
              <w:ind w:firstLine="0"/>
              <w:jc w:val="right"/>
              <w:rPr>
                <w:rFonts w:eastAsia="Times New Roman" w:cs="Times New Roman"/>
                <w:color w:val="EE0000"/>
                <w:sz w:val="18"/>
                <w:szCs w:val="18"/>
              </w:rPr>
            </w:pPr>
            <w:r w:rsidRPr="00BE1286">
              <w:rPr>
                <w:rFonts w:cs="Times New Roman"/>
                <w:color w:val="000000"/>
                <w:sz w:val="18"/>
                <w:szCs w:val="18"/>
              </w:rPr>
              <w:t>10,5</w:t>
            </w:r>
          </w:p>
        </w:tc>
        <w:tc>
          <w:tcPr>
            <w:tcW w:w="943" w:type="dxa"/>
            <w:tcBorders>
              <w:bottom w:val="double" w:sz="4" w:space="0" w:color="auto"/>
            </w:tcBorders>
            <w:tcMar>
              <w:left w:w="57" w:type="dxa"/>
              <w:right w:w="57" w:type="dxa"/>
            </w:tcMar>
            <w:vAlign w:val="bottom"/>
          </w:tcPr>
          <w:p w14:paraId="1A736F31" w14:textId="77777777" w:rsidR="000C4293" w:rsidRPr="00BE1286" w:rsidRDefault="000C4293" w:rsidP="00C217B4">
            <w:pPr>
              <w:spacing w:after="0" w:line="259" w:lineRule="auto"/>
              <w:ind w:firstLine="0"/>
              <w:jc w:val="right"/>
              <w:rPr>
                <w:rFonts w:eastAsia="Times New Roman" w:cs="Times New Roman"/>
                <w:color w:val="EE0000"/>
                <w:sz w:val="18"/>
                <w:szCs w:val="18"/>
              </w:rPr>
            </w:pPr>
            <w:r w:rsidRPr="00BE1286">
              <w:rPr>
                <w:rFonts w:cs="Times New Roman"/>
                <w:color w:val="000000"/>
                <w:sz w:val="18"/>
                <w:szCs w:val="18"/>
              </w:rPr>
              <w:t>18,2</w:t>
            </w:r>
          </w:p>
        </w:tc>
      </w:tr>
      <w:tr w:rsidR="00CF2C66" w:rsidRPr="00E96BB6" w14:paraId="2BA1DEFE" w14:textId="77777777" w:rsidTr="00CF2C66">
        <w:trPr>
          <w:trHeight w:val="356"/>
          <w:jc w:val="center"/>
        </w:trPr>
        <w:tc>
          <w:tcPr>
            <w:tcW w:w="3422" w:type="dxa"/>
            <w:tcBorders>
              <w:top w:val="double" w:sz="4" w:space="0" w:color="auto"/>
              <w:left w:val="single" w:sz="4" w:space="0" w:color="auto"/>
            </w:tcBorders>
            <w:vAlign w:val="center"/>
          </w:tcPr>
          <w:p w14:paraId="3A09964B" w14:textId="77777777" w:rsidR="00CF2C66" w:rsidRPr="00E96BB6" w:rsidRDefault="00CF2C66" w:rsidP="00CF2C66">
            <w:pPr>
              <w:spacing w:after="0"/>
              <w:ind w:firstLine="0"/>
              <w:jc w:val="left"/>
              <w:rPr>
                <w:rFonts w:eastAsia="Times New Roman" w:cs="Times New Roman"/>
                <w:noProof/>
                <w:sz w:val="18"/>
                <w:szCs w:val="18"/>
              </w:rPr>
            </w:pPr>
            <w:r w:rsidRPr="00E96BB6">
              <w:rPr>
                <w:rFonts w:eastAsia="Times New Roman" w:cs="Times New Roman"/>
                <w:noProof/>
                <w:sz w:val="18"/>
                <w:szCs w:val="18"/>
              </w:rPr>
              <w:t xml:space="preserve">   Procentu izdevumi</w:t>
            </w:r>
            <w:r w:rsidRPr="00E96BB6">
              <w:rPr>
                <w:rFonts w:eastAsia="Times New Roman" w:cs="Times New Roman"/>
                <w:noProof/>
                <w:sz w:val="18"/>
                <w:szCs w:val="18"/>
              </w:rPr>
              <w:br/>
              <w:t xml:space="preserve">  (% likmes paliel. par 1 pp)</w:t>
            </w:r>
          </w:p>
        </w:tc>
        <w:tc>
          <w:tcPr>
            <w:tcW w:w="943" w:type="dxa"/>
            <w:tcBorders>
              <w:top w:val="double" w:sz="4" w:space="0" w:color="auto"/>
            </w:tcBorders>
            <w:tcMar>
              <w:left w:w="57" w:type="dxa"/>
              <w:right w:w="57" w:type="dxa"/>
            </w:tcMar>
            <w:vAlign w:val="center"/>
          </w:tcPr>
          <w:p w14:paraId="1CD78940" w14:textId="0F6F3AE2" w:rsidR="00CF2C66" w:rsidRPr="00CF2C66" w:rsidRDefault="00CF2C66" w:rsidP="00CF2C66">
            <w:pPr>
              <w:spacing w:after="0"/>
              <w:ind w:firstLine="0"/>
              <w:jc w:val="right"/>
              <w:rPr>
                <w:rFonts w:cs="Times New Roman"/>
                <w:sz w:val="18"/>
                <w:szCs w:val="18"/>
              </w:rPr>
            </w:pPr>
            <w:r w:rsidRPr="00CF2C66">
              <w:rPr>
                <w:rFonts w:cs="Times New Roman"/>
                <w:sz w:val="18"/>
                <w:szCs w:val="18"/>
              </w:rPr>
              <w:t>576,6</w:t>
            </w:r>
          </w:p>
        </w:tc>
        <w:tc>
          <w:tcPr>
            <w:tcW w:w="943" w:type="dxa"/>
            <w:tcBorders>
              <w:top w:val="double" w:sz="4" w:space="0" w:color="auto"/>
            </w:tcBorders>
            <w:tcMar>
              <w:left w:w="57" w:type="dxa"/>
              <w:right w:w="57" w:type="dxa"/>
            </w:tcMar>
            <w:vAlign w:val="center"/>
          </w:tcPr>
          <w:p w14:paraId="13B9131A" w14:textId="68CB1EA4" w:rsidR="00CF2C66" w:rsidRPr="00CF2C66" w:rsidRDefault="00CF2C66" w:rsidP="00CF2C66">
            <w:pPr>
              <w:spacing w:after="0"/>
              <w:ind w:firstLine="0"/>
              <w:jc w:val="right"/>
              <w:rPr>
                <w:rFonts w:cs="Times New Roman"/>
                <w:sz w:val="18"/>
                <w:szCs w:val="18"/>
              </w:rPr>
            </w:pPr>
            <w:r w:rsidRPr="00CF2C66">
              <w:rPr>
                <w:rFonts w:cs="Times New Roman"/>
                <w:sz w:val="18"/>
                <w:szCs w:val="18"/>
              </w:rPr>
              <w:t>694,3</w:t>
            </w:r>
          </w:p>
        </w:tc>
        <w:tc>
          <w:tcPr>
            <w:tcW w:w="943" w:type="dxa"/>
            <w:tcBorders>
              <w:top w:val="double" w:sz="4" w:space="0" w:color="auto"/>
            </w:tcBorders>
            <w:tcMar>
              <w:left w:w="57" w:type="dxa"/>
              <w:right w:w="57" w:type="dxa"/>
            </w:tcMar>
            <w:vAlign w:val="center"/>
          </w:tcPr>
          <w:p w14:paraId="3E1E7E6C" w14:textId="25CBB2CD" w:rsidR="00CF2C66" w:rsidRPr="00CF2C66" w:rsidRDefault="00CF2C66" w:rsidP="00CF2C66">
            <w:pPr>
              <w:spacing w:after="0"/>
              <w:ind w:firstLine="0"/>
              <w:jc w:val="right"/>
              <w:rPr>
                <w:rFonts w:cs="Times New Roman"/>
                <w:sz w:val="18"/>
                <w:szCs w:val="18"/>
              </w:rPr>
            </w:pPr>
            <w:r w:rsidRPr="00CF2C66">
              <w:rPr>
                <w:rFonts w:cs="Times New Roman"/>
                <w:sz w:val="18"/>
                <w:szCs w:val="18"/>
              </w:rPr>
              <w:t>835,3</w:t>
            </w:r>
          </w:p>
        </w:tc>
        <w:tc>
          <w:tcPr>
            <w:tcW w:w="943" w:type="dxa"/>
            <w:tcBorders>
              <w:top w:val="double" w:sz="4" w:space="0" w:color="auto"/>
            </w:tcBorders>
            <w:tcMar>
              <w:left w:w="57" w:type="dxa"/>
              <w:right w:w="57" w:type="dxa"/>
            </w:tcMar>
            <w:vAlign w:val="center"/>
          </w:tcPr>
          <w:p w14:paraId="32E4D4FE" w14:textId="4D762BCE" w:rsidR="00CF2C66" w:rsidRPr="00CF2C66" w:rsidRDefault="00CF2C66" w:rsidP="00CF2C66">
            <w:pPr>
              <w:spacing w:after="0"/>
              <w:ind w:firstLine="0"/>
              <w:jc w:val="right"/>
              <w:rPr>
                <w:rFonts w:cs="Times New Roman"/>
                <w:sz w:val="18"/>
                <w:szCs w:val="18"/>
              </w:rPr>
            </w:pPr>
            <w:r w:rsidRPr="00CF2C66">
              <w:rPr>
                <w:rFonts w:cs="Times New Roman"/>
                <w:sz w:val="18"/>
                <w:szCs w:val="18"/>
              </w:rPr>
              <w:t>+7,5</w:t>
            </w:r>
          </w:p>
        </w:tc>
        <w:tc>
          <w:tcPr>
            <w:tcW w:w="943" w:type="dxa"/>
            <w:tcBorders>
              <w:top w:val="double" w:sz="4" w:space="0" w:color="auto"/>
            </w:tcBorders>
            <w:tcMar>
              <w:left w:w="57" w:type="dxa"/>
              <w:right w:w="57" w:type="dxa"/>
            </w:tcMar>
            <w:vAlign w:val="center"/>
          </w:tcPr>
          <w:p w14:paraId="0FCBF35C" w14:textId="1CD68E66" w:rsidR="00CF2C66" w:rsidRPr="00CF2C66" w:rsidRDefault="00CF2C66" w:rsidP="00CF2C66">
            <w:pPr>
              <w:spacing w:after="0" w:line="259" w:lineRule="auto"/>
              <w:ind w:firstLine="0"/>
              <w:jc w:val="right"/>
              <w:rPr>
                <w:rFonts w:cs="Times New Roman"/>
                <w:sz w:val="18"/>
                <w:szCs w:val="18"/>
              </w:rPr>
            </w:pPr>
            <w:r w:rsidRPr="00CF2C66">
              <w:rPr>
                <w:rFonts w:cs="Times New Roman"/>
                <w:sz w:val="18"/>
                <w:szCs w:val="18"/>
              </w:rPr>
              <w:t>+54,5</w:t>
            </w:r>
          </w:p>
        </w:tc>
        <w:tc>
          <w:tcPr>
            <w:tcW w:w="943" w:type="dxa"/>
            <w:tcBorders>
              <w:top w:val="double" w:sz="4" w:space="0" w:color="auto"/>
            </w:tcBorders>
            <w:tcMar>
              <w:left w:w="57" w:type="dxa"/>
              <w:right w:w="57" w:type="dxa"/>
            </w:tcMar>
            <w:vAlign w:val="center"/>
          </w:tcPr>
          <w:p w14:paraId="1E43D728" w14:textId="1D4F0B6B" w:rsidR="00CF2C66" w:rsidRPr="00CF2C66" w:rsidRDefault="00CF2C66" w:rsidP="00CF2C66">
            <w:pPr>
              <w:spacing w:after="0" w:line="259" w:lineRule="auto"/>
              <w:ind w:firstLine="0"/>
              <w:jc w:val="right"/>
              <w:rPr>
                <w:rFonts w:cs="Times New Roman"/>
                <w:sz w:val="18"/>
                <w:szCs w:val="18"/>
              </w:rPr>
            </w:pPr>
            <w:r w:rsidRPr="00CF2C66">
              <w:rPr>
                <w:rFonts w:cs="Times New Roman"/>
                <w:sz w:val="18"/>
                <w:szCs w:val="18"/>
              </w:rPr>
              <w:t>+107,4</w:t>
            </w:r>
          </w:p>
        </w:tc>
      </w:tr>
      <w:tr w:rsidR="00CF2C66" w:rsidRPr="00E96BB6" w14:paraId="0D96EC71" w14:textId="77777777" w:rsidTr="00CF2C66">
        <w:trPr>
          <w:trHeight w:val="368"/>
          <w:jc w:val="center"/>
        </w:trPr>
        <w:tc>
          <w:tcPr>
            <w:tcW w:w="3422" w:type="dxa"/>
            <w:tcBorders>
              <w:left w:val="single" w:sz="4" w:space="0" w:color="auto"/>
              <w:bottom w:val="double" w:sz="4" w:space="0" w:color="auto"/>
            </w:tcBorders>
            <w:vAlign w:val="center"/>
          </w:tcPr>
          <w:p w14:paraId="7BF4785B" w14:textId="77777777" w:rsidR="00CF2C66" w:rsidRPr="00E96BB6" w:rsidRDefault="00CF2C66" w:rsidP="00CF2C66">
            <w:pPr>
              <w:spacing w:after="0"/>
              <w:ind w:firstLine="0"/>
              <w:jc w:val="left"/>
              <w:rPr>
                <w:rFonts w:eastAsia="Calibri" w:cs="Times New Roman"/>
                <w:noProof/>
                <w:sz w:val="18"/>
                <w:szCs w:val="18"/>
                <w:lang w:eastAsia="en-US"/>
              </w:rPr>
            </w:pPr>
            <w:r w:rsidRPr="00E96BB6">
              <w:rPr>
                <w:rFonts w:eastAsia="Times New Roman" w:cs="Times New Roman"/>
                <w:noProof/>
                <w:sz w:val="18"/>
                <w:szCs w:val="18"/>
              </w:rPr>
              <w:t xml:space="preserve">   Procentu izdevumi</w:t>
            </w:r>
            <w:r w:rsidRPr="00E96BB6">
              <w:rPr>
                <w:rFonts w:eastAsia="Times New Roman" w:cs="Times New Roman"/>
                <w:noProof/>
                <w:sz w:val="18"/>
                <w:szCs w:val="18"/>
              </w:rPr>
              <w:br/>
              <w:t xml:space="preserve">   (% likmes samaz. par 1 pp)</w:t>
            </w:r>
          </w:p>
        </w:tc>
        <w:tc>
          <w:tcPr>
            <w:tcW w:w="943" w:type="dxa"/>
            <w:tcBorders>
              <w:bottom w:val="double" w:sz="4" w:space="0" w:color="auto"/>
            </w:tcBorders>
            <w:tcMar>
              <w:left w:w="57" w:type="dxa"/>
              <w:right w:w="57" w:type="dxa"/>
            </w:tcMar>
            <w:vAlign w:val="center"/>
          </w:tcPr>
          <w:p w14:paraId="6CBA4333" w14:textId="4FE565DC" w:rsidR="00CF2C66" w:rsidRPr="00CF2C66" w:rsidRDefault="00CF2C66" w:rsidP="00CF2C66">
            <w:pPr>
              <w:spacing w:after="0"/>
              <w:ind w:firstLine="0"/>
              <w:jc w:val="right"/>
              <w:rPr>
                <w:rFonts w:cs="Times New Roman"/>
                <w:sz w:val="18"/>
                <w:szCs w:val="18"/>
              </w:rPr>
            </w:pPr>
            <w:r w:rsidRPr="00CF2C66">
              <w:rPr>
                <w:rFonts w:cs="Times New Roman"/>
                <w:sz w:val="18"/>
                <w:szCs w:val="18"/>
              </w:rPr>
              <w:t>568,6</w:t>
            </w:r>
          </w:p>
        </w:tc>
        <w:tc>
          <w:tcPr>
            <w:tcW w:w="943" w:type="dxa"/>
            <w:tcBorders>
              <w:bottom w:val="double" w:sz="4" w:space="0" w:color="auto"/>
            </w:tcBorders>
            <w:tcMar>
              <w:left w:w="57" w:type="dxa"/>
              <w:right w:w="57" w:type="dxa"/>
            </w:tcMar>
            <w:vAlign w:val="center"/>
          </w:tcPr>
          <w:p w14:paraId="40B0FD61" w14:textId="3A7F3922" w:rsidR="00CF2C66" w:rsidRPr="00CF2C66" w:rsidRDefault="00CF2C66" w:rsidP="00CF2C66">
            <w:pPr>
              <w:spacing w:after="0"/>
              <w:ind w:firstLine="0"/>
              <w:jc w:val="right"/>
              <w:rPr>
                <w:rFonts w:cs="Times New Roman"/>
                <w:sz w:val="18"/>
                <w:szCs w:val="18"/>
              </w:rPr>
            </w:pPr>
            <w:r w:rsidRPr="00CF2C66">
              <w:rPr>
                <w:rFonts w:cs="Times New Roman"/>
                <w:sz w:val="18"/>
                <w:szCs w:val="18"/>
              </w:rPr>
              <w:t>606,3</w:t>
            </w:r>
          </w:p>
        </w:tc>
        <w:tc>
          <w:tcPr>
            <w:tcW w:w="943" w:type="dxa"/>
            <w:tcBorders>
              <w:bottom w:val="double" w:sz="4" w:space="0" w:color="auto"/>
            </w:tcBorders>
            <w:tcMar>
              <w:left w:w="57" w:type="dxa"/>
              <w:right w:w="57" w:type="dxa"/>
            </w:tcMar>
            <w:vAlign w:val="center"/>
          </w:tcPr>
          <w:p w14:paraId="60F543D5" w14:textId="79D1B340" w:rsidR="00CF2C66" w:rsidRPr="00CF2C66" w:rsidRDefault="00CF2C66" w:rsidP="00CF2C66">
            <w:pPr>
              <w:spacing w:after="0"/>
              <w:ind w:firstLine="0"/>
              <w:jc w:val="right"/>
              <w:rPr>
                <w:rFonts w:cs="Times New Roman"/>
                <w:sz w:val="18"/>
                <w:szCs w:val="18"/>
              </w:rPr>
            </w:pPr>
            <w:r w:rsidRPr="00CF2C66">
              <w:rPr>
                <w:rFonts w:cs="Times New Roman"/>
                <w:sz w:val="18"/>
                <w:szCs w:val="18"/>
              </w:rPr>
              <w:t>656,9</w:t>
            </w:r>
          </w:p>
        </w:tc>
        <w:tc>
          <w:tcPr>
            <w:tcW w:w="943" w:type="dxa"/>
            <w:tcBorders>
              <w:bottom w:val="double" w:sz="4" w:space="0" w:color="auto"/>
            </w:tcBorders>
            <w:tcMar>
              <w:left w:w="57" w:type="dxa"/>
              <w:right w:w="57" w:type="dxa"/>
            </w:tcMar>
            <w:vAlign w:val="center"/>
          </w:tcPr>
          <w:p w14:paraId="3C383B2A" w14:textId="4DFA3760" w:rsidR="00CF2C66" w:rsidRPr="00CF2C66" w:rsidRDefault="00CF2C66" w:rsidP="00CF2C66">
            <w:pPr>
              <w:spacing w:after="0"/>
              <w:ind w:firstLine="0"/>
              <w:jc w:val="right"/>
              <w:rPr>
                <w:rFonts w:cs="Times New Roman"/>
                <w:sz w:val="18"/>
                <w:szCs w:val="18"/>
              </w:rPr>
            </w:pPr>
            <w:r w:rsidRPr="00CF2C66">
              <w:rPr>
                <w:rFonts w:cs="Times New Roman"/>
                <w:sz w:val="18"/>
                <w:szCs w:val="18"/>
              </w:rPr>
              <w:t>-0,5</w:t>
            </w:r>
          </w:p>
        </w:tc>
        <w:tc>
          <w:tcPr>
            <w:tcW w:w="943" w:type="dxa"/>
            <w:tcBorders>
              <w:bottom w:val="double" w:sz="4" w:space="0" w:color="auto"/>
            </w:tcBorders>
            <w:tcMar>
              <w:left w:w="57" w:type="dxa"/>
              <w:right w:w="57" w:type="dxa"/>
            </w:tcMar>
            <w:vAlign w:val="center"/>
          </w:tcPr>
          <w:p w14:paraId="54428C9A" w14:textId="7A16CF65" w:rsidR="00CF2C66" w:rsidRPr="00CF2C66" w:rsidRDefault="00CF2C66" w:rsidP="00CF2C66">
            <w:pPr>
              <w:spacing w:after="0" w:line="259" w:lineRule="auto"/>
              <w:ind w:firstLine="0"/>
              <w:jc w:val="right"/>
              <w:rPr>
                <w:rFonts w:cs="Times New Roman"/>
                <w:sz w:val="18"/>
                <w:szCs w:val="18"/>
              </w:rPr>
            </w:pPr>
            <w:r w:rsidRPr="00CF2C66">
              <w:rPr>
                <w:rFonts w:cs="Times New Roman"/>
                <w:sz w:val="18"/>
                <w:szCs w:val="18"/>
              </w:rPr>
              <w:t>-33,5</w:t>
            </w:r>
          </w:p>
        </w:tc>
        <w:tc>
          <w:tcPr>
            <w:tcW w:w="943" w:type="dxa"/>
            <w:tcBorders>
              <w:bottom w:val="double" w:sz="4" w:space="0" w:color="auto"/>
            </w:tcBorders>
            <w:tcMar>
              <w:left w:w="57" w:type="dxa"/>
              <w:right w:w="57" w:type="dxa"/>
            </w:tcMar>
            <w:vAlign w:val="center"/>
          </w:tcPr>
          <w:p w14:paraId="1818E1B0" w14:textId="421B6760" w:rsidR="00CF2C66" w:rsidRPr="00CF2C66" w:rsidRDefault="00CF2C66" w:rsidP="00CF2C66">
            <w:pPr>
              <w:spacing w:after="0" w:line="259" w:lineRule="auto"/>
              <w:ind w:firstLine="0"/>
              <w:jc w:val="right"/>
              <w:rPr>
                <w:rFonts w:cs="Times New Roman"/>
                <w:sz w:val="18"/>
                <w:szCs w:val="18"/>
              </w:rPr>
            </w:pPr>
            <w:r w:rsidRPr="00CF2C66">
              <w:rPr>
                <w:rFonts w:cs="Times New Roman"/>
                <w:sz w:val="18"/>
                <w:szCs w:val="18"/>
              </w:rPr>
              <w:t>-71,0</w:t>
            </w:r>
          </w:p>
        </w:tc>
      </w:tr>
      <w:tr w:rsidR="000C4293" w:rsidRPr="00E96BB6" w14:paraId="6B53A287" w14:textId="77777777" w:rsidTr="00C217B4">
        <w:trPr>
          <w:trHeight w:val="340"/>
          <w:jc w:val="center"/>
        </w:trPr>
        <w:tc>
          <w:tcPr>
            <w:tcW w:w="3422" w:type="dxa"/>
            <w:tcBorders>
              <w:top w:val="double" w:sz="4" w:space="0" w:color="auto"/>
            </w:tcBorders>
            <w:vAlign w:val="center"/>
          </w:tcPr>
          <w:p w14:paraId="71F953CF" w14:textId="77777777" w:rsidR="000C4293" w:rsidRPr="00E96BB6" w:rsidRDefault="000C4293" w:rsidP="00C217B4">
            <w:pPr>
              <w:spacing w:after="0"/>
              <w:ind w:firstLine="0"/>
              <w:jc w:val="left"/>
              <w:rPr>
                <w:rFonts w:eastAsia="Times New Roman" w:cs="Times New Roman"/>
                <w:b/>
                <w:noProof/>
                <w:sz w:val="18"/>
                <w:szCs w:val="18"/>
              </w:rPr>
            </w:pPr>
            <w:r w:rsidRPr="00E96BB6">
              <w:rPr>
                <w:rFonts w:eastAsia="Times New Roman" w:cs="Times New Roman"/>
                <w:b/>
                <w:noProof/>
                <w:sz w:val="18"/>
                <w:szCs w:val="18"/>
              </w:rPr>
              <w:t>Vispārējās valdības parāds,</w:t>
            </w:r>
            <w:r w:rsidRPr="00E96BB6">
              <w:rPr>
                <w:rFonts w:eastAsia="Times New Roman" w:cs="Times New Roman"/>
                <w:b/>
                <w:noProof/>
                <w:sz w:val="18"/>
                <w:szCs w:val="18"/>
              </w:rPr>
              <w:br/>
              <w:t xml:space="preserve">% no IKP </w:t>
            </w:r>
          </w:p>
        </w:tc>
        <w:tc>
          <w:tcPr>
            <w:tcW w:w="943" w:type="dxa"/>
            <w:tcBorders>
              <w:top w:val="double" w:sz="4" w:space="0" w:color="auto"/>
            </w:tcBorders>
            <w:tcMar>
              <w:left w:w="57" w:type="dxa"/>
              <w:right w:w="57" w:type="dxa"/>
            </w:tcMar>
            <w:vAlign w:val="center"/>
          </w:tcPr>
          <w:p w14:paraId="05112536" w14:textId="77777777" w:rsidR="000C4293" w:rsidRPr="00BE1286" w:rsidRDefault="000C4293" w:rsidP="00C217B4">
            <w:pPr>
              <w:spacing w:after="0"/>
              <w:ind w:firstLine="0"/>
              <w:jc w:val="right"/>
              <w:rPr>
                <w:rFonts w:eastAsia="Times New Roman" w:cs="Times New Roman"/>
                <w:b/>
                <w:noProof/>
                <w:sz w:val="18"/>
                <w:szCs w:val="18"/>
              </w:rPr>
            </w:pPr>
            <w:r w:rsidRPr="00BE1286">
              <w:rPr>
                <w:rFonts w:eastAsia="Times New Roman" w:cs="Times New Roman"/>
                <w:b/>
                <w:noProof/>
                <w:sz w:val="18"/>
                <w:szCs w:val="18"/>
              </w:rPr>
              <w:t>52,4%</w:t>
            </w:r>
          </w:p>
        </w:tc>
        <w:tc>
          <w:tcPr>
            <w:tcW w:w="943" w:type="dxa"/>
            <w:tcBorders>
              <w:top w:val="double" w:sz="4" w:space="0" w:color="auto"/>
            </w:tcBorders>
            <w:tcMar>
              <w:left w:w="57" w:type="dxa"/>
              <w:right w:w="57" w:type="dxa"/>
            </w:tcMar>
            <w:vAlign w:val="center"/>
          </w:tcPr>
          <w:p w14:paraId="7DCD4994" w14:textId="77777777" w:rsidR="000C4293" w:rsidRPr="00BE1286" w:rsidRDefault="000C4293" w:rsidP="00C217B4">
            <w:pPr>
              <w:spacing w:after="0"/>
              <w:ind w:firstLine="0"/>
              <w:jc w:val="right"/>
              <w:rPr>
                <w:rFonts w:eastAsia="Times New Roman" w:cs="Times New Roman"/>
                <w:b/>
                <w:noProof/>
                <w:sz w:val="18"/>
                <w:szCs w:val="18"/>
              </w:rPr>
            </w:pPr>
            <w:r w:rsidRPr="00BE1286">
              <w:rPr>
                <w:rFonts w:eastAsia="Times New Roman" w:cs="Times New Roman"/>
                <w:b/>
                <w:noProof/>
                <w:sz w:val="18"/>
                <w:szCs w:val="18"/>
              </w:rPr>
              <w:t>57,1%</w:t>
            </w:r>
          </w:p>
        </w:tc>
        <w:tc>
          <w:tcPr>
            <w:tcW w:w="943" w:type="dxa"/>
            <w:tcBorders>
              <w:top w:val="double" w:sz="4" w:space="0" w:color="auto"/>
            </w:tcBorders>
            <w:tcMar>
              <w:left w:w="57" w:type="dxa"/>
              <w:right w:w="57" w:type="dxa"/>
            </w:tcMar>
            <w:vAlign w:val="center"/>
          </w:tcPr>
          <w:p w14:paraId="478C9F1D" w14:textId="77777777" w:rsidR="000C4293" w:rsidRPr="00BE1286" w:rsidRDefault="000C4293" w:rsidP="00C217B4">
            <w:pPr>
              <w:spacing w:after="0"/>
              <w:ind w:firstLine="0"/>
              <w:jc w:val="right"/>
              <w:rPr>
                <w:rFonts w:eastAsia="Times New Roman" w:cs="Times New Roman"/>
                <w:b/>
                <w:noProof/>
                <w:sz w:val="18"/>
                <w:szCs w:val="18"/>
              </w:rPr>
            </w:pPr>
            <w:r w:rsidRPr="00BE1286">
              <w:rPr>
                <w:rFonts w:eastAsia="Times New Roman" w:cs="Times New Roman"/>
                <w:b/>
                <w:noProof/>
                <w:sz w:val="18"/>
                <w:szCs w:val="18"/>
              </w:rPr>
              <w:t>58,2%</w:t>
            </w:r>
          </w:p>
        </w:tc>
        <w:tc>
          <w:tcPr>
            <w:tcW w:w="943" w:type="dxa"/>
            <w:tcBorders>
              <w:top w:val="double" w:sz="4" w:space="0" w:color="auto"/>
            </w:tcBorders>
            <w:tcMar>
              <w:left w:w="57" w:type="dxa"/>
              <w:right w:w="57" w:type="dxa"/>
            </w:tcMar>
            <w:vAlign w:val="center"/>
          </w:tcPr>
          <w:p w14:paraId="78C0E82F" w14:textId="77777777" w:rsidR="000C4293" w:rsidRPr="00BE1286" w:rsidRDefault="000C4293" w:rsidP="00C217B4">
            <w:pPr>
              <w:spacing w:after="0"/>
              <w:ind w:firstLine="0"/>
              <w:jc w:val="right"/>
              <w:rPr>
                <w:rFonts w:eastAsia="Times New Roman" w:cs="Times New Roman"/>
                <w:b/>
                <w:noProof/>
                <w:sz w:val="18"/>
                <w:szCs w:val="18"/>
              </w:rPr>
            </w:pPr>
            <w:r w:rsidRPr="00BE1286">
              <w:rPr>
                <w:rFonts w:eastAsia="Times New Roman" w:cs="Times New Roman"/>
                <w:b/>
                <w:noProof/>
                <w:sz w:val="18"/>
                <w:szCs w:val="18"/>
              </w:rPr>
              <w:t>+1,8 pp</w:t>
            </w:r>
          </w:p>
        </w:tc>
        <w:tc>
          <w:tcPr>
            <w:tcW w:w="943" w:type="dxa"/>
            <w:tcBorders>
              <w:top w:val="double" w:sz="4" w:space="0" w:color="auto"/>
            </w:tcBorders>
            <w:tcMar>
              <w:left w:w="57" w:type="dxa"/>
              <w:right w:w="57" w:type="dxa"/>
            </w:tcMar>
            <w:vAlign w:val="center"/>
          </w:tcPr>
          <w:p w14:paraId="1B984C50" w14:textId="77777777" w:rsidR="000C4293" w:rsidRPr="00BE1286" w:rsidRDefault="000C4293" w:rsidP="00C217B4">
            <w:pPr>
              <w:spacing w:after="0" w:line="259" w:lineRule="auto"/>
              <w:ind w:firstLine="0"/>
              <w:jc w:val="right"/>
              <w:rPr>
                <w:rFonts w:eastAsia="Times New Roman" w:cs="Times New Roman"/>
                <w:b/>
                <w:noProof/>
                <w:sz w:val="18"/>
                <w:szCs w:val="18"/>
              </w:rPr>
            </w:pPr>
            <w:r w:rsidRPr="00BE1286">
              <w:rPr>
                <w:rFonts w:eastAsia="Times New Roman" w:cs="Times New Roman"/>
                <w:b/>
                <w:noProof/>
                <w:sz w:val="18"/>
                <w:szCs w:val="18"/>
              </w:rPr>
              <w:t>+2,4 pp</w:t>
            </w:r>
          </w:p>
        </w:tc>
        <w:tc>
          <w:tcPr>
            <w:tcW w:w="943" w:type="dxa"/>
            <w:tcBorders>
              <w:top w:val="double" w:sz="4" w:space="0" w:color="auto"/>
            </w:tcBorders>
            <w:tcMar>
              <w:left w:w="57" w:type="dxa"/>
              <w:right w:w="57" w:type="dxa"/>
            </w:tcMar>
            <w:vAlign w:val="center"/>
          </w:tcPr>
          <w:p w14:paraId="3CB448A4" w14:textId="77777777" w:rsidR="000C4293" w:rsidRPr="00BE1286" w:rsidRDefault="000C4293" w:rsidP="00C217B4">
            <w:pPr>
              <w:spacing w:after="0" w:line="259" w:lineRule="auto"/>
              <w:ind w:firstLine="0"/>
              <w:jc w:val="right"/>
              <w:rPr>
                <w:rFonts w:eastAsia="Times New Roman" w:cs="Times New Roman"/>
                <w:b/>
                <w:noProof/>
                <w:sz w:val="18"/>
                <w:szCs w:val="18"/>
              </w:rPr>
            </w:pPr>
            <w:r w:rsidRPr="00BE1286">
              <w:rPr>
                <w:rFonts w:eastAsia="Times New Roman" w:cs="Times New Roman"/>
                <w:b/>
                <w:noProof/>
                <w:sz w:val="18"/>
                <w:szCs w:val="18"/>
              </w:rPr>
              <w:t>+2,8 pp</w:t>
            </w:r>
          </w:p>
        </w:tc>
      </w:tr>
    </w:tbl>
    <w:p w14:paraId="4295223E" w14:textId="3ECA23DE" w:rsidR="00CF2C66" w:rsidRDefault="000C4293" w:rsidP="00CF2C66">
      <w:pPr>
        <w:autoSpaceDE w:val="0"/>
        <w:autoSpaceDN w:val="0"/>
        <w:adjustRightInd w:val="0"/>
        <w:spacing w:before="120"/>
        <w:rPr>
          <w:rFonts w:eastAsia="Times New Roman" w:cs="Times New Roman"/>
          <w:noProof/>
          <w:szCs w:val="24"/>
        </w:rPr>
      </w:pPr>
      <w:r w:rsidRPr="00BE1286">
        <w:rPr>
          <w:rFonts w:eastAsia="Times New Roman" w:cs="Times New Roman"/>
          <w:noProof/>
          <w:szCs w:val="24"/>
        </w:rPr>
        <w:t xml:space="preserve">Iestājoties pesimistiskajam scenārijam, vispārējās valdības parāda līmenis pieaugs 2026. gadā par 1,8 pp, 2027. gadā par 2,4 pp un 2028. gadā par 2,8 pp. Sagaidāms, ka parāda līmenis, pesimistiskajam scenārijam iestājoties, 2028. gadā sasniegtu jau 58,2% no IKP. Papildus </w:t>
      </w:r>
      <w:r w:rsidRPr="00BE1286">
        <w:rPr>
          <w:rFonts w:eastAsia="Times New Roman" w:cs="Times New Roman"/>
          <w:noProof/>
          <w:szCs w:val="24"/>
        </w:rPr>
        <w:lastRenderedPageBreak/>
        <w:t xml:space="preserve">tiek aplūkoti scenāriji, kuros aizņemšanās procentu likmes parāda pārfinansēšanai nosvārstās viena pp robežās – par </w:t>
      </w:r>
      <w:r w:rsidRPr="00CF2C66">
        <w:rPr>
          <w:rFonts w:eastAsia="Times New Roman" w:cs="Times New Roman"/>
          <w:noProof/>
          <w:szCs w:val="24"/>
        </w:rPr>
        <w:t xml:space="preserve">vienu pp palielinoties vai konkrētajā apmērā samazinoties. </w:t>
      </w:r>
      <w:r w:rsidR="00CF2C66" w:rsidRPr="00CF2C66">
        <w:rPr>
          <w:rFonts w:eastAsia="Times New Roman" w:cs="Times New Roman"/>
          <w:noProof/>
          <w:szCs w:val="24"/>
        </w:rPr>
        <w:t xml:space="preserve">Procentu likmēm par vienu pp palielinoties, procentu izdevumi 2026. gadā palielinātos par 7,5 milj. </w:t>
      </w:r>
      <w:r w:rsidR="00CF2C66" w:rsidRPr="00CF2C66">
        <w:rPr>
          <w:rFonts w:eastAsia="Times New Roman" w:cs="Times New Roman"/>
          <w:i/>
          <w:noProof/>
          <w:szCs w:val="24"/>
        </w:rPr>
        <w:t>euro</w:t>
      </w:r>
      <w:r w:rsidR="00CF2C66" w:rsidRPr="00CF2C66">
        <w:rPr>
          <w:rFonts w:eastAsia="Times New Roman" w:cs="Times New Roman"/>
          <w:noProof/>
          <w:szCs w:val="24"/>
        </w:rPr>
        <w:t xml:space="preserve">, 2027. gadā par 54,5 milj. </w:t>
      </w:r>
      <w:r w:rsidR="00CF2C66" w:rsidRPr="00CF2C66">
        <w:rPr>
          <w:rFonts w:eastAsia="Times New Roman" w:cs="Times New Roman"/>
          <w:i/>
          <w:noProof/>
          <w:szCs w:val="24"/>
        </w:rPr>
        <w:t>euro</w:t>
      </w:r>
      <w:r w:rsidR="00CF2C66" w:rsidRPr="00CF2C66">
        <w:rPr>
          <w:rFonts w:eastAsia="Times New Roman" w:cs="Times New Roman"/>
          <w:noProof/>
          <w:szCs w:val="24"/>
        </w:rPr>
        <w:t xml:space="preserve">, bet 2028. gadā būtu jau par 107,4 milj. </w:t>
      </w:r>
      <w:r w:rsidR="00CF2C66" w:rsidRPr="00CF2C66">
        <w:rPr>
          <w:rFonts w:eastAsia="Times New Roman" w:cs="Times New Roman"/>
          <w:i/>
          <w:iCs/>
          <w:noProof/>
          <w:szCs w:val="24"/>
        </w:rPr>
        <w:t>euro</w:t>
      </w:r>
      <w:r w:rsidR="00CF2C66" w:rsidRPr="00CF2C66">
        <w:rPr>
          <w:rFonts w:eastAsia="Times New Roman" w:cs="Times New Roman"/>
          <w:noProof/>
          <w:szCs w:val="24"/>
        </w:rPr>
        <w:t xml:space="preserve"> lielāki nekā bāzes scenārijā. Savukārt, procentu likmēm par vienu pp samazinoties, izdevumi 2026. gadā samazinātos par 0,5 milj. </w:t>
      </w:r>
      <w:r w:rsidR="00CF2C66" w:rsidRPr="00CF2C66">
        <w:rPr>
          <w:rFonts w:eastAsia="Times New Roman" w:cs="Times New Roman"/>
          <w:i/>
          <w:noProof/>
          <w:szCs w:val="24"/>
        </w:rPr>
        <w:t>euro</w:t>
      </w:r>
      <w:r w:rsidR="00CF2C66" w:rsidRPr="00CF2C66">
        <w:rPr>
          <w:rFonts w:eastAsia="Times New Roman" w:cs="Times New Roman"/>
          <w:noProof/>
          <w:szCs w:val="24"/>
        </w:rPr>
        <w:t xml:space="preserve">, 2027. gadā izdevumi būtu par 33,5 milj. </w:t>
      </w:r>
      <w:r w:rsidR="00CF2C66" w:rsidRPr="00CF2C66">
        <w:rPr>
          <w:rFonts w:eastAsia="Times New Roman" w:cs="Times New Roman"/>
          <w:i/>
          <w:noProof/>
          <w:szCs w:val="24"/>
        </w:rPr>
        <w:t>euro</w:t>
      </w:r>
      <w:r w:rsidR="00CF2C66" w:rsidRPr="00CF2C66">
        <w:rPr>
          <w:rFonts w:eastAsia="Times New Roman" w:cs="Times New Roman"/>
          <w:noProof/>
          <w:szCs w:val="24"/>
        </w:rPr>
        <w:t xml:space="preserve"> mazāki un 2028. gadā par 71,0 milj. </w:t>
      </w:r>
      <w:r w:rsidR="00CF2C66" w:rsidRPr="00CF2C66">
        <w:rPr>
          <w:rFonts w:eastAsia="Times New Roman" w:cs="Times New Roman"/>
          <w:i/>
          <w:noProof/>
          <w:szCs w:val="24"/>
        </w:rPr>
        <w:t>euro</w:t>
      </w:r>
      <w:r w:rsidR="00CF2C66" w:rsidRPr="00CF2C66">
        <w:rPr>
          <w:rFonts w:eastAsia="Times New Roman" w:cs="Times New Roman"/>
          <w:noProof/>
          <w:szCs w:val="24"/>
        </w:rPr>
        <w:t xml:space="preserve"> mazāki nekā bāzes scenārijā.</w:t>
      </w:r>
    </w:p>
    <w:p w14:paraId="458071A6" w14:textId="0507FD07" w:rsidR="00E96BB6" w:rsidRPr="000C4293" w:rsidRDefault="00E96BB6" w:rsidP="004F059A">
      <w:pPr>
        <w:spacing w:before="240" w:after="240"/>
        <w:ind w:firstLine="0"/>
        <w:jc w:val="center"/>
        <w:outlineLvl w:val="2"/>
        <w:rPr>
          <w:rFonts w:eastAsia="Times New Roman" w:cs="Times New Roman"/>
          <w:b/>
          <w:sz w:val="32"/>
          <w:szCs w:val="20"/>
          <w:lang w:eastAsia="en-US"/>
        </w:rPr>
      </w:pPr>
      <w:bookmarkStart w:id="35" w:name="_Toc126011237"/>
      <w:bookmarkStart w:id="36" w:name="_Toc126236640"/>
      <w:bookmarkStart w:id="37" w:name="_Toc210289878"/>
      <w:r w:rsidRPr="00D8017D">
        <w:rPr>
          <w:rFonts w:eastAsia="Times New Roman" w:cs="Times New Roman"/>
          <w:b/>
          <w:sz w:val="32"/>
          <w:szCs w:val="20"/>
          <w:lang w:eastAsia="en-US"/>
        </w:rPr>
        <w:t>1.5.2. Optimistiskais scenārijs</w:t>
      </w:r>
      <w:bookmarkEnd w:id="35"/>
      <w:bookmarkEnd w:id="36"/>
      <w:bookmarkEnd w:id="37"/>
    </w:p>
    <w:p w14:paraId="477086A7" w14:textId="77777777" w:rsidR="001F086B" w:rsidRPr="00D8017D" w:rsidRDefault="001F086B" w:rsidP="001F086B">
      <w:pPr>
        <w:ind w:firstLine="709"/>
        <w:rPr>
          <w:rFonts w:eastAsia="Calibri" w:cs="Times New Roman"/>
          <w:lang w:eastAsia="en-US"/>
        </w:rPr>
      </w:pPr>
      <w:r w:rsidRPr="00D8017D">
        <w:rPr>
          <w:rFonts w:eastAsia="Calibri" w:cs="Times New Roman"/>
          <w:lang w:eastAsia="en-US"/>
        </w:rPr>
        <w:t xml:space="preserve">Optimistiskais scenārijs turpretim paredz straujāku ekonomikas atkopšanos Latvijai svarīgākajos eksporta tirgos, tajā skaitā </w:t>
      </w:r>
      <w:r w:rsidRPr="00D8017D">
        <w:rPr>
          <w:rFonts w:eastAsia="Calibri" w:cs="Times New Roman"/>
          <w:i/>
          <w:iCs/>
          <w:lang w:eastAsia="en-US"/>
        </w:rPr>
        <w:t>euro</w:t>
      </w:r>
      <w:r w:rsidRPr="00D8017D">
        <w:rPr>
          <w:rFonts w:eastAsia="Calibri" w:cs="Times New Roman"/>
          <w:lang w:eastAsia="en-US"/>
        </w:rPr>
        <w:t xml:space="preserve"> zonā, pasaules ekonomikai izvairoties no plašāka apmēra tirdzniecības tarifu kariem. Vienlaikus uzlabojoties ģeopolitiskajai situācijai, karadarbības potenciālas apturēšanas gadījumā uzlabotos uzņēmēju un patērētāju konfidence, veicinot investīciju aktivitātes pieaugumu un palielinot privāto patēriņu.</w:t>
      </w:r>
    </w:p>
    <w:p w14:paraId="42EA867D" w14:textId="21CD561F" w:rsidR="001F086B" w:rsidRPr="00D8017D" w:rsidRDefault="001F086B" w:rsidP="001F086B">
      <w:pPr>
        <w:ind w:firstLine="709"/>
        <w:rPr>
          <w:rFonts w:eastAsia="Calibri" w:cs="Times New Roman"/>
          <w:lang w:eastAsia="en-US"/>
        </w:rPr>
      </w:pPr>
      <w:r w:rsidRPr="00D8017D">
        <w:rPr>
          <w:rFonts w:eastAsia="Calibri" w:cs="Times New Roman"/>
          <w:lang w:eastAsia="en-US"/>
        </w:rPr>
        <w:t xml:space="preserve">Saskaņā ar optimistisko scenāriju iekšzemes kopprodukts salīdzināmajās cenās varētu pieaugt par 1,6% 2025. gadā un par 2,7% 2026. gadā, kas attiecīgi būtu par 0,5 un 0,6 </w:t>
      </w:r>
      <w:r w:rsidR="005E6EA2">
        <w:rPr>
          <w:rFonts w:eastAsia="Calibri" w:cs="Times New Roman"/>
          <w:lang w:eastAsia="en-US"/>
        </w:rPr>
        <w:t>pp</w:t>
      </w:r>
      <w:r w:rsidRPr="00D8017D">
        <w:rPr>
          <w:rFonts w:eastAsia="Calibri" w:cs="Times New Roman"/>
          <w:lang w:eastAsia="en-US"/>
        </w:rPr>
        <w:t xml:space="preserve"> vairāk nekā bāzes scenārijā. Inflācija 2025. gadā salīdzinājumā ar bāzes scenāriju nemainītos, bet 2026. gadā līdz ar straujāku ekonomikas izaugsmi būtu par 0,4 p</w:t>
      </w:r>
      <w:r w:rsidR="005E6EA2">
        <w:rPr>
          <w:rFonts w:eastAsia="Calibri" w:cs="Times New Roman"/>
          <w:lang w:eastAsia="en-US"/>
        </w:rPr>
        <w:t>p</w:t>
      </w:r>
      <w:r w:rsidRPr="00D8017D">
        <w:rPr>
          <w:rFonts w:eastAsia="Calibri" w:cs="Times New Roman"/>
          <w:lang w:eastAsia="en-US"/>
        </w:rPr>
        <w:t xml:space="preserve"> augstāka, attiecīgi veidojot 3,5% un 2,7%.</w:t>
      </w:r>
    </w:p>
    <w:p w14:paraId="3A3650BD" w14:textId="77777777" w:rsidR="001F086B" w:rsidRPr="00D8017D" w:rsidRDefault="001F086B" w:rsidP="001F086B">
      <w:pPr>
        <w:ind w:firstLine="709"/>
        <w:rPr>
          <w:rFonts w:eastAsia="Calibri" w:cs="Times New Roman"/>
          <w:lang w:eastAsia="en-US"/>
        </w:rPr>
      </w:pPr>
      <w:r w:rsidRPr="00D8017D">
        <w:rPr>
          <w:rFonts w:eastAsia="Aptos" w:cs="Times New Roman"/>
          <w:szCs w:val="20"/>
          <w:lang w:eastAsia="en-US"/>
          <w14:ligatures w14:val="standardContextual"/>
        </w:rPr>
        <w:t>Nebūtiski augstāks optimistiskajā scenārijā šim un nākamajiem gadiem prognozēts arī darba samaksas pieaugums. Straujāka ekonomikas izaugsme būtiski nemainīs darba tirgus, tajā skaitā bezdarba un nodarbinātības rādītāju dinamiku, ko pamatā nosaka demogrāfiskie procesi un iedzīvotāju skaita izmaiņas.</w:t>
      </w:r>
    </w:p>
    <w:p w14:paraId="50C428A4" w14:textId="29F9931F" w:rsidR="001F086B" w:rsidRPr="00D8017D" w:rsidRDefault="001F086B" w:rsidP="001F086B">
      <w:pPr>
        <w:ind w:firstLine="0"/>
        <w:jc w:val="right"/>
        <w:rPr>
          <w:rFonts w:eastAsia="Calibri" w:cs="Times New Roman"/>
          <w:b/>
          <w:bCs/>
          <w:i/>
          <w:iCs/>
        </w:rPr>
      </w:pPr>
      <w:r w:rsidRPr="000B6235">
        <w:rPr>
          <w:rFonts w:eastAsia="Calibri" w:cs="Times New Roman"/>
          <w:b/>
          <w:bCs/>
          <w:i/>
          <w:iCs/>
        </w:rPr>
        <w:t>1.</w:t>
      </w:r>
      <w:r w:rsidR="00926C33">
        <w:rPr>
          <w:rFonts w:eastAsia="Calibri" w:cs="Times New Roman"/>
          <w:b/>
          <w:bCs/>
          <w:i/>
          <w:iCs/>
        </w:rPr>
        <w:t>7</w:t>
      </w:r>
      <w:r w:rsidRPr="000B6235">
        <w:rPr>
          <w:rFonts w:eastAsia="Calibri" w:cs="Times New Roman"/>
          <w:b/>
          <w:bCs/>
          <w:i/>
          <w:iCs/>
        </w:rPr>
        <w:t>.</w:t>
      </w:r>
      <w:r w:rsidRPr="00D8017D">
        <w:rPr>
          <w:rFonts w:eastAsia="Calibri" w:cs="Times New Roman"/>
          <w:b/>
          <w:bCs/>
          <w:i/>
          <w:iCs/>
        </w:rPr>
        <w:t xml:space="preserve"> tabula. Optimistiskais makroekonomisko rādītāju attīstības scenārijs</w:t>
      </w:r>
    </w:p>
    <w:tbl>
      <w:tblPr>
        <w:tblW w:w="44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4"/>
        <w:gridCol w:w="976"/>
        <w:gridCol w:w="979"/>
        <w:gridCol w:w="979"/>
        <w:gridCol w:w="978"/>
        <w:gridCol w:w="979"/>
      </w:tblGrid>
      <w:tr w:rsidR="001F086B" w:rsidRPr="00D8017D" w14:paraId="157D833B" w14:textId="77777777" w:rsidTr="000B6235">
        <w:trPr>
          <w:trHeight w:val="300"/>
          <w:jc w:val="center"/>
        </w:trPr>
        <w:tc>
          <w:tcPr>
            <w:tcW w:w="3369" w:type="dxa"/>
            <w:vMerge w:val="restart"/>
            <w:shd w:val="clear" w:color="auto" w:fill="BDD6EE"/>
            <w:noWrap/>
            <w:vAlign w:val="center"/>
            <w:hideMark/>
          </w:tcPr>
          <w:p w14:paraId="10580E72" w14:textId="77777777" w:rsidR="001F086B" w:rsidRPr="005E6EA2" w:rsidRDefault="001F086B" w:rsidP="001F086B">
            <w:pPr>
              <w:spacing w:after="0"/>
              <w:ind w:firstLine="0"/>
              <w:rPr>
                <w:rFonts w:eastAsia="Times New Roman" w:cs="Times New Roman"/>
                <w:b/>
                <w:bCs/>
                <w:sz w:val="18"/>
                <w:szCs w:val="20"/>
              </w:rPr>
            </w:pPr>
          </w:p>
        </w:tc>
        <w:tc>
          <w:tcPr>
            <w:tcW w:w="947" w:type="dxa"/>
            <w:shd w:val="clear" w:color="auto" w:fill="BDD6EE"/>
            <w:noWrap/>
            <w:vAlign w:val="center"/>
            <w:hideMark/>
          </w:tcPr>
          <w:p w14:paraId="1D2EF05A" w14:textId="77777777" w:rsidR="001F086B" w:rsidRPr="005E6EA2" w:rsidRDefault="001F086B" w:rsidP="001F086B">
            <w:pPr>
              <w:spacing w:after="0"/>
              <w:ind w:firstLine="0"/>
              <w:jc w:val="center"/>
              <w:rPr>
                <w:rFonts w:eastAsia="Times New Roman" w:cs="Times New Roman"/>
                <w:b/>
                <w:bCs/>
                <w:sz w:val="18"/>
                <w:szCs w:val="20"/>
              </w:rPr>
            </w:pPr>
            <w:r w:rsidRPr="005E6EA2">
              <w:rPr>
                <w:rFonts w:eastAsia="Times New Roman" w:cs="Times New Roman"/>
                <w:b/>
                <w:bCs/>
                <w:sz w:val="18"/>
                <w:szCs w:val="20"/>
              </w:rPr>
              <w:t>2024</w:t>
            </w:r>
          </w:p>
        </w:tc>
        <w:tc>
          <w:tcPr>
            <w:tcW w:w="949" w:type="dxa"/>
            <w:shd w:val="clear" w:color="auto" w:fill="BDD6EE"/>
            <w:noWrap/>
            <w:vAlign w:val="center"/>
          </w:tcPr>
          <w:p w14:paraId="2CC7645E" w14:textId="77777777" w:rsidR="001F086B" w:rsidRPr="005E6EA2" w:rsidRDefault="001F086B" w:rsidP="001F086B">
            <w:pPr>
              <w:spacing w:after="0"/>
              <w:ind w:firstLine="0"/>
              <w:jc w:val="center"/>
              <w:rPr>
                <w:rFonts w:eastAsia="Times New Roman" w:cs="Times New Roman"/>
                <w:b/>
                <w:bCs/>
                <w:sz w:val="18"/>
                <w:szCs w:val="20"/>
              </w:rPr>
            </w:pPr>
            <w:r w:rsidRPr="005E6EA2">
              <w:rPr>
                <w:rFonts w:eastAsia="Times New Roman" w:cs="Times New Roman"/>
                <w:b/>
                <w:bCs/>
                <w:sz w:val="18"/>
                <w:szCs w:val="20"/>
              </w:rPr>
              <w:t>2025</w:t>
            </w:r>
          </w:p>
        </w:tc>
        <w:tc>
          <w:tcPr>
            <w:tcW w:w="949" w:type="dxa"/>
            <w:shd w:val="clear" w:color="auto" w:fill="BDD6EE"/>
            <w:noWrap/>
            <w:vAlign w:val="center"/>
          </w:tcPr>
          <w:p w14:paraId="78624269" w14:textId="77777777" w:rsidR="001F086B" w:rsidRPr="005E6EA2" w:rsidRDefault="001F086B" w:rsidP="001F086B">
            <w:pPr>
              <w:spacing w:after="0"/>
              <w:ind w:firstLine="0"/>
              <w:jc w:val="center"/>
              <w:rPr>
                <w:rFonts w:eastAsia="Times New Roman" w:cs="Times New Roman"/>
                <w:b/>
                <w:bCs/>
                <w:sz w:val="18"/>
                <w:szCs w:val="20"/>
              </w:rPr>
            </w:pPr>
            <w:r w:rsidRPr="005E6EA2">
              <w:rPr>
                <w:rFonts w:eastAsia="Times New Roman" w:cs="Times New Roman"/>
                <w:b/>
                <w:bCs/>
                <w:sz w:val="18"/>
                <w:szCs w:val="20"/>
              </w:rPr>
              <w:t>2026</w:t>
            </w:r>
          </w:p>
        </w:tc>
        <w:tc>
          <w:tcPr>
            <w:tcW w:w="948" w:type="dxa"/>
            <w:shd w:val="clear" w:color="auto" w:fill="BDD6EE"/>
            <w:noWrap/>
            <w:vAlign w:val="center"/>
          </w:tcPr>
          <w:p w14:paraId="6C9AB54C" w14:textId="77777777" w:rsidR="001F086B" w:rsidRPr="005E6EA2" w:rsidRDefault="001F086B" w:rsidP="001F086B">
            <w:pPr>
              <w:spacing w:after="0"/>
              <w:ind w:firstLine="0"/>
              <w:jc w:val="center"/>
              <w:rPr>
                <w:rFonts w:eastAsia="Times New Roman" w:cs="Times New Roman"/>
                <w:b/>
                <w:bCs/>
                <w:sz w:val="18"/>
                <w:szCs w:val="20"/>
              </w:rPr>
            </w:pPr>
            <w:r w:rsidRPr="005E6EA2">
              <w:rPr>
                <w:rFonts w:eastAsia="Times New Roman" w:cs="Times New Roman"/>
                <w:b/>
                <w:bCs/>
                <w:sz w:val="18"/>
                <w:szCs w:val="20"/>
              </w:rPr>
              <w:t>2027</w:t>
            </w:r>
          </w:p>
        </w:tc>
        <w:tc>
          <w:tcPr>
            <w:tcW w:w="949" w:type="dxa"/>
            <w:shd w:val="clear" w:color="auto" w:fill="BDD6EE"/>
            <w:noWrap/>
            <w:vAlign w:val="center"/>
          </w:tcPr>
          <w:p w14:paraId="062A07E5" w14:textId="77777777" w:rsidR="001F086B" w:rsidRPr="005E6EA2" w:rsidRDefault="001F086B" w:rsidP="001F086B">
            <w:pPr>
              <w:spacing w:after="0"/>
              <w:ind w:firstLine="0"/>
              <w:jc w:val="center"/>
              <w:rPr>
                <w:rFonts w:eastAsia="Times New Roman" w:cs="Times New Roman"/>
                <w:b/>
                <w:bCs/>
                <w:sz w:val="18"/>
                <w:szCs w:val="20"/>
              </w:rPr>
            </w:pPr>
            <w:r w:rsidRPr="005E6EA2">
              <w:rPr>
                <w:rFonts w:eastAsia="Times New Roman" w:cs="Times New Roman"/>
                <w:b/>
                <w:bCs/>
                <w:sz w:val="18"/>
                <w:szCs w:val="20"/>
              </w:rPr>
              <w:t>2028</w:t>
            </w:r>
          </w:p>
        </w:tc>
      </w:tr>
      <w:tr w:rsidR="001F086B" w:rsidRPr="00D8017D" w14:paraId="3738BF33" w14:textId="77777777" w:rsidTr="000B6235">
        <w:trPr>
          <w:trHeight w:val="300"/>
          <w:jc w:val="center"/>
        </w:trPr>
        <w:tc>
          <w:tcPr>
            <w:tcW w:w="3369" w:type="dxa"/>
            <w:vMerge/>
            <w:shd w:val="clear" w:color="auto" w:fill="BDD6EE"/>
            <w:noWrap/>
            <w:vAlign w:val="center"/>
          </w:tcPr>
          <w:p w14:paraId="0B203A44" w14:textId="77777777" w:rsidR="001F086B" w:rsidRPr="005E6EA2" w:rsidRDefault="001F086B" w:rsidP="001F086B">
            <w:pPr>
              <w:spacing w:after="0"/>
              <w:ind w:firstLine="0"/>
              <w:rPr>
                <w:rFonts w:eastAsia="Times New Roman" w:cs="Times New Roman"/>
                <w:b/>
                <w:bCs/>
                <w:sz w:val="18"/>
                <w:szCs w:val="20"/>
              </w:rPr>
            </w:pPr>
          </w:p>
        </w:tc>
        <w:tc>
          <w:tcPr>
            <w:tcW w:w="947" w:type="dxa"/>
            <w:shd w:val="clear" w:color="auto" w:fill="BDD6EE"/>
            <w:noWrap/>
            <w:vAlign w:val="center"/>
          </w:tcPr>
          <w:p w14:paraId="6E67EF48" w14:textId="77777777" w:rsidR="001F086B" w:rsidRPr="005E6EA2" w:rsidRDefault="001F086B" w:rsidP="001F086B">
            <w:pPr>
              <w:spacing w:after="0"/>
              <w:ind w:firstLine="0"/>
              <w:jc w:val="center"/>
              <w:rPr>
                <w:rFonts w:eastAsia="Times New Roman" w:cs="Times New Roman"/>
                <w:b/>
                <w:bCs/>
                <w:sz w:val="18"/>
                <w:szCs w:val="20"/>
              </w:rPr>
            </w:pPr>
            <w:r w:rsidRPr="005E6EA2">
              <w:rPr>
                <w:rFonts w:eastAsia="Times New Roman" w:cs="Times New Roman"/>
                <w:b/>
                <w:bCs/>
                <w:sz w:val="18"/>
                <w:szCs w:val="20"/>
              </w:rPr>
              <w:t>fakts</w:t>
            </w:r>
          </w:p>
        </w:tc>
        <w:tc>
          <w:tcPr>
            <w:tcW w:w="3795" w:type="dxa"/>
            <w:gridSpan w:val="4"/>
            <w:shd w:val="clear" w:color="auto" w:fill="BDD6EE"/>
            <w:noWrap/>
            <w:vAlign w:val="center"/>
          </w:tcPr>
          <w:p w14:paraId="2453A048" w14:textId="77777777" w:rsidR="001F086B" w:rsidRPr="005E6EA2" w:rsidRDefault="001F086B" w:rsidP="001F086B">
            <w:pPr>
              <w:spacing w:after="0"/>
              <w:ind w:firstLine="0"/>
              <w:jc w:val="center"/>
              <w:rPr>
                <w:rFonts w:eastAsia="Times New Roman" w:cs="Times New Roman"/>
                <w:b/>
                <w:bCs/>
                <w:sz w:val="18"/>
                <w:szCs w:val="20"/>
              </w:rPr>
            </w:pPr>
            <w:r w:rsidRPr="005E6EA2">
              <w:rPr>
                <w:rFonts w:eastAsia="Times New Roman" w:cs="Times New Roman"/>
                <w:b/>
                <w:bCs/>
                <w:sz w:val="18"/>
                <w:szCs w:val="20"/>
              </w:rPr>
              <w:t>prognoze</w:t>
            </w:r>
          </w:p>
        </w:tc>
      </w:tr>
      <w:tr w:rsidR="001F086B" w:rsidRPr="00D8017D" w14:paraId="66EF2122" w14:textId="77777777" w:rsidTr="000B6235">
        <w:trPr>
          <w:trHeight w:val="300"/>
          <w:jc w:val="center"/>
        </w:trPr>
        <w:tc>
          <w:tcPr>
            <w:tcW w:w="3369" w:type="dxa"/>
            <w:noWrap/>
            <w:vAlign w:val="center"/>
            <w:hideMark/>
          </w:tcPr>
          <w:p w14:paraId="170BE797" w14:textId="5D4126EF" w:rsidR="001F086B" w:rsidRPr="00D8017D" w:rsidRDefault="001F086B" w:rsidP="001F086B">
            <w:pPr>
              <w:spacing w:after="0"/>
              <w:ind w:firstLine="0"/>
              <w:jc w:val="left"/>
              <w:rPr>
                <w:rFonts w:eastAsia="Times New Roman" w:cs="Times New Roman"/>
                <w:sz w:val="18"/>
                <w:szCs w:val="20"/>
              </w:rPr>
            </w:pPr>
            <w:r w:rsidRPr="00D8017D">
              <w:rPr>
                <w:rFonts w:eastAsia="Times New Roman" w:cs="Times New Roman"/>
                <w:sz w:val="18"/>
                <w:szCs w:val="20"/>
              </w:rPr>
              <w:t xml:space="preserve">IKP (milj. </w:t>
            </w:r>
            <w:r w:rsidRPr="00D8017D">
              <w:rPr>
                <w:rFonts w:eastAsia="Times New Roman" w:cs="Times New Roman"/>
                <w:i/>
                <w:sz w:val="18"/>
                <w:szCs w:val="20"/>
              </w:rPr>
              <w:t>euro</w:t>
            </w:r>
            <w:r w:rsidRPr="00D8017D">
              <w:rPr>
                <w:rFonts w:eastAsia="Times New Roman" w:cs="Times New Roman"/>
                <w:sz w:val="18"/>
                <w:szCs w:val="20"/>
              </w:rPr>
              <w:t>)</w:t>
            </w:r>
          </w:p>
        </w:tc>
        <w:tc>
          <w:tcPr>
            <w:tcW w:w="94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3EC03A16"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40208</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F813A9A"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42217</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4BB21344"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44493</w:t>
            </w:r>
          </w:p>
        </w:tc>
        <w:tc>
          <w:tcPr>
            <w:tcW w:w="94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999F225"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46821</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1EB3221"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49039</w:t>
            </w:r>
          </w:p>
        </w:tc>
      </w:tr>
      <w:tr w:rsidR="001F086B" w:rsidRPr="00D8017D" w14:paraId="386CC549" w14:textId="77777777" w:rsidTr="000B6235">
        <w:trPr>
          <w:trHeight w:val="300"/>
          <w:jc w:val="center"/>
        </w:trPr>
        <w:tc>
          <w:tcPr>
            <w:tcW w:w="3369" w:type="dxa"/>
            <w:noWrap/>
            <w:vAlign w:val="center"/>
            <w:hideMark/>
          </w:tcPr>
          <w:p w14:paraId="7ED70D02" w14:textId="77777777" w:rsidR="001F086B" w:rsidRPr="00D8017D" w:rsidRDefault="001F086B" w:rsidP="001F086B">
            <w:pPr>
              <w:spacing w:after="0"/>
              <w:ind w:left="174" w:firstLine="0"/>
              <w:jc w:val="left"/>
              <w:rPr>
                <w:rFonts w:eastAsia="Times New Roman" w:cs="Times New Roman"/>
                <w:sz w:val="18"/>
                <w:szCs w:val="20"/>
              </w:rPr>
            </w:pPr>
            <w:r w:rsidRPr="00D8017D">
              <w:rPr>
                <w:rFonts w:eastAsia="Times New Roman" w:cs="Times New Roman"/>
                <w:sz w:val="18"/>
                <w:szCs w:val="20"/>
              </w:rPr>
              <w:t>pieaugums faktiskajās cenās (%)</w:t>
            </w:r>
          </w:p>
        </w:tc>
        <w:tc>
          <w:tcPr>
            <w:tcW w:w="94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1B1B0901"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2,1</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73527D4"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5,0</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4D45E042"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5,4</w:t>
            </w:r>
          </w:p>
        </w:tc>
        <w:tc>
          <w:tcPr>
            <w:tcW w:w="94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CB921B7"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5,2</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54F25E0"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4,7</w:t>
            </w:r>
          </w:p>
        </w:tc>
      </w:tr>
      <w:tr w:rsidR="001F086B" w:rsidRPr="00D8017D" w14:paraId="44968473" w14:textId="77777777" w:rsidTr="000B6235">
        <w:trPr>
          <w:trHeight w:val="300"/>
          <w:jc w:val="center"/>
        </w:trPr>
        <w:tc>
          <w:tcPr>
            <w:tcW w:w="3369" w:type="dxa"/>
            <w:noWrap/>
            <w:vAlign w:val="center"/>
            <w:hideMark/>
          </w:tcPr>
          <w:p w14:paraId="3FD9633A" w14:textId="77777777" w:rsidR="001F086B" w:rsidRPr="00D8017D" w:rsidRDefault="001F086B" w:rsidP="001F086B">
            <w:pPr>
              <w:spacing w:after="0"/>
              <w:ind w:left="174" w:firstLine="0"/>
              <w:jc w:val="left"/>
              <w:rPr>
                <w:rFonts w:eastAsia="Times New Roman" w:cs="Times New Roman"/>
                <w:sz w:val="18"/>
                <w:szCs w:val="20"/>
              </w:rPr>
            </w:pPr>
            <w:r w:rsidRPr="00D8017D">
              <w:rPr>
                <w:rFonts w:eastAsia="Times New Roman" w:cs="Times New Roman"/>
                <w:sz w:val="18"/>
                <w:szCs w:val="20"/>
              </w:rPr>
              <w:t>pieaugums salīdzināmās cenās (%)</w:t>
            </w:r>
          </w:p>
        </w:tc>
        <w:tc>
          <w:tcPr>
            <w:tcW w:w="94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11C07C85"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-0,4</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075A2A1"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1,6</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BECC9B0"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2,7</w:t>
            </w:r>
          </w:p>
        </w:tc>
        <w:tc>
          <w:tcPr>
            <w:tcW w:w="94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6023E8E"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2,6</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F268A5A"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2,2</w:t>
            </w:r>
          </w:p>
        </w:tc>
      </w:tr>
      <w:tr w:rsidR="001F086B" w:rsidRPr="00D8017D" w14:paraId="3DB99E4A" w14:textId="77777777" w:rsidTr="000B6235">
        <w:trPr>
          <w:trHeight w:val="300"/>
          <w:jc w:val="center"/>
        </w:trPr>
        <w:tc>
          <w:tcPr>
            <w:tcW w:w="3369" w:type="dxa"/>
            <w:noWrap/>
            <w:vAlign w:val="center"/>
            <w:hideMark/>
          </w:tcPr>
          <w:p w14:paraId="5D63FCE1" w14:textId="77777777" w:rsidR="001F086B" w:rsidRPr="00D8017D" w:rsidRDefault="001F086B" w:rsidP="001F086B">
            <w:pPr>
              <w:spacing w:after="0"/>
              <w:ind w:firstLine="0"/>
              <w:jc w:val="left"/>
              <w:rPr>
                <w:rFonts w:eastAsia="Times New Roman" w:cs="Times New Roman"/>
                <w:sz w:val="18"/>
                <w:szCs w:val="20"/>
              </w:rPr>
            </w:pPr>
            <w:r w:rsidRPr="00D8017D">
              <w:rPr>
                <w:rFonts w:eastAsia="Times New Roman" w:cs="Times New Roman"/>
                <w:sz w:val="18"/>
                <w:szCs w:val="20"/>
              </w:rPr>
              <w:t>IKP deflators (gads pret gadu, %)</w:t>
            </w:r>
          </w:p>
        </w:tc>
        <w:tc>
          <w:tcPr>
            <w:tcW w:w="94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5FE91A0E"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2,6</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C996E85"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3,3</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5319936"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2,6</w:t>
            </w:r>
          </w:p>
        </w:tc>
        <w:tc>
          <w:tcPr>
            <w:tcW w:w="94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ACFB5F7"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2,6</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D847642"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2,5</w:t>
            </w:r>
          </w:p>
        </w:tc>
      </w:tr>
      <w:tr w:rsidR="001F086B" w:rsidRPr="00D8017D" w14:paraId="3FC4BF03" w14:textId="77777777" w:rsidTr="000B6235">
        <w:trPr>
          <w:trHeight w:val="301"/>
          <w:jc w:val="center"/>
        </w:trPr>
        <w:tc>
          <w:tcPr>
            <w:tcW w:w="3369" w:type="dxa"/>
            <w:noWrap/>
            <w:vAlign w:val="center"/>
            <w:hideMark/>
          </w:tcPr>
          <w:p w14:paraId="14FA4E55" w14:textId="77777777" w:rsidR="001F086B" w:rsidRPr="00D8017D" w:rsidRDefault="001F086B" w:rsidP="001F086B">
            <w:pPr>
              <w:spacing w:after="0"/>
              <w:ind w:firstLine="0"/>
              <w:jc w:val="left"/>
              <w:rPr>
                <w:rFonts w:eastAsia="Times New Roman" w:cs="Times New Roman"/>
                <w:sz w:val="18"/>
                <w:szCs w:val="20"/>
              </w:rPr>
            </w:pPr>
            <w:r w:rsidRPr="00D8017D">
              <w:rPr>
                <w:rFonts w:eastAsia="Times New Roman" w:cs="Times New Roman"/>
                <w:sz w:val="18"/>
                <w:szCs w:val="20"/>
              </w:rPr>
              <w:t>PCI (gads pret gadu, %)</w:t>
            </w:r>
          </w:p>
        </w:tc>
        <w:tc>
          <w:tcPr>
            <w:tcW w:w="94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619BD75D"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1,3</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2A1E560"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3,5</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7E95E82"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2,7</w:t>
            </w:r>
          </w:p>
        </w:tc>
        <w:tc>
          <w:tcPr>
            <w:tcW w:w="94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EDB5168"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2,5</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ECED4C0"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2,5</w:t>
            </w:r>
          </w:p>
        </w:tc>
      </w:tr>
      <w:tr w:rsidR="001F086B" w:rsidRPr="00D8017D" w14:paraId="15174305" w14:textId="77777777" w:rsidTr="000B6235">
        <w:trPr>
          <w:trHeight w:val="600"/>
          <w:jc w:val="center"/>
        </w:trPr>
        <w:tc>
          <w:tcPr>
            <w:tcW w:w="3369" w:type="dxa"/>
            <w:noWrap/>
            <w:vAlign w:val="center"/>
            <w:hideMark/>
          </w:tcPr>
          <w:p w14:paraId="79E0BA31" w14:textId="77777777" w:rsidR="001F086B" w:rsidRPr="00D8017D" w:rsidRDefault="001F086B" w:rsidP="001F086B">
            <w:pPr>
              <w:spacing w:after="0"/>
              <w:ind w:firstLine="0"/>
              <w:jc w:val="left"/>
              <w:rPr>
                <w:rFonts w:eastAsia="Times New Roman" w:cs="Times New Roman"/>
                <w:sz w:val="18"/>
                <w:szCs w:val="20"/>
              </w:rPr>
            </w:pPr>
            <w:r w:rsidRPr="00D8017D">
              <w:rPr>
                <w:rFonts w:eastAsia="Times New Roman" w:cs="Times New Roman"/>
                <w:sz w:val="18"/>
                <w:szCs w:val="20"/>
              </w:rPr>
              <w:t xml:space="preserve">Tautsaimniecībā nodarbināto mēn. </w:t>
            </w:r>
            <w:r w:rsidRPr="00D8017D">
              <w:rPr>
                <w:rFonts w:eastAsia="Times New Roman" w:cs="Times New Roman"/>
                <w:sz w:val="18"/>
                <w:szCs w:val="20"/>
              </w:rPr>
              <w:br/>
              <w:t>vid. bruto darba samaksa (</w:t>
            </w:r>
            <w:r w:rsidRPr="00D8017D">
              <w:rPr>
                <w:rFonts w:eastAsia="Times New Roman" w:cs="Times New Roman"/>
                <w:i/>
                <w:sz w:val="18"/>
                <w:szCs w:val="20"/>
              </w:rPr>
              <w:t>euro</w:t>
            </w:r>
            <w:r w:rsidRPr="00D8017D">
              <w:rPr>
                <w:rFonts w:eastAsia="Times New Roman" w:cs="Times New Roman"/>
                <w:sz w:val="18"/>
                <w:szCs w:val="20"/>
              </w:rPr>
              <w:t>)</w:t>
            </w:r>
          </w:p>
        </w:tc>
        <w:tc>
          <w:tcPr>
            <w:tcW w:w="94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3D53DD6A"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1685</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5620FD6"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1813</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2E0666E6"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1925</w:t>
            </w:r>
          </w:p>
        </w:tc>
        <w:tc>
          <w:tcPr>
            <w:tcW w:w="94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46A65D72"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2035</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75BBAB9"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2143</w:t>
            </w:r>
          </w:p>
        </w:tc>
      </w:tr>
      <w:tr w:rsidR="001F086B" w:rsidRPr="00D8017D" w14:paraId="724A5515" w14:textId="77777777" w:rsidTr="000B6235">
        <w:trPr>
          <w:trHeight w:val="300"/>
          <w:jc w:val="center"/>
        </w:trPr>
        <w:tc>
          <w:tcPr>
            <w:tcW w:w="3369" w:type="dxa"/>
            <w:noWrap/>
            <w:vAlign w:val="center"/>
            <w:hideMark/>
          </w:tcPr>
          <w:p w14:paraId="3872DB60" w14:textId="77777777" w:rsidR="001F086B" w:rsidRPr="00D8017D" w:rsidRDefault="001F086B" w:rsidP="001F086B">
            <w:pPr>
              <w:spacing w:after="0"/>
              <w:ind w:left="174" w:firstLine="0"/>
              <w:jc w:val="left"/>
              <w:rPr>
                <w:rFonts w:eastAsia="Times New Roman" w:cs="Times New Roman"/>
                <w:sz w:val="18"/>
                <w:szCs w:val="20"/>
              </w:rPr>
            </w:pPr>
            <w:r w:rsidRPr="00D8017D">
              <w:rPr>
                <w:rFonts w:eastAsia="Times New Roman" w:cs="Times New Roman"/>
                <w:sz w:val="18"/>
                <w:szCs w:val="20"/>
              </w:rPr>
              <w:t>pieaugums faktiskajās cenās (%)</w:t>
            </w:r>
          </w:p>
        </w:tc>
        <w:tc>
          <w:tcPr>
            <w:tcW w:w="94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2956D36F"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9,6</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2FA0FD6"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7,6</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4E3E354C"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6,2</w:t>
            </w:r>
          </w:p>
        </w:tc>
        <w:tc>
          <w:tcPr>
            <w:tcW w:w="94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438F7310"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5,7</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13DFE1B"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5,3</w:t>
            </w:r>
          </w:p>
        </w:tc>
      </w:tr>
      <w:tr w:rsidR="001F086B" w:rsidRPr="00D8017D" w14:paraId="73C0C967" w14:textId="77777777" w:rsidTr="000B6235">
        <w:trPr>
          <w:trHeight w:val="300"/>
          <w:jc w:val="center"/>
        </w:trPr>
        <w:tc>
          <w:tcPr>
            <w:tcW w:w="3369" w:type="dxa"/>
            <w:noWrap/>
            <w:vAlign w:val="center"/>
            <w:hideMark/>
          </w:tcPr>
          <w:p w14:paraId="28AEE976" w14:textId="77777777" w:rsidR="001F086B" w:rsidRPr="00D8017D" w:rsidRDefault="001F086B" w:rsidP="001F086B">
            <w:pPr>
              <w:spacing w:after="0"/>
              <w:ind w:left="174" w:firstLine="0"/>
              <w:jc w:val="left"/>
              <w:rPr>
                <w:rFonts w:eastAsia="Times New Roman" w:cs="Times New Roman"/>
                <w:sz w:val="18"/>
                <w:szCs w:val="20"/>
              </w:rPr>
            </w:pPr>
            <w:r w:rsidRPr="00D8017D">
              <w:rPr>
                <w:rFonts w:eastAsia="Times New Roman" w:cs="Times New Roman"/>
                <w:sz w:val="18"/>
                <w:szCs w:val="20"/>
              </w:rPr>
              <w:t>pieaugums salīdzināmās cenās (%)</w:t>
            </w:r>
          </w:p>
        </w:tc>
        <w:tc>
          <w:tcPr>
            <w:tcW w:w="94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593F1DD2"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8,2</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567E5D7"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4,0</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DE9602A"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3,4</w:t>
            </w:r>
          </w:p>
        </w:tc>
        <w:tc>
          <w:tcPr>
            <w:tcW w:w="94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D1B1D26"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3,1</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43A183D"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2,7</w:t>
            </w:r>
          </w:p>
        </w:tc>
      </w:tr>
      <w:tr w:rsidR="001F086B" w:rsidRPr="00D8017D" w14:paraId="0054D1B6" w14:textId="77777777" w:rsidTr="000B6235">
        <w:trPr>
          <w:trHeight w:val="600"/>
          <w:jc w:val="center"/>
        </w:trPr>
        <w:tc>
          <w:tcPr>
            <w:tcW w:w="3369" w:type="dxa"/>
            <w:noWrap/>
            <w:vAlign w:val="center"/>
            <w:hideMark/>
          </w:tcPr>
          <w:p w14:paraId="45FB6E54" w14:textId="77777777" w:rsidR="001F086B" w:rsidRPr="00D8017D" w:rsidRDefault="001F086B" w:rsidP="001F086B">
            <w:pPr>
              <w:spacing w:after="0"/>
              <w:ind w:firstLine="0"/>
              <w:jc w:val="left"/>
              <w:rPr>
                <w:rFonts w:eastAsia="Times New Roman" w:cs="Times New Roman"/>
                <w:sz w:val="18"/>
                <w:szCs w:val="20"/>
              </w:rPr>
            </w:pPr>
            <w:r w:rsidRPr="00D8017D">
              <w:rPr>
                <w:rFonts w:eastAsia="Times New Roman" w:cs="Times New Roman"/>
                <w:sz w:val="18"/>
                <w:szCs w:val="20"/>
              </w:rPr>
              <w:t>Nodarbinātība (tūkst. iedzīvotāju</w:t>
            </w:r>
            <w:r w:rsidRPr="00D8017D">
              <w:rPr>
                <w:rFonts w:eastAsia="Times New Roman" w:cs="Times New Roman"/>
                <w:sz w:val="18"/>
                <w:szCs w:val="20"/>
              </w:rPr>
              <w:br/>
              <w:t>atbilstoši darbaspēka apsekojumiem)</w:t>
            </w:r>
          </w:p>
        </w:tc>
        <w:tc>
          <w:tcPr>
            <w:tcW w:w="94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59C4545F"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877</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BE5A1C4"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877</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37BD391"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876</w:t>
            </w:r>
          </w:p>
        </w:tc>
        <w:tc>
          <w:tcPr>
            <w:tcW w:w="94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07022B7"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874</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38F0936F"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870</w:t>
            </w:r>
          </w:p>
        </w:tc>
      </w:tr>
      <w:tr w:rsidR="001F086B" w:rsidRPr="00D8017D" w14:paraId="0960C97D" w14:textId="77777777" w:rsidTr="000B6235">
        <w:trPr>
          <w:trHeight w:val="300"/>
          <w:jc w:val="center"/>
        </w:trPr>
        <w:tc>
          <w:tcPr>
            <w:tcW w:w="3369" w:type="dxa"/>
            <w:noWrap/>
            <w:vAlign w:val="center"/>
            <w:hideMark/>
          </w:tcPr>
          <w:p w14:paraId="50FDD210" w14:textId="77777777" w:rsidR="001F086B" w:rsidRPr="00D8017D" w:rsidRDefault="001F086B" w:rsidP="001F086B">
            <w:pPr>
              <w:spacing w:after="0"/>
              <w:ind w:left="174" w:firstLine="0"/>
              <w:jc w:val="left"/>
              <w:rPr>
                <w:rFonts w:eastAsia="Times New Roman" w:cs="Times New Roman"/>
                <w:sz w:val="18"/>
                <w:szCs w:val="20"/>
              </w:rPr>
            </w:pPr>
            <w:r w:rsidRPr="00D8017D">
              <w:rPr>
                <w:rFonts w:eastAsia="Times New Roman" w:cs="Times New Roman"/>
                <w:sz w:val="18"/>
                <w:szCs w:val="20"/>
              </w:rPr>
              <w:t>pieaugums (%)</w:t>
            </w:r>
          </w:p>
        </w:tc>
        <w:tc>
          <w:tcPr>
            <w:tcW w:w="94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34708A54"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-0,8</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5C778A90"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-0,1</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710B8C2D"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-0,1</w:t>
            </w:r>
          </w:p>
        </w:tc>
        <w:tc>
          <w:tcPr>
            <w:tcW w:w="94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630DA0B1"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-0,2</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CDA9A5E"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-0,5</w:t>
            </w:r>
          </w:p>
        </w:tc>
      </w:tr>
      <w:tr w:rsidR="001F086B" w:rsidRPr="00D8017D" w14:paraId="2719E84F" w14:textId="77777777" w:rsidTr="000B6235">
        <w:trPr>
          <w:trHeight w:val="300"/>
          <w:jc w:val="center"/>
        </w:trPr>
        <w:tc>
          <w:tcPr>
            <w:tcW w:w="3369" w:type="dxa"/>
            <w:noWrap/>
            <w:vAlign w:val="center"/>
            <w:hideMark/>
          </w:tcPr>
          <w:p w14:paraId="611E82DF" w14:textId="77777777" w:rsidR="001F086B" w:rsidRPr="00D8017D" w:rsidRDefault="001F086B" w:rsidP="001F086B">
            <w:pPr>
              <w:spacing w:after="0"/>
              <w:ind w:firstLine="0"/>
              <w:jc w:val="left"/>
              <w:rPr>
                <w:rFonts w:eastAsia="Times New Roman" w:cs="Times New Roman"/>
                <w:sz w:val="18"/>
                <w:szCs w:val="20"/>
              </w:rPr>
            </w:pPr>
            <w:r w:rsidRPr="00D8017D">
              <w:rPr>
                <w:rFonts w:eastAsia="Times New Roman" w:cs="Times New Roman"/>
                <w:sz w:val="18"/>
                <w:szCs w:val="20"/>
              </w:rPr>
              <w:t xml:space="preserve">Bezdarba līmenis (gada vidējais, </w:t>
            </w:r>
            <w:r w:rsidRPr="00D8017D">
              <w:rPr>
                <w:rFonts w:eastAsia="Times New Roman" w:cs="Times New Roman"/>
                <w:sz w:val="18"/>
                <w:szCs w:val="20"/>
              </w:rPr>
              <w:br/>
              <w:t>% no ekon. aktīviem iedzīv.)</w:t>
            </w:r>
          </w:p>
        </w:tc>
        <w:tc>
          <w:tcPr>
            <w:tcW w:w="947" w:type="dxa"/>
            <w:tcBorders>
              <w:top w:val="single" w:sz="4" w:space="0" w:color="auto"/>
              <w:left w:val="nil"/>
              <w:bottom w:val="single" w:sz="4" w:space="0" w:color="auto"/>
              <w:right w:val="single" w:sz="4" w:space="0" w:color="auto"/>
            </w:tcBorders>
            <w:shd w:val="clear" w:color="000000" w:fill="FFFFFF"/>
            <w:noWrap/>
            <w:tcMar>
              <w:right w:w="170" w:type="dxa"/>
            </w:tcMar>
            <w:vAlign w:val="center"/>
          </w:tcPr>
          <w:p w14:paraId="6A8F8345"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6,9</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EABDB3D"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6,8</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42067F96"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6,2</w:t>
            </w:r>
          </w:p>
        </w:tc>
        <w:tc>
          <w:tcPr>
            <w:tcW w:w="948"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0E5981D3"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5,5</w:t>
            </w:r>
          </w:p>
        </w:tc>
        <w:tc>
          <w:tcPr>
            <w:tcW w:w="949" w:type="dxa"/>
            <w:tcBorders>
              <w:top w:val="single" w:sz="4" w:space="0" w:color="auto"/>
              <w:left w:val="single" w:sz="4" w:space="0" w:color="auto"/>
              <w:bottom w:val="single" w:sz="4" w:space="0" w:color="auto"/>
              <w:right w:val="single" w:sz="4" w:space="0" w:color="auto"/>
            </w:tcBorders>
            <w:shd w:val="clear" w:color="000000" w:fill="F2F2F2"/>
            <w:noWrap/>
            <w:tcMar>
              <w:right w:w="170" w:type="dxa"/>
            </w:tcMar>
            <w:vAlign w:val="center"/>
          </w:tcPr>
          <w:p w14:paraId="1AD63773" w14:textId="77777777" w:rsidR="001F086B" w:rsidRPr="00D8017D" w:rsidRDefault="001F086B" w:rsidP="001F086B">
            <w:pPr>
              <w:spacing w:after="0"/>
              <w:ind w:firstLine="0"/>
              <w:jc w:val="center"/>
              <w:rPr>
                <w:rFonts w:eastAsia="Times New Roman" w:cs="Times New Roman"/>
                <w:sz w:val="18"/>
                <w:szCs w:val="20"/>
              </w:rPr>
            </w:pPr>
            <w:r w:rsidRPr="00D8017D">
              <w:rPr>
                <w:rFonts w:eastAsia="Calibri" w:cs="Times New Roman"/>
                <w:color w:val="000000"/>
                <w:sz w:val="18"/>
                <w:szCs w:val="18"/>
                <w:lang w:eastAsia="en-US"/>
              </w:rPr>
              <w:t>5,2</w:t>
            </w:r>
          </w:p>
        </w:tc>
      </w:tr>
    </w:tbl>
    <w:p w14:paraId="3860EA98" w14:textId="77777777" w:rsidR="000B6235" w:rsidRPr="00331E6F" w:rsidRDefault="000B6235" w:rsidP="000B6235">
      <w:pPr>
        <w:autoSpaceDE w:val="0"/>
        <w:autoSpaceDN w:val="0"/>
        <w:adjustRightInd w:val="0"/>
        <w:spacing w:before="240" w:after="240"/>
        <w:ind w:firstLine="0"/>
        <w:jc w:val="center"/>
        <w:rPr>
          <w:rFonts w:eastAsia="Times New Roman" w:cs="Times New Roman"/>
          <w:b/>
          <w:sz w:val="28"/>
          <w:szCs w:val="28"/>
        </w:rPr>
      </w:pPr>
      <w:bookmarkStart w:id="38" w:name="_Toc210289879"/>
      <w:r w:rsidRPr="00331E6F">
        <w:rPr>
          <w:rFonts w:eastAsia="Times New Roman" w:cs="Times New Roman"/>
          <w:b/>
          <w:sz w:val="28"/>
          <w:szCs w:val="28"/>
        </w:rPr>
        <w:t>Ietekme uz vispārējās valdības budžetu un parādu</w:t>
      </w:r>
    </w:p>
    <w:p w14:paraId="79148C0D" w14:textId="77777777" w:rsidR="000B6235" w:rsidRPr="00331E6F" w:rsidRDefault="000B6235" w:rsidP="000B6235">
      <w:pPr>
        <w:rPr>
          <w:noProof/>
          <w:szCs w:val="24"/>
        </w:rPr>
      </w:pPr>
      <w:r w:rsidRPr="00331E6F">
        <w:rPr>
          <w:noProof/>
          <w:color w:val="000000" w:themeColor="text1"/>
        </w:rPr>
        <w:t xml:space="preserve">Ņemot vērā makroekonomiskās attīstības optimistisko scenāriju, FM ir novērtējusi šī scenārija ietekmi uz vispārējās valdības budžeta bilanci, novērtējot izmaiņas nodokļu un </w:t>
      </w:r>
      <w:r w:rsidRPr="00331E6F">
        <w:rPr>
          <w:noProof/>
          <w:color w:val="000000" w:themeColor="text1"/>
        </w:rPr>
        <w:lastRenderedPageBreak/>
        <w:t xml:space="preserve">nenodokļu ieņēmumos, kā arī valsts speciālā budžeta izdevumos un valsts parāda apkalpošanas (procentu) izdevumos salīdzinājumā ar bāzes scenāriju. </w:t>
      </w:r>
      <w:r w:rsidRPr="00331E6F">
        <w:rPr>
          <w:noProof/>
          <w:szCs w:val="24"/>
        </w:rPr>
        <w:t>Rezultātā kopbudžeta nodokļu ieņēmumi, salīdzinot ar bāzes scenāriju 202</w:t>
      </w:r>
      <w:r>
        <w:rPr>
          <w:noProof/>
          <w:szCs w:val="24"/>
        </w:rPr>
        <w:t>6</w:t>
      </w:r>
      <w:r w:rsidRPr="00331E6F">
        <w:rPr>
          <w:noProof/>
          <w:szCs w:val="24"/>
        </w:rPr>
        <w:t xml:space="preserve">.-2028. gadam, pēc naudas plūsmas tiek prognozēti ar palielinājumu </w:t>
      </w:r>
      <w:r w:rsidRPr="001C0357">
        <w:rPr>
          <w:noProof/>
          <w:szCs w:val="24"/>
        </w:rPr>
        <w:t>116,5 milj. </w:t>
      </w:r>
      <w:r w:rsidRPr="001C0357">
        <w:rPr>
          <w:i/>
          <w:iCs/>
          <w:noProof/>
          <w:szCs w:val="24"/>
        </w:rPr>
        <w:t>euro</w:t>
      </w:r>
      <w:r w:rsidRPr="001C0357">
        <w:rPr>
          <w:noProof/>
          <w:szCs w:val="24"/>
        </w:rPr>
        <w:t xml:space="preserve"> 2026. gadā, 176,5 milj. </w:t>
      </w:r>
      <w:r w:rsidRPr="001C0357">
        <w:rPr>
          <w:i/>
          <w:iCs/>
          <w:noProof/>
          <w:szCs w:val="24"/>
        </w:rPr>
        <w:t>euro</w:t>
      </w:r>
      <w:r w:rsidRPr="001C0357">
        <w:rPr>
          <w:noProof/>
          <w:szCs w:val="24"/>
        </w:rPr>
        <w:t xml:space="preserve"> 2027. gadā</w:t>
      </w:r>
      <w:r>
        <w:rPr>
          <w:noProof/>
          <w:szCs w:val="24"/>
        </w:rPr>
        <w:t xml:space="preserve"> un</w:t>
      </w:r>
      <w:r w:rsidRPr="001C0357">
        <w:rPr>
          <w:noProof/>
          <w:szCs w:val="24"/>
        </w:rPr>
        <w:t xml:space="preserve"> 216,0 milj. </w:t>
      </w:r>
      <w:r w:rsidRPr="001C0357">
        <w:rPr>
          <w:i/>
          <w:iCs/>
          <w:noProof/>
          <w:szCs w:val="24"/>
        </w:rPr>
        <w:t>euro</w:t>
      </w:r>
      <w:r w:rsidRPr="001C0357">
        <w:rPr>
          <w:noProof/>
          <w:szCs w:val="24"/>
        </w:rPr>
        <w:t xml:space="preserve"> 2028. gadā</w:t>
      </w:r>
      <w:r w:rsidRPr="00331E6F">
        <w:rPr>
          <w:noProof/>
          <w:szCs w:val="24"/>
        </w:rPr>
        <w:t xml:space="preserve">, vadoties pēc optimistiskajā scenārijā iezīmētājām tautsaimniecības attīstības tendencēm. </w:t>
      </w:r>
    </w:p>
    <w:p w14:paraId="244DCFD3" w14:textId="77777777" w:rsidR="000B6235" w:rsidRPr="00331E6F" w:rsidRDefault="000B6235" w:rsidP="000B6235">
      <w:pPr>
        <w:rPr>
          <w:noProof/>
          <w:color w:val="000000" w:themeColor="text1"/>
          <w:szCs w:val="24"/>
        </w:rPr>
      </w:pPr>
      <w:r w:rsidRPr="00331E6F">
        <w:rPr>
          <w:noProof/>
          <w:color w:val="000000" w:themeColor="text1"/>
          <w:szCs w:val="24"/>
        </w:rPr>
        <w:t>202</w:t>
      </w:r>
      <w:r>
        <w:rPr>
          <w:noProof/>
          <w:color w:val="000000" w:themeColor="text1"/>
          <w:szCs w:val="24"/>
        </w:rPr>
        <w:t>6</w:t>
      </w:r>
      <w:r w:rsidRPr="00331E6F">
        <w:rPr>
          <w:noProof/>
          <w:color w:val="000000" w:themeColor="text1"/>
          <w:szCs w:val="24"/>
        </w:rPr>
        <w:t xml:space="preserve">.-2028. gadā vispārējās valdības budžeta deficīts, optimistiskajam scenārijam iestājoties un saglabājoties nemainīgai valdības politikai, tiek </w:t>
      </w:r>
      <w:r w:rsidRPr="0040685D">
        <w:rPr>
          <w:noProof/>
          <w:szCs w:val="24"/>
        </w:rPr>
        <w:t xml:space="preserve">prognozēts attiecīgi 3,0% no IKP 2026. gadā, 3,5% no IKP 2027. gadā un 3,1% no IKP 2028. gadā. Pie šī scenārija bilances uzlabošanos galvenokārt nosaka augstāki kopbudžeta nodokļu ieņēmumi </w:t>
      </w:r>
      <w:r w:rsidRPr="00331E6F">
        <w:rPr>
          <w:noProof/>
          <w:color w:val="000000" w:themeColor="text1"/>
          <w:szCs w:val="24"/>
        </w:rPr>
        <w:t>un zemāki procentu izdevumi.</w:t>
      </w:r>
    </w:p>
    <w:p w14:paraId="582AAA4B" w14:textId="0976A834" w:rsidR="000B6235" w:rsidRPr="0040685D" w:rsidRDefault="000B6235" w:rsidP="000B6235">
      <w:pPr>
        <w:rPr>
          <w:rFonts w:eastAsia="Calibri" w:cs="Times New Roman"/>
          <w:b/>
          <w:i/>
          <w:szCs w:val="24"/>
          <w:highlight w:val="yellow"/>
          <w:lang w:eastAsia="en-US"/>
        </w:rPr>
      </w:pPr>
      <w:r w:rsidRPr="0040685D">
        <w:rPr>
          <w:noProof/>
          <w:szCs w:val="24"/>
        </w:rPr>
        <w:t xml:space="preserve">Iestājoties šādam scenārijam, vispārējās valdības budžeta bilance uzlabotos par 0,3 pp 2026. gadā, salīdzinot ar bāzes scenāriju, 2027. gadā par 0,4 pp no IKP un 2028. gadā par 0,4 pp no IKP. </w:t>
      </w:r>
    </w:p>
    <w:p w14:paraId="77D3D483" w14:textId="687176C7" w:rsidR="000B6235" w:rsidRPr="00331E6F" w:rsidRDefault="000B6235" w:rsidP="000B6235">
      <w:pPr>
        <w:keepNext/>
        <w:spacing w:before="240"/>
        <w:ind w:firstLine="0"/>
        <w:jc w:val="right"/>
        <w:rPr>
          <w:rFonts w:eastAsia="Calibri" w:cs="Times New Roman"/>
          <w:b/>
          <w:i/>
          <w:szCs w:val="24"/>
          <w:lang w:eastAsia="en-US"/>
        </w:rPr>
      </w:pPr>
      <w:r w:rsidRPr="000B6235">
        <w:rPr>
          <w:rFonts w:eastAsia="Calibri" w:cs="Times New Roman"/>
          <w:b/>
          <w:i/>
          <w:szCs w:val="24"/>
          <w:lang w:eastAsia="en-US"/>
        </w:rPr>
        <w:t>1.</w:t>
      </w:r>
      <w:r w:rsidR="00926C33">
        <w:rPr>
          <w:rFonts w:eastAsia="Calibri" w:cs="Times New Roman"/>
          <w:b/>
          <w:i/>
          <w:szCs w:val="24"/>
          <w:lang w:eastAsia="en-US"/>
        </w:rPr>
        <w:t>8</w:t>
      </w:r>
      <w:r w:rsidRPr="000B6235">
        <w:rPr>
          <w:rFonts w:eastAsia="Calibri" w:cs="Times New Roman"/>
          <w:b/>
          <w:i/>
          <w:szCs w:val="24"/>
          <w:lang w:eastAsia="en-US"/>
        </w:rPr>
        <w:t>.</w:t>
      </w:r>
      <w:r>
        <w:rPr>
          <w:rFonts w:eastAsia="Calibri" w:cs="Times New Roman"/>
          <w:b/>
          <w:i/>
          <w:szCs w:val="24"/>
          <w:lang w:eastAsia="en-US"/>
        </w:rPr>
        <w:t xml:space="preserve"> </w:t>
      </w:r>
      <w:r w:rsidRPr="00331E6F">
        <w:rPr>
          <w:rFonts w:eastAsia="Calibri" w:cs="Times New Roman"/>
          <w:b/>
          <w:i/>
          <w:szCs w:val="24"/>
          <w:lang w:eastAsia="en-US"/>
        </w:rPr>
        <w:t xml:space="preserve">tabula. Optimistiskā scenārija ietekme uz vispārējās valdības budžetu, </w:t>
      </w:r>
      <w:r w:rsidRPr="00331E6F">
        <w:rPr>
          <w:rFonts w:eastAsia="Calibri" w:cs="Times New Roman"/>
          <w:b/>
          <w:i/>
          <w:noProof/>
          <w:szCs w:val="24"/>
          <w:lang w:eastAsia="en-US"/>
        </w:rPr>
        <w:t>milj. euro</w:t>
      </w:r>
    </w:p>
    <w:tbl>
      <w:tblPr>
        <w:tblW w:w="9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83"/>
        <w:gridCol w:w="987"/>
        <w:gridCol w:w="987"/>
        <w:gridCol w:w="987"/>
        <w:gridCol w:w="987"/>
        <w:gridCol w:w="987"/>
        <w:gridCol w:w="987"/>
      </w:tblGrid>
      <w:tr w:rsidR="000B6235" w:rsidRPr="00331E6F" w14:paraId="48537C0A" w14:textId="77777777" w:rsidTr="00C217B4">
        <w:trPr>
          <w:trHeight w:val="191"/>
          <w:jc w:val="center"/>
        </w:trPr>
        <w:tc>
          <w:tcPr>
            <w:tcW w:w="3583" w:type="dxa"/>
            <w:shd w:val="clear" w:color="auto" w:fill="BDD6EE" w:themeFill="accent1" w:themeFillTint="66"/>
            <w:vAlign w:val="center"/>
          </w:tcPr>
          <w:p w14:paraId="148C9A8E" w14:textId="77777777" w:rsidR="000B6235" w:rsidRPr="00331E6F" w:rsidRDefault="000B6235" w:rsidP="00C217B4">
            <w:pPr>
              <w:spacing w:after="0"/>
              <w:ind w:firstLine="0"/>
              <w:jc w:val="left"/>
              <w:rPr>
                <w:rFonts w:eastAsia="Times New Roman" w:cs="Times New Roman"/>
                <w:sz w:val="18"/>
                <w:szCs w:val="18"/>
              </w:rPr>
            </w:pPr>
          </w:p>
        </w:tc>
        <w:tc>
          <w:tcPr>
            <w:tcW w:w="2961" w:type="dxa"/>
            <w:gridSpan w:val="3"/>
            <w:shd w:val="clear" w:color="auto" w:fill="BDD6EE" w:themeFill="accent1" w:themeFillTint="66"/>
            <w:tcMar>
              <w:left w:w="57" w:type="dxa"/>
              <w:right w:w="57" w:type="dxa"/>
            </w:tcMar>
            <w:vAlign w:val="center"/>
          </w:tcPr>
          <w:p w14:paraId="711201E4" w14:textId="77777777" w:rsidR="000B6235" w:rsidRPr="00331E6F" w:rsidRDefault="000B6235" w:rsidP="00C217B4">
            <w:pPr>
              <w:spacing w:after="0"/>
              <w:ind w:firstLine="0"/>
              <w:jc w:val="center"/>
              <w:rPr>
                <w:rFonts w:cs="Times New Roman"/>
                <w:b/>
                <w:bCs/>
                <w:noProof/>
                <w:sz w:val="20"/>
                <w:szCs w:val="20"/>
              </w:rPr>
            </w:pPr>
            <w:r>
              <w:rPr>
                <w:rFonts w:cs="Times New Roman"/>
                <w:b/>
                <w:bCs/>
                <w:noProof/>
                <w:sz w:val="20"/>
                <w:szCs w:val="20"/>
              </w:rPr>
              <w:t>Optimistiskais scenārijs</w:t>
            </w:r>
          </w:p>
        </w:tc>
        <w:tc>
          <w:tcPr>
            <w:tcW w:w="2961" w:type="dxa"/>
            <w:gridSpan w:val="3"/>
            <w:shd w:val="clear" w:color="auto" w:fill="BDD6EE" w:themeFill="accent1" w:themeFillTint="66"/>
            <w:tcMar>
              <w:left w:w="57" w:type="dxa"/>
              <w:right w:w="57" w:type="dxa"/>
            </w:tcMar>
            <w:vAlign w:val="center"/>
          </w:tcPr>
          <w:p w14:paraId="5ADF6C88" w14:textId="77777777" w:rsidR="000B6235" w:rsidRPr="00331E6F" w:rsidRDefault="000B6235" w:rsidP="00C217B4">
            <w:pPr>
              <w:spacing w:after="0"/>
              <w:ind w:firstLine="0"/>
              <w:jc w:val="center"/>
              <w:rPr>
                <w:rFonts w:cs="Times New Roman"/>
                <w:b/>
                <w:bCs/>
                <w:noProof/>
                <w:sz w:val="20"/>
                <w:szCs w:val="20"/>
              </w:rPr>
            </w:pPr>
            <w:r>
              <w:rPr>
                <w:rFonts w:cs="Times New Roman"/>
                <w:b/>
                <w:bCs/>
                <w:noProof/>
                <w:sz w:val="20"/>
                <w:szCs w:val="20"/>
              </w:rPr>
              <w:t>Novirze no bāzes scenārija</w:t>
            </w:r>
          </w:p>
        </w:tc>
      </w:tr>
      <w:tr w:rsidR="000B6235" w:rsidRPr="00331E6F" w14:paraId="7F069AB1" w14:textId="77777777" w:rsidTr="00C217B4">
        <w:trPr>
          <w:trHeight w:val="191"/>
          <w:jc w:val="center"/>
        </w:trPr>
        <w:tc>
          <w:tcPr>
            <w:tcW w:w="3583" w:type="dxa"/>
            <w:shd w:val="clear" w:color="auto" w:fill="BDD6EE" w:themeFill="accent1" w:themeFillTint="66"/>
            <w:vAlign w:val="center"/>
            <w:hideMark/>
          </w:tcPr>
          <w:p w14:paraId="45CA7548" w14:textId="77777777" w:rsidR="000B6235" w:rsidRPr="00331E6F" w:rsidRDefault="000B6235" w:rsidP="00C217B4">
            <w:pPr>
              <w:spacing w:after="0"/>
              <w:ind w:firstLine="0"/>
              <w:jc w:val="left"/>
              <w:rPr>
                <w:rFonts w:eastAsia="Times New Roman" w:cs="Times New Roman"/>
                <w:sz w:val="18"/>
                <w:szCs w:val="18"/>
              </w:rPr>
            </w:pPr>
          </w:p>
        </w:tc>
        <w:tc>
          <w:tcPr>
            <w:tcW w:w="987" w:type="dxa"/>
            <w:shd w:val="clear" w:color="auto" w:fill="BDD6EE" w:themeFill="accent1" w:themeFillTint="66"/>
            <w:tcMar>
              <w:left w:w="57" w:type="dxa"/>
              <w:right w:w="57" w:type="dxa"/>
            </w:tcMar>
            <w:vAlign w:val="center"/>
          </w:tcPr>
          <w:p w14:paraId="03022958" w14:textId="77777777" w:rsidR="000B6235" w:rsidRPr="00331E6F" w:rsidRDefault="000B6235" w:rsidP="00C217B4">
            <w:pPr>
              <w:spacing w:after="0"/>
              <w:ind w:firstLine="0"/>
              <w:jc w:val="center"/>
              <w:rPr>
                <w:rFonts w:eastAsia="Times New Roman" w:cs="Times New Roman"/>
                <w:b/>
                <w:sz w:val="18"/>
                <w:szCs w:val="18"/>
              </w:rPr>
            </w:pPr>
            <w:r w:rsidRPr="00331E6F">
              <w:rPr>
                <w:rFonts w:cs="Times New Roman"/>
                <w:b/>
                <w:bCs/>
                <w:noProof/>
                <w:sz w:val="20"/>
                <w:szCs w:val="20"/>
              </w:rPr>
              <w:t>202</w:t>
            </w:r>
            <w:r>
              <w:rPr>
                <w:rFonts w:cs="Times New Roman"/>
                <w:b/>
                <w:bCs/>
                <w:noProof/>
                <w:sz w:val="20"/>
                <w:szCs w:val="20"/>
              </w:rPr>
              <w:t>6</w:t>
            </w:r>
          </w:p>
        </w:tc>
        <w:tc>
          <w:tcPr>
            <w:tcW w:w="987" w:type="dxa"/>
            <w:shd w:val="clear" w:color="auto" w:fill="BDD6EE" w:themeFill="accent1" w:themeFillTint="66"/>
            <w:tcMar>
              <w:left w:w="57" w:type="dxa"/>
              <w:right w:w="57" w:type="dxa"/>
            </w:tcMar>
            <w:vAlign w:val="center"/>
          </w:tcPr>
          <w:p w14:paraId="04F8D4D0" w14:textId="77777777" w:rsidR="000B6235" w:rsidRPr="00331E6F" w:rsidRDefault="000B6235" w:rsidP="00C217B4">
            <w:pPr>
              <w:spacing w:after="0"/>
              <w:ind w:firstLine="0"/>
              <w:jc w:val="center"/>
              <w:rPr>
                <w:rFonts w:eastAsia="Times New Roman" w:cs="Times New Roman"/>
                <w:b/>
                <w:sz w:val="18"/>
                <w:szCs w:val="18"/>
              </w:rPr>
            </w:pPr>
            <w:r w:rsidRPr="00331E6F">
              <w:rPr>
                <w:rFonts w:cs="Times New Roman"/>
                <w:b/>
                <w:bCs/>
                <w:noProof/>
                <w:sz w:val="20"/>
                <w:szCs w:val="20"/>
              </w:rPr>
              <w:t>202</w:t>
            </w:r>
            <w:r>
              <w:rPr>
                <w:rFonts w:cs="Times New Roman"/>
                <w:b/>
                <w:bCs/>
                <w:noProof/>
                <w:sz w:val="20"/>
                <w:szCs w:val="20"/>
              </w:rPr>
              <w:t>7</w:t>
            </w:r>
          </w:p>
        </w:tc>
        <w:tc>
          <w:tcPr>
            <w:tcW w:w="987" w:type="dxa"/>
            <w:shd w:val="clear" w:color="auto" w:fill="BDD6EE" w:themeFill="accent1" w:themeFillTint="66"/>
            <w:tcMar>
              <w:left w:w="57" w:type="dxa"/>
              <w:right w:w="57" w:type="dxa"/>
            </w:tcMar>
            <w:vAlign w:val="center"/>
          </w:tcPr>
          <w:p w14:paraId="5908D9C0" w14:textId="77777777" w:rsidR="000B6235" w:rsidRPr="00331E6F" w:rsidRDefault="000B6235" w:rsidP="00C217B4">
            <w:pPr>
              <w:spacing w:after="0"/>
              <w:ind w:firstLine="0"/>
              <w:jc w:val="center"/>
              <w:rPr>
                <w:rFonts w:eastAsia="Times New Roman" w:cs="Times New Roman"/>
                <w:b/>
                <w:sz w:val="18"/>
                <w:szCs w:val="18"/>
              </w:rPr>
            </w:pPr>
            <w:r w:rsidRPr="00331E6F">
              <w:rPr>
                <w:rFonts w:cs="Times New Roman"/>
                <w:b/>
                <w:bCs/>
                <w:noProof/>
                <w:sz w:val="20"/>
                <w:szCs w:val="20"/>
              </w:rPr>
              <w:t>202</w:t>
            </w:r>
            <w:r>
              <w:rPr>
                <w:rFonts w:cs="Times New Roman"/>
                <w:b/>
                <w:bCs/>
                <w:noProof/>
                <w:sz w:val="20"/>
                <w:szCs w:val="20"/>
              </w:rPr>
              <w:t>8</w:t>
            </w:r>
          </w:p>
        </w:tc>
        <w:tc>
          <w:tcPr>
            <w:tcW w:w="987" w:type="dxa"/>
            <w:shd w:val="clear" w:color="auto" w:fill="BDD6EE" w:themeFill="accent1" w:themeFillTint="66"/>
            <w:tcMar>
              <w:left w:w="57" w:type="dxa"/>
              <w:right w:w="57" w:type="dxa"/>
            </w:tcMar>
            <w:vAlign w:val="center"/>
            <w:hideMark/>
          </w:tcPr>
          <w:p w14:paraId="43966F56" w14:textId="77777777" w:rsidR="000B6235" w:rsidRPr="00331E6F" w:rsidRDefault="000B6235" w:rsidP="00C217B4">
            <w:pPr>
              <w:spacing w:after="0"/>
              <w:ind w:firstLine="0"/>
              <w:jc w:val="center"/>
              <w:rPr>
                <w:rFonts w:eastAsia="Times New Roman" w:cs="Times New Roman"/>
                <w:b/>
                <w:sz w:val="18"/>
                <w:szCs w:val="18"/>
              </w:rPr>
            </w:pPr>
            <w:r w:rsidRPr="00331E6F">
              <w:rPr>
                <w:rFonts w:cs="Times New Roman"/>
                <w:b/>
                <w:bCs/>
                <w:noProof/>
                <w:sz w:val="20"/>
                <w:szCs w:val="20"/>
              </w:rPr>
              <w:t>202</w:t>
            </w:r>
            <w:r>
              <w:rPr>
                <w:rFonts w:cs="Times New Roman"/>
                <w:b/>
                <w:bCs/>
                <w:noProof/>
                <w:sz w:val="20"/>
                <w:szCs w:val="20"/>
              </w:rPr>
              <w:t>6</w:t>
            </w:r>
          </w:p>
        </w:tc>
        <w:tc>
          <w:tcPr>
            <w:tcW w:w="987" w:type="dxa"/>
            <w:shd w:val="clear" w:color="auto" w:fill="BDD6EE" w:themeFill="accent1" w:themeFillTint="66"/>
            <w:tcMar>
              <w:left w:w="57" w:type="dxa"/>
              <w:right w:w="57" w:type="dxa"/>
            </w:tcMar>
            <w:vAlign w:val="center"/>
            <w:hideMark/>
          </w:tcPr>
          <w:p w14:paraId="7D3A0391" w14:textId="77777777" w:rsidR="000B6235" w:rsidRPr="00331E6F" w:rsidRDefault="000B6235" w:rsidP="00C217B4">
            <w:pPr>
              <w:spacing w:after="0"/>
              <w:ind w:firstLine="0"/>
              <w:jc w:val="center"/>
              <w:rPr>
                <w:rFonts w:eastAsia="Times New Roman" w:cs="Times New Roman"/>
                <w:b/>
                <w:sz w:val="18"/>
                <w:szCs w:val="18"/>
              </w:rPr>
            </w:pPr>
            <w:r w:rsidRPr="00331E6F">
              <w:rPr>
                <w:rFonts w:cs="Times New Roman"/>
                <w:b/>
                <w:bCs/>
                <w:noProof/>
                <w:sz w:val="20"/>
                <w:szCs w:val="20"/>
              </w:rPr>
              <w:t>202</w:t>
            </w:r>
            <w:r>
              <w:rPr>
                <w:rFonts w:cs="Times New Roman"/>
                <w:b/>
                <w:bCs/>
                <w:noProof/>
                <w:sz w:val="20"/>
                <w:szCs w:val="20"/>
              </w:rPr>
              <w:t>7</w:t>
            </w:r>
          </w:p>
        </w:tc>
        <w:tc>
          <w:tcPr>
            <w:tcW w:w="987" w:type="dxa"/>
            <w:shd w:val="clear" w:color="auto" w:fill="BDD6EE" w:themeFill="accent1" w:themeFillTint="66"/>
            <w:tcMar>
              <w:left w:w="57" w:type="dxa"/>
              <w:right w:w="57" w:type="dxa"/>
            </w:tcMar>
            <w:vAlign w:val="center"/>
          </w:tcPr>
          <w:p w14:paraId="35A7BCE6" w14:textId="77777777" w:rsidR="000B6235" w:rsidRPr="00331E6F" w:rsidRDefault="000B6235" w:rsidP="00C217B4">
            <w:pPr>
              <w:spacing w:after="0"/>
              <w:ind w:firstLine="0"/>
              <w:jc w:val="center"/>
              <w:rPr>
                <w:rFonts w:eastAsia="Times New Roman" w:cs="Times New Roman"/>
                <w:b/>
                <w:sz w:val="18"/>
                <w:szCs w:val="18"/>
              </w:rPr>
            </w:pPr>
            <w:r w:rsidRPr="00331E6F">
              <w:rPr>
                <w:rFonts w:cs="Times New Roman"/>
                <w:b/>
                <w:bCs/>
                <w:noProof/>
                <w:sz w:val="20"/>
                <w:szCs w:val="20"/>
              </w:rPr>
              <w:t>202</w:t>
            </w:r>
            <w:r>
              <w:rPr>
                <w:rFonts w:cs="Times New Roman"/>
                <w:b/>
                <w:bCs/>
                <w:noProof/>
                <w:sz w:val="20"/>
                <w:szCs w:val="20"/>
              </w:rPr>
              <w:t>8</w:t>
            </w:r>
          </w:p>
        </w:tc>
      </w:tr>
      <w:tr w:rsidR="000B6235" w:rsidRPr="00331E6F" w14:paraId="658378CE" w14:textId="77777777" w:rsidTr="00C217B4">
        <w:trPr>
          <w:trHeight w:val="316"/>
          <w:jc w:val="center"/>
        </w:trPr>
        <w:tc>
          <w:tcPr>
            <w:tcW w:w="3583" w:type="dxa"/>
            <w:vAlign w:val="center"/>
          </w:tcPr>
          <w:p w14:paraId="3B698205" w14:textId="77777777" w:rsidR="000B6235" w:rsidRPr="00331E6F" w:rsidRDefault="000B6235" w:rsidP="00C217B4">
            <w:pPr>
              <w:spacing w:after="0"/>
              <w:ind w:firstLine="0"/>
              <w:jc w:val="left"/>
              <w:rPr>
                <w:rFonts w:eastAsia="Times New Roman" w:cs="Times New Roman"/>
                <w:b/>
                <w:sz w:val="18"/>
                <w:szCs w:val="18"/>
              </w:rPr>
            </w:pPr>
            <w:r w:rsidRPr="00331E6F">
              <w:rPr>
                <w:rFonts w:eastAsia="Times New Roman" w:cs="Times New Roman"/>
                <w:b/>
                <w:sz w:val="18"/>
                <w:szCs w:val="18"/>
              </w:rPr>
              <w:t>Vispārējās valdības budžeta bilance, % no IKP</w:t>
            </w:r>
          </w:p>
        </w:tc>
        <w:tc>
          <w:tcPr>
            <w:tcW w:w="987" w:type="dxa"/>
            <w:tcMar>
              <w:left w:w="57" w:type="dxa"/>
              <w:right w:w="57" w:type="dxa"/>
            </w:tcMar>
            <w:vAlign w:val="center"/>
          </w:tcPr>
          <w:p w14:paraId="59ADCE42" w14:textId="77777777" w:rsidR="000B6235" w:rsidRPr="0040685D" w:rsidRDefault="000B6235" w:rsidP="00C217B4">
            <w:pPr>
              <w:spacing w:after="0"/>
              <w:ind w:firstLine="0"/>
              <w:jc w:val="right"/>
              <w:rPr>
                <w:rFonts w:eastAsia="Times New Roman" w:cs="Times New Roman"/>
                <w:b/>
                <w:sz w:val="18"/>
                <w:szCs w:val="18"/>
              </w:rPr>
            </w:pPr>
            <w:r w:rsidRPr="0040685D">
              <w:rPr>
                <w:rFonts w:eastAsia="Times New Roman" w:cs="Times New Roman"/>
                <w:b/>
                <w:sz w:val="18"/>
                <w:szCs w:val="18"/>
              </w:rPr>
              <w:t>-3,0%</w:t>
            </w:r>
          </w:p>
        </w:tc>
        <w:tc>
          <w:tcPr>
            <w:tcW w:w="987" w:type="dxa"/>
            <w:tcMar>
              <w:left w:w="57" w:type="dxa"/>
              <w:right w:w="57" w:type="dxa"/>
            </w:tcMar>
            <w:vAlign w:val="center"/>
          </w:tcPr>
          <w:p w14:paraId="7BCEAF03" w14:textId="77777777" w:rsidR="000B6235" w:rsidRPr="0040685D" w:rsidRDefault="000B6235" w:rsidP="00C217B4">
            <w:pPr>
              <w:spacing w:after="0"/>
              <w:ind w:firstLine="0"/>
              <w:jc w:val="right"/>
              <w:rPr>
                <w:rFonts w:eastAsia="Times New Roman" w:cs="Times New Roman"/>
                <w:b/>
                <w:sz w:val="18"/>
                <w:szCs w:val="18"/>
              </w:rPr>
            </w:pPr>
            <w:r w:rsidRPr="0040685D">
              <w:rPr>
                <w:rFonts w:eastAsia="Times New Roman" w:cs="Times New Roman"/>
                <w:b/>
                <w:sz w:val="18"/>
                <w:szCs w:val="18"/>
              </w:rPr>
              <w:t>-3,5%</w:t>
            </w:r>
          </w:p>
        </w:tc>
        <w:tc>
          <w:tcPr>
            <w:tcW w:w="987" w:type="dxa"/>
            <w:tcMar>
              <w:left w:w="57" w:type="dxa"/>
              <w:right w:w="57" w:type="dxa"/>
            </w:tcMar>
            <w:vAlign w:val="center"/>
          </w:tcPr>
          <w:p w14:paraId="431CFBA7" w14:textId="77777777" w:rsidR="000B6235" w:rsidRPr="0040685D" w:rsidRDefault="000B6235" w:rsidP="00C217B4">
            <w:pPr>
              <w:spacing w:after="0"/>
              <w:ind w:firstLine="0"/>
              <w:jc w:val="right"/>
              <w:rPr>
                <w:rFonts w:eastAsia="Times New Roman" w:cs="Times New Roman"/>
                <w:b/>
                <w:sz w:val="18"/>
                <w:szCs w:val="18"/>
              </w:rPr>
            </w:pPr>
            <w:r w:rsidRPr="0040685D">
              <w:rPr>
                <w:rFonts w:eastAsia="Times New Roman" w:cs="Times New Roman"/>
                <w:b/>
                <w:sz w:val="18"/>
                <w:szCs w:val="18"/>
              </w:rPr>
              <w:t>-3,1%</w:t>
            </w:r>
          </w:p>
        </w:tc>
        <w:tc>
          <w:tcPr>
            <w:tcW w:w="987" w:type="dxa"/>
            <w:tcMar>
              <w:left w:w="57" w:type="dxa"/>
              <w:right w:w="57" w:type="dxa"/>
            </w:tcMar>
            <w:vAlign w:val="center"/>
          </w:tcPr>
          <w:p w14:paraId="49EF0F5B" w14:textId="77777777" w:rsidR="000B6235" w:rsidRPr="0040685D" w:rsidRDefault="000B6235" w:rsidP="00C217B4">
            <w:pPr>
              <w:spacing w:after="0"/>
              <w:ind w:firstLine="0"/>
              <w:jc w:val="right"/>
              <w:rPr>
                <w:rFonts w:eastAsia="Times New Roman" w:cs="Times New Roman"/>
                <w:b/>
                <w:noProof/>
                <w:sz w:val="18"/>
                <w:szCs w:val="18"/>
              </w:rPr>
            </w:pPr>
            <w:r w:rsidRPr="0040685D">
              <w:rPr>
                <w:rFonts w:eastAsia="Times New Roman" w:cs="Times New Roman"/>
                <w:b/>
                <w:noProof/>
                <w:sz w:val="18"/>
                <w:szCs w:val="18"/>
              </w:rPr>
              <w:t>0,3 pp</w:t>
            </w:r>
          </w:p>
        </w:tc>
        <w:tc>
          <w:tcPr>
            <w:tcW w:w="987" w:type="dxa"/>
            <w:tcMar>
              <w:left w:w="57" w:type="dxa"/>
              <w:right w:w="57" w:type="dxa"/>
            </w:tcMar>
            <w:vAlign w:val="center"/>
          </w:tcPr>
          <w:p w14:paraId="732D0027" w14:textId="77777777" w:rsidR="000B6235" w:rsidRPr="0040685D" w:rsidRDefault="000B6235" w:rsidP="00C217B4">
            <w:pPr>
              <w:spacing w:after="0" w:line="259" w:lineRule="auto"/>
              <w:ind w:firstLine="0"/>
              <w:jc w:val="right"/>
              <w:rPr>
                <w:rFonts w:eastAsia="Times New Roman" w:cs="Times New Roman"/>
                <w:b/>
                <w:noProof/>
                <w:sz w:val="18"/>
                <w:szCs w:val="18"/>
              </w:rPr>
            </w:pPr>
            <w:r w:rsidRPr="0040685D">
              <w:rPr>
                <w:rFonts w:eastAsia="Times New Roman" w:cs="Times New Roman"/>
                <w:b/>
                <w:noProof/>
                <w:sz w:val="18"/>
                <w:szCs w:val="18"/>
              </w:rPr>
              <w:t>0,4 pp</w:t>
            </w:r>
          </w:p>
        </w:tc>
        <w:tc>
          <w:tcPr>
            <w:tcW w:w="987" w:type="dxa"/>
            <w:tcMar>
              <w:left w:w="57" w:type="dxa"/>
              <w:right w:w="57" w:type="dxa"/>
            </w:tcMar>
            <w:vAlign w:val="center"/>
          </w:tcPr>
          <w:p w14:paraId="206BE02A" w14:textId="77777777" w:rsidR="000B6235" w:rsidRPr="0040685D" w:rsidRDefault="000B6235" w:rsidP="00C217B4">
            <w:pPr>
              <w:spacing w:after="0" w:line="259" w:lineRule="auto"/>
              <w:ind w:firstLine="0"/>
              <w:jc w:val="right"/>
              <w:rPr>
                <w:rFonts w:eastAsia="Times New Roman" w:cs="Times New Roman"/>
                <w:b/>
                <w:noProof/>
                <w:sz w:val="18"/>
                <w:szCs w:val="18"/>
              </w:rPr>
            </w:pPr>
            <w:r w:rsidRPr="0040685D">
              <w:rPr>
                <w:rFonts w:eastAsia="Times New Roman" w:cs="Times New Roman"/>
                <w:b/>
                <w:noProof/>
                <w:sz w:val="18"/>
                <w:szCs w:val="18"/>
              </w:rPr>
              <w:t>0,4 pp</w:t>
            </w:r>
          </w:p>
        </w:tc>
      </w:tr>
      <w:tr w:rsidR="000B6235" w:rsidRPr="00331E6F" w14:paraId="37A29D36" w14:textId="77777777" w:rsidTr="00C217B4">
        <w:trPr>
          <w:trHeight w:val="207"/>
          <w:jc w:val="center"/>
        </w:trPr>
        <w:tc>
          <w:tcPr>
            <w:tcW w:w="3583" w:type="dxa"/>
            <w:vAlign w:val="center"/>
          </w:tcPr>
          <w:p w14:paraId="7FBE76F6" w14:textId="77777777" w:rsidR="000B6235" w:rsidRPr="00331E6F" w:rsidRDefault="000B6235" w:rsidP="00C217B4">
            <w:pPr>
              <w:spacing w:after="0"/>
              <w:ind w:firstLine="0"/>
              <w:jc w:val="left"/>
              <w:rPr>
                <w:rFonts w:eastAsia="Times New Roman" w:cs="Times New Roman"/>
                <w:sz w:val="18"/>
                <w:szCs w:val="18"/>
              </w:rPr>
            </w:pPr>
            <w:r w:rsidRPr="00331E6F">
              <w:rPr>
                <w:rFonts w:eastAsia="Times New Roman" w:cs="Times New Roman"/>
                <w:sz w:val="18"/>
                <w:szCs w:val="18"/>
              </w:rPr>
              <w:t>Vispārējās valdības budžeta bilance</w:t>
            </w:r>
          </w:p>
        </w:tc>
        <w:tc>
          <w:tcPr>
            <w:tcW w:w="987" w:type="dxa"/>
            <w:tcMar>
              <w:left w:w="57" w:type="dxa"/>
              <w:right w:w="57" w:type="dxa"/>
            </w:tcMar>
            <w:vAlign w:val="bottom"/>
          </w:tcPr>
          <w:p w14:paraId="48E6AC6F"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-1 348,9</w:t>
            </w:r>
          </w:p>
        </w:tc>
        <w:tc>
          <w:tcPr>
            <w:tcW w:w="987" w:type="dxa"/>
            <w:tcMar>
              <w:left w:w="57" w:type="dxa"/>
              <w:right w:w="57" w:type="dxa"/>
            </w:tcMar>
            <w:vAlign w:val="bottom"/>
          </w:tcPr>
          <w:p w14:paraId="5471FBE9"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-1 624,7</w:t>
            </w:r>
          </w:p>
        </w:tc>
        <w:tc>
          <w:tcPr>
            <w:tcW w:w="987" w:type="dxa"/>
            <w:tcMar>
              <w:left w:w="57" w:type="dxa"/>
              <w:right w:w="57" w:type="dxa"/>
            </w:tcMar>
            <w:vAlign w:val="bottom"/>
          </w:tcPr>
          <w:p w14:paraId="33D9EE77"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-1 533,2</w:t>
            </w:r>
          </w:p>
        </w:tc>
        <w:tc>
          <w:tcPr>
            <w:tcW w:w="987" w:type="dxa"/>
            <w:tcMar>
              <w:left w:w="57" w:type="dxa"/>
              <w:right w:w="57" w:type="dxa"/>
            </w:tcMar>
            <w:vAlign w:val="bottom"/>
          </w:tcPr>
          <w:p w14:paraId="4A9E1662" w14:textId="77777777" w:rsidR="000B6235" w:rsidRPr="001179AB" w:rsidRDefault="000B6235" w:rsidP="00C217B4">
            <w:pPr>
              <w:spacing w:after="0"/>
              <w:ind w:firstLine="0"/>
              <w:jc w:val="right"/>
              <w:rPr>
                <w:rFonts w:eastAsia="Times New Roman" w:cs="Times New Roman"/>
                <w:noProof/>
                <w:color w:val="EE0000"/>
                <w:sz w:val="18"/>
                <w:szCs w:val="18"/>
              </w:rPr>
            </w:pPr>
            <w:r w:rsidRPr="001179AB">
              <w:rPr>
                <w:rFonts w:cs="Times New Roman"/>
                <w:color w:val="000000"/>
                <w:sz w:val="18"/>
                <w:szCs w:val="18"/>
              </w:rPr>
              <w:t>+118,4</w:t>
            </w:r>
          </w:p>
        </w:tc>
        <w:tc>
          <w:tcPr>
            <w:tcW w:w="987" w:type="dxa"/>
            <w:tcMar>
              <w:left w:w="57" w:type="dxa"/>
              <w:right w:w="57" w:type="dxa"/>
            </w:tcMar>
            <w:vAlign w:val="bottom"/>
          </w:tcPr>
          <w:p w14:paraId="2DCD8E8F" w14:textId="77777777" w:rsidR="000B6235" w:rsidRPr="001179AB" w:rsidRDefault="000B6235" w:rsidP="00C217B4">
            <w:pPr>
              <w:spacing w:after="0" w:line="259" w:lineRule="auto"/>
              <w:ind w:firstLine="0"/>
              <w:jc w:val="right"/>
              <w:rPr>
                <w:rFonts w:eastAsia="Times New Roman" w:cs="Times New Roman"/>
                <w:noProof/>
                <w:color w:val="EE0000"/>
                <w:sz w:val="18"/>
                <w:szCs w:val="18"/>
              </w:rPr>
            </w:pPr>
            <w:r w:rsidRPr="001179AB">
              <w:rPr>
                <w:rFonts w:cs="Times New Roman"/>
                <w:color w:val="000000"/>
                <w:sz w:val="18"/>
                <w:szCs w:val="18"/>
              </w:rPr>
              <w:t>+160,8</w:t>
            </w:r>
          </w:p>
        </w:tc>
        <w:tc>
          <w:tcPr>
            <w:tcW w:w="987" w:type="dxa"/>
            <w:tcMar>
              <w:left w:w="57" w:type="dxa"/>
              <w:right w:w="57" w:type="dxa"/>
            </w:tcMar>
            <w:vAlign w:val="bottom"/>
          </w:tcPr>
          <w:p w14:paraId="41E2DF70" w14:textId="77777777" w:rsidR="000B6235" w:rsidRPr="001179AB" w:rsidRDefault="000B6235" w:rsidP="00C217B4">
            <w:pPr>
              <w:spacing w:after="0" w:line="259" w:lineRule="auto"/>
              <w:ind w:firstLine="0"/>
              <w:jc w:val="right"/>
              <w:rPr>
                <w:rFonts w:eastAsia="Times New Roman" w:cs="Times New Roman"/>
                <w:noProof/>
                <w:color w:val="EE0000"/>
                <w:sz w:val="18"/>
                <w:szCs w:val="18"/>
              </w:rPr>
            </w:pPr>
            <w:r w:rsidRPr="001179AB">
              <w:rPr>
                <w:rFonts w:cs="Times New Roman"/>
                <w:color w:val="000000"/>
                <w:sz w:val="18"/>
                <w:szCs w:val="18"/>
              </w:rPr>
              <w:t>+186,0</w:t>
            </w:r>
          </w:p>
        </w:tc>
      </w:tr>
      <w:tr w:rsidR="000B6235" w:rsidRPr="00331E6F" w14:paraId="13137FF4" w14:textId="77777777" w:rsidTr="00C217B4">
        <w:trPr>
          <w:trHeight w:val="255"/>
          <w:jc w:val="center"/>
        </w:trPr>
        <w:tc>
          <w:tcPr>
            <w:tcW w:w="3583" w:type="dxa"/>
            <w:vAlign w:val="center"/>
          </w:tcPr>
          <w:p w14:paraId="7475EC11" w14:textId="77777777" w:rsidR="000B6235" w:rsidRPr="00331E6F" w:rsidRDefault="000B6235" w:rsidP="00C217B4">
            <w:pPr>
              <w:spacing w:after="0"/>
              <w:ind w:left="166" w:firstLine="0"/>
              <w:jc w:val="left"/>
              <w:rPr>
                <w:rFonts w:eastAsia="Times New Roman" w:cs="Times New Roman"/>
                <w:sz w:val="18"/>
                <w:szCs w:val="18"/>
              </w:rPr>
            </w:pPr>
            <w:r w:rsidRPr="00331E6F">
              <w:rPr>
                <w:rFonts w:eastAsia="Times New Roman" w:cs="Times New Roman"/>
                <w:sz w:val="18"/>
                <w:szCs w:val="18"/>
              </w:rPr>
              <w:t>Nodokļu ieņēmumi</w:t>
            </w:r>
          </w:p>
        </w:tc>
        <w:tc>
          <w:tcPr>
            <w:tcW w:w="987" w:type="dxa"/>
            <w:tcMar>
              <w:left w:w="57" w:type="dxa"/>
              <w:right w:w="57" w:type="dxa"/>
            </w:tcMar>
            <w:vAlign w:val="bottom"/>
          </w:tcPr>
          <w:p w14:paraId="6AEE4501"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15 336,3</w:t>
            </w:r>
          </w:p>
        </w:tc>
        <w:tc>
          <w:tcPr>
            <w:tcW w:w="987" w:type="dxa"/>
            <w:tcMar>
              <w:left w:w="57" w:type="dxa"/>
              <w:right w:w="57" w:type="dxa"/>
            </w:tcMar>
            <w:vAlign w:val="bottom"/>
          </w:tcPr>
          <w:p w14:paraId="51DA28E1"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16 095,8</w:t>
            </w:r>
          </w:p>
        </w:tc>
        <w:tc>
          <w:tcPr>
            <w:tcW w:w="987" w:type="dxa"/>
            <w:tcMar>
              <w:left w:w="57" w:type="dxa"/>
              <w:right w:w="57" w:type="dxa"/>
            </w:tcMar>
            <w:vAlign w:val="bottom"/>
          </w:tcPr>
          <w:p w14:paraId="395F20C5"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16 824,8</w:t>
            </w:r>
          </w:p>
        </w:tc>
        <w:tc>
          <w:tcPr>
            <w:tcW w:w="987" w:type="dxa"/>
            <w:tcMar>
              <w:left w:w="57" w:type="dxa"/>
              <w:right w:w="57" w:type="dxa"/>
            </w:tcMar>
            <w:vAlign w:val="bottom"/>
          </w:tcPr>
          <w:p w14:paraId="11790806"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+116,5</w:t>
            </w:r>
          </w:p>
        </w:tc>
        <w:tc>
          <w:tcPr>
            <w:tcW w:w="987" w:type="dxa"/>
            <w:tcMar>
              <w:left w:w="57" w:type="dxa"/>
              <w:right w:w="57" w:type="dxa"/>
            </w:tcMar>
            <w:vAlign w:val="bottom"/>
          </w:tcPr>
          <w:p w14:paraId="6B359B94"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sz w:val="18"/>
                <w:szCs w:val="18"/>
              </w:rPr>
              <w:t>+176,5</w:t>
            </w:r>
          </w:p>
        </w:tc>
        <w:tc>
          <w:tcPr>
            <w:tcW w:w="987" w:type="dxa"/>
            <w:tcMar>
              <w:left w:w="57" w:type="dxa"/>
              <w:right w:w="57" w:type="dxa"/>
            </w:tcMar>
            <w:vAlign w:val="bottom"/>
          </w:tcPr>
          <w:p w14:paraId="029E6EF6"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sz w:val="18"/>
                <w:szCs w:val="18"/>
              </w:rPr>
              <w:t>+216,0</w:t>
            </w:r>
          </w:p>
        </w:tc>
      </w:tr>
      <w:tr w:rsidR="000B6235" w:rsidRPr="00331E6F" w14:paraId="2BDE5770" w14:textId="77777777" w:rsidTr="00C217B4">
        <w:trPr>
          <w:trHeight w:val="142"/>
          <w:jc w:val="center"/>
        </w:trPr>
        <w:tc>
          <w:tcPr>
            <w:tcW w:w="3583" w:type="dxa"/>
            <w:vAlign w:val="center"/>
          </w:tcPr>
          <w:p w14:paraId="6E206A0A" w14:textId="77777777" w:rsidR="000B6235" w:rsidRPr="00331E6F" w:rsidRDefault="000B6235" w:rsidP="00C217B4">
            <w:pPr>
              <w:spacing w:after="0"/>
              <w:ind w:left="166" w:firstLine="0"/>
              <w:jc w:val="left"/>
              <w:rPr>
                <w:rFonts w:eastAsia="Times New Roman" w:cs="Times New Roman"/>
                <w:noProof/>
                <w:sz w:val="18"/>
                <w:szCs w:val="18"/>
              </w:rPr>
            </w:pPr>
            <w:r w:rsidRPr="00331E6F">
              <w:rPr>
                <w:rFonts w:eastAsia="Times New Roman" w:cs="Times New Roman"/>
                <w:noProof/>
                <w:sz w:val="18"/>
                <w:szCs w:val="18"/>
              </w:rPr>
              <w:t>Nenodokļu ieņēmumi</w:t>
            </w:r>
          </w:p>
        </w:tc>
        <w:tc>
          <w:tcPr>
            <w:tcW w:w="987" w:type="dxa"/>
            <w:tcMar>
              <w:left w:w="57" w:type="dxa"/>
              <w:right w:w="57" w:type="dxa"/>
            </w:tcMar>
            <w:vAlign w:val="bottom"/>
          </w:tcPr>
          <w:p w14:paraId="6C90ED87"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1 056,3</w:t>
            </w:r>
          </w:p>
        </w:tc>
        <w:tc>
          <w:tcPr>
            <w:tcW w:w="987" w:type="dxa"/>
            <w:tcMar>
              <w:left w:w="57" w:type="dxa"/>
              <w:right w:w="57" w:type="dxa"/>
            </w:tcMar>
            <w:vAlign w:val="bottom"/>
          </w:tcPr>
          <w:p w14:paraId="0EF54377"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1 063,1</w:t>
            </w:r>
          </w:p>
        </w:tc>
        <w:tc>
          <w:tcPr>
            <w:tcW w:w="987" w:type="dxa"/>
            <w:tcMar>
              <w:left w:w="57" w:type="dxa"/>
              <w:right w:w="57" w:type="dxa"/>
            </w:tcMar>
            <w:vAlign w:val="bottom"/>
          </w:tcPr>
          <w:p w14:paraId="7229E39A"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1 068,4</w:t>
            </w:r>
          </w:p>
        </w:tc>
        <w:tc>
          <w:tcPr>
            <w:tcW w:w="987" w:type="dxa"/>
            <w:tcMar>
              <w:left w:w="57" w:type="dxa"/>
              <w:right w:w="57" w:type="dxa"/>
            </w:tcMar>
            <w:vAlign w:val="bottom"/>
          </w:tcPr>
          <w:p w14:paraId="4C0D6DB3"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+3,6</w:t>
            </w:r>
          </w:p>
        </w:tc>
        <w:tc>
          <w:tcPr>
            <w:tcW w:w="987" w:type="dxa"/>
            <w:tcMar>
              <w:left w:w="57" w:type="dxa"/>
              <w:right w:w="57" w:type="dxa"/>
            </w:tcMar>
            <w:vAlign w:val="bottom"/>
          </w:tcPr>
          <w:p w14:paraId="3A365574"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sz w:val="18"/>
                <w:szCs w:val="18"/>
              </w:rPr>
              <w:t>+4,7</w:t>
            </w:r>
          </w:p>
        </w:tc>
        <w:tc>
          <w:tcPr>
            <w:tcW w:w="987" w:type="dxa"/>
            <w:tcMar>
              <w:left w:w="57" w:type="dxa"/>
              <w:right w:w="57" w:type="dxa"/>
            </w:tcMar>
            <w:vAlign w:val="bottom"/>
          </w:tcPr>
          <w:p w14:paraId="51790C6B"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sz w:val="18"/>
                <w:szCs w:val="18"/>
              </w:rPr>
              <w:t>+4,7</w:t>
            </w:r>
          </w:p>
        </w:tc>
      </w:tr>
      <w:tr w:rsidR="000B6235" w:rsidRPr="00331E6F" w14:paraId="48BFFE2B" w14:textId="77777777" w:rsidTr="00C217B4">
        <w:trPr>
          <w:trHeight w:val="142"/>
          <w:jc w:val="center"/>
        </w:trPr>
        <w:tc>
          <w:tcPr>
            <w:tcW w:w="3583" w:type="dxa"/>
            <w:vAlign w:val="center"/>
          </w:tcPr>
          <w:p w14:paraId="0BCD331D" w14:textId="77777777" w:rsidR="000B6235" w:rsidRPr="00331E6F" w:rsidRDefault="000B6235" w:rsidP="00C217B4">
            <w:pPr>
              <w:spacing w:after="0"/>
              <w:ind w:left="166" w:firstLine="0"/>
              <w:jc w:val="left"/>
              <w:rPr>
                <w:rFonts w:eastAsia="Times New Roman" w:cs="Times New Roman"/>
                <w:noProof/>
                <w:sz w:val="18"/>
                <w:szCs w:val="18"/>
              </w:rPr>
            </w:pPr>
            <w:r w:rsidRPr="00331E6F">
              <w:rPr>
                <w:rFonts w:eastAsia="Times New Roman" w:cs="Times New Roman"/>
                <w:noProof/>
                <w:sz w:val="18"/>
                <w:szCs w:val="18"/>
              </w:rPr>
              <w:t>Pabalstu izdevumi</w:t>
            </w:r>
          </w:p>
        </w:tc>
        <w:tc>
          <w:tcPr>
            <w:tcW w:w="987" w:type="dxa"/>
            <w:tcMar>
              <w:left w:w="57" w:type="dxa"/>
              <w:right w:w="57" w:type="dxa"/>
            </w:tcMar>
            <w:vAlign w:val="bottom"/>
          </w:tcPr>
          <w:p w14:paraId="5A2EA7B1" w14:textId="77777777" w:rsidR="000B6235" w:rsidRPr="001179AB" w:rsidRDefault="000B6235" w:rsidP="00C217B4">
            <w:pPr>
              <w:spacing w:after="0"/>
              <w:ind w:firstLine="0"/>
              <w:jc w:val="right"/>
              <w:rPr>
                <w:rFonts w:eastAsia="Times New Roman" w:cs="Times New Roman"/>
                <w:color w:val="EE0000"/>
                <w:sz w:val="18"/>
                <w:szCs w:val="18"/>
                <w:lang w:eastAsia="en-US"/>
              </w:rPr>
            </w:pPr>
            <w:r w:rsidRPr="001179AB">
              <w:rPr>
                <w:rFonts w:cs="Times New Roman"/>
                <w:sz w:val="18"/>
                <w:szCs w:val="18"/>
              </w:rPr>
              <w:t>6 039,8</w:t>
            </w:r>
          </w:p>
        </w:tc>
        <w:tc>
          <w:tcPr>
            <w:tcW w:w="987" w:type="dxa"/>
            <w:tcMar>
              <w:left w:w="57" w:type="dxa"/>
              <w:right w:w="57" w:type="dxa"/>
            </w:tcMar>
            <w:vAlign w:val="bottom"/>
          </w:tcPr>
          <w:p w14:paraId="4AE40811" w14:textId="77777777" w:rsidR="000B6235" w:rsidRPr="001179AB" w:rsidRDefault="000B6235" w:rsidP="00C217B4">
            <w:pPr>
              <w:spacing w:after="0"/>
              <w:ind w:firstLine="0"/>
              <w:jc w:val="right"/>
              <w:rPr>
                <w:rFonts w:eastAsia="Times New Roman" w:cs="Times New Roman"/>
                <w:color w:val="EE0000"/>
                <w:sz w:val="18"/>
                <w:szCs w:val="18"/>
                <w:lang w:eastAsia="en-US"/>
              </w:rPr>
            </w:pPr>
            <w:r w:rsidRPr="001179AB">
              <w:rPr>
                <w:rFonts w:cs="Times New Roman"/>
                <w:sz w:val="18"/>
                <w:szCs w:val="18"/>
              </w:rPr>
              <w:t>6 475,8</w:t>
            </w:r>
          </w:p>
        </w:tc>
        <w:tc>
          <w:tcPr>
            <w:tcW w:w="987" w:type="dxa"/>
            <w:tcMar>
              <w:left w:w="57" w:type="dxa"/>
              <w:right w:w="57" w:type="dxa"/>
            </w:tcMar>
            <w:vAlign w:val="bottom"/>
          </w:tcPr>
          <w:p w14:paraId="29165B0E" w14:textId="77777777" w:rsidR="000B6235" w:rsidRPr="001179AB" w:rsidRDefault="000B6235" w:rsidP="00C217B4">
            <w:pPr>
              <w:spacing w:after="0"/>
              <w:ind w:firstLine="0"/>
              <w:jc w:val="right"/>
              <w:rPr>
                <w:rFonts w:eastAsia="Times New Roman" w:cs="Times New Roman"/>
                <w:color w:val="EE0000"/>
                <w:sz w:val="18"/>
                <w:szCs w:val="18"/>
                <w:lang w:eastAsia="en-US"/>
              </w:rPr>
            </w:pPr>
            <w:r w:rsidRPr="001179AB">
              <w:rPr>
                <w:rFonts w:cs="Times New Roman"/>
                <w:sz w:val="18"/>
                <w:szCs w:val="18"/>
              </w:rPr>
              <w:t>6 907,1</w:t>
            </w:r>
          </w:p>
        </w:tc>
        <w:tc>
          <w:tcPr>
            <w:tcW w:w="987" w:type="dxa"/>
            <w:tcMar>
              <w:left w:w="57" w:type="dxa"/>
              <w:right w:w="57" w:type="dxa"/>
            </w:tcMar>
            <w:vAlign w:val="bottom"/>
          </w:tcPr>
          <w:p w14:paraId="59AFEA9F"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+3,4</w:t>
            </w:r>
          </w:p>
        </w:tc>
        <w:tc>
          <w:tcPr>
            <w:tcW w:w="987" w:type="dxa"/>
            <w:tcMar>
              <w:left w:w="57" w:type="dxa"/>
              <w:right w:w="57" w:type="dxa"/>
            </w:tcMar>
            <w:vAlign w:val="bottom"/>
          </w:tcPr>
          <w:p w14:paraId="4CC8BAFD"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sz w:val="18"/>
                <w:szCs w:val="18"/>
              </w:rPr>
              <w:t>+26,0</w:t>
            </w:r>
          </w:p>
        </w:tc>
        <w:tc>
          <w:tcPr>
            <w:tcW w:w="987" w:type="dxa"/>
            <w:tcMar>
              <w:left w:w="57" w:type="dxa"/>
              <w:right w:w="57" w:type="dxa"/>
            </w:tcMar>
            <w:vAlign w:val="bottom"/>
          </w:tcPr>
          <w:p w14:paraId="4BBA64F6"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sz w:val="18"/>
                <w:szCs w:val="18"/>
              </w:rPr>
              <w:t>+45,6</w:t>
            </w:r>
          </w:p>
        </w:tc>
      </w:tr>
      <w:tr w:rsidR="000B6235" w:rsidRPr="00331E6F" w14:paraId="798F57EE" w14:textId="77777777" w:rsidTr="00C217B4">
        <w:trPr>
          <w:trHeight w:val="247"/>
          <w:jc w:val="center"/>
        </w:trPr>
        <w:tc>
          <w:tcPr>
            <w:tcW w:w="3583" w:type="dxa"/>
            <w:tcBorders>
              <w:bottom w:val="double" w:sz="4" w:space="0" w:color="auto"/>
            </w:tcBorders>
            <w:vAlign w:val="center"/>
          </w:tcPr>
          <w:p w14:paraId="0886986F" w14:textId="77777777" w:rsidR="000B6235" w:rsidRPr="00331E6F" w:rsidRDefault="000B6235" w:rsidP="00C217B4">
            <w:pPr>
              <w:spacing w:after="0"/>
              <w:ind w:left="166" w:firstLine="0"/>
              <w:jc w:val="left"/>
              <w:rPr>
                <w:rFonts w:eastAsia="Times New Roman" w:cs="Times New Roman"/>
                <w:noProof/>
                <w:sz w:val="18"/>
                <w:szCs w:val="18"/>
              </w:rPr>
            </w:pPr>
            <w:r w:rsidRPr="00331E6F">
              <w:rPr>
                <w:rFonts w:eastAsia="Times New Roman" w:cs="Times New Roman"/>
                <w:noProof/>
                <w:sz w:val="18"/>
                <w:szCs w:val="18"/>
              </w:rPr>
              <w:t>Procentu izdevumi</w:t>
            </w:r>
            <w:r>
              <w:rPr>
                <w:rStyle w:val="FootnoteReference"/>
                <w:rFonts w:eastAsia="Times New Roman" w:cs="Times New Roman"/>
                <w:noProof/>
                <w:sz w:val="18"/>
                <w:szCs w:val="18"/>
              </w:rPr>
              <w:footnoteReference w:id="7"/>
            </w:r>
          </w:p>
        </w:tc>
        <w:tc>
          <w:tcPr>
            <w:tcW w:w="987" w:type="dxa"/>
            <w:tcBorders>
              <w:bottom w:val="double" w:sz="4" w:space="0" w:color="auto"/>
            </w:tcBorders>
            <w:tcMar>
              <w:left w:w="57" w:type="dxa"/>
              <w:right w:w="57" w:type="dxa"/>
            </w:tcMar>
            <w:vAlign w:val="bottom"/>
          </w:tcPr>
          <w:p w14:paraId="2E928183"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567,3</w:t>
            </w:r>
          </w:p>
        </w:tc>
        <w:tc>
          <w:tcPr>
            <w:tcW w:w="987" w:type="dxa"/>
            <w:tcBorders>
              <w:bottom w:val="double" w:sz="4" w:space="0" w:color="auto"/>
            </w:tcBorders>
            <w:tcMar>
              <w:left w:w="57" w:type="dxa"/>
              <w:right w:w="57" w:type="dxa"/>
            </w:tcMar>
            <w:vAlign w:val="bottom"/>
          </w:tcPr>
          <w:p w14:paraId="457F585B"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634,2</w:t>
            </w:r>
          </w:p>
        </w:tc>
        <w:tc>
          <w:tcPr>
            <w:tcW w:w="987" w:type="dxa"/>
            <w:tcBorders>
              <w:bottom w:val="double" w:sz="4" w:space="0" w:color="auto"/>
            </w:tcBorders>
            <w:tcMar>
              <w:left w:w="57" w:type="dxa"/>
              <w:right w:w="57" w:type="dxa"/>
            </w:tcMar>
            <w:vAlign w:val="bottom"/>
          </w:tcPr>
          <w:p w14:paraId="416D65C3"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sz w:val="18"/>
                <w:szCs w:val="18"/>
              </w:rPr>
              <w:t>717,0</w:t>
            </w:r>
          </w:p>
        </w:tc>
        <w:tc>
          <w:tcPr>
            <w:tcW w:w="987" w:type="dxa"/>
            <w:tcBorders>
              <w:bottom w:val="double" w:sz="4" w:space="0" w:color="auto"/>
            </w:tcBorders>
            <w:tcMar>
              <w:left w:w="57" w:type="dxa"/>
              <w:right w:w="57" w:type="dxa"/>
            </w:tcMar>
            <w:vAlign w:val="bottom"/>
          </w:tcPr>
          <w:p w14:paraId="1CE5C75A"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color w:val="000000"/>
                <w:sz w:val="18"/>
                <w:szCs w:val="18"/>
              </w:rPr>
              <w:t>-1,8</w:t>
            </w:r>
          </w:p>
        </w:tc>
        <w:tc>
          <w:tcPr>
            <w:tcW w:w="987" w:type="dxa"/>
            <w:tcBorders>
              <w:bottom w:val="double" w:sz="4" w:space="0" w:color="auto"/>
            </w:tcBorders>
            <w:tcMar>
              <w:left w:w="57" w:type="dxa"/>
              <w:right w:w="57" w:type="dxa"/>
            </w:tcMar>
            <w:vAlign w:val="bottom"/>
          </w:tcPr>
          <w:p w14:paraId="361D958C"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color w:val="000000"/>
                <w:sz w:val="18"/>
                <w:szCs w:val="18"/>
              </w:rPr>
              <w:t>-5,6</w:t>
            </w:r>
          </w:p>
        </w:tc>
        <w:tc>
          <w:tcPr>
            <w:tcW w:w="987" w:type="dxa"/>
            <w:tcBorders>
              <w:bottom w:val="double" w:sz="4" w:space="0" w:color="auto"/>
            </w:tcBorders>
            <w:tcMar>
              <w:left w:w="57" w:type="dxa"/>
              <w:right w:w="57" w:type="dxa"/>
            </w:tcMar>
            <w:vAlign w:val="bottom"/>
          </w:tcPr>
          <w:p w14:paraId="27FEEB23"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color w:val="000000"/>
                <w:sz w:val="18"/>
                <w:szCs w:val="18"/>
              </w:rPr>
              <w:t>-10,9</w:t>
            </w:r>
          </w:p>
        </w:tc>
      </w:tr>
      <w:tr w:rsidR="000B6235" w:rsidRPr="00250E42" w14:paraId="075FF633" w14:textId="77777777" w:rsidTr="00C217B4">
        <w:trPr>
          <w:trHeight w:val="363"/>
          <w:jc w:val="center"/>
        </w:trPr>
        <w:tc>
          <w:tcPr>
            <w:tcW w:w="3583" w:type="dxa"/>
            <w:tcBorders>
              <w:top w:val="double" w:sz="4" w:space="0" w:color="auto"/>
              <w:left w:val="single" w:sz="4" w:space="0" w:color="auto"/>
            </w:tcBorders>
            <w:vAlign w:val="center"/>
          </w:tcPr>
          <w:p w14:paraId="0B2D4AD6" w14:textId="77777777" w:rsidR="000B6235" w:rsidRPr="00250E42" w:rsidRDefault="000B6235" w:rsidP="00C217B4">
            <w:pPr>
              <w:spacing w:after="0"/>
              <w:ind w:firstLine="0"/>
              <w:jc w:val="left"/>
              <w:rPr>
                <w:rFonts w:eastAsia="Times New Roman" w:cs="Times New Roman"/>
                <w:noProof/>
                <w:sz w:val="18"/>
                <w:szCs w:val="18"/>
              </w:rPr>
            </w:pPr>
            <w:r w:rsidRPr="00331E6F">
              <w:rPr>
                <w:rFonts w:eastAsia="Times New Roman" w:cs="Times New Roman"/>
                <w:noProof/>
                <w:sz w:val="18"/>
                <w:szCs w:val="18"/>
              </w:rPr>
              <w:t xml:space="preserve">   </w:t>
            </w:r>
            <w:r w:rsidRPr="00250E42">
              <w:rPr>
                <w:rFonts w:eastAsia="Times New Roman" w:cs="Times New Roman"/>
                <w:noProof/>
                <w:sz w:val="18"/>
                <w:szCs w:val="18"/>
              </w:rPr>
              <w:t>Procentu izdevumi</w:t>
            </w:r>
            <w:r w:rsidRPr="00250E42">
              <w:rPr>
                <w:rFonts w:eastAsia="Times New Roman" w:cs="Times New Roman"/>
                <w:noProof/>
                <w:sz w:val="18"/>
                <w:szCs w:val="18"/>
              </w:rPr>
              <w:br/>
              <w:t xml:space="preserve">  (% likmes paliel. par 1 pp)</w:t>
            </w:r>
          </w:p>
        </w:tc>
        <w:tc>
          <w:tcPr>
            <w:tcW w:w="987" w:type="dxa"/>
            <w:tcBorders>
              <w:top w:val="double" w:sz="4" w:space="0" w:color="auto"/>
            </w:tcBorders>
            <w:tcMar>
              <w:left w:w="57" w:type="dxa"/>
              <w:right w:w="57" w:type="dxa"/>
            </w:tcMar>
            <w:vAlign w:val="center"/>
          </w:tcPr>
          <w:p w14:paraId="639CB381"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color w:val="000000"/>
                <w:sz w:val="18"/>
                <w:szCs w:val="18"/>
              </w:rPr>
              <w:t>569,8</w:t>
            </w:r>
          </w:p>
        </w:tc>
        <w:tc>
          <w:tcPr>
            <w:tcW w:w="987" w:type="dxa"/>
            <w:tcBorders>
              <w:top w:val="double" w:sz="4" w:space="0" w:color="auto"/>
            </w:tcBorders>
            <w:tcMar>
              <w:left w:w="57" w:type="dxa"/>
              <w:right w:w="57" w:type="dxa"/>
            </w:tcMar>
            <w:vAlign w:val="center"/>
          </w:tcPr>
          <w:p w14:paraId="0D9F4BCF"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color w:val="000000"/>
                <w:sz w:val="18"/>
                <w:szCs w:val="18"/>
              </w:rPr>
              <w:t>673,6</w:t>
            </w:r>
          </w:p>
        </w:tc>
        <w:tc>
          <w:tcPr>
            <w:tcW w:w="987" w:type="dxa"/>
            <w:tcBorders>
              <w:top w:val="double" w:sz="4" w:space="0" w:color="auto"/>
            </w:tcBorders>
            <w:tcMar>
              <w:left w:w="57" w:type="dxa"/>
              <w:right w:w="57" w:type="dxa"/>
            </w:tcMar>
            <w:vAlign w:val="center"/>
          </w:tcPr>
          <w:p w14:paraId="332C05EA"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color w:val="000000"/>
                <w:sz w:val="18"/>
                <w:szCs w:val="18"/>
              </w:rPr>
              <w:t>797,9</w:t>
            </w:r>
          </w:p>
        </w:tc>
        <w:tc>
          <w:tcPr>
            <w:tcW w:w="987" w:type="dxa"/>
            <w:tcBorders>
              <w:top w:val="double" w:sz="4" w:space="0" w:color="auto"/>
            </w:tcBorders>
            <w:tcMar>
              <w:left w:w="57" w:type="dxa"/>
              <w:right w:w="57" w:type="dxa"/>
            </w:tcMar>
            <w:vAlign w:val="center"/>
          </w:tcPr>
          <w:p w14:paraId="3AEBA0F3"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color w:val="000000"/>
                <w:sz w:val="18"/>
                <w:szCs w:val="18"/>
              </w:rPr>
              <w:t>+0,8</w:t>
            </w:r>
          </w:p>
        </w:tc>
        <w:tc>
          <w:tcPr>
            <w:tcW w:w="987" w:type="dxa"/>
            <w:tcBorders>
              <w:top w:val="double" w:sz="4" w:space="0" w:color="auto"/>
            </w:tcBorders>
            <w:tcMar>
              <w:left w:w="57" w:type="dxa"/>
              <w:right w:w="57" w:type="dxa"/>
            </w:tcMar>
            <w:vAlign w:val="center"/>
          </w:tcPr>
          <w:p w14:paraId="7C8A53EE"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color w:val="000000"/>
                <w:sz w:val="18"/>
                <w:szCs w:val="18"/>
              </w:rPr>
              <w:t>+33,8</w:t>
            </w:r>
          </w:p>
        </w:tc>
        <w:tc>
          <w:tcPr>
            <w:tcW w:w="987" w:type="dxa"/>
            <w:tcBorders>
              <w:top w:val="double" w:sz="4" w:space="0" w:color="auto"/>
            </w:tcBorders>
            <w:tcMar>
              <w:left w:w="57" w:type="dxa"/>
              <w:right w:w="57" w:type="dxa"/>
            </w:tcMar>
            <w:vAlign w:val="center"/>
          </w:tcPr>
          <w:p w14:paraId="61C2C081"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color w:val="000000"/>
                <w:sz w:val="18"/>
                <w:szCs w:val="18"/>
              </w:rPr>
              <w:t>+70,1</w:t>
            </w:r>
          </w:p>
        </w:tc>
      </w:tr>
      <w:tr w:rsidR="000B6235" w:rsidRPr="00250E42" w14:paraId="4FA58769" w14:textId="77777777" w:rsidTr="00C217B4">
        <w:trPr>
          <w:trHeight w:val="360"/>
          <w:jc w:val="center"/>
        </w:trPr>
        <w:tc>
          <w:tcPr>
            <w:tcW w:w="3583" w:type="dxa"/>
            <w:tcBorders>
              <w:left w:val="single" w:sz="4" w:space="0" w:color="auto"/>
              <w:bottom w:val="double" w:sz="4" w:space="0" w:color="auto"/>
            </w:tcBorders>
            <w:vAlign w:val="center"/>
          </w:tcPr>
          <w:p w14:paraId="0774B422" w14:textId="77777777" w:rsidR="000B6235" w:rsidRPr="00250E42" w:rsidRDefault="000B6235" w:rsidP="00C217B4">
            <w:pPr>
              <w:spacing w:after="0"/>
              <w:ind w:firstLine="0"/>
              <w:jc w:val="left"/>
              <w:rPr>
                <w:rFonts w:eastAsia="Calibri" w:cs="Times New Roman"/>
                <w:noProof/>
                <w:sz w:val="18"/>
                <w:szCs w:val="18"/>
                <w:lang w:eastAsia="en-US"/>
              </w:rPr>
            </w:pPr>
            <w:r w:rsidRPr="00250E42">
              <w:rPr>
                <w:rFonts w:eastAsia="Times New Roman" w:cs="Times New Roman"/>
                <w:noProof/>
                <w:sz w:val="18"/>
                <w:szCs w:val="18"/>
              </w:rPr>
              <w:t xml:space="preserve">   Procentu izdevumi</w:t>
            </w:r>
            <w:r w:rsidRPr="00250E42">
              <w:rPr>
                <w:rFonts w:eastAsia="Times New Roman" w:cs="Times New Roman"/>
                <w:noProof/>
                <w:sz w:val="18"/>
                <w:szCs w:val="18"/>
              </w:rPr>
              <w:br/>
              <w:t xml:space="preserve">   (% likmes samaz. par 1 pp)</w:t>
            </w:r>
          </w:p>
        </w:tc>
        <w:tc>
          <w:tcPr>
            <w:tcW w:w="987" w:type="dxa"/>
            <w:tcBorders>
              <w:bottom w:val="double" w:sz="4" w:space="0" w:color="auto"/>
            </w:tcBorders>
            <w:tcMar>
              <w:left w:w="57" w:type="dxa"/>
              <w:right w:w="57" w:type="dxa"/>
            </w:tcMar>
            <w:vAlign w:val="center"/>
          </w:tcPr>
          <w:p w14:paraId="232F3945"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color w:val="000000"/>
                <w:sz w:val="18"/>
                <w:szCs w:val="18"/>
              </w:rPr>
              <w:t>564,8</w:t>
            </w:r>
          </w:p>
        </w:tc>
        <w:tc>
          <w:tcPr>
            <w:tcW w:w="987" w:type="dxa"/>
            <w:tcBorders>
              <w:bottom w:val="double" w:sz="4" w:space="0" w:color="auto"/>
            </w:tcBorders>
            <w:tcMar>
              <w:left w:w="57" w:type="dxa"/>
              <w:right w:w="57" w:type="dxa"/>
            </w:tcMar>
            <w:vAlign w:val="center"/>
          </w:tcPr>
          <w:p w14:paraId="65B4D964"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color w:val="000000"/>
                <w:sz w:val="18"/>
                <w:szCs w:val="18"/>
              </w:rPr>
              <w:t>594,8</w:t>
            </w:r>
          </w:p>
        </w:tc>
        <w:tc>
          <w:tcPr>
            <w:tcW w:w="987" w:type="dxa"/>
            <w:tcBorders>
              <w:bottom w:val="double" w:sz="4" w:space="0" w:color="auto"/>
            </w:tcBorders>
            <w:tcMar>
              <w:left w:w="57" w:type="dxa"/>
              <w:right w:w="57" w:type="dxa"/>
            </w:tcMar>
            <w:vAlign w:val="center"/>
          </w:tcPr>
          <w:p w14:paraId="6604BC8C"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color w:val="000000"/>
                <w:sz w:val="18"/>
                <w:szCs w:val="18"/>
              </w:rPr>
              <w:t>636,1</w:t>
            </w:r>
          </w:p>
        </w:tc>
        <w:tc>
          <w:tcPr>
            <w:tcW w:w="987" w:type="dxa"/>
            <w:tcBorders>
              <w:bottom w:val="double" w:sz="4" w:space="0" w:color="auto"/>
            </w:tcBorders>
            <w:tcMar>
              <w:left w:w="57" w:type="dxa"/>
              <w:right w:w="57" w:type="dxa"/>
            </w:tcMar>
            <w:vAlign w:val="center"/>
          </w:tcPr>
          <w:p w14:paraId="5EC2444A" w14:textId="77777777" w:rsidR="000B6235" w:rsidRPr="001179AB" w:rsidRDefault="000B6235" w:rsidP="00C217B4">
            <w:pPr>
              <w:spacing w:after="0"/>
              <w:ind w:firstLine="0"/>
              <w:jc w:val="right"/>
              <w:rPr>
                <w:rFonts w:eastAsia="Times New Roman" w:cs="Times New Roman"/>
                <w:color w:val="EE0000"/>
                <w:sz w:val="18"/>
                <w:szCs w:val="18"/>
              </w:rPr>
            </w:pPr>
            <w:r w:rsidRPr="001179AB">
              <w:rPr>
                <w:rFonts w:cs="Times New Roman"/>
                <w:color w:val="000000"/>
                <w:sz w:val="18"/>
                <w:szCs w:val="18"/>
              </w:rPr>
              <w:t>-4,3</w:t>
            </w:r>
          </w:p>
        </w:tc>
        <w:tc>
          <w:tcPr>
            <w:tcW w:w="987" w:type="dxa"/>
            <w:tcBorders>
              <w:bottom w:val="double" w:sz="4" w:space="0" w:color="auto"/>
            </w:tcBorders>
            <w:tcMar>
              <w:left w:w="57" w:type="dxa"/>
              <w:right w:w="57" w:type="dxa"/>
            </w:tcMar>
            <w:vAlign w:val="center"/>
          </w:tcPr>
          <w:p w14:paraId="5DC2A745"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color w:val="000000"/>
                <w:sz w:val="18"/>
                <w:szCs w:val="18"/>
              </w:rPr>
              <w:t>-45,0</w:t>
            </w:r>
          </w:p>
        </w:tc>
        <w:tc>
          <w:tcPr>
            <w:tcW w:w="987" w:type="dxa"/>
            <w:tcBorders>
              <w:bottom w:val="double" w:sz="4" w:space="0" w:color="auto"/>
            </w:tcBorders>
            <w:tcMar>
              <w:left w:w="57" w:type="dxa"/>
              <w:right w:w="57" w:type="dxa"/>
            </w:tcMar>
            <w:vAlign w:val="center"/>
          </w:tcPr>
          <w:p w14:paraId="0F97DA7C" w14:textId="77777777" w:rsidR="000B6235" w:rsidRPr="001179AB" w:rsidRDefault="000B6235" w:rsidP="00C217B4">
            <w:pPr>
              <w:spacing w:after="0" w:line="259" w:lineRule="auto"/>
              <w:ind w:firstLine="0"/>
              <w:jc w:val="right"/>
              <w:rPr>
                <w:rFonts w:eastAsia="Times New Roman" w:cs="Times New Roman"/>
                <w:color w:val="EE0000"/>
                <w:sz w:val="18"/>
                <w:szCs w:val="18"/>
              </w:rPr>
            </w:pPr>
            <w:r w:rsidRPr="001179AB">
              <w:rPr>
                <w:rFonts w:cs="Times New Roman"/>
                <w:color w:val="000000"/>
                <w:sz w:val="18"/>
                <w:szCs w:val="18"/>
              </w:rPr>
              <w:t>-91,8</w:t>
            </w:r>
          </w:p>
        </w:tc>
      </w:tr>
      <w:tr w:rsidR="000B6235" w:rsidRPr="00250E42" w14:paraId="557E47EC" w14:textId="77777777" w:rsidTr="00C217B4">
        <w:trPr>
          <w:trHeight w:val="346"/>
          <w:jc w:val="center"/>
        </w:trPr>
        <w:tc>
          <w:tcPr>
            <w:tcW w:w="3583" w:type="dxa"/>
            <w:tcBorders>
              <w:top w:val="double" w:sz="4" w:space="0" w:color="auto"/>
            </w:tcBorders>
            <w:vAlign w:val="center"/>
          </w:tcPr>
          <w:p w14:paraId="1C48A21C" w14:textId="77777777" w:rsidR="000B6235" w:rsidRPr="00250E42" w:rsidRDefault="000B6235" w:rsidP="00C217B4">
            <w:pPr>
              <w:spacing w:after="0"/>
              <w:ind w:firstLine="0"/>
              <w:jc w:val="left"/>
              <w:rPr>
                <w:rFonts w:eastAsia="Times New Roman" w:cs="Times New Roman"/>
                <w:b/>
                <w:noProof/>
                <w:sz w:val="18"/>
                <w:szCs w:val="18"/>
              </w:rPr>
            </w:pPr>
            <w:r w:rsidRPr="00250E42">
              <w:rPr>
                <w:rFonts w:eastAsia="Times New Roman" w:cs="Times New Roman"/>
                <w:b/>
                <w:noProof/>
                <w:sz w:val="18"/>
                <w:szCs w:val="18"/>
              </w:rPr>
              <w:t>Vispārējās valdības parāds,</w:t>
            </w:r>
            <w:r w:rsidRPr="00250E42">
              <w:rPr>
                <w:rFonts w:eastAsia="Times New Roman" w:cs="Times New Roman"/>
                <w:b/>
                <w:noProof/>
                <w:sz w:val="18"/>
                <w:szCs w:val="18"/>
              </w:rPr>
              <w:br/>
              <w:t>% no IKP</w:t>
            </w:r>
          </w:p>
        </w:tc>
        <w:tc>
          <w:tcPr>
            <w:tcW w:w="987" w:type="dxa"/>
            <w:tcBorders>
              <w:top w:val="double" w:sz="4" w:space="0" w:color="auto"/>
            </w:tcBorders>
            <w:tcMar>
              <w:left w:w="57" w:type="dxa"/>
              <w:right w:w="57" w:type="dxa"/>
            </w:tcMar>
            <w:vAlign w:val="center"/>
          </w:tcPr>
          <w:p w14:paraId="297FD348" w14:textId="77777777" w:rsidR="000B6235" w:rsidRPr="001179AB" w:rsidRDefault="000B6235" w:rsidP="00C217B4">
            <w:pPr>
              <w:spacing w:after="0"/>
              <w:ind w:firstLine="0"/>
              <w:jc w:val="right"/>
              <w:rPr>
                <w:rFonts w:eastAsia="Times New Roman" w:cs="Times New Roman"/>
                <w:b/>
                <w:noProof/>
                <w:sz w:val="18"/>
                <w:szCs w:val="18"/>
              </w:rPr>
            </w:pPr>
            <w:r w:rsidRPr="001179AB">
              <w:rPr>
                <w:rFonts w:eastAsia="Times New Roman" w:cs="Times New Roman"/>
                <w:b/>
                <w:noProof/>
                <w:sz w:val="18"/>
                <w:szCs w:val="18"/>
              </w:rPr>
              <w:t>49,6%</w:t>
            </w:r>
          </w:p>
        </w:tc>
        <w:tc>
          <w:tcPr>
            <w:tcW w:w="987" w:type="dxa"/>
            <w:tcBorders>
              <w:top w:val="double" w:sz="4" w:space="0" w:color="auto"/>
            </w:tcBorders>
            <w:tcMar>
              <w:left w:w="57" w:type="dxa"/>
              <w:right w:w="57" w:type="dxa"/>
            </w:tcMar>
            <w:vAlign w:val="center"/>
          </w:tcPr>
          <w:p w14:paraId="27D93318" w14:textId="77777777" w:rsidR="000B6235" w:rsidRPr="001179AB" w:rsidRDefault="000B6235" w:rsidP="00C217B4">
            <w:pPr>
              <w:spacing w:after="0"/>
              <w:ind w:firstLine="0"/>
              <w:jc w:val="right"/>
              <w:rPr>
                <w:rFonts w:eastAsia="Times New Roman" w:cs="Times New Roman"/>
                <w:b/>
                <w:noProof/>
                <w:sz w:val="18"/>
                <w:szCs w:val="18"/>
              </w:rPr>
            </w:pPr>
            <w:r w:rsidRPr="001179AB">
              <w:rPr>
                <w:rFonts w:eastAsia="Times New Roman" w:cs="Times New Roman"/>
                <w:b/>
                <w:noProof/>
                <w:sz w:val="18"/>
                <w:szCs w:val="18"/>
              </w:rPr>
              <w:t>53,1%</w:t>
            </w:r>
          </w:p>
        </w:tc>
        <w:tc>
          <w:tcPr>
            <w:tcW w:w="987" w:type="dxa"/>
            <w:tcBorders>
              <w:top w:val="double" w:sz="4" w:space="0" w:color="auto"/>
            </w:tcBorders>
            <w:tcMar>
              <w:left w:w="57" w:type="dxa"/>
              <w:right w:w="57" w:type="dxa"/>
            </w:tcMar>
            <w:vAlign w:val="center"/>
          </w:tcPr>
          <w:p w14:paraId="5289F390" w14:textId="77777777" w:rsidR="000B6235" w:rsidRPr="001179AB" w:rsidRDefault="000B6235" w:rsidP="00C217B4">
            <w:pPr>
              <w:spacing w:after="0"/>
              <w:ind w:firstLine="0"/>
              <w:jc w:val="right"/>
              <w:rPr>
                <w:rFonts w:eastAsia="Times New Roman" w:cs="Times New Roman"/>
                <w:b/>
                <w:noProof/>
                <w:sz w:val="18"/>
                <w:szCs w:val="18"/>
              </w:rPr>
            </w:pPr>
            <w:r w:rsidRPr="001179AB">
              <w:rPr>
                <w:rFonts w:eastAsia="Times New Roman" w:cs="Times New Roman"/>
                <w:b/>
                <w:noProof/>
                <w:sz w:val="18"/>
                <w:szCs w:val="18"/>
              </w:rPr>
              <w:t>53,4%</w:t>
            </w:r>
          </w:p>
        </w:tc>
        <w:tc>
          <w:tcPr>
            <w:tcW w:w="987" w:type="dxa"/>
            <w:tcBorders>
              <w:top w:val="double" w:sz="4" w:space="0" w:color="auto"/>
            </w:tcBorders>
            <w:tcMar>
              <w:left w:w="57" w:type="dxa"/>
              <w:right w:w="57" w:type="dxa"/>
            </w:tcMar>
            <w:vAlign w:val="center"/>
          </w:tcPr>
          <w:p w14:paraId="1151BEF8" w14:textId="77777777" w:rsidR="000B6235" w:rsidRPr="001179AB" w:rsidRDefault="000B6235" w:rsidP="00C217B4">
            <w:pPr>
              <w:spacing w:after="0"/>
              <w:ind w:firstLine="0"/>
              <w:jc w:val="right"/>
              <w:rPr>
                <w:rFonts w:eastAsia="Times New Roman" w:cs="Times New Roman"/>
                <w:b/>
                <w:noProof/>
                <w:sz w:val="18"/>
                <w:szCs w:val="18"/>
              </w:rPr>
            </w:pPr>
            <w:r w:rsidRPr="001179AB">
              <w:rPr>
                <w:rFonts w:eastAsia="Times New Roman" w:cs="Times New Roman"/>
                <w:b/>
                <w:noProof/>
                <w:sz w:val="18"/>
                <w:szCs w:val="18"/>
              </w:rPr>
              <w:t>-1,0 pp</w:t>
            </w:r>
          </w:p>
        </w:tc>
        <w:tc>
          <w:tcPr>
            <w:tcW w:w="987" w:type="dxa"/>
            <w:tcBorders>
              <w:top w:val="double" w:sz="4" w:space="0" w:color="auto"/>
            </w:tcBorders>
            <w:tcMar>
              <w:left w:w="57" w:type="dxa"/>
              <w:right w:w="57" w:type="dxa"/>
            </w:tcMar>
            <w:vAlign w:val="center"/>
          </w:tcPr>
          <w:p w14:paraId="0817F9E7" w14:textId="77777777" w:rsidR="000B6235" w:rsidRPr="001179AB" w:rsidRDefault="000B6235" w:rsidP="00C217B4">
            <w:pPr>
              <w:spacing w:after="0" w:line="259" w:lineRule="auto"/>
              <w:ind w:firstLine="0"/>
              <w:jc w:val="right"/>
              <w:rPr>
                <w:rFonts w:eastAsia="Times New Roman" w:cs="Times New Roman"/>
                <w:b/>
                <w:noProof/>
                <w:sz w:val="18"/>
                <w:szCs w:val="18"/>
              </w:rPr>
            </w:pPr>
            <w:r w:rsidRPr="001179AB">
              <w:rPr>
                <w:rFonts w:eastAsia="Times New Roman" w:cs="Times New Roman"/>
                <w:b/>
                <w:noProof/>
                <w:sz w:val="18"/>
                <w:szCs w:val="18"/>
              </w:rPr>
              <w:t>-1,6 pp</w:t>
            </w:r>
          </w:p>
        </w:tc>
        <w:tc>
          <w:tcPr>
            <w:tcW w:w="987" w:type="dxa"/>
            <w:tcBorders>
              <w:top w:val="double" w:sz="4" w:space="0" w:color="auto"/>
            </w:tcBorders>
            <w:tcMar>
              <w:left w:w="57" w:type="dxa"/>
              <w:right w:w="57" w:type="dxa"/>
            </w:tcMar>
            <w:vAlign w:val="center"/>
          </w:tcPr>
          <w:p w14:paraId="1ADAC32D" w14:textId="77777777" w:rsidR="000B6235" w:rsidRPr="001179AB" w:rsidRDefault="000B6235" w:rsidP="00C217B4">
            <w:pPr>
              <w:spacing w:after="0" w:line="259" w:lineRule="auto"/>
              <w:ind w:firstLine="0"/>
              <w:jc w:val="right"/>
              <w:rPr>
                <w:rFonts w:eastAsia="Times New Roman" w:cs="Times New Roman"/>
                <w:b/>
                <w:noProof/>
                <w:sz w:val="18"/>
                <w:szCs w:val="18"/>
              </w:rPr>
            </w:pPr>
            <w:r w:rsidRPr="001179AB">
              <w:rPr>
                <w:rFonts w:eastAsia="Times New Roman" w:cs="Times New Roman"/>
                <w:b/>
                <w:noProof/>
                <w:sz w:val="18"/>
                <w:szCs w:val="18"/>
              </w:rPr>
              <w:t>-2,0 pp</w:t>
            </w:r>
          </w:p>
        </w:tc>
      </w:tr>
    </w:tbl>
    <w:p w14:paraId="074321C6" w14:textId="6CB355F2" w:rsidR="004F059A" w:rsidRPr="000B6235" w:rsidRDefault="000B6235" w:rsidP="000B6235">
      <w:pPr>
        <w:spacing w:before="240"/>
        <w:rPr>
          <w:noProof/>
          <w:szCs w:val="24"/>
        </w:rPr>
      </w:pPr>
      <w:r w:rsidRPr="001179AB">
        <w:rPr>
          <w:noProof/>
          <w:szCs w:val="24"/>
        </w:rPr>
        <w:t xml:space="preserve">Optimistiskā scenārija gadījumā vispārējās valdības parāda līmenis samazināsies –2026. gadā par 1,0 pp, 2027. gadā par 1,6 pp un 2028. gadā par 2,0 pp. </w:t>
      </w:r>
      <w:r w:rsidRPr="001179AB">
        <w:rPr>
          <w:rFonts w:eastAsia="Times New Roman" w:cs="Times New Roman"/>
          <w:noProof/>
          <w:szCs w:val="24"/>
        </w:rPr>
        <w:t xml:space="preserve">Papildus tiek aplūkoti scenāriji, kuros aizņemšanās procentu likmes parāda pārfinansēšanai nosvārstās viena pp robežās – par vienu pp palielinoties vai konkrētajā apmērā samazinoties. Procentu likmēm par vienu pp palielinoties, procentu izdevumi 2026. gadā pieaugtu par 0,8 milj. </w:t>
      </w:r>
      <w:r w:rsidRPr="001179AB">
        <w:rPr>
          <w:rFonts w:eastAsia="Times New Roman" w:cs="Times New Roman"/>
          <w:i/>
          <w:noProof/>
          <w:szCs w:val="24"/>
        </w:rPr>
        <w:t>euro</w:t>
      </w:r>
      <w:r w:rsidRPr="001179AB">
        <w:rPr>
          <w:rFonts w:eastAsia="Times New Roman" w:cs="Times New Roman"/>
          <w:noProof/>
          <w:szCs w:val="24"/>
        </w:rPr>
        <w:t xml:space="preserve">, 2027. gadā par 33,8 milj. </w:t>
      </w:r>
      <w:r w:rsidRPr="001179AB">
        <w:rPr>
          <w:rFonts w:eastAsia="Times New Roman" w:cs="Times New Roman"/>
          <w:i/>
          <w:noProof/>
          <w:szCs w:val="24"/>
        </w:rPr>
        <w:t>euro</w:t>
      </w:r>
      <w:r w:rsidRPr="001179AB">
        <w:rPr>
          <w:rFonts w:eastAsia="Times New Roman" w:cs="Times New Roman"/>
          <w:noProof/>
          <w:szCs w:val="24"/>
        </w:rPr>
        <w:t xml:space="preserve">, bet 2028. gadā par 70,1 milj. </w:t>
      </w:r>
      <w:r w:rsidRPr="001179AB">
        <w:rPr>
          <w:rFonts w:eastAsia="Times New Roman" w:cs="Times New Roman"/>
          <w:i/>
          <w:noProof/>
          <w:szCs w:val="24"/>
        </w:rPr>
        <w:t>euro</w:t>
      </w:r>
      <w:r w:rsidRPr="001179AB">
        <w:rPr>
          <w:rFonts w:eastAsia="Times New Roman" w:cs="Times New Roman"/>
          <w:noProof/>
          <w:szCs w:val="24"/>
        </w:rPr>
        <w:t xml:space="preserve"> salīdzinājumā ar bāzes scenāriju. Savukārt procentu likmei par vienu pp samazinoties, izdevumi 2026. gadā samazinātos par 4,3 milj. </w:t>
      </w:r>
      <w:r w:rsidRPr="001179AB">
        <w:rPr>
          <w:rFonts w:eastAsia="Times New Roman" w:cs="Times New Roman"/>
          <w:i/>
          <w:noProof/>
          <w:szCs w:val="24"/>
        </w:rPr>
        <w:t>euro</w:t>
      </w:r>
      <w:r w:rsidRPr="001179AB">
        <w:rPr>
          <w:rFonts w:eastAsia="Times New Roman" w:cs="Times New Roman"/>
          <w:noProof/>
          <w:szCs w:val="24"/>
        </w:rPr>
        <w:t xml:space="preserve">, 2027. gadā par 45,0 milj. </w:t>
      </w:r>
      <w:r w:rsidRPr="001179AB">
        <w:rPr>
          <w:rFonts w:eastAsia="Times New Roman" w:cs="Times New Roman"/>
          <w:i/>
          <w:noProof/>
          <w:szCs w:val="24"/>
        </w:rPr>
        <w:t>euro</w:t>
      </w:r>
      <w:r w:rsidRPr="001179AB">
        <w:rPr>
          <w:rFonts w:eastAsia="Times New Roman" w:cs="Times New Roman"/>
          <w:noProof/>
          <w:szCs w:val="24"/>
        </w:rPr>
        <w:t xml:space="preserve"> un 2028. gadā par 91,8 milj. </w:t>
      </w:r>
      <w:r w:rsidRPr="001179AB">
        <w:rPr>
          <w:rFonts w:eastAsia="Times New Roman" w:cs="Times New Roman"/>
          <w:i/>
          <w:noProof/>
          <w:szCs w:val="24"/>
        </w:rPr>
        <w:t>euro</w:t>
      </w:r>
      <w:r w:rsidRPr="001179AB">
        <w:rPr>
          <w:rFonts w:eastAsia="Times New Roman" w:cs="Times New Roman"/>
          <w:noProof/>
          <w:szCs w:val="24"/>
        </w:rPr>
        <w:t xml:space="preserve"> pret bāzes scenārijā prognozēto.</w:t>
      </w:r>
    </w:p>
    <w:p w14:paraId="25C65621" w14:textId="7B550238" w:rsidR="0070161D" w:rsidRPr="00D8017D" w:rsidRDefault="0070161D" w:rsidP="004A4A24">
      <w:pPr>
        <w:keepNext/>
        <w:keepLines/>
        <w:spacing w:before="360" w:after="240"/>
        <w:ind w:firstLine="0"/>
        <w:jc w:val="center"/>
        <w:outlineLvl w:val="1"/>
        <w:rPr>
          <w:rFonts w:eastAsia="Times New Roman" w:cs="Times New Roman"/>
          <w:b/>
          <w:bCs/>
          <w:color w:val="000000"/>
          <w:sz w:val="36"/>
          <w:szCs w:val="28"/>
        </w:rPr>
      </w:pPr>
      <w:r w:rsidRPr="00D8017D">
        <w:rPr>
          <w:rFonts w:eastAsia="Times New Roman" w:cs="Times New Roman"/>
          <w:b/>
          <w:bCs/>
          <w:color w:val="000000"/>
          <w:sz w:val="36"/>
          <w:szCs w:val="28"/>
        </w:rPr>
        <w:t>1.6. Iepriekšējo makroekonomisko prognožu izvērtējums</w:t>
      </w:r>
      <w:bookmarkEnd w:id="34"/>
      <w:bookmarkEnd w:id="38"/>
      <w:r w:rsidR="00CD52D7">
        <w:rPr>
          <w:rStyle w:val="FootnoteReference"/>
          <w:rFonts w:eastAsia="Times New Roman" w:cs="Times New Roman"/>
          <w:b/>
          <w:bCs/>
          <w:color w:val="000000"/>
          <w:sz w:val="36"/>
          <w:szCs w:val="28"/>
        </w:rPr>
        <w:footnoteReference w:id="8"/>
      </w:r>
    </w:p>
    <w:p w14:paraId="584C6DD5" w14:textId="79ECB8F4" w:rsidR="001F086B" w:rsidRPr="00D8017D" w:rsidRDefault="0070161D" w:rsidP="001F086B">
      <w:pPr>
        <w:autoSpaceDE w:val="0"/>
        <w:autoSpaceDN w:val="0"/>
        <w:adjustRightInd w:val="0"/>
        <w:rPr>
          <w:rFonts w:eastAsia="Calibri" w:cs="Times New Roman"/>
        </w:rPr>
      </w:pPr>
      <w:r w:rsidRPr="00D8017D">
        <w:rPr>
          <w:rFonts w:eastAsia="Calibri" w:cs="Times New Roman"/>
        </w:rPr>
        <w:t xml:space="preserve">FM </w:t>
      </w:r>
      <w:r w:rsidR="001F086B" w:rsidRPr="00D8017D">
        <w:rPr>
          <w:rFonts w:eastAsia="Calibri" w:cs="Times New Roman"/>
        </w:rPr>
        <w:t xml:space="preserve">makroekonomiskās prognozes, kas regulāri tiek sagatavotas budžeta plānošanas vajadzībām, pēdējo desmit gadu laikā izstrādātas augstas nenoteiktības un paaugstinātas ģeopolitiskās spriedzes apstākļos. Turklāt jāatzīmē, ka 2024. gada rudenī </w:t>
      </w:r>
      <w:r w:rsidR="00012C72" w:rsidRPr="00D8017D">
        <w:rPr>
          <w:rFonts w:eastAsia="Calibri" w:cs="Times New Roman"/>
        </w:rPr>
        <w:t>CSP</w:t>
      </w:r>
      <w:r w:rsidR="001F086B" w:rsidRPr="00D8017D">
        <w:rPr>
          <w:rFonts w:eastAsia="Calibri" w:cs="Times New Roman"/>
        </w:rPr>
        <w:t xml:space="preserve"> publicēja </w:t>
      </w:r>
      <w:r w:rsidR="001F086B" w:rsidRPr="00D8017D">
        <w:rPr>
          <w:rFonts w:eastAsia="Calibri" w:cs="Times New Roman"/>
        </w:rPr>
        <w:lastRenderedPageBreak/>
        <w:t>ģenerālrevīzijas, ko veic reizi piecos gados, rezultātus, būtiski pārskatot un mainot IKP dinamiku. Tas radījis izaicinājumus prognožu precizitātei un pieņēmumu formulēšanai, tomēr konsekventi izvēlēta piesardzīga pieeja ir nodrošinājusi stabilu pamatu fiskālās politikas veidošanai. Izvērtējot rezultātus, redzams, ka prognozes kopumā ir atspoguļojušas ekonomikas attīstības tendences bez sistemātiskām kļūdām, kas ļauj secināt, ka prognozēšanas process šajā periodā bijis veiksmīgs.</w:t>
      </w:r>
    </w:p>
    <w:p w14:paraId="071E626B" w14:textId="77777777" w:rsidR="001F086B" w:rsidRPr="00D8017D" w:rsidRDefault="001F086B" w:rsidP="00BB3CFE">
      <w:pPr>
        <w:spacing w:after="0" w:line="259" w:lineRule="auto"/>
        <w:ind w:firstLine="0"/>
        <w:jc w:val="center"/>
        <w:rPr>
          <w:rFonts w:eastAsia="Aptos" w:cs="Times New Roman"/>
          <w:sz w:val="22"/>
          <w:lang w:eastAsia="en-US"/>
        </w:rPr>
      </w:pPr>
      <w:r w:rsidRPr="00D8017D">
        <w:rPr>
          <w:rFonts w:eastAsia="Aptos" w:cs="Times New Roman"/>
          <w:noProof/>
          <w:sz w:val="22"/>
          <w:lang w:eastAsia="en-US"/>
          <w14:ligatures w14:val="standardContextual"/>
        </w:rPr>
        <w:drawing>
          <wp:inline distT="0" distB="0" distL="0" distR="0" wp14:anchorId="1D4F883B" wp14:editId="0F2A0485">
            <wp:extent cx="5274310" cy="2641600"/>
            <wp:effectExtent l="0" t="0" r="2540" b="6350"/>
            <wp:docPr id="1899868421" name="Chart 1">
              <a:extLst xmlns:a="http://schemas.openxmlformats.org/drawingml/2006/main">
                <a:ext uri="{FF2B5EF4-FFF2-40B4-BE49-F238E27FC236}">
                  <a16:creationId xmlns:a16="http://schemas.microsoft.com/office/drawing/2014/main" id="{BA824A3D-19E0-4410-84F5-86ACB2B473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3B254C6" w14:textId="7983A493" w:rsidR="001F086B" w:rsidRPr="00D8017D" w:rsidRDefault="001F086B" w:rsidP="001F086B">
      <w:pPr>
        <w:spacing w:after="160" w:line="259" w:lineRule="auto"/>
        <w:ind w:firstLine="0"/>
        <w:jc w:val="center"/>
        <w:rPr>
          <w:rFonts w:eastAsia="Aptos" w:cs="Times New Roman"/>
          <w:sz w:val="22"/>
          <w:lang w:eastAsia="en-US"/>
        </w:rPr>
      </w:pPr>
      <w:r w:rsidRPr="00D8017D">
        <w:rPr>
          <w:rFonts w:eastAsia="Times New Roman" w:cs="Times New Roman"/>
          <w:b/>
          <w:bCs/>
          <w:i/>
          <w:iCs/>
        </w:rPr>
        <w:t>1.2</w:t>
      </w:r>
      <w:r w:rsidR="00012C72" w:rsidRPr="00D8017D">
        <w:rPr>
          <w:rFonts w:eastAsia="Times New Roman" w:cs="Times New Roman"/>
          <w:b/>
          <w:bCs/>
          <w:i/>
          <w:iCs/>
        </w:rPr>
        <w:t>8</w:t>
      </w:r>
      <w:r w:rsidRPr="00D8017D">
        <w:rPr>
          <w:rFonts w:eastAsia="Times New Roman" w:cs="Times New Roman"/>
          <w:b/>
          <w:bCs/>
          <w:i/>
          <w:iCs/>
        </w:rPr>
        <w:t>. </w:t>
      </w:r>
      <w:r w:rsidRPr="00D8017D">
        <w:rPr>
          <w:rFonts w:eastAsia="Calibri" w:cs="Times New Roman"/>
          <w:b/>
          <w:i/>
          <w:szCs w:val="24"/>
          <w:lang w:eastAsia="en-US"/>
        </w:rPr>
        <w:t>at</w:t>
      </w:r>
      <w:r w:rsidR="00BA2237" w:rsidRPr="00D8017D">
        <w:rPr>
          <w:rFonts w:eastAsia="Calibri" w:cs="Times New Roman"/>
          <w:b/>
          <w:i/>
          <w:szCs w:val="24"/>
          <w:lang w:eastAsia="en-US"/>
        </w:rPr>
        <w:t>t</w:t>
      </w:r>
      <w:r w:rsidRPr="00D8017D">
        <w:rPr>
          <w:rFonts w:eastAsia="Times New Roman" w:cs="Times New Roman"/>
          <w:b/>
          <w:bCs/>
          <w:i/>
          <w:iCs/>
        </w:rPr>
        <w:t>. IKP vidēja termiņa prognozes un faktiskā izpilde,</w:t>
      </w:r>
      <w:r w:rsidRPr="00D8017D">
        <w:rPr>
          <w:rFonts w:eastAsia="Times New Roman" w:cs="Times New Roman"/>
          <w:b/>
          <w:bCs/>
          <w:i/>
          <w:iCs/>
        </w:rPr>
        <w:br/>
        <w:t xml:space="preserve"> salīdzināmās cenās 2007=100</w:t>
      </w:r>
    </w:p>
    <w:p w14:paraId="5B6B08B8" w14:textId="69FCB700" w:rsidR="001F086B" w:rsidRPr="00D8017D" w:rsidRDefault="001F086B" w:rsidP="00BA2237">
      <w:pPr>
        <w:autoSpaceDE w:val="0"/>
        <w:autoSpaceDN w:val="0"/>
        <w:adjustRightInd w:val="0"/>
        <w:spacing w:after="0"/>
        <w:rPr>
          <w:rFonts w:eastAsia="Calibri" w:cs="Times New Roman"/>
          <w:color w:val="000000"/>
        </w:rPr>
      </w:pPr>
      <w:r w:rsidRPr="00D8017D">
        <w:rPr>
          <w:rFonts w:eastAsia="Calibri" w:cs="Times New Roman"/>
        </w:rPr>
        <w:t>IKP pieauguma prognožu kļūda desmit pēdējos gados bija gan pozitīvā, gan negatīvā virzienā vidēji 1 p</w:t>
      </w:r>
      <w:r w:rsidR="005E6EA2">
        <w:rPr>
          <w:rFonts w:eastAsia="Calibri" w:cs="Times New Roman"/>
        </w:rPr>
        <w:t>p</w:t>
      </w:r>
      <w:r w:rsidRPr="00D8017D">
        <w:rPr>
          <w:rFonts w:eastAsia="Calibri" w:cs="Times New Roman"/>
        </w:rPr>
        <w:t xml:space="preserve"> amplitūdā, neiekļaujot 2020. gadu, kad kļūda negatīvā virzienā bija lielāka, kas bija saistīts ar ļoti piesardzīgiem pieņēmumiem par Covid</w:t>
      </w:r>
      <w:r w:rsidRPr="00D8017D">
        <w:rPr>
          <w:rFonts w:eastAsia="Calibri" w:cs="Times New Roman"/>
        </w:rPr>
        <w:noBreakHyphen/>
        <w:t>19 ietekmes apmēriem uz ekonomiku. Savukārt kļūda pozitīvā virzienā pārsvarā ir saistīta ar netipisku ekonomikas sabremzēšanos, piemēram, kā tas notika 2019. gadā. Tāpat arī starptautisko institūciju prognožu kļūdas pēdējos piecos gados bija tajā pašā virzienā un kopumā bija lielākas (skat. 1.</w:t>
      </w:r>
      <w:r w:rsidR="00926C33">
        <w:rPr>
          <w:rFonts w:eastAsia="Calibri" w:cs="Times New Roman"/>
        </w:rPr>
        <w:t>9</w:t>
      </w:r>
      <w:r w:rsidRPr="00D8017D">
        <w:rPr>
          <w:rFonts w:eastAsia="Calibri" w:cs="Times New Roman"/>
        </w:rPr>
        <w:t xml:space="preserve">. tabulu). Jāatzīmē, ka minētās novirzes ir pirms CSP publicētām revīzijām, kas tiek publicētas ar divu gadu novēlošanos, saņemot pilno nacionālo kontu datus, un CSP revīziju apmērs pēdējo desmit gadu laikā ir bijis vidēji </w:t>
      </w:r>
      <w:r w:rsidRPr="00D8017D">
        <w:rPr>
          <w:rFonts w:eastAsia="Calibri" w:cs="Times New Roman"/>
          <w:color w:val="000000"/>
        </w:rPr>
        <w:t>1,2 p</w:t>
      </w:r>
      <w:r w:rsidR="005E6EA2">
        <w:rPr>
          <w:rFonts w:eastAsia="Calibri" w:cs="Times New Roman"/>
          <w:color w:val="000000"/>
        </w:rPr>
        <w:t>p</w:t>
      </w:r>
      <w:r w:rsidRPr="00D8017D">
        <w:rPr>
          <w:rFonts w:eastAsia="Calibri" w:cs="Times New Roman"/>
          <w:color w:val="000000"/>
        </w:rPr>
        <w:t>.</w:t>
      </w:r>
    </w:p>
    <w:p w14:paraId="2F67327C" w14:textId="77777777" w:rsidR="00BA2237" w:rsidRPr="00D8017D" w:rsidRDefault="00BA2237" w:rsidP="00BA2237">
      <w:pPr>
        <w:autoSpaceDE w:val="0"/>
        <w:autoSpaceDN w:val="0"/>
        <w:adjustRightInd w:val="0"/>
        <w:spacing w:after="0"/>
        <w:rPr>
          <w:rFonts w:eastAsia="Calibri" w:cs="Times New Roman"/>
        </w:rPr>
      </w:pPr>
    </w:p>
    <w:p w14:paraId="343A5E0D" w14:textId="1FACBC3F" w:rsidR="001F086B" w:rsidRPr="00D8017D" w:rsidRDefault="001F086B" w:rsidP="00BA2237">
      <w:pPr>
        <w:ind w:firstLine="0"/>
        <w:jc w:val="right"/>
        <w:rPr>
          <w:rFonts w:eastAsia="Calibri" w:cs="Times New Roman"/>
          <w:b/>
          <w:bCs/>
          <w:i/>
          <w:iCs/>
        </w:rPr>
      </w:pPr>
      <w:r w:rsidRPr="00D8017D">
        <w:rPr>
          <w:rFonts w:eastAsia="Calibri" w:cs="Times New Roman"/>
          <w:b/>
          <w:bCs/>
          <w:i/>
          <w:iCs/>
        </w:rPr>
        <w:t>1.</w:t>
      </w:r>
      <w:r w:rsidR="00926C33">
        <w:rPr>
          <w:rFonts w:eastAsia="Calibri" w:cs="Times New Roman"/>
          <w:b/>
          <w:bCs/>
          <w:i/>
          <w:iCs/>
        </w:rPr>
        <w:t>9</w:t>
      </w:r>
      <w:r w:rsidRPr="00D8017D">
        <w:rPr>
          <w:rFonts w:eastAsia="Calibri" w:cs="Times New Roman"/>
          <w:b/>
          <w:bCs/>
          <w:i/>
          <w:iCs/>
        </w:rPr>
        <w:t xml:space="preserve">. tabula. </w:t>
      </w:r>
      <w:r w:rsidR="00BB3CFE" w:rsidRPr="00D8017D">
        <w:rPr>
          <w:rFonts w:eastAsia="Calibri" w:cs="Times New Roman"/>
          <w:b/>
          <w:bCs/>
          <w:i/>
          <w:iCs/>
        </w:rPr>
        <w:t>FM</w:t>
      </w:r>
      <w:r w:rsidRPr="00D8017D">
        <w:rPr>
          <w:rFonts w:eastAsia="Calibri" w:cs="Times New Roman"/>
          <w:b/>
          <w:bCs/>
          <w:i/>
          <w:iCs/>
        </w:rPr>
        <w:t xml:space="preserve"> un starptautisko finanšu institūciju IKP pieauguma salīdzināmajās cenās (%) prognožu salīdzinājums</w:t>
      </w:r>
      <w:r w:rsidRPr="00D8017D">
        <w:rPr>
          <w:rFonts w:eastAsia="Calibri" w:cs="Times New Roman"/>
          <w:b/>
          <w:bCs/>
          <w:i/>
          <w:iCs/>
          <w:vertAlign w:val="superscript"/>
        </w:rPr>
        <w:footnoteReference w:id="9"/>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826"/>
        <w:gridCol w:w="685"/>
        <w:gridCol w:w="684"/>
        <w:gridCol w:w="685"/>
        <w:gridCol w:w="684"/>
        <w:gridCol w:w="685"/>
        <w:gridCol w:w="684"/>
        <w:gridCol w:w="685"/>
        <w:gridCol w:w="685"/>
        <w:gridCol w:w="678"/>
        <w:gridCol w:w="678"/>
        <w:gridCol w:w="678"/>
      </w:tblGrid>
      <w:tr w:rsidR="001F086B" w:rsidRPr="00D8017D" w14:paraId="155FB218" w14:textId="77777777" w:rsidTr="00BA2237">
        <w:trPr>
          <w:trHeight w:val="300"/>
          <w:tblHeader/>
          <w:jc w:val="center"/>
        </w:trPr>
        <w:tc>
          <w:tcPr>
            <w:tcW w:w="1622" w:type="dxa"/>
            <w:shd w:val="clear" w:color="auto" w:fill="BDD6EE" w:themeFill="accent1" w:themeFillTint="66"/>
            <w:noWrap/>
            <w:hideMark/>
          </w:tcPr>
          <w:p w14:paraId="3E36DF15" w14:textId="77777777" w:rsidR="001F086B" w:rsidRPr="00D8017D" w:rsidRDefault="001F086B" w:rsidP="001F086B">
            <w:pPr>
              <w:spacing w:after="0"/>
              <w:ind w:firstLine="0"/>
              <w:rPr>
                <w:rFonts w:eastAsia="Calibri" w:cs="Times New Roman"/>
                <w:b/>
                <w:bCs/>
                <w:sz w:val="18"/>
                <w:szCs w:val="20"/>
              </w:rPr>
            </w:pPr>
            <w:r w:rsidRPr="00D8017D">
              <w:rPr>
                <w:rFonts w:eastAsia="Calibri" w:cs="Times New Roman"/>
                <w:b/>
                <w:bCs/>
                <w:sz w:val="18"/>
                <w:szCs w:val="20"/>
              </w:rPr>
              <w:t> </w:t>
            </w:r>
          </w:p>
        </w:tc>
        <w:tc>
          <w:tcPr>
            <w:tcW w:w="608" w:type="dxa"/>
            <w:shd w:val="clear" w:color="auto" w:fill="BDD6EE" w:themeFill="accent1" w:themeFillTint="66"/>
            <w:noWrap/>
            <w:tcMar>
              <w:right w:w="113" w:type="dxa"/>
            </w:tcMar>
            <w:vAlign w:val="center"/>
            <w:hideMark/>
          </w:tcPr>
          <w:p w14:paraId="5A18F19C" w14:textId="77777777" w:rsidR="001F086B" w:rsidRPr="00D8017D" w:rsidRDefault="001F086B" w:rsidP="001F086B">
            <w:pPr>
              <w:spacing w:after="0"/>
              <w:ind w:firstLine="0"/>
              <w:jc w:val="center"/>
              <w:rPr>
                <w:rFonts w:eastAsia="Calibri" w:cs="Times New Roman"/>
                <w:b/>
                <w:bCs/>
                <w:sz w:val="18"/>
                <w:szCs w:val="20"/>
              </w:rPr>
            </w:pPr>
            <w:r w:rsidRPr="00D8017D">
              <w:rPr>
                <w:rFonts w:eastAsia="Calibri" w:cs="Times New Roman"/>
                <w:b/>
                <w:bCs/>
                <w:sz w:val="18"/>
                <w:szCs w:val="20"/>
              </w:rPr>
              <w:t>2014</w:t>
            </w:r>
          </w:p>
        </w:tc>
        <w:tc>
          <w:tcPr>
            <w:tcW w:w="607" w:type="dxa"/>
            <w:shd w:val="clear" w:color="auto" w:fill="BDD6EE" w:themeFill="accent1" w:themeFillTint="66"/>
            <w:tcMar>
              <w:right w:w="113" w:type="dxa"/>
            </w:tcMar>
            <w:vAlign w:val="center"/>
            <w:hideMark/>
          </w:tcPr>
          <w:p w14:paraId="09F9C45E" w14:textId="77777777" w:rsidR="001F086B" w:rsidRPr="00D8017D" w:rsidRDefault="001F086B" w:rsidP="001F086B">
            <w:pPr>
              <w:spacing w:after="0"/>
              <w:ind w:firstLine="0"/>
              <w:jc w:val="center"/>
              <w:rPr>
                <w:rFonts w:eastAsia="Calibri" w:cs="Times New Roman"/>
                <w:b/>
                <w:bCs/>
                <w:sz w:val="18"/>
                <w:szCs w:val="20"/>
              </w:rPr>
            </w:pPr>
            <w:r w:rsidRPr="00D8017D">
              <w:rPr>
                <w:rFonts w:eastAsia="Calibri" w:cs="Times New Roman"/>
                <w:b/>
                <w:bCs/>
                <w:sz w:val="18"/>
                <w:szCs w:val="20"/>
              </w:rPr>
              <w:t>2015</w:t>
            </w:r>
          </w:p>
        </w:tc>
        <w:tc>
          <w:tcPr>
            <w:tcW w:w="608" w:type="dxa"/>
            <w:shd w:val="clear" w:color="auto" w:fill="BDD6EE" w:themeFill="accent1" w:themeFillTint="66"/>
            <w:tcMar>
              <w:right w:w="113" w:type="dxa"/>
            </w:tcMar>
            <w:vAlign w:val="center"/>
            <w:hideMark/>
          </w:tcPr>
          <w:p w14:paraId="4DEF03B1" w14:textId="77777777" w:rsidR="001F086B" w:rsidRPr="00D8017D" w:rsidRDefault="001F086B" w:rsidP="001F086B">
            <w:pPr>
              <w:spacing w:after="0"/>
              <w:ind w:firstLine="0"/>
              <w:jc w:val="center"/>
              <w:rPr>
                <w:rFonts w:eastAsia="Calibri" w:cs="Times New Roman"/>
                <w:b/>
                <w:bCs/>
                <w:sz w:val="18"/>
                <w:szCs w:val="20"/>
              </w:rPr>
            </w:pPr>
            <w:r w:rsidRPr="00D8017D">
              <w:rPr>
                <w:rFonts w:eastAsia="Calibri" w:cs="Times New Roman"/>
                <w:b/>
                <w:bCs/>
                <w:sz w:val="18"/>
                <w:szCs w:val="20"/>
              </w:rPr>
              <w:t>2016</w:t>
            </w:r>
          </w:p>
        </w:tc>
        <w:tc>
          <w:tcPr>
            <w:tcW w:w="607" w:type="dxa"/>
            <w:shd w:val="clear" w:color="auto" w:fill="BDD6EE" w:themeFill="accent1" w:themeFillTint="66"/>
            <w:noWrap/>
            <w:tcMar>
              <w:right w:w="113" w:type="dxa"/>
            </w:tcMar>
            <w:vAlign w:val="center"/>
            <w:hideMark/>
          </w:tcPr>
          <w:p w14:paraId="656D8A52" w14:textId="77777777" w:rsidR="001F086B" w:rsidRPr="00D8017D" w:rsidRDefault="001F086B" w:rsidP="001F086B">
            <w:pPr>
              <w:spacing w:after="0"/>
              <w:ind w:firstLine="0"/>
              <w:jc w:val="center"/>
              <w:rPr>
                <w:rFonts w:eastAsia="Calibri" w:cs="Times New Roman"/>
                <w:b/>
                <w:bCs/>
                <w:sz w:val="18"/>
                <w:szCs w:val="20"/>
              </w:rPr>
            </w:pPr>
            <w:r w:rsidRPr="00D8017D">
              <w:rPr>
                <w:rFonts w:eastAsia="Calibri" w:cs="Times New Roman"/>
                <w:b/>
                <w:bCs/>
                <w:sz w:val="18"/>
                <w:szCs w:val="20"/>
              </w:rPr>
              <w:t>2017</w:t>
            </w:r>
          </w:p>
        </w:tc>
        <w:tc>
          <w:tcPr>
            <w:tcW w:w="608" w:type="dxa"/>
            <w:shd w:val="clear" w:color="auto" w:fill="BDD6EE" w:themeFill="accent1" w:themeFillTint="66"/>
            <w:tcMar>
              <w:right w:w="113" w:type="dxa"/>
            </w:tcMar>
            <w:vAlign w:val="center"/>
            <w:hideMark/>
          </w:tcPr>
          <w:p w14:paraId="366050A5" w14:textId="77777777" w:rsidR="001F086B" w:rsidRPr="00D8017D" w:rsidRDefault="001F086B" w:rsidP="001F086B">
            <w:pPr>
              <w:spacing w:after="0"/>
              <w:ind w:firstLine="0"/>
              <w:jc w:val="center"/>
              <w:rPr>
                <w:rFonts w:eastAsia="Calibri" w:cs="Times New Roman"/>
                <w:b/>
                <w:bCs/>
                <w:sz w:val="18"/>
                <w:szCs w:val="20"/>
              </w:rPr>
            </w:pPr>
            <w:r w:rsidRPr="00D8017D">
              <w:rPr>
                <w:rFonts w:eastAsia="Calibri" w:cs="Times New Roman"/>
                <w:b/>
                <w:bCs/>
                <w:sz w:val="18"/>
                <w:szCs w:val="20"/>
              </w:rPr>
              <w:t>2018</w:t>
            </w:r>
          </w:p>
        </w:tc>
        <w:tc>
          <w:tcPr>
            <w:tcW w:w="607" w:type="dxa"/>
            <w:shd w:val="clear" w:color="auto" w:fill="BDD6EE" w:themeFill="accent1" w:themeFillTint="66"/>
            <w:noWrap/>
            <w:tcMar>
              <w:right w:w="113" w:type="dxa"/>
            </w:tcMar>
            <w:vAlign w:val="center"/>
            <w:hideMark/>
          </w:tcPr>
          <w:p w14:paraId="28029027" w14:textId="77777777" w:rsidR="001F086B" w:rsidRPr="00D8017D" w:rsidRDefault="001F086B" w:rsidP="001F086B">
            <w:pPr>
              <w:spacing w:after="0"/>
              <w:ind w:firstLine="0"/>
              <w:jc w:val="center"/>
              <w:rPr>
                <w:rFonts w:eastAsia="Calibri" w:cs="Times New Roman"/>
                <w:b/>
                <w:bCs/>
                <w:sz w:val="18"/>
                <w:szCs w:val="20"/>
              </w:rPr>
            </w:pPr>
            <w:r w:rsidRPr="00D8017D">
              <w:rPr>
                <w:rFonts w:eastAsia="Calibri" w:cs="Times New Roman"/>
                <w:b/>
                <w:bCs/>
                <w:sz w:val="18"/>
                <w:szCs w:val="20"/>
              </w:rPr>
              <w:t>2019</w:t>
            </w:r>
          </w:p>
        </w:tc>
        <w:tc>
          <w:tcPr>
            <w:tcW w:w="608" w:type="dxa"/>
            <w:shd w:val="clear" w:color="auto" w:fill="BDD6EE" w:themeFill="accent1" w:themeFillTint="66"/>
            <w:tcMar>
              <w:right w:w="113" w:type="dxa"/>
            </w:tcMar>
            <w:vAlign w:val="center"/>
            <w:hideMark/>
          </w:tcPr>
          <w:p w14:paraId="0560E337" w14:textId="77777777" w:rsidR="001F086B" w:rsidRPr="00D8017D" w:rsidRDefault="001F086B" w:rsidP="001F086B">
            <w:pPr>
              <w:spacing w:after="0"/>
              <w:ind w:firstLine="0"/>
              <w:jc w:val="center"/>
              <w:rPr>
                <w:rFonts w:eastAsia="Calibri" w:cs="Times New Roman"/>
                <w:b/>
                <w:bCs/>
                <w:sz w:val="18"/>
                <w:szCs w:val="20"/>
              </w:rPr>
            </w:pPr>
            <w:r w:rsidRPr="00D8017D">
              <w:rPr>
                <w:rFonts w:eastAsia="Calibri" w:cs="Times New Roman"/>
                <w:b/>
                <w:bCs/>
                <w:sz w:val="18"/>
                <w:szCs w:val="20"/>
              </w:rPr>
              <w:t>2020</w:t>
            </w:r>
          </w:p>
        </w:tc>
        <w:tc>
          <w:tcPr>
            <w:tcW w:w="608" w:type="dxa"/>
            <w:shd w:val="clear" w:color="auto" w:fill="BDD6EE" w:themeFill="accent1" w:themeFillTint="66"/>
            <w:noWrap/>
            <w:tcMar>
              <w:right w:w="113" w:type="dxa"/>
            </w:tcMar>
            <w:vAlign w:val="center"/>
            <w:hideMark/>
          </w:tcPr>
          <w:p w14:paraId="70F96D8C" w14:textId="77777777" w:rsidR="001F086B" w:rsidRPr="00D8017D" w:rsidRDefault="001F086B" w:rsidP="001F086B">
            <w:pPr>
              <w:spacing w:after="0"/>
              <w:ind w:firstLine="0"/>
              <w:jc w:val="center"/>
              <w:rPr>
                <w:rFonts w:eastAsia="Calibri" w:cs="Times New Roman"/>
                <w:b/>
                <w:bCs/>
                <w:sz w:val="18"/>
                <w:szCs w:val="20"/>
              </w:rPr>
            </w:pPr>
            <w:r w:rsidRPr="00D8017D">
              <w:rPr>
                <w:rFonts w:eastAsia="Calibri" w:cs="Times New Roman"/>
                <w:b/>
                <w:bCs/>
                <w:sz w:val="18"/>
                <w:szCs w:val="20"/>
              </w:rPr>
              <w:t>2021</w:t>
            </w:r>
          </w:p>
        </w:tc>
        <w:tc>
          <w:tcPr>
            <w:tcW w:w="602" w:type="dxa"/>
            <w:shd w:val="clear" w:color="auto" w:fill="BDD6EE" w:themeFill="accent1" w:themeFillTint="66"/>
            <w:vAlign w:val="center"/>
          </w:tcPr>
          <w:p w14:paraId="2BEC9962" w14:textId="77777777" w:rsidR="001F086B" w:rsidRPr="00D8017D" w:rsidRDefault="001F086B" w:rsidP="001F086B">
            <w:pPr>
              <w:spacing w:after="0"/>
              <w:ind w:firstLine="0"/>
              <w:jc w:val="center"/>
              <w:rPr>
                <w:rFonts w:eastAsia="Calibri" w:cs="Times New Roman"/>
                <w:b/>
                <w:bCs/>
                <w:sz w:val="18"/>
                <w:szCs w:val="20"/>
              </w:rPr>
            </w:pPr>
            <w:r w:rsidRPr="00D8017D">
              <w:rPr>
                <w:rFonts w:eastAsia="Calibri" w:cs="Times New Roman"/>
                <w:b/>
                <w:bCs/>
                <w:sz w:val="18"/>
                <w:szCs w:val="20"/>
              </w:rPr>
              <w:t>2022</w:t>
            </w:r>
          </w:p>
        </w:tc>
        <w:tc>
          <w:tcPr>
            <w:tcW w:w="602" w:type="dxa"/>
            <w:shd w:val="clear" w:color="auto" w:fill="BDD6EE" w:themeFill="accent1" w:themeFillTint="66"/>
            <w:vAlign w:val="center"/>
          </w:tcPr>
          <w:p w14:paraId="2EC51274" w14:textId="77777777" w:rsidR="001F086B" w:rsidRPr="00D8017D" w:rsidRDefault="001F086B" w:rsidP="001F086B">
            <w:pPr>
              <w:spacing w:after="0"/>
              <w:ind w:firstLine="0"/>
              <w:jc w:val="center"/>
              <w:rPr>
                <w:rFonts w:eastAsia="Calibri" w:cs="Times New Roman"/>
                <w:b/>
                <w:bCs/>
                <w:sz w:val="18"/>
                <w:szCs w:val="20"/>
              </w:rPr>
            </w:pPr>
            <w:r w:rsidRPr="00D8017D">
              <w:rPr>
                <w:rFonts w:eastAsia="Calibri" w:cs="Times New Roman"/>
                <w:b/>
                <w:bCs/>
                <w:sz w:val="18"/>
                <w:szCs w:val="20"/>
              </w:rPr>
              <w:t>2023</w:t>
            </w:r>
          </w:p>
        </w:tc>
        <w:tc>
          <w:tcPr>
            <w:tcW w:w="602" w:type="dxa"/>
            <w:shd w:val="clear" w:color="auto" w:fill="BDD6EE" w:themeFill="accent1" w:themeFillTint="66"/>
            <w:vAlign w:val="center"/>
          </w:tcPr>
          <w:p w14:paraId="5961BB6A" w14:textId="77777777" w:rsidR="001F086B" w:rsidRPr="00D8017D" w:rsidRDefault="001F086B" w:rsidP="001F086B">
            <w:pPr>
              <w:spacing w:after="0"/>
              <w:ind w:firstLine="0"/>
              <w:jc w:val="center"/>
              <w:rPr>
                <w:rFonts w:eastAsia="Calibri" w:cs="Times New Roman"/>
                <w:b/>
                <w:bCs/>
                <w:sz w:val="18"/>
                <w:szCs w:val="20"/>
              </w:rPr>
            </w:pPr>
            <w:r w:rsidRPr="00D8017D">
              <w:rPr>
                <w:rFonts w:eastAsia="Calibri" w:cs="Times New Roman"/>
                <w:b/>
                <w:bCs/>
                <w:sz w:val="18"/>
                <w:szCs w:val="20"/>
              </w:rPr>
              <w:t>2024</w:t>
            </w:r>
          </w:p>
        </w:tc>
      </w:tr>
      <w:tr w:rsidR="001F086B" w:rsidRPr="00D8017D" w14:paraId="238AA795" w14:textId="77777777" w:rsidTr="00141289">
        <w:trPr>
          <w:trHeight w:val="300"/>
          <w:jc w:val="center"/>
        </w:trPr>
        <w:tc>
          <w:tcPr>
            <w:tcW w:w="1622" w:type="dxa"/>
            <w:noWrap/>
            <w:vAlign w:val="center"/>
            <w:hideMark/>
          </w:tcPr>
          <w:p w14:paraId="133FFB5E" w14:textId="6C0F6E86" w:rsidR="001F086B" w:rsidRPr="00D8017D" w:rsidRDefault="001F086B" w:rsidP="001F086B">
            <w:pPr>
              <w:spacing w:after="0"/>
              <w:ind w:firstLine="0"/>
              <w:rPr>
                <w:rFonts w:eastAsia="Calibri" w:cs="Times New Roman"/>
                <w:sz w:val="18"/>
                <w:szCs w:val="20"/>
              </w:rPr>
            </w:pPr>
            <w:r w:rsidRPr="00D8017D">
              <w:rPr>
                <w:rFonts w:eastAsia="Calibri" w:cs="Times New Roman"/>
                <w:sz w:val="18"/>
                <w:szCs w:val="20"/>
              </w:rPr>
              <w:t>FM</w:t>
            </w:r>
          </w:p>
        </w:tc>
        <w:tc>
          <w:tcPr>
            <w:tcW w:w="608" w:type="dxa"/>
            <w:noWrap/>
            <w:tcMar>
              <w:right w:w="113" w:type="dxa"/>
            </w:tcMar>
            <w:vAlign w:val="center"/>
            <w:hideMark/>
          </w:tcPr>
          <w:p w14:paraId="189B04EA"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4,2</w:t>
            </w:r>
          </w:p>
        </w:tc>
        <w:tc>
          <w:tcPr>
            <w:tcW w:w="607" w:type="dxa"/>
            <w:tcMar>
              <w:right w:w="113" w:type="dxa"/>
            </w:tcMar>
            <w:vAlign w:val="center"/>
            <w:hideMark/>
          </w:tcPr>
          <w:p w14:paraId="0E184E97"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2,8</w:t>
            </w:r>
          </w:p>
        </w:tc>
        <w:tc>
          <w:tcPr>
            <w:tcW w:w="608" w:type="dxa"/>
            <w:tcMar>
              <w:right w:w="113" w:type="dxa"/>
            </w:tcMar>
            <w:vAlign w:val="center"/>
            <w:hideMark/>
          </w:tcPr>
          <w:p w14:paraId="558BB891"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2,5</w:t>
            </w:r>
          </w:p>
        </w:tc>
        <w:tc>
          <w:tcPr>
            <w:tcW w:w="607" w:type="dxa"/>
            <w:noWrap/>
            <w:tcMar>
              <w:right w:w="113" w:type="dxa"/>
            </w:tcMar>
            <w:vAlign w:val="center"/>
            <w:hideMark/>
          </w:tcPr>
          <w:p w14:paraId="6C3477FA"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3,7</w:t>
            </w:r>
          </w:p>
        </w:tc>
        <w:tc>
          <w:tcPr>
            <w:tcW w:w="608" w:type="dxa"/>
            <w:noWrap/>
            <w:tcMar>
              <w:right w:w="113" w:type="dxa"/>
            </w:tcMar>
            <w:vAlign w:val="center"/>
            <w:hideMark/>
          </w:tcPr>
          <w:p w14:paraId="33EBA1D7"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3,4</w:t>
            </w:r>
          </w:p>
        </w:tc>
        <w:tc>
          <w:tcPr>
            <w:tcW w:w="607" w:type="dxa"/>
            <w:noWrap/>
            <w:tcMar>
              <w:right w:w="113" w:type="dxa"/>
            </w:tcMar>
            <w:vAlign w:val="center"/>
            <w:hideMark/>
          </w:tcPr>
          <w:p w14:paraId="71AC7DDC"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3,0</w:t>
            </w:r>
          </w:p>
        </w:tc>
        <w:tc>
          <w:tcPr>
            <w:tcW w:w="608" w:type="dxa"/>
            <w:noWrap/>
            <w:tcMar>
              <w:right w:w="113" w:type="dxa"/>
            </w:tcMar>
            <w:vAlign w:val="center"/>
            <w:hideMark/>
          </w:tcPr>
          <w:p w14:paraId="01654914"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2,8</w:t>
            </w:r>
          </w:p>
        </w:tc>
        <w:tc>
          <w:tcPr>
            <w:tcW w:w="608" w:type="dxa"/>
            <w:noWrap/>
            <w:tcMar>
              <w:right w:w="113" w:type="dxa"/>
            </w:tcMar>
            <w:vAlign w:val="center"/>
            <w:hideMark/>
          </w:tcPr>
          <w:p w14:paraId="25B123F6"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5,1</w:t>
            </w:r>
          </w:p>
        </w:tc>
        <w:tc>
          <w:tcPr>
            <w:tcW w:w="602" w:type="dxa"/>
            <w:vAlign w:val="center"/>
          </w:tcPr>
          <w:p w14:paraId="17BD67D7"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5,0</w:t>
            </w:r>
          </w:p>
        </w:tc>
        <w:tc>
          <w:tcPr>
            <w:tcW w:w="602" w:type="dxa"/>
            <w:vAlign w:val="center"/>
          </w:tcPr>
          <w:p w14:paraId="58456F6B"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-0,6</w:t>
            </w:r>
          </w:p>
        </w:tc>
        <w:tc>
          <w:tcPr>
            <w:tcW w:w="602" w:type="dxa"/>
            <w:vAlign w:val="center"/>
          </w:tcPr>
          <w:p w14:paraId="7AD048ED" w14:textId="77777777" w:rsidR="001F086B" w:rsidRPr="00D8017D" w:rsidRDefault="001F086B" w:rsidP="001F086B">
            <w:pPr>
              <w:spacing w:after="0"/>
              <w:ind w:firstLine="0"/>
              <w:jc w:val="center"/>
              <w:rPr>
                <w:rFonts w:eastAsia="Times New Roman" w:cs="Times New Roman"/>
                <w:sz w:val="18"/>
                <w:szCs w:val="20"/>
              </w:rPr>
            </w:pPr>
            <w:r w:rsidRPr="00D8017D">
              <w:rPr>
                <w:rFonts w:eastAsia="Times New Roman" w:cs="Times New Roman"/>
                <w:sz w:val="18"/>
                <w:szCs w:val="20"/>
              </w:rPr>
              <w:t>2,5</w:t>
            </w:r>
          </w:p>
        </w:tc>
      </w:tr>
      <w:tr w:rsidR="001F086B" w:rsidRPr="00D8017D" w14:paraId="2A1F7ED5" w14:textId="77777777" w:rsidTr="00141289">
        <w:trPr>
          <w:trHeight w:val="300"/>
          <w:jc w:val="center"/>
        </w:trPr>
        <w:tc>
          <w:tcPr>
            <w:tcW w:w="1622" w:type="dxa"/>
            <w:noWrap/>
            <w:vAlign w:val="center"/>
            <w:hideMark/>
          </w:tcPr>
          <w:p w14:paraId="194BBFCB" w14:textId="0035896A" w:rsidR="001F086B" w:rsidRPr="00D8017D" w:rsidRDefault="001F086B" w:rsidP="001F086B">
            <w:pPr>
              <w:spacing w:after="0"/>
              <w:ind w:firstLine="0"/>
              <w:rPr>
                <w:rFonts w:eastAsia="Calibri" w:cs="Times New Roman"/>
                <w:sz w:val="18"/>
                <w:szCs w:val="20"/>
              </w:rPr>
            </w:pPr>
            <w:r w:rsidRPr="00D8017D">
              <w:rPr>
                <w:rFonts w:eastAsia="Calibri" w:cs="Times New Roman"/>
                <w:sz w:val="18"/>
                <w:szCs w:val="20"/>
              </w:rPr>
              <w:t>EK</w:t>
            </w:r>
          </w:p>
        </w:tc>
        <w:tc>
          <w:tcPr>
            <w:tcW w:w="608" w:type="dxa"/>
            <w:noWrap/>
            <w:tcMar>
              <w:right w:w="113" w:type="dxa"/>
            </w:tcMar>
            <w:vAlign w:val="center"/>
            <w:hideMark/>
          </w:tcPr>
          <w:p w14:paraId="0A099F39"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4,0</w:t>
            </w:r>
          </w:p>
        </w:tc>
        <w:tc>
          <w:tcPr>
            <w:tcW w:w="607" w:type="dxa"/>
            <w:tcMar>
              <w:right w:w="113" w:type="dxa"/>
            </w:tcMar>
            <w:vAlign w:val="center"/>
            <w:hideMark/>
          </w:tcPr>
          <w:p w14:paraId="2E2E0455"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2,9</w:t>
            </w:r>
          </w:p>
        </w:tc>
        <w:tc>
          <w:tcPr>
            <w:tcW w:w="608" w:type="dxa"/>
            <w:tcMar>
              <w:right w:w="113" w:type="dxa"/>
            </w:tcMar>
            <w:vAlign w:val="center"/>
            <w:hideMark/>
          </w:tcPr>
          <w:p w14:paraId="3668F451"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2,8</w:t>
            </w:r>
          </w:p>
        </w:tc>
        <w:tc>
          <w:tcPr>
            <w:tcW w:w="607" w:type="dxa"/>
            <w:tcMar>
              <w:right w:w="113" w:type="dxa"/>
            </w:tcMar>
            <w:vAlign w:val="center"/>
            <w:hideMark/>
          </w:tcPr>
          <w:p w14:paraId="73718D2E"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3,2</w:t>
            </w:r>
          </w:p>
        </w:tc>
        <w:tc>
          <w:tcPr>
            <w:tcW w:w="608" w:type="dxa"/>
            <w:tcMar>
              <w:right w:w="113" w:type="dxa"/>
            </w:tcMar>
            <w:vAlign w:val="center"/>
            <w:hideMark/>
          </w:tcPr>
          <w:p w14:paraId="66422208"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3,5</w:t>
            </w:r>
          </w:p>
        </w:tc>
        <w:tc>
          <w:tcPr>
            <w:tcW w:w="607" w:type="dxa"/>
            <w:tcMar>
              <w:right w:w="113" w:type="dxa"/>
            </w:tcMar>
            <w:vAlign w:val="center"/>
            <w:hideMark/>
          </w:tcPr>
          <w:p w14:paraId="122084B8"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3,2</w:t>
            </w:r>
          </w:p>
        </w:tc>
        <w:tc>
          <w:tcPr>
            <w:tcW w:w="608" w:type="dxa"/>
            <w:tcMar>
              <w:right w:w="113" w:type="dxa"/>
            </w:tcMar>
            <w:vAlign w:val="center"/>
            <w:hideMark/>
          </w:tcPr>
          <w:p w14:paraId="04904B55"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2,8</w:t>
            </w:r>
          </w:p>
        </w:tc>
        <w:tc>
          <w:tcPr>
            <w:tcW w:w="608" w:type="dxa"/>
            <w:tcMar>
              <w:right w:w="113" w:type="dxa"/>
            </w:tcMar>
            <w:vAlign w:val="center"/>
            <w:hideMark/>
          </w:tcPr>
          <w:p w14:paraId="2EA6B01B"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6,4</w:t>
            </w:r>
          </w:p>
        </w:tc>
        <w:tc>
          <w:tcPr>
            <w:tcW w:w="602" w:type="dxa"/>
            <w:vAlign w:val="center"/>
          </w:tcPr>
          <w:p w14:paraId="4BBEC670"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6,0</w:t>
            </w:r>
          </w:p>
        </w:tc>
        <w:tc>
          <w:tcPr>
            <w:tcW w:w="602" w:type="dxa"/>
            <w:vAlign w:val="center"/>
          </w:tcPr>
          <w:p w14:paraId="70CF8D3A"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-0,3</w:t>
            </w:r>
          </w:p>
        </w:tc>
        <w:tc>
          <w:tcPr>
            <w:tcW w:w="602" w:type="dxa"/>
            <w:vAlign w:val="center"/>
          </w:tcPr>
          <w:p w14:paraId="6569E267" w14:textId="77777777" w:rsidR="001F086B" w:rsidRPr="00D8017D" w:rsidRDefault="001F086B" w:rsidP="001F086B">
            <w:pPr>
              <w:spacing w:after="0"/>
              <w:ind w:firstLine="0"/>
              <w:jc w:val="center"/>
              <w:rPr>
                <w:rFonts w:eastAsia="Times New Roman" w:cs="Times New Roman"/>
                <w:sz w:val="18"/>
                <w:szCs w:val="20"/>
              </w:rPr>
            </w:pPr>
            <w:r w:rsidRPr="00D8017D">
              <w:rPr>
                <w:rFonts w:eastAsia="Times New Roman" w:cs="Times New Roman"/>
                <w:sz w:val="18"/>
                <w:szCs w:val="20"/>
              </w:rPr>
              <w:t>2,8</w:t>
            </w:r>
          </w:p>
        </w:tc>
      </w:tr>
      <w:tr w:rsidR="001F086B" w:rsidRPr="00D8017D" w14:paraId="69785840" w14:textId="77777777" w:rsidTr="00141289">
        <w:trPr>
          <w:trHeight w:val="300"/>
          <w:jc w:val="center"/>
        </w:trPr>
        <w:tc>
          <w:tcPr>
            <w:tcW w:w="1622" w:type="dxa"/>
            <w:noWrap/>
            <w:vAlign w:val="center"/>
            <w:hideMark/>
          </w:tcPr>
          <w:p w14:paraId="15517D0F" w14:textId="281145D9" w:rsidR="001F086B" w:rsidRPr="00D8017D" w:rsidRDefault="00BA2237" w:rsidP="001F086B">
            <w:pPr>
              <w:spacing w:after="0"/>
              <w:ind w:firstLine="0"/>
              <w:rPr>
                <w:rFonts w:eastAsia="Calibri" w:cs="Times New Roman"/>
                <w:sz w:val="18"/>
                <w:szCs w:val="20"/>
              </w:rPr>
            </w:pPr>
            <w:r w:rsidRPr="00D8017D">
              <w:rPr>
                <w:rFonts w:eastAsia="Calibri" w:cs="Times New Roman"/>
                <w:sz w:val="18"/>
                <w:szCs w:val="20"/>
              </w:rPr>
              <w:t>SVF</w:t>
            </w:r>
          </w:p>
        </w:tc>
        <w:tc>
          <w:tcPr>
            <w:tcW w:w="608" w:type="dxa"/>
            <w:noWrap/>
            <w:tcMar>
              <w:right w:w="113" w:type="dxa"/>
            </w:tcMar>
            <w:vAlign w:val="center"/>
            <w:hideMark/>
          </w:tcPr>
          <w:p w14:paraId="72376D75"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4,2</w:t>
            </w:r>
          </w:p>
        </w:tc>
        <w:tc>
          <w:tcPr>
            <w:tcW w:w="607" w:type="dxa"/>
            <w:tcMar>
              <w:right w:w="113" w:type="dxa"/>
            </w:tcMar>
            <w:vAlign w:val="center"/>
            <w:hideMark/>
          </w:tcPr>
          <w:p w14:paraId="536F0682"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3,2</w:t>
            </w:r>
          </w:p>
        </w:tc>
        <w:tc>
          <w:tcPr>
            <w:tcW w:w="608" w:type="dxa"/>
            <w:tcMar>
              <w:right w:w="113" w:type="dxa"/>
            </w:tcMar>
            <w:vAlign w:val="center"/>
            <w:hideMark/>
          </w:tcPr>
          <w:p w14:paraId="65597D5E"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3,2</w:t>
            </w:r>
          </w:p>
        </w:tc>
        <w:tc>
          <w:tcPr>
            <w:tcW w:w="607" w:type="dxa"/>
            <w:tcMar>
              <w:right w:w="113" w:type="dxa"/>
            </w:tcMar>
            <w:vAlign w:val="center"/>
            <w:hideMark/>
          </w:tcPr>
          <w:p w14:paraId="352B7EAD"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3,0</w:t>
            </w:r>
          </w:p>
        </w:tc>
        <w:tc>
          <w:tcPr>
            <w:tcW w:w="608" w:type="dxa"/>
            <w:tcMar>
              <w:right w:w="113" w:type="dxa"/>
            </w:tcMar>
            <w:vAlign w:val="center"/>
            <w:hideMark/>
          </w:tcPr>
          <w:p w14:paraId="60A79288"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3,3</w:t>
            </w:r>
          </w:p>
        </w:tc>
        <w:tc>
          <w:tcPr>
            <w:tcW w:w="607" w:type="dxa"/>
            <w:tcMar>
              <w:right w:w="113" w:type="dxa"/>
            </w:tcMar>
            <w:vAlign w:val="center"/>
            <w:hideMark/>
          </w:tcPr>
          <w:p w14:paraId="17AD4386"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3,3</w:t>
            </w:r>
          </w:p>
        </w:tc>
        <w:tc>
          <w:tcPr>
            <w:tcW w:w="608" w:type="dxa"/>
            <w:tcMar>
              <w:right w:w="113" w:type="dxa"/>
            </w:tcMar>
            <w:vAlign w:val="center"/>
            <w:hideMark/>
          </w:tcPr>
          <w:p w14:paraId="6D043688"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3,1</w:t>
            </w:r>
          </w:p>
        </w:tc>
        <w:tc>
          <w:tcPr>
            <w:tcW w:w="608" w:type="dxa"/>
            <w:tcMar>
              <w:right w:w="113" w:type="dxa"/>
            </w:tcMar>
            <w:vAlign w:val="center"/>
            <w:hideMark/>
          </w:tcPr>
          <w:p w14:paraId="55ACEADA"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8,3</w:t>
            </w:r>
          </w:p>
        </w:tc>
        <w:tc>
          <w:tcPr>
            <w:tcW w:w="602" w:type="dxa"/>
            <w:vAlign w:val="center"/>
          </w:tcPr>
          <w:p w14:paraId="65BA9951"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5,2</w:t>
            </w:r>
          </w:p>
        </w:tc>
        <w:tc>
          <w:tcPr>
            <w:tcW w:w="602" w:type="dxa"/>
            <w:vAlign w:val="center"/>
          </w:tcPr>
          <w:p w14:paraId="42989663"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1,6</w:t>
            </w:r>
          </w:p>
        </w:tc>
        <w:tc>
          <w:tcPr>
            <w:tcW w:w="602" w:type="dxa"/>
            <w:vAlign w:val="center"/>
          </w:tcPr>
          <w:p w14:paraId="72CE2542" w14:textId="77777777" w:rsidR="001F086B" w:rsidRPr="00D8017D" w:rsidRDefault="001F086B" w:rsidP="001F086B">
            <w:pPr>
              <w:spacing w:after="0"/>
              <w:ind w:firstLine="0"/>
              <w:jc w:val="center"/>
              <w:rPr>
                <w:rFonts w:eastAsia="Times New Roman" w:cs="Times New Roman"/>
                <w:sz w:val="18"/>
                <w:szCs w:val="20"/>
              </w:rPr>
            </w:pPr>
            <w:r w:rsidRPr="00D8017D">
              <w:rPr>
                <w:rFonts w:eastAsia="Times New Roman" w:cs="Times New Roman"/>
                <w:sz w:val="18"/>
                <w:szCs w:val="20"/>
              </w:rPr>
              <w:t>2,9</w:t>
            </w:r>
          </w:p>
        </w:tc>
      </w:tr>
      <w:tr w:rsidR="001F086B" w:rsidRPr="00D8017D" w14:paraId="5833911D" w14:textId="77777777" w:rsidTr="00141289">
        <w:trPr>
          <w:trHeight w:val="300"/>
          <w:jc w:val="center"/>
        </w:trPr>
        <w:tc>
          <w:tcPr>
            <w:tcW w:w="1622" w:type="dxa"/>
            <w:noWrap/>
            <w:vAlign w:val="center"/>
            <w:hideMark/>
          </w:tcPr>
          <w:p w14:paraId="48DE7215" w14:textId="77777777" w:rsidR="001F086B" w:rsidRPr="00D8017D" w:rsidRDefault="001F086B" w:rsidP="001F086B">
            <w:pPr>
              <w:spacing w:after="0"/>
              <w:ind w:firstLine="0"/>
              <w:rPr>
                <w:rFonts w:eastAsia="Calibri" w:cs="Times New Roman"/>
                <w:sz w:val="18"/>
                <w:szCs w:val="20"/>
              </w:rPr>
            </w:pPr>
            <w:r w:rsidRPr="00D8017D">
              <w:rPr>
                <w:rFonts w:eastAsia="Calibri" w:cs="Times New Roman"/>
                <w:sz w:val="18"/>
                <w:szCs w:val="20"/>
              </w:rPr>
              <w:t>OECD</w:t>
            </w:r>
          </w:p>
        </w:tc>
        <w:tc>
          <w:tcPr>
            <w:tcW w:w="608" w:type="dxa"/>
            <w:noWrap/>
            <w:tcMar>
              <w:right w:w="113" w:type="dxa"/>
            </w:tcMar>
            <w:vAlign w:val="center"/>
            <w:hideMark/>
          </w:tcPr>
          <w:p w14:paraId="18CB5983"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 </w:t>
            </w:r>
          </w:p>
        </w:tc>
        <w:tc>
          <w:tcPr>
            <w:tcW w:w="607" w:type="dxa"/>
            <w:tcMar>
              <w:right w:w="113" w:type="dxa"/>
            </w:tcMar>
            <w:vAlign w:val="center"/>
            <w:hideMark/>
          </w:tcPr>
          <w:p w14:paraId="4C35ADD0"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3,2</w:t>
            </w:r>
          </w:p>
        </w:tc>
        <w:tc>
          <w:tcPr>
            <w:tcW w:w="608" w:type="dxa"/>
            <w:tcMar>
              <w:right w:w="113" w:type="dxa"/>
            </w:tcMar>
            <w:vAlign w:val="center"/>
            <w:hideMark/>
          </w:tcPr>
          <w:p w14:paraId="4259D962"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3,6</w:t>
            </w:r>
          </w:p>
        </w:tc>
        <w:tc>
          <w:tcPr>
            <w:tcW w:w="607" w:type="dxa"/>
            <w:tcMar>
              <w:right w:w="113" w:type="dxa"/>
            </w:tcMar>
            <w:vAlign w:val="center"/>
            <w:hideMark/>
          </w:tcPr>
          <w:p w14:paraId="0BF54FC2"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3,5</w:t>
            </w:r>
          </w:p>
        </w:tc>
        <w:tc>
          <w:tcPr>
            <w:tcW w:w="608" w:type="dxa"/>
            <w:tcMar>
              <w:right w:w="113" w:type="dxa"/>
            </w:tcMar>
            <w:vAlign w:val="center"/>
            <w:hideMark/>
          </w:tcPr>
          <w:p w14:paraId="5D018012"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3,5</w:t>
            </w:r>
          </w:p>
        </w:tc>
        <w:tc>
          <w:tcPr>
            <w:tcW w:w="607" w:type="dxa"/>
            <w:tcMar>
              <w:right w:w="113" w:type="dxa"/>
            </w:tcMar>
            <w:vAlign w:val="center"/>
            <w:hideMark/>
          </w:tcPr>
          <w:p w14:paraId="1D9B0E07"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3,6</w:t>
            </w:r>
          </w:p>
        </w:tc>
        <w:tc>
          <w:tcPr>
            <w:tcW w:w="608" w:type="dxa"/>
            <w:tcMar>
              <w:right w:w="113" w:type="dxa"/>
            </w:tcMar>
            <w:vAlign w:val="center"/>
            <w:hideMark/>
          </w:tcPr>
          <w:p w14:paraId="6075F410"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2,7</w:t>
            </w:r>
          </w:p>
        </w:tc>
        <w:tc>
          <w:tcPr>
            <w:tcW w:w="608" w:type="dxa"/>
            <w:tcMar>
              <w:right w:w="113" w:type="dxa"/>
            </w:tcMar>
            <w:vAlign w:val="center"/>
            <w:hideMark/>
          </w:tcPr>
          <w:p w14:paraId="2820FBA1" w14:textId="77777777" w:rsidR="001F086B" w:rsidRPr="00D8017D" w:rsidRDefault="001F086B" w:rsidP="001F086B">
            <w:pPr>
              <w:spacing w:after="0"/>
              <w:ind w:firstLine="0"/>
              <w:jc w:val="center"/>
              <w:rPr>
                <w:rFonts w:eastAsia="Calibri" w:cs="Times New Roman"/>
                <w:sz w:val="18"/>
                <w:szCs w:val="20"/>
              </w:rPr>
            </w:pPr>
            <w:r w:rsidRPr="00D8017D">
              <w:rPr>
                <w:rFonts w:eastAsia="Calibri" w:cs="Times New Roman"/>
                <w:sz w:val="18"/>
                <w:szCs w:val="20"/>
              </w:rPr>
              <w:t>6,4</w:t>
            </w:r>
          </w:p>
        </w:tc>
        <w:tc>
          <w:tcPr>
            <w:tcW w:w="602" w:type="dxa"/>
            <w:vAlign w:val="center"/>
          </w:tcPr>
          <w:p w14:paraId="146225F5"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5,6</w:t>
            </w:r>
          </w:p>
        </w:tc>
        <w:tc>
          <w:tcPr>
            <w:tcW w:w="602" w:type="dxa"/>
            <w:vAlign w:val="center"/>
          </w:tcPr>
          <w:p w14:paraId="1456F303"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-0,2</w:t>
            </w:r>
          </w:p>
        </w:tc>
        <w:tc>
          <w:tcPr>
            <w:tcW w:w="602" w:type="dxa"/>
            <w:vAlign w:val="center"/>
          </w:tcPr>
          <w:p w14:paraId="66B566BF" w14:textId="77777777" w:rsidR="001F086B" w:rsidRPr="00D8017D" w:rsidRDefault="001F086B" w:rsidP="001F086B">
            <w:pPr>
              <w:spacing w:after="0"/>
              <w:ind w:firstLine="0"/>
              <w:jc w:val="center"/>
              <w:rPr>
                <w:rFonts w:eastAsia="Times New Roman" w:cs="Times New Roman"/>
                <w:sz w:val="18"/>
                <w:szCs w:val="20"/>
              </w:rPr>
            </w:pPr>
            <w:r w:rsidRPr="00D8017D">
              <w:rPr>
                <w:rFonts w:eastAsia="Times New Roman" w:cs="Times New Roman"/>
                <w:sz w:val="18"/>
                <w:szCs w:val="20"/>
              </w:rPr>
              <w:t>2,4</w:t>
            </w:r>
          </w:p>
        </w:tc>
      </w:tr>
      <w:tr w:rsidR="001F086B" w:rsidRPr="00D8017D" w14:paraId="70CD9D8C" w14:textId="77777777" w:rsidTr="00141289">
        <w:trPr>
          <w:trHeight w:val="300"/>
          <w:jc w:val="center"/>
        </w:trPr>
        <w:tc>
          <w:tcPr>
            <w:tcW w:w="1622" w:type="dxa"/>
            <w:noWrap/>
            <w:vAlign w:val="center"/>
          </w:tcPr>
          <w:p w14:paraId="4D52FCAC" w14:textId="77777777" w:rsidR="001F086B" w:rsidRPr="00D8017D" w:rsidRDefault="001F086B" w:rsidP="001F086B">
            <w:pPr>
              <w:spacing w:after="0"/>
              <w:ind w:firstLine="0"/>
              <w:jc w:val="left"/>
              <w:rPr>
                <w:rFonts w:eastAsia="Calibri" w:cs="Times New Roman"/>
                <w:sz w:val="18"/>
                <w:szCs w:val="20"/>
              </w:rPr>
            </w:pPr>
            <w:r w:rsidRPr="00D8017D">
              <w:rPr>
                <w:rFonts w:eastAsia="Calibri" w:cs="Times New Roman"/>
                <w:color w:val="000000"/>
                <w:sz w:val="18"/>
                <w:szCs w:val="20"/>
              </w:rPr>
              <w:t>IKP fakts pēc CSP datu revīzijas 30.09.2024</w:t>
            </w:r>
          </w:p>
        </w:tc>
        <w:tc>
          <w:tcPr>
            <w:tcW w:w="608" w:type="dxa"/>
            <w:noWrap/>
            <w:tcMar>
              <w:right w:w="113" w:type="dxa"/>
            </w:tcMar>
            <w:vAlign w:val="center"/>
          </w:tcPr>
          <w:p w14:paraId="03B424FC"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2,1</w:t>
            </w:r>
          </w:p>
        </w:tc>
        <w:tc>
          <w:tcPr>
            <w:tcW w:w="607" w:type="dxa"/>
            <w:noWrap/>
            <w:tcMar>
              <w:right w:w="113" w:type="dxa"/>
            </w:tcMar>
            <w:vAlign w:val="center"/>
          </w:tcPr>
          <w:p w14:paraId="30FB8A80"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3,8</w:t>
            </w:r>
          </w:p>
        </w:tc>
        <w:tc>
          <w:tcPr>
            <w:tcW w:w="608" w:type="dxa"/>
            <w:noWrap/>
            <w:tcMar>
              <w:right w:w="113" w:type="dxa"/>
            </w:tcMar>
            <w:vAlign w:val="center"/>
          </w:tcPr>
          <w:p w14:paraId="3CFD17C2"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2,6</w:t>
            </w:r>
          </w:p>
        </w:tc>
        <w:tc>
          <w:tcPr>
            <w:tcW w:w="607" w:type="dxa"/>
            <w:noWrap/>
            <w:tcMar>
              <w:right w:w="113" w:type="dxa"/>
            </w:tcMar>
            <w:vAlign w:val="center"/>
          </w:tcPr>
          <w:p w14:paraId="54853D59"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3,4</w:t>
            </w:r>
          </w:p>
        </w:tc>
        <w:tc>
          <w:tcPr>
            <w:tcW w:w="608" w:type="dxa"/>
            <w:noWrap/>
            <w:tcMar>
              <w:right w:w="113" w:type="dxa"/>
            </w:tcMar>
            <w:vAlign w:val="center"/>
          </w:tcPr>
          <w:p w14:paraId="168F714D"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4,3</w:t>
            </w:r>
          </w:p>
        </w:tc>
        <w:tc>
          <w:tcPr>
            <w:tcW w:w="607" w:type="dxa"/>
            <w:noWrap/>
            <w:tcMar>
              <w:right w:w="113" w:type="dxa"/>
            </w:tcMar>
            <w:vAlign w:val="center"/>
          </w:tcPr>
          <w:p w14:paraId="17FA5504"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0,7</w:t>
            </w:r>
          </w:p>
        </w:tc>
        <w:tc>
          <w:tcPr>
            <w:tcW w:w="608" w:type="dxa"/>
            <w:noWrap/>
            <w:tcMar>
              <w:right w:w="113" w:type="dxa"/>
            </w:tcMar>
            <w:vAlign w:val="center"/>
          </w:tcPr>
          <w:p w14:paraId="799C3D36"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-3,5</w:t>
            </w:r>
          </w:p>
        </w:tc>
        <w:tc>
          <w:tcPr>
            <w:tcW w:w="608" w:type="dxa"/>
            <w:noWrap/>
            <w:tcMar>
              <w:right w:w="113" w:type="dxa"/>
            </w:tcMar>
            <w:vAlign w:val="center"/>
          </w:tcPr>
          <w:p w14:paraId="79E53ABF"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6,9</w:t>
            </w:r>
          </w:p>
        </w:tc>
        <w:tc>
          <w:tcPr>
            <w:tcW w:w="602" w:type="dxa"/>
            <w:vAlign w:val="center"/>
          </w:tcPr>
          <w:p w14:paraId="6A0BB495"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1,8</w:t>
            </w:r>
          </w:p>
        </w:tc>
        <w:tc>
          <w:tcPr>
            <w:tcW w:w="602" w:type="dxa"/>
            <w:vAlign w:val="center"/>
          </w:tcPr>
          <w:p w14:paraId="5E1BBA6D" w14:textId="77777777" w:rsidR="001F086B" w:rsidRPr="00D8017D" w:rsidRDefault="001F086B" w:rsidP="001F086B">
            <w:pPr>
              <w:spacing w:after="0"/>
              <w:ind w:firstLine="0"/>
              <w:jc w:val="center"/>
              <w:rPr>
                <w:rFonts w:eastAsia="Calibri" w:cs="Times New Roman"/>
                <w:sz w:val="18"/>
                <w:szCs w:val="20"/>
              </w:rPr>
            </w:pPr>
            <w:r w:rsidRPr="00D8017D">
              <w:rPr>
                <w:rFonts w:eastAsia="Times New Roman" w:cs="Times New Roman"/>
                <w:sz w:val="18"/>
                <w:szCs w:val="20"/>
              </w:rPr>
              <w:t>2,9</w:t>
            </w:r>
          </w:p>
        </w:tc>
        <w:tc>
          <w:tcPr>
            <w:tcW w:w="602" w:type="dxa"/>
            <w:vAlign w:val="center"/>
          </w:tcPr>
          <w:p w14:paraId="68CBE2ED" w14:textId="77777777" w:rsidR="001F086B" w:rsidRPr="00D8017D" w:rsidRDefault="001F086B" w:rsidP="001F086B">
            <w:pPr>
              <w:spacing w:after="0"/>
              <w:ind w:firstLine="0"/>
              <w:jc w:val="center"/>
              <w:rPr>
                <w:rFonts w:eastAsia="Times New Roman" w:cs="Times New Roman"/>
                <w:sz w:val="18"/>
                <w:szCs w:val="20"/>
              </w:rPr>
            </w:pPr>
            <w:r w:rsidRPr="00D8017D">
              <w:rPr>
                <w:rFonts w:eastAsia="Times New Roman" w:cs="Times New Roman"/>
                <w:sz w:val="18"/>
                <w:szCs w:val="20"/>
              </w:rPr>
              <w:t>-0,4</w:t>
            </w:r>
          </w:p>
        </w:tc>
      </w:tr>
    </w:tbl>
    <w:p w14:paraId="1B2202F1" w14:textId="77777777" w:rsidR="001F086B" w:rsidRPr="00D8017D" w:rsidRDefault="001F086B" w:rsidP="001F086B">
      <w:pPr>
        <w:autoSpaceDE w:val="0"/>
        <w:autoSpaceDN w:val="0"/>
        <w:adjustRightInd w:val="0"/>
        <w:spacing w:after="0"/>
        <w:rPr>
          <w:rFonts w:eastAsia="Calibri" w:cs="Times New Roman"/>
        </w:rPr>
      </w:pPr>
    </w:p>
    <w:p w14:paraId="02D78D6E" w14:textId="5B1F6AD5" w:rsidR="001F086B" w:rsidRPr="00D8017D" w:rsidRDefault="001F086B" w:rsidP="001F086B">
      <w:pPr>
        <w:autoSpaceDE w:val="0"/>
        <w:autoSpaceDN w:val="0"/>
        <w:adjustRightInd w:val="0"/>
        <w:rPr>
          <w:rFonts w:eastAsia="Calibri" w:cs="Times New Roman"/>
        </w:rPr>
      </w:pPr>
      <w:r w:rsidRPr="00D8017D">
        <w:rPr>
          <w:rFonts w:eastAsia="Calibri" w:cs="Times New Roman"/>
        </w:rPr>
        <w:t xml:space="preserve">Pēdējos piecos gados būtiskākā ietekme uz prognožu novirzi ir krājumu izmaiņām, kas ir neprognozējamas. Īpaši liels to devums IKP izaugsmē bija 2021. gadā jeb </w:t>
      </w:r>
      <w:r w:rsidRPr="00D8017D">
        <w:rPr>
          <w:rFonts w:eastAsia="Calibri" w:cs="Times New Roman"/>
          <w:color w:val="000000"/>
        </w:rPr>
        <w:t>3,7 p</w:t>
      </w:r>
      <w:r w:rsidR="00D634A9">
        <w:rPr>
          <w:rFonts w:eastAsia="Calibri" w:cs="Times New Roman"/>
          <w:color w:val="000000"/>
        </w:rPr>
        <w:t>p</w:t>
      </w:r>
      <w:r w:rsidRPr="00D8017D">
        <w:rPr>
          <w:rFonts w:eastAsia="Calibri" w:cs="Times New Roman"/>
          <w:color w:val="000000"/>
        </w:rPr>
        <w:t xml:space="preserve"> </w:t>
      </w:r>
      <w:r w:rsidRPr="00D8017D">
        <w:rPr>
          <w:rFonts w:eastAsia="Calibri" w:cs="Times New Roman"/>
        </w:rPr>
        <w:t>(sk. 1.27. att.). CSP krājumu izmaiņās iekļauj ekonomiskajai darbībai nepieciešamos uzkrājumus, kā arī statistisko novirzi, kas rodas no IKP kontu balansēšanas no ražošanas un izlietojuma puses. Tieši statistiskā novirze ir galvenais nezināmais, kas ietekmē prognozes un kuru nav iespējams racionāli prognozēt. Tāpēc prognozēs tiek pieņemts, ka tai nav ietekme uz IKP pieauguma tempiem, kas ir arī vispārpieņemta prognozēšanas prakse.</w:t>
      </w:r>
    </w:p>
    <w:p w14:paraId="22595914" w14:textId="77777777" w:rsidR="001F086B" w:rsidRPr="00D8017D" w:rsidRDefault="001F086B" w:rsidP="001F086B">
      <w:pPr>
        <w:autoSpaceDE w:val="0"/>
        <w:autoSpaceDN w:val="0"/>
        <w:adjustRightInd w:val="0"/>
        <w:rPr>
          <w:rFonts w:eastAsia="Calibri" w:cs="Times New Roman"/>
        </w:rPr>
      </w:pPr>
      <w:r w:rsidRPr="00D8017D">
        <w:rPr>
          <w:rFonts w:eastAsia="Calibri" w:cs="Times New Roman"/>
        </w:rPr>
        <w:t>Jāatzīmē, ka kopš 2013. gada IKP prognožu atšķirība no faktiskajiem datiem ir samazinājusies, un nav novērotas sistemātiskas novirzes ne pozitīvā, ne negatīvā virzienā. Izņēmums ir tikai 2020. gads, kad galvenais iemesls bija neparedzamas strukturālas izmaiņas ekonomikā. Pēdējos četros gados vislielākās prognožu kļūdas radās no nenoteiktības, ko izraisīja globālā Covid</w:t>
      </w:r>
      <w:r w:rsidRPr="00D8017D">
        <w:rPr>
          <w:rFonts w:eastAsia="Calibri" w:cs="Times New Roman"/>
        </w:rPr>
        <w:noBreakHyphen/>
        <w:t>19 izplatības ierobežošanas pasākumi 2020. un 2021. gadā, kā arī Krievijas karadarbības Ukrainā ekonomiskās sekas. Šī bija pilnīgi jauna ekonomiskā situācija, kas apgrūtināja precīzu iedzīvotāju un uzņēmēju rīcības prognozēšanu. Vienlaikus tā radīja jaunas iespējas, pārveidojot ekonomiku jaunām realitātēm. Tādēļ 2020. gada IKP izaugsmes prognozē bija vislielākā atšķirība no faktiskajiem datiem.</w:t>
      </w:r>
    </w:p>
    <w:p w14:paraId="42690732" w14:textId="58BB1CDF" w:rsidR="00C3141A" w:rsidRPr="00D8017D" w:rsidRDefault="00117F48" w:rsidP="001F086B">
      <w:pPr>
        <w:rPr>
          <w:rFonts w:eastAsia="Calibri" w:cs="Arial"/>
          <w:szCs w:val="24"/>
          <w:highlight w:val="lightGray"/>
          <w:lang w:eastAsia="en-US"/>
        </w:rPr>
      </w:pPr>
      <w:r w:rsidRPr="00D8017D">
        <w:rPr>
          <w:rFonts w:eastAsia="Calibri" w:cs="Arial"/>
          <w:szCs w:val="24"/>
          <w:highlight w:val="lightGray"/>
          <w:lang w:eastAsia="en-US"/>
        </w:rPr>
        <w:br w:type="page"/>
      </w:r>
    </w:p>
    <w:p w14:paraId="469F5C92" w14:textId="39FED629" w:rsidR="00FB5161" w:rsidRPr="00D8017D" w:rsidRDefault="00BA2237" w:rsidP="00BA2237">
      <w:pPr>
        <w:pStyle w:val="Heading1"/>
        <w:spacing w:after="240"/>
      </w:pPr>
      <w:bookmarkStart w:id="39" w:name="_Toc210289880"/>
      <w:r w:rsidRPr="00D8017D">
        <w:lastRenderedPageBreak/>
        <w:t xml:space="preserve">2. </w:t>
      </w:r>
      <w:r w:rsidR="000548A5" w:rsidRPr="00D8017D">
        <w:t>Fiskālā politika</w:t>
      </w:r>
      <w:bookmarkEnd w:id="39"/>
    </w:p>
    <w:p w14:paraId="5F28BF3A" w14:textId="16EE004E" w:rsidR="00B63F57" w:rsidRPr="00D8017D" w:rsidRDefault="00B63F57" w:rsidP="00B63F57">
      <w:pPr>
        <w:spacing w:before="120"/>
        <w:rPr>
          <w:rFonts w:eastAsia="Times New Roman" w:cs="Times New Roman"/>
          <w:szCs w:val="24"/>
        </w:rPr>
      </w:pPr>
      <w:r w:rsidRPr="00D8017D">
        <w:rPr>
          <w:rFonts w:eastAsia="Times New Roman" w:cs="Times New Roman"/>
          <w:szCs w:val="24"/>
        </w:rPr>
        <w:t>2024. gada 30. aprīlī stājās spēkā jaunais ES ekonomikas pārvaldības ietvars, ko veido divas regulas un viena direktīva</w:t>
      </w:r>
      <w:r w:rsidRPr="00D8017D">
        <w:rPr>
          <w:rFonts w:eastAsia="Times New Roman" w:cs="Times New Roman"/>
          <w:szCs w:val="24"/>
          <w:vertAlign w:val="superscript"/>
        </w:rPr>
        <w:footnoteReference w:id="10"/>
      </w:r>
      <w:r w:rsidRPr="00D8017D">
        <w:rPr>
          <w:rFonts w:eastAsia="Times New Roman" w:cs="Times New Roman"/>
          <w:szCs w:val="24"/>
        </w:rPr>
        <w:t xml:space="preserve">. Atbilstoši šim regulējumam Latvija 2024. gada rudenī izstrādāja un ES Padome 2025. gada 21. janvārī apstiprināja pirmo Latvijas Fiskāli strukturālo plānu </w:t>
      </w:r>
      <w:r w:rsidR="0035287A" w:rsidRPr="00D8017D">
        <w:rPr>
          <w:bCs/>
          <w:szCs w:val="24"/>
        </w:rPr>
        <w:t>2025.–2028.</w:t>
      </w:r>
      <w:r w:rsidRPr="00D8017D">
        <w:rPr>
          <w:rFonts w:eastAsia="Times New Roman" w:cs="Times New Roman"/>
          <w:szCs w:val="24"/>
        </w:rPr>
        <w:t xml:space="preserve"> gadam</w:t>
      </w:r>
      <w:r w:rsidRPr="00D8017D">
        <w:rPr>
          <w:rFonts w:eastAsia="Times New Roman" w:cs="Times New Roman"/>
          <w:szCs w:val="24"/>
          <w:vertAlign w:val="superscript"/>
        </w:rPr>
        <w:footnoteReference w:id="11"/>
      </w:r>
      <w:r w:rsidRPr="00D8017D">
        <w:rPr>
          <w:rFonts w:eastAsia="Times New Roman" w:cs="Times New Roman"/>
          <w:szCs w:val="24"/>
        </w:rPr>
        <w:t xml:space="preserve">, kurā noteikta saistoša </w:t>
      </w:r>
      <w:r w:rsidRPr="00D8017D">
        <w:rPr>
          <w:rFonts w:eastAsia="Times New Roman" w:cs="Times New Roman"/>
          <w:b/>
          <w:bCs/>
          <w:szCs w:val="24"/>
        </w:rPr>
        <w:t xml:space="preserve">neto nacionāli finansēto primāro izdevumu (turpmāk – NNFPI) pieauguma </w:t>
      </w:r>
      <w:r w:rsidRPr="00D8017D">
        <w:rPr>
          <w:rFonts w:eastAsia="Times New Roman" w:cs="Times New Roman"/>
          <w:szCs w:val="24"/>
        </w:rPr>
        <w:t>trajektorija</w:t>
      </w:r>
      <w:r w:rsidRPr="00D8017D">
        <w:rPr>
          <w:rFonts w:eastAsia="Times New Roman" w:cs="Times New Roman"/>
          <w:i/>
          <w:iCs/>
          <w:szCs w:val="24"/>
        </w:rPr>
        <w:t xml:space="preserve"> </w:t>
      </w:r>
      <w:r w:rsidRPr="00D8017D">
        <w:rPr>
          <w:rFonts w:eastAsia="Times New Roman" w:cs="Times New Roman"/>
          <w:szCs w:val="24"/>
        </w:rPr>
        <w:t>(fiskālā trajektorija). Fiskālā trajektorijā ir noteikts pieļaujamais valsts finansēto neto primāro izdevumu</w:t>
      </w:r>
      <w:r w:rsidRPr="00D8017D">
        <w:rPr>
          <w:rFonts w:eastAsia="Times New Roman" w:cs="Times New Roman"/>
          <w:szCs w:val="24"/>
          <w:vertAlign w:val="superscript"/>
        </w:rPr>
        <w:footnoteReference w:id="12"/>
      </w:r>
      <w:r w:rsidRPr="00D8017D">
        <w:rPr>
          <w:rFonts w:eastAsia="Times New Roman" w:cs="Times New Roman"/>
          <w:szCs w:val="24"/>
        </w:rPr>
        <w:t xml:space="preserve"> pieauguma līmenis, kas noteikts tādā veidā, lai gan Fiskāli strukturālā plāna darbības laikā, gan 10 gadus pēc tā, prognozētais vispārējās valdības budžeta deficīts un parāds nepārsniedz 3% un 60% no IKP attiecīgi.</w:t>
      </w:r>
    </w:p>
    <w:p w14:paraId="7462F231" w14:textId="4BB32152" w:rsidR="00261A0E" w:rsidRPr="00D8017D" w:rsidRDefault="00261A0E" w:rsidP="00261A0E">
      <w:pPr>
        <w:rPr>
          <w:color w:val="000000" w:themeColor="text1"/>
          <w:szCs w:val="24"/>
        </w:rPr>
      </w:pPr>
      <w:bookmarkStart w:id="40" w:name="_Hlk148513748"/>
      <w:r w:rsidRPr="00D8017D">
        <w:rPr>
          <w:color w:val="000000" w:themeColor="text1"/>
          <w:szCs w:val="24"/>
        </w:rPr>
        <w:t xml:space="preserve">Fiskālā trajektorija jāievēro likumprojekta </w:t>
      </w:r>
      <w:r w:rsidR="008F44F4">
        <w:rPr>
          <w:color w:val="000000" w:themeColor="text1"/>
          <w:szCs w:val="24"/>
        </w:rPr>
        <w:t>“</w:t>
      </w:r>
      <w:r w:rsidRPr="00D8017D">
        <w:rPr>
          <w:color w:val="000000" w:themeColor="text1"/>
          <w:szCs w:val="24"/>
        </w:rPr>
        <w:t>Par valsts budžetu 2026. gadam un budžeta ietvaru 2026., 2027. un 2028. gadam</w:t>
      </w:r>
      <w:r w:rsidR="008F44F4">
        <w:rPr>
          <w:color w:val="000000" w:themeColor="text1"/>
          <w:szCs w:val="24"/>
        </w:rPr>
        <w:t>”</w:t>
      </w:r>
      <w:r w:rsidRPr="00D8017D">
        <w:rPr>
          <w:color w:val="000000" w:themeColor="text1"/>
          <w:szCs w:val="24"/>
        </w:rPr>
        <w:t xml:space="preserve"> sagatavošanā, savukārt, novērtējot Latvijas iesniegto Vispārējās valdības budžeta plāna projektu 2026. gadam, EK pārbaudīs fiskālo rādītāju atbilstību Fiskāli strukturālā plāna ierobežojumiem. </w:t>
      </w:r>
    </w:p>
    <w:p w14:paraId="12F23E42" w14:textId="3719ACEE" w:rsidR="00261A0E" w:rsidRDefault="00261A0E" w:rsidP="00261A0E">
      <w:pPr>
        <w:rPr>
          <w:color w:val="000000" w:themeColor="text1"/>
          <w:szCs w:val="24"/>
        </w:rPr>
      </w:pPr>
      <w:r w:rsidRPr="00D8017D">
        <w:rPr>
          <w:color w:val="000000" w:themeColor="text1"/>
          <w:szCs w:val="24"/>
        </w:rPr>
        <w:t xml:space="preserve">2025. gadā, ņemot vērā ģeopolitiskās situācijas attīstību, EK aicināja ES dalībvalstis izmantot jaunā ES ekonomikas pārvaldības ietvara piedāvātās elastības iespējas un aktivizēt valsts izņēmuma klauzulu, lai maksimāli atvieglotu pāreju uz pastāvīgi augstāku aizsardzības izdevumu līmeni. 2025. gada jūlijā </w:t>
      </w:r>
      <w:r w:rsidR="00376254">
        <w:rPr>
          <w:color w:val="000000" w:themeColor="text1"/>
          <w:szCs w:val="24"/>
        </w:rPr>
        <w:t>ES</w:t>
      </w:r>
      <w:r w:rsidR="002A2D73">
        <w:rPr>
          <w:color w:val="000000" w:themeColor="text1"/>
          <w:szCs w:val="24"/>
        </w:rPr>
        <w:t xml:space="preserve"> </w:t>
      </w:r>
      <w:r w:rsidRPr="00D8017D">
        <w:rPr>
          <w:color w:val="000000" w:themeColor="text1"/>
          <w:szCs w:val="24"/>
        </w:rPr>
        <w:t>Padome iedarbināja valsts izņēmuma klauzulu 15 dalībvalstīm, t.sk. Latvijai</w:t>
      </w:r>
      <w:r w:rsidRPr="00D8017D">
        <w:rPr>
          <w:color w:val="000000" w:themeColor="text1"/>
          <w:szCs w:val="24"/>
          <w:vertAlign w:val="superscript"/>
        </w:rPr>
        <w:footnoteReference w:id="13"/>
      </w:r>
      <w:r w:rsidRPr="00D8017D">
        <w:rPr>
          <w:color w:val="000000" w:themeColor="text1"/>
          <w:szCs w:val="24"/>
        </w:rPr>
        <w:t>, tā ļauj novirzīties no Padomes apstiprinātā izdevumu pieauguma laika perioda no 2025. līdz 2028. gadam attiecībā uz aizsardzības izdevumu pieaugumu, pieļaujot atkāpi arī piegādēm, kas tiks nodrošinātas pēc 2028. gada, tomēr nepārsniedzot kopējo valsts izņēmuma klauzulas apjomu.</w:t>
      </w:r>
    </w:p>
    <w:p w14:paraId="38693E57" w14:textId="6FC69770" w:rsidR="00B74B06" w:rsidRPr="00B74B06" w:rsidRDefault="00B74B06" w:rsidP="00B74B06">
      <w:pPr>
        <w:rPr>
          <w:bCs/>
          <w:color w:val="000000" w:themeColor="text1"/>
          <w:szCs w:val="24"/>
        </w:rPr>
      </w:pPr>
      <w:r w:rsidRPr="00B74B06">
        <w:rPr>
          <w:bCs/>
          <w:color w:val="000000" w:themeColor="text1"/>
          <w:szCs w:val="24"/>
        </w:rPr>
        <w:t xml:space="preserve">Pamatojoties uz </w:t>
      </w:r>
      <w:r w:rsidR="00E17768">
        <w:rPr>
          <w:bCs/>
          <w:color w:val="000000" w:themeColor="text1"/>
          <w:szCs w:val="24"/>
        </w:rPr>
        <w:t>ES</w:t>
      </w:r>
      <w:r w:rsidR="002A2D73">
        <w:rPr>
          <w:bCs/>
          <w:color w:val="000000" w:themeColor="text1"/>
          <w:szCs w:val="24"/>
        </w:rPr>
        <w:t xml:space="preserve"> </w:t>
      </w:r>
      <w:r w:rsidRPr="00B74B06">
        <w:rPr>
          <w:bCs/>
          <w:color w:val="000000" w:themeColor="text1"/>
          <w:szCs w:val="24"/>
        </w:rPr>
        <w:t>Padomes 2025. gada 8. jūlija rekomendāciju, ar ko Latvijai ļauj novirzīties no neto izdevumu maksimālajiem pieauguma tempiem, kurus noteikusi Padome saskaņā ar Regulu (ES) 2024/1263 (Valsts izņēmuma klauzulas iedarbināšana), aktivizēta FDL 12. pantā paredzētā atkāpe no bilances nosacījuma un tā tiks izmantota atbilstoši minētās Padomes rekomendācijas nosacījumiem</w:t>
      </w:r>
      <w:r w:rsidRPr="00B74B06">
        <w:rPr>
          <w:bCs/>
          <w:color w:val="000000" w:themeColor="text1"/>
          <w:szCs w:val="24"/>
          <w:vertAlign w:val="superscript"/>
        </w:rPr>
        <w:footnoteReference w:id="14"/>
      </w:r>
      <w:r w:rsidRPr="00B74B06">
        <w:rPr>
          <w:bCs/>
          <w:color w:val="000000" w:themeColor="text1"/>
          <w:szCs w:val="24"/>
        </w:rPr>
        <w:t xml:space="preserve"> (sēdes prot. Nr. 32 48. § 5. punkts).</w:t>
      </w:r>
    </w:p>
    <w:p w14:paraId="0B9C802A" w14:textId="0D7869AE" w:rsidR="00261A0E" w:rsidRPr="00D8017D" w:rsidRDefault="0000055D" w:rsidP="004F7ED2">
      <w:r w:rsidRPr="00D8017D">
        <w:rPr>
          <w:rFonts w:eastAsia="Calibri" w:cs="Times New Roman"/>
          <w:color w:val="000000"/>
        </w:rPr>
        <w:t>Likumprojekta “Par valsts budžetu 202</w:t>
      </w:r>
      <w:r w:rsidR="00261A0E" w:rsidRPr="00D8017D">
        <w:rPr>
          <w:rFonts w:eastAsia="Calibri" w:cs="Times New Roman"/>
          <w:color w:val="000000"/>
        </w:rPr>
        <w:t>6</w:t>
      </w:r>
      <w:r w:rsidRPr="00D8017D">
        <w:rPr>
          <w:rFonts w:eastAsia="Calibri" w:cs="Times New Roman"/>
          <w:color w:val="000000"/>
        </w:rPr>
        <w:t>. gadam un budžeta ietvaru 202</w:t>
      </w:r>
      <w:r w:rsidR="00261A0E" w:rsidRPr="00D8017D">
        <w:rPr>
          <w:rFonts w:eastAsia="Calibri" w:cs="Times New Roman"/>
          <w:color w:val="000000"/>
        </w:rPr>
        <w:t>6</w:t>
      </w:r>
      <w:r w:rsidRPr="00D8017D">
        <w:rPr>
          <w:rFonts w:eastAsia="Calibri" w:cs="Times New Roman"/>
          <w:color w:val="000000"/>
        </w:rPr>
        <w:t>., 202</w:t>
      </w:r>
      <w:r w:rsidR="00261A0E" w:rsidRPr="00D8017D">
        <w:rPr>
          <w:rFonts w:eastAsia="Calibri" w:cs="Times New Roman"/>
          <w:color w:val="000000"/>
        </w:rPr>
        <w:t>7</w:t>
      </w:r>
      <w:r w:rsidRPr="00D8017D">
        <w:rPr>
          <w:rFonts w:eastAsia="Calibri" w:cs="Times New Roman"/>
          <w:color w:val="000000"/>
        </w:rPr>
        <w:t>. un 202</w:t>
      </w:r>
      <w:r w:rsidR="00261A0E" w:rsidRPr="00D8017D">
        <w:rPr>
          <w:rFonts w:eastAsia="Calibri" w:cs="Times New Roman"/>
          <w:color w:val="000000"/>
        </w:rPr>
        <w:t>8</w:t>
      </w:r>
      <w:r w:rsidRPr="00D8017D">
        <w:rPr>
          <w:rFonts w:eastAsia="Calibri" w:cs="Times New Roman"/>
          <w:color w:val="000000"/>
        </w:rPr>
        <w:t>. gadam” sagatavošanā</w:t>
      </w:r>
      <w:r w:rsidRPr="00D8017D">
        <w:rPr>
          <w:rFonts w:eastAsia="Calibri" w:cs="Times New Roman"/>
          <w:bCs/>
          <w:color w:val="000000"/>
        </w:rPr>
        <w:t xml:space="preserve"> </w:t>
      </w:r>
      <w:r w:rsidR="000433EF" w:rsidRPr="00D8017D">
        <w:rPr>
          <w:rFonts w:eastAsia="Calibri" w:cs="Times New Roman"/>
          <w:bCs/>
          <w:color w:val="000000"/>
        </w:rPr>
        <w:t>tika ņemt</w:t>
      </w:r>
      <w:r w:rsidR="001F05CB">
        <w:rPr>
          <w:rFonts w:eastAsia="Calibri" w:cs="Times New Roman"/>
          <w:bCs/>
          <w:color w:val="000000"/>
        </w:rPr>
        <w:t>as</w:t>
      </w:r>
      <w:r w:rsidR="00261A0E" w:rsidRPr="00D8017D">
        <w:rPr>
          <w:rFonts w:eastAsia="Calibri" w:cs="Times New Roman"/>
          <w:bCs/>
          <w:color w:val="000000"/>
        </w:rPr>
        <w:t xml:space="preserve"> </w:t>
      </w:r>
      <w:r w:rsidRPr="00D8017D">
        <w:rPr>
          <w:rFonts w:eastAsia="Calibri" w:cs="Times New Roman"/>
          <w:bCs/>
          <w:color w:val="000000"/>
        </w:rPr>
        <w:t xml:space="preserve">vērā </w:t>
      </w:r>
      <w:r w:rsidR="00261A0E" w:rsidRPr="00D8017D">
        <w:rPr>
          <w:rFonts w:eastAsia="Calibri" w:cs="Times New Roman"/>
          <w:bCs/>
          <w:color w:val="000000"/>
        </w:rPr>
        <w:t xml:space="preserve">likumprojekta </w:t>
      </w:r>
      <w:r w:rsidR="008F44F4">
        <w:t>“</w:t>
      </w:r>
      <w:r w:rsidR="00261A0E" w:rsidRPr="00D8017D">
        <w:t>Grozījumi Fiskālās disciplīnas likumā</w:t>
      </w:r>
      <w:r w:rsidR="008F44F4">
        <w:t>”</w:t>
      </w:r>
      <w:r w:rsidR="00261A0E" w:rsidRPr="00D8017D">
        <w:t xml:space="preserve"> </w:t>
      </w:r>
      <w:r w:rsidR="00261A0E" w:rsidRPr="00D8017D">
        <w:rPr>
          <w:rFonts w:eastAsia="Calibri" w:cs="Times New Roman"/>
          <w:bCs/>
          <w:color w:val="000000"/>
        </w:rPr>
        <w:t xml:space="preserve">(25-TA-2059), kas tiek virzīti </w:t>
      </w:r>
      <w:r w:rsidR="00261A0E" w:rsidRPr="00D8017D">
        <w:t>budžetu pavadošo likumprojektu paketē saskaņā</w:t>
      </w:r>
      <w:r w:rsidR="00230B12">
        <w:t xml:space="preserve"> ar</w:t>
      </w:r>
      <w:r w:rsidR="00261A0E" w:rsidRPr="00D8017D">
        <w:t xml:space="preserve"> likumprojekta </w:t>
      </w:r>
      <w:r w:rsidR="008F44F4">
        <w:t>“</w:t>
      </w:r>
      <w:r w:rsidR="00261A0E" w:rsidRPr="00D8017D">
        <w:t>Par valsts budžetu 2026. gadam un budžeta ietvaru 2026., 2027. un 2028. gadam</w:t>
      </w:r>
      <w:r w:rsidR="008F44F4">
        <w:t>”</w:t>
      </w:r>
      <w:r w:rsidR="00261A0E" w:rsidRPr="00D8017D">
        <w:t xml:space="preserve"> </w:t>
      </w:r>
      <w:r w:rsidR="00261A0E" w:rsidRPr="00D8017D">
        <w:lastRenderedPageBreak/>
        <w:t>sagatavošanas grafiku (apstiprināts ar MK 2025. gada 27. marta rīkojumu Nr. 179 (prot. Nr. 12 21. §))</w:t>
      </w:r>
      <w:r w:rsidR="00B74B06">
        <w:t>, normas</w:t>
      </w:r>
      <w:r w:rsidR="00261A0E" w:rsidRPr="00D8017D">
        <w:t>.</w:t>
      </w:r>
    </w:p>
    <w:p w14:paraId="035C780E" w14:textId="47FE8934" w:rsidR="00557435" w:rsidRPr="00D8017D" w:rsidRDefault="00261A0E" w:rsidP="008349F0">
      <w:pPr>
        <w:rPr>
          <w:rFonts w:eastAsia="Times New Roman" w:cs="Times New Roman"/>
          <w:szCs w:val="24"/>
        </w:rPr>
      </w:pPr>
      <w:r w:rsidRPr="00D8017D">
        <w:rPr>
          <w:rFonts w:eastAsia="Times New Roman" w:cs="Times New Roman"/>
          <w:szCs w:val="24"/>
        </w:rPr>
        <w:t>Ņemot vērā ES fiskālo noteikumu piemērošanas atjaunošanu, pasākumu, kas saskaņā ar Fiskālās politikas stratēģiju</w:t>
      </w:r>
      <w:r w:rsidRPr="00D8017D">
        <w:rPr>
          <w:rStyle w:val="FootnoteReference"/>
          <w:rFonts w:eastAsia="Times New Roman" w:cs="Times New Roman"/>
          <w:szCs w:val="24"/>
        </w:rPr>
        <w:footnoteReference w:id="15"/>
      </w:r>
      <w:r w:rsidRPr="00D8017D">
        <w:rPr>
          <w:rFonts w:eastAsia="Times New Roman" w:cs="Times New Roman"/>
          <w:szCs w:val="24"/>
        </w:rPr>
        <w:t xml:space="preserve"> tiek uzskatīti par vienreizējiem, finansēšana jāveic fiskālās disciplīnas noteikumu ietvaros. </w:t>
      </w:r>
      <w:r w:rsidR="0000055D" w:rsidRPr="00D8017D">
        <w:rPr>
          <w:rFonts w:eastAsia="Calibri" w:cs="Times New Roman"/>
          <w:bCs/>
          <w:color w:val="000000"/>
        </w:rPr>
        <w:t xml:space="preserve">Jāatzīmē, </w:t>
      </w:r>
      <w:r w:rsidRPr="00D8017D">
        <w:rPr>
          <w:rFonts w:eastAsia="Calibri" w:cs="Times New Roman"/>
          <w:bCs/>
          <w:color w:val="000000"/>
        </w:rPr>
        <w:t>gan l</w:t>
      </w:r>
      <w:r w:rsidRPr="00D8017D">
        <w:rPr>
          <w:rFonts w:eastAsia="Times New Roman" w:cs="Times New Roman"/>
          <w:szCs w:val="24"/>
        </w:rPr>
        <w:t xml:space="preserve">ikumā “Par valsts budžetu 2025. gadam un budžeta ietvaru 2025., 2026. un 2027. gadam”, gan </w:t>
      </w:r>
      <w:r w:rsidR="00306379" w:rsidRPr="00D8017D">
        <w:rPr>
          <w:color w:val="000000" w:themeColor="text1"/>
          <w:szCs w:val="24"/>
        </w:rPr>
        <w:t>likumprojekt</w:t>
      </w:r>
      <w:r w:rsidR="00E17768">
        <w:rPr>
          <w:color w:val="000000" w:themeColor="text1"/>
          <w:szCs w:val="24"/>
        </w:rPr>
        <w:t>ā</w:t>
      </w:r>
      <w:r w:rsidR="00306379" w:rsidRPr="00D8017D">
        <w:rPr>
          <w:color w:val="000000" w:themeColor="text1"/>
          <w:szCs w:val="24"/>
        </w:rPr>
        <w:t xml:space="preserve"> </w:t>
      </w:r>
      <w:r w:rsidR="00E17768">
        <w:rPr>
          <w:color w:val="000000" w:themeColor="text1"/>
          <w:szCs w:val="24"/>
        </w:rPr>
        <w:t>“</w:t>
      </w:r>
      <w:r w:rsidR="00306379" w:rsidRPr="00D8017D">
        <w:rPr>
          <w:color w:val="000000" w:themeColor="text1"/>
          <w:szCs w:val="24"/>
        </w:rPr>
        <w:t>Par valsts budžetu 2026. gadam un budžeta ietvaru 2026., 2027. un 2028. gadam</w:t>
      </w:r>
      <w:r w:rsidR="00E17768">
        <w:rPr>
          <w:color w:val="000000" w:themeColor="text1"/>
          <w:szCs w:val="24"/>
        </w:rPr>
        <w:t>”</w:t>
      </w:r>
      <w:r w:rsidR="00306379" w:rsidRPr="00D8017D">
        <w:rPr>
          <w:color w:val="000000" w:themeColor="text1"/>
          <w:szCs w:val="24"/>
        </w:rPr>
        <w:t xml:space="preserve"> </w:t>
      </w:r>
      <w:r w:rsidR="0000055D" w:rsidRPr="00D8017D">
        <w:rPr>
          <w:rFonts w:eastAsia="Calibri" w:cs="Times New Roman"/>
          <w:b/>
          <w:color w:val="000000"/>
        </w:rPr>
        <w:t>nav paredzēt</w:t>
      </w:r>
      <w:r w:rsidR="00306379" w:rsidRPr="00D8017D">
        <w:rPr>
          <w:rFonts w:eastAsia="Calibri" w:cs="Times New Roman"/>
          <w:b/>
          <w:color w:val="000000"/>
        </w:rPr>
        <w:t>i</w:t>
      </w:r>
      <w:r w:rsidR="0000055D" w:rsidRPr="00D8017D">
        <w:rPr>
          <w:rFonts w:eastAsia="Calibri" w:cs="Times New Roman"/>
          <w:b/>
          <w:color w:val="000000"/>
        </w:rPr>
        <w:t xml:space="preserve"> jaun</w:t>
      </w:r>
      <w:r w:rsidR="00306379" w:rsidRPr="00D8017D">
        <w:rPr>
          <w:rFonts w:eastAsia="Calibri" w:cs="Times New Roman"/>
          <w:b/>
          <w:color w:val="000000"/>
        </w:rPr>
        <w:t>i</w:t>
      </w:r>
      <w:r w:rsidR="0000055D" w:rsidRPr="00D8017D">
        <w:rPr>
          <w:rFonts w:eastAsia="Calibri" w:cs="Times New Roman"/>
          <w:b/>
          <w:color w:val="000000"/>
        </w:rPr>
        <w:t xml:space="preserve"> </w:t>
      </w:r>
      <w:r w:rsidR="00306379" w:rsidRPr="00D8017D">
        <w:rPr>
          <w:rFonts w:eastAsia="Calibri" w:cs="Times New Roman"/>
          <w:bCs/>
          <w:color w:val="000000"/>
        </w:rPr>
        <w:t xml:space="preserve">(papildus jau </w:t>
      </w:r>
      <w:r w:rsidR="00F3710B" w:rsidRPr="00D8017D">
        <w:rPr>
          <w:rFonts w:eastAsia="Calibri" w:cs="Times New Roman"/>
          <w:bCs/>
          <w:color w:val="000000"/>
        </w:rPr>
        <w:t>apstiprinātajiem</w:t>
      </w:r>
      <w:r w:rsidR="00306379" w:rsidRPr="00D8017D">
        <w:rPr>
          <w:rFonts w:eastAsia="Calibri" w:cs="Times New Roman"/>
          <w:bCs/>
          <w:color w:val="000000"/>
          <w:vertAlign w:val="superscript"/>
        </w:rPr>
        <w:footnoteReference w:id="16"/>
      </w:r>
      <w:r w:rsidR="00306379" w:rsidRPr="00D8017D">
        <w:rPr>
          <w:rFonts w:eastAsia="Calibri" w:cs="Times New Roman"/>
          <w:bCs/>
          <w:color w:val="000000"/>
        </w:rPr>
        <w:t xml:space="preserve">) </w:t>
      </w:r>
      <w:r w:rsidR="0000055D" w:rsidRPr="00D8017D">
        <w:rPr>
          <w:rFonts w:eastAsia="Calibri" w:cs="Times New Roman"/>
          <w:b/>
          <w:color w:val="000000"/>
        </w:rPr>
        <w:t>izdevumu pasākum</w:t>
      </w:r>
      <w:r w:rsidR="00306379" w:rsidRPr="00D8017D">
        <w:rPr>
          <w:rFonts w:eastAsia="Calibri" w:cs="Times New Roman"/>
          <w:b/>
          <w:color w:val="000000"/>
        </w:rPr>
        <w:t>i, kas atzīstami</w:t>
      </w:r>
      <w:r w:rsidR="0000055D" w:rsidRPr="00D8017D">
        <w:rPr>
          <w:rFonts w:eastAsia="Calibri" w:cs="Times New Roman"/>
          <w:b/>
          <w:color w:val="000000"/>
        </w:rPr>
        <w:t xml:space="preserve"> par vienreizējiem</w:t>
      </w:r>
      <w:r w:rsidR="0000055D" w:rsidRPr="00D8017D">
        <w:rPr>
          <w:rFonts w:eastAsia="Calibri" w:cs="Times New Roman"/>
          <w:bCs/>
          <w:color w:val="000000"/>
        </w:rPr>
        <w:t xml:space="preserve">. Attiecīgi </w:t>
      </w:r>
      <w:r w:rsidR="00306379" w:rsidRPr="00D8017D">
        <w:rPr>
          <w:rFonts w:eastAsia="Calibri" w:cs="Times New Roman"/>
          <w:bCs/>
          <w:color w:val="000000"/>
        </w:rPr>
        <w:t xml:space="preserve">arī </w:t>
      </w:r>
      <w:r w:rsidR="0000055D" w:rsidRPr="00D8017D">
        <w:rPr>
          <w:rFonts w:eastAsia="Calibri" w:cs="Times New Roman"/>
          <w:bCs/>
          <w:color w:val="000000"/>
        </w:rPr>
        <w:t>l</w:t>
      </w:r>
      <w:r w:rsidR="00AB2589" w:rsidRPr="00D8017D">
        <w:rPr>
          <w:rFonts w:eastAsia="Times New Roman" w:cs="Times New Roman"/>
          <w:szCs w:val="24"/>
        </w:rPr>
        <w:t>ikum</w:t>
      </w:r>
      <w:r w:rsidR="00934EB9" w:rsidRPr="00D8017D">
        <w:rPr>
          <w:rFonts w:eastAsia="Times New Roman" w:cs="Times New Roman"/>
          <w:szCs w:val="24"/>
        </w:rPr>
        <w:t>projektā</w:t>
      </w:r>
      <w:r w:rsidR="00557435" w:rsidRPr="00D8017D">
        <w:rPr>
          <w:rFonts w:eastAsia="Times New Roman" w:cs="Times New Roman"/>
          <w:szCs w:val="24"/>
        </w:rPr>
        <w:t xml:space="preserve"> </w:t>
      </w:r>
      <w:r w:rsidR="00065178" w:rsidRPr="00D8017D">
        <w:rPr>
          <w:rFonts w:eastAsia="Times New Roman" w:cs="Times New Roman"/>
          <w:szCs w:val="24"/>
        </w:rPr>
        <w:t>“Par valsts budžetu 202</w:t>
      </w:r>
      <w:r w:rsidR="00306379" w:rsidRPr="00D8017D">
        <w:rPr>
          <w:rFonts w:eastAsia="Times New Roman" w:cs="Times New Roman"/>
          <w:szCs w:val="24"/>
        </w:rPr>
        <w:t>6</w:t>
      </w:r>
      <w:r w:rsidR="00065178" w:rsidRPr="00D8017D">
        <w:rPr>
          <w:rFonts w:eastAsia="Times New Roman" w:cs="Times New Roman"/>
          <w:szCs w:val="24"/>
        </w:rPr>
        <w:t>.</w:t>
      </w:r>
      <w:r w:rsidR="003C02EC" w:rsidRPr="00D8017D">
        <w:rPr>
          <w:rFonts w:eastAsia="Times New Roman" w:cs="Times New Roman"/>
          <w:szCs w:val="24"/>
        </w:rPr>
        <w:t xml:space="preserve"> </w:t>
      </w:r>
      <w:r w:rsidR="00065178" w:rsidRPr="00D8017D">
        <w:rPr>
          <w:rFonts w:eastAsia="Times New Roman" w:cs="Times New Roman"/>
          <w:szCs w:val="24"/>
        </w:rPr>
        <w:t>gadam un budžeta ietvaru 202</w:t>
      </w:r>
      <w:r w:rsidR="00306379" w:rsidRPr="00D8017D">
        <w:rPr>
          <w:rFonts w:eastAsia="Times New Roman" w:cs="Times New Roman"/>
          <w:szCs w:val="24"/>
        </w:rPr>
        <w:t>6</w:t>
      </w:r>
      <w:r w:rsidR="00065178" w:rsidRPr="00D8017D">
        <w:rPr>
          <w:rFonts w:eastAsia="Times New Roman" w:cs="Times New Roman"/>
          <w:szCs w:val="24"/>
        </w:rPr>
        <w:t>., 202</w:t>
      </w:r>
      <w:r w:rsidR="00306379" w:rsidRPr="00D8017D">
        <w:rPr>
          <w:rFonts w:eastAsia="Times New Roman" w:cs="Times New Roman"/>
          <w:szCs w:val="24"/>
        </w:rPr>
        <w:t>7</w:t>
      </w:r>
      <w:r w:rsidR="00065178" w:rsidRPr="00D8017D">
        <w:rPr>
          <w:rFonts w:eastAsia="Times New Roman" w:cs="Times New Roman"/>
          <w:szCs w:val="24"/>
        </w:rPr>
        <w:t>. un 202</w:t>
      </w:r>
      <w:r w:rsidR="00306379" w:rsidRPr="00D8017D">
        <w:rPr>
          <w:rFonts w:eastAsia="Times New Roman" w:cs="Times New Roman"/>
          <w:szCs w:val="24"/>
        </w:rPr>
        <w:t>8</w:t>
      </w:r>
      <w:r w:rsidR="00065178" w:rsidRPr="00D8017D">
        <w:rPr>
          <w:rFonts w:eastAsia="Times New Roman" w:cs="Times New Roman"/>
          <w:szCs w:val="24"/>
        </w:rPr>
        <w:t>.</w:t>
      </w:r>
      <w:r w:rsidR="003C02EC" w:rsidRPr="00D8017D">
        <w:rPr>
          <w:rFonts w:eastAsia="Times New Roman" w:cs="Times New Roman"/>
          <w:szCs w:val="24"/>
        </w:rPr>
        <w:t xml:space="preserve"> </w:t>
      </w:r>
      <w:r w:rsidR="00065178" w:rsidRPr="00D8017D">
        <w:rPr>
          <w:rFonts w:eastAsia="Times New Roman" w:cs="Times New Roman"/>
          <w:szCs w:val="24"/>
        </w:rPr>
        <w:t>gad</w:t>
      </w:r>
      <w:r w:rsidR="00FB434A" w:rsidRPr="00D8017D">
        <w:rPr>
          <w:rFonts w:eastAsia="Times New Roman" w:cs="Times New Roman"/>
          <w:szCs w:val="24"/>
        </w:rPr>
        <w:t>am</w:t>
      </w:r>
      <w:r w:rsidR="00065178" w:rsidRPr="00D8017D">
        <w:rPr>
          <w:rFonts w:eastAsia="Times New Roman" w:cs="Times New Roman"/>
          <w:szCs w:val="24"/>
        </w:rPr>
        <w:t xml:space="preserve">” </w:t>
      </w:r>
      <w:r w:rsidR="00AB2589" w:rsidRPr="00D8017D">
        <w:rPr>
          <w:rFonts w:eastAsia="Times New Roman" w:cs="Times New Roman"/>
          <w:szCs w:val="24"/>
        </w:rPr>
        <w:t>no</w:t>
      </w:r>
      <w:r w:rsidR="0000055D" w:rsidRPr="00D8017D">
        <w:rPr>
          <w:rFonts w:eastAsia="Times New Roman" w:cs="Times New Roman"/>
          <w:szCs w:val="24"/>
        </w:rPr>
        <w:t>sakāmais</w:t>
      </w:r>
      <w:r w:rsidR="00C332E1" w:rsidRPr="00D8017D">
        <w:rPr>
          <w:rFonts w:eastAsia="Times New Roman" w:cs="Times New Roman"/>
          <w:szCs w:val="24"/>
        </w:rPr>
        <w:t xml:space="preserve"> vienreizējo pasākumu</w:t>
      </w:r>
      <w:r w:rsidR="00265993" w:rsidRPr="00D8017D">
        <w:rPr>
          <w:rFonts w:eastAsia="Times New Roman" w:cs="Times New Roman"/>
          <w:szCs w:val="24"/>
        </w:rPr>
        <w:t xml:space="preserve"> tvērums</w:t>
      </w:r>
      <w:bookmarkEnd w:id="40"/>
      <w:r w:rsidR="00C65C24" w:rsidRPr="00D8017D">
        <w:rPr>
          <w:rFonts w:eastAsia="Times New Roman" w:cs="Times New Roman"/>
          <w:szCs w:val="24"/>
        </w:rPr>
        <w:t xml:space="preserve"> tiek sašaurināts līdz </w:t>
      </w:r>
      <w:r w:rsidR="0000055D" w:rsidRPr="00D8017D">
        <w:rPr>
          <w:rFonts w:eastAsia="Times New Roman" w:cs="Times New Roman"/>
          <w:szCs w:val="24"/>
        </w:rPr>
        <w:t xml:space="preserve">tiem </w:t>
      </w:r>
      <w:r w:rsidR="00C65C24" w:rsidRPr="00D8017D">
        <w:rPr>
          <w:rFonts w:eastAsia="Times New Roman" w:cs="Times New Roman"/>
          <w:szCs w:val="24"/>
        </w:rPr>
        <w:t xml:space="preserve">pasākumiem, kas attiecināmi uz </w:t>
      </w:r>
      <w:r w:rsidR="000433EF" w:rsidRPr="00D8017D">
        <w:rPr>
          <w:rFonts w:eastAsia="Times New Roman" w:cs="Times New Roman"/>
          <w:szCs w:val="24"/>
        </w:rPr>
        <w:t>apsti</w:t>
      </w:r>
      <w:r w:rsidR="006869B4" w:rsidRPr="00D8017D">
        <w:rPr>
          <w:rFonts w:eastAsia="Times New Roman" w:cs="Times New Roman"/>
          <w:szCs w:val="24"/>
        </w:rPr>
        <w:t>p</w:t>
      </w:r>
      <w:r w:rsidR="000433EF" w:rsidRPr="00D8017D">
        <w:rPr>
          <w:rFonts w:eastAsia="Times New Roman" w:cs="Times New Roman"/>
          <w:szCs w:val="24"/>
        </w:rPr>
        <w:t>rinātajiem</w:t>
      </w:r>
      <w:r w:rsidR="00C65C24" w:rsidRPr="00D8017D">
        <w:rPr>
          <w:rFonts w:eastAsia="Times New Roman" w:cs="Times New Roman"/>
          <w:szCs w:val="24"/>
        </w:rPr>
        <w:t xml:space="preserve"> un vairāku gadu garumā realizējamajiem investīciju projektiem</w:t>
      </w:r>
      <w:r w:rsidR="000A63DF" w:rsidRPr="00D8017D">
        <w:rPr>
          <w:rFonts w:eastAsia="Times New Roman" w:cs="Times New Roman"/>
          <w:szCs w:val="24"/>
        </w:rPr>
        <w:t>, kā arī tiek saglabāts noteikums, ka</w:t>
      </w:r>
      <w:r w:rsidR="005735FB" w:rsidRPr="00D8017D">
        <w:rPr>
          <w:rFonts w:eastAsia="Times New Roman" w:cs="Times New Roman"/>
          <w:szCs w:val="24"/>
        </w:rPr>
        <w:t xml:space="preserve"> </w:t>
      </w:r>
      <w:r w:rsidR="000A63DF" w:rsidRPr="00D8017D">
        <w:rPr>
          <w:rFonts w:eastAsia="Times New Roman" w:cs="Times New Roman"/>
          <w:szCs w:val="24"/>
        </w:rPr>
        <w:t>valsts aizsardzības bāzes izdevumu pieauguma pret iepriekšējo gadu gadījumā, pieauguma gadā no strukturālā deficīta mērķa rādītāja tiek izslēgts izdevumu pieaugums 100% apmērā</w:t>
      </w:r>
      <w:r w:rsidR="00F9432A" w:rsidRPr="00D8017D">
        <w:rPr>
          <w:rFonts w:eastAsia="Times New Roman" w:cs="Times New Roman"/>
          <w:szCs w:val="24"/>
        </w:rPr>
        <w:t>.</w:t>
      </w:r>
      <w:r w:rsidR="000A63DF" w:rsidRPr="00D8017D">
        <w:rPr>
          <w:rFonts w:eastAsia="Times New Roman" w:cs="Times New Roman"/>
          <w:szCs w:val="24"/>
        </w:rPr>
        <w:t xml:space="preserve"> Pirmajā gadā pēc pieauguma 80% apmērā, otrajā gadā pēc pieauguma 60% apmērā, trešajā gadā pēc pieauguma 40% apmērā un ceturtajā gadā pēc pieauguma 20% apmērā.</w:t>
      </w:r>
      <w:r w:rsidR="005735FB" w:rsidRPr="00D8017D">
        <w:rPr>
          <w:rFonts w:eastAsia="Times New Roman" w:cs="Times New Roman"/>
          <w:szCs w:val="24"/>
        </w:rPr>
        <w:t xml:space="preserve"> </w:t>
      </w:r>
      <w:r w:rsidR="000A63DF" w:rsidRPr="00D8017D">
        <w:rPr>
          <w:rFonts w:eastAsia="Times New Roman" w:cs="Times New Roman"/>
          <w:szCs w:val="24"/>
        </w:rPr>
        <w:t xml:space="preserve"> </w:t>
      </w:r>
    </w:p>
    <w:p w14:paraId="6737B139" w14:textId="0CC22F39" w:rsidR="005E5B55" w:rsidRPr="00D8017D" w:rsidRDefault="008F4EAC" w:rsidP="006E534E">
      <w:pPr>
        <w:spacing w:after="0"/>
        <w:rPr>
          <w:rFonts w:eastAsia="Calibri" w:cs="Times New Roman"/>
          <w:color w:val="000000"/>
        </w:rPr>
      </w:pPr>
      <w:r w:rsidRPr="00D8017D">
        <w:rPr>
          <w:rFonts w:eastAsia="Calibri" w:cs="Times New Roman"/>
          <w:color w:val="000000"/>
        </w:rPr>
        <w:t xml:space="preserve">Likumprojekta </w:t>
      </w:r>
      <w:r w:rsidRPr="00D8017D">
        <w:rPr>
          <w:rFonts w:eastAsia="Times New Roman" w:cs="Times New Roman"/>
          <w:szCs w:val="24"/>
        </w:rPr>
        <w:t>“Par valsts budžetu 202</w:t>
      </w:r>
      <w:r w:rsidR="00306379" w:rsidRPr="00D8017D">
        <w:rPr>
          <w:rFonts w:eastAsia="Times New Roman" w:cs="Times New Roman"/>
          <w:szCs w:val="24"/>
        </w:rPr>
        <w:t>6</w:t>
      </w:r>
      <w:r w:rsidRPr="00D8017D">
        <w:rPr>
          <w:rFonts w:eastAsia="Times New Roman" w:cs="Times New Roman"/>
          <w:szCs w:val="24"/>
        </w:rPr>
        <w:t>. gadam un budžeta ietvaru 202</w:t>
      </w:r>
      <w:r w:rsidR="00306379" w:rsidRPr="00D8017D">
        <w:rPr>
          <w:rFonts w:eastAsia="Times New Roman" w:cs="Times New Roman"/>
          <w:szCs w:val="24"/>
        </w:rPr>
        <w:t>6</w:t>
      </w:r>
      <w:r w:rsidRPr="00D8017D">
        <w:rPr>
          <w:rFonts w:eastAsia="Times New Roman" w:cs="Times New Roman"/>
          <w:szCs w:val="24"/>
        </w:rPr>
        <w:t>., 202</w:t>
      </w:r>
      <w:r w:rsidR="00306379" w:rsidRPr="00D8017D">
        <w:rPr>
          <w:rFonts w:eastAsia="Times New Roman" w:cs="Times New Roman"/>
          <w:szCs w:val="24"/>
        </w:rPr>
        <w:t>7</w:t>
      </w:r>
      <w:r w:rsidRPr="00D8017D">
        <w:rPr>
          <w:rFonts w:eastAsia="Times New Roman" w:cs="Times New Roman"/>
          <w:szCs w:val="24"/>
        </w:rPr>
        <w:t>. un 202</w:t>
      </w:r>
      <w:r w:rsidR="00306379" w:rsidRPr="00D8017D">
        <w:rPr>
          <w:rFonts w:eastAsia="Times New Roman" w:cs="Times New Roman"/>
          <w:szCs w:val="24"/>
        </w:rPr>
        <w:t>8</w:t>
      </w:r>
      <w:r w:rsidRPr="00D8017D">
        <w:rPr>
          <w:rFonts w:eastAsia="Times New Roman" w:cs="Times New Roman"/>
          <w:szCs w:val="24"/>
        </w:rPr>
        <w:t>. gadam”</w:t>
      </w:r>
      <w:r w:rsidR="005735FB" w:rsidRPr="00D8017D">
        <w:rPr>
          <w:rFonts w:eastAsia="Calibri" w:cs="Times New Roman"/>
          <w:color w:val="000000"/>
        </w:rPr>
        <w:t xml:space="preserve"> </w:t>
      </w:r>
      <w:r w:rsidRPr="00D8017D">
        <w:rPr>
          <w:rFonts w:eastAsia="Calibri" w:cs="Times New Roman"/>
          <w:color w:val="000000"/>
        </w:rPr>
        <w:t xml:space="preserve">sagatavošanā tiek ņemta vērā </w:t>
      </w:r>
      <w:r w:rsidR="00282CB3" w:rsidRPr="00D8017D">
        <w:rPr>
          <w:rFonts w:eastAsia="Calibri" w:cs="Times New Roman"/>
          <w:color w:val="000000"/>
        </w:rPr>
        <w:t>2</w:t>
      </w:r>
      <w:r w:rsidRPr="00D8017D">
        <w:rPr>
          <w:rFonts w:eastAsia="Calibri" w:cs="Times New Roman"/>
          <w:color w:val="000000"/>
        </w:rPr>
        <w:t xml:space="preserve">.1. tabulā norādītā vienreizējo pasākumu fiskālā ietekme. </w:t>
      </w:r>
    </w:p>
    <w:p w14:paraId="36E35139" w14:textId="5F129929" w:rsidR="008F4EAC" w:rsidRPr="00D8017D" w:rsidRDefault="006E534E" w:rsidP="006E534E">
      <w:pPr>
        <w:spacing w:before="120"/>
        <w:jc w:val="right"/>
        <w:rPr>
          <w:rFonts w:eastAsia="Calibri" w:cs="Times New Roman"/>
          <w:b/>
          <w:bCs/>
          <w:i/>
          <w:iCs/>
          <w:color w:val="000000"/>
        </w:rPr>
      </w:pPr>
      <w:r w:rsidRPr="00D8017D">
        <w:rPr>
          <w:rFonts w:eastAsia="Calibri" w:cs="Times New Roman"/>
          <w:b/>
          <w:bCs/>
          <w:i/>
          <w:iCs/>
          <w:color w:val="000000"/>
        </w:rPr>
        <w:t xml:space="preserve">2.1. </w:t>
      </w:r>
      <w:r w:rsidR="008F4EAC" w:rsidRPr="00D8017D">
        <w:rPr>
          <w:rFonts w:eastAsia="Calibri" w:cs="Times New Roman"/>
          <w:b/>
          <w:bCs/>
          <w:i/>
          <w:iCs/>
          <w:color w:val="000000"/>
        </w:rPr>
        <w:t>tabula. Vienreizē</w:t>
      </w:r>
      <w:r w:rsidR="00074630" w:rsidRPr="00D8017D">
        <w:rPr>
          <w:rFonts w:eastAsia="Calibri" w:cs="Times New Roman"/>
          <w:b/>
          <w:bCs/>
          <w:i/>
          <w:iCs/>
          <w:color w:val="000000"/>
        </w:rPr>
        <w:t>jo</w:t>
      </w:r>
      <w:r w:rsidR="008F4EAC" w:rsidRPr="00D8017D">
        <w:rPr>
          <w:rFonts w:eastAsia="Calibri" w:cs="Times New Roman"/>
          <w:b/>
          <w:bCs/>
          <w:i/>
          <w:iCs/>
          <w:color w:val="000000"/>
        </w:rPr>
        <w:t xml:space="preserve"> pasākum</w:t>
      </w:r>
      <w:r w:rsidR="00074630" w:rsidRPr="00D8017D">
        <w:rPr>
          <w:rFonts w:eastAsia="Calibri" w:cs="Times New Roman"/>
          <w:b/>
          <w:bCs/>
          <w:i/>
          <w:iCs/>
          <w:color w:val="000000"/>
        </w:rPr>
        <w:t>u fiskālā ietekme</w:t>
      </w:r>
    </w:p>
    <w:tbl>
      <w:tblPr>
        <w:tblStyle w:val="TableGrid10"/>
        <w:tblW w:w="9444" w:type="dxa"/>
        <w:jc w:val="center"/>
        <w:tblLayout w:type="fixed"/>
        <w:tblLook w:val="04A0" w:firstRow="1" w:lastRow="0" w:firstColumn="1" w:lastColumn="0" w:noHBand="0" w:noVBand="1"/>
      </w:tblPr>
      <w:tblGrid>
        <w:gridCol w:w="1281"/>
        <w:gridCol w:w="907"/>
        <w:gridCol w:w="907"/>
        <w:gridCol w:w="907"/>
        <w:gridCol w:w="907"/>
        <w:gridCol w:w="907"/>
        <w:gridCol w:w="907"/>
        <w:gridCol w:w="907"/>
        <w:gridCol w:w="907"/>
        <w:gridCol w:w="907"/>
      </w:tblGrid>
      <w:tr w:rsidR="00B74B06" w:rsidRPr="00D8017D" w14:paraId="34AE5C13" w14:textId="3538EFD6" w:rsidTr="00B74B06">
        <w:trPr>
          <w:trHeight w:val="312"/>
          <w:tblHeader/>
          <w:jc w:val="center"/>
        </w:trPr>
        <w:tc>
          <w:tcPr>
            <w:tcW w:w="1281" w:type="dxa"/>
            <w:shd w:val="clear" w:color="auto" w:fill="9CC2E5" w:themeFill="accent1" w:themeFillTint="99"/>
            <w:noWrap/>
            <w:hideMark/>
          </w:tcPr>
          <w:p w14:paraId="0957E929" w14:textId="77777777" w:rsidR="00B74B06" w:rsidRPr="00D8017D" w:rsidRDefault="00B74B06" w:rsidP="00306379">
            <w:pPr>
              <w:ind w:firstLine="0"/>
              <w:jc w:val="center"/>
              <w:rPr>
                <w:rFonts w:cs="Times New Roman"/>
                <w:color w:val="000000"/>
                <w:sz w:val="20"/>
                <w:szCs w:val="20"/>
              </w:rPr>
            </w:pPr>
          </w:p>
        </w:tc>
        <w:tc>
          <w:tcPr>
            <w:tcW w:w="907" w:type="dxa"/>
            <w:shd w:val="clear" w:color="auto" w:fill="9CC2E5" w:themeFill="accent1" w:themeFillTint="99"/>
            <w:noWrap/>
            <w:vAlign w:val="center"/>
            <w:hideMark/>
          </w:tcPr>
          <w:p w14:paraId="0C987E93" w14:textId="21241A6B" w:rsidR="00B74B06" w:rsidRPr="00D8017D" w:rsidRDefault="00B74B06" w:rsidP="00306379">
            <w:pPr>
              <w:ind w:firstLine="0"/>
              <w:jc w:val="center"/>
              <w:rPr>
                <w:rFonts w:cs="Times New Roman"/>
                <w:b/>
                <w:bCs/>
                <w:color w:val="000000"/>
                <w:sz w:val="20"/>
                <w:szCs w:val="20"/>
              </w:rPr>
            </w:pPr>
            <w:r w:rsidRPr="00D8017D">
              <w:rPr>
                <w:rFonts w:cs="Times New Roman"/>
                <w:b/>
                <w:bCs/>
                <w:color w:val="000000"/>
                <w:sz w:val="20"/>
                <w:szCs w:val="20"/>
              </w:rPr>
              <w:t>2020</w:t>
            </w:r>
          </w:p>
        </w:tc>
        <w:tc>
          <w:tcPr>
            <w:tcW w:w="907" w:type="dxa"/>
            <w:shd w:val="clear" w:color="auto" w:fill="9CC2E5" w:themeFill="accent1" w:themeFillTint="99"/>
            <w:noWrap/>
            <w:vAlign w:val="center"/>
            <w:hideMark/>
          </w:tcPr>
          <w:p w14:paraId="513C751D" w14:textId="4D4FE33C" w:rsidR="00B74B06" w:rsidRPr="00D8017D" w:rsidRDefault="00B74B06" w:rsidP="00306379">
            <w:pPr>
              <w:ind w:firstLine="0"/>
              <w:jc w:val="center"/>
              <w:rPr>
                <w:rFonts w:cs="Times New Roman"/>
                <w:b/>
                <w:bCs/>
                <w:color w:val="000000"/>
                <w:sz w:val="20"/>
                <w:szCs w:val="20"/>
              </w:rPr>
            </w:pPr>
            <w:r w:rsidRPr="00D8017D">
              <w:rPr>
                <w:rFonts w:cs="Times New Roman"/>
                <w:b/>
                <w:bCs/>
                <w:color w:val="000000"/>
                <w:sz w:val="20"/>
                <w:szCs w:val="20"/>
              </w:rPr>
              <w:t>2021</w:t>
            </w:r>
          </w:p>
        </w:tc>
        <w:tc>
          <w:tcPr>
            <w:tcW w:w="907" w:type="dxa"/>
            <w:shd w:val="clear" w:color="auto" w:fill="9CC2E5" w:themeFill="accent1" w:themeFillTint="99"/>
            <w:noWrap/>
            <w:vAlign w:val="center"/>
            <w:hideMark/>
          </w:tcPr>
          <w:p w14:paraId="1765BDB8" w14:textId="39E190C7" w:rsidR="00B74B06" w:rsidRPr="00D8017D" w:rsidRDefault="00B74B06" w:rsidP="00306379">
            <w:pPr>
              <w:ind w:firstLine="0"/>
              <w:jc w:val="center"/>
              <w:rPr>
                <w:rFonts w:cs="Times New Roman"/>
                <w:b/>
                <w:bCs/>
                <w:color w:val="000000"/>
                <w:sz w:val="20"/>
                <w:szCs w:val="20"/>
              </w:rPr>
            </w:pPr>
            <w:r w:rsidRPr="00D8017D">
              <w:rPr>
                <w:rFonts w:cs="Times New Roman"/>
                <w:b/>
                <w:bCs/>
                <w:color w:val="000000"/>
                <w:sz w:val="20"/>
                <w:szCs w:val="20"/>
              </w:rPr>
              <w:t>2022</w:t>
            </w:r>
          </w:p>
        </w:tc>
        <w:tc>
          <w:tcPr>
            <w:tcW w:w="907" w:type="dxa"/>
            <w:shd w:val="clear" w:color="auto" w:fill="9CC2E5" w:themeFill="accent1" w:themeFillTint="99"/>
            <w:noWrap/>
            <w:vAlign w:val="center"/>
            <w:hideMark/>
          </w:tcPr>
          <w:p w14:paraId="352BE9B3" w14:textId="35319C4E" w:rsidR="00B74B06" w:rsidRPr="00D8017D" w:rsidRDefault="00B74B06" w:rsidP="00306379">
            <w:pPr>
              <w:ind w:firstLine="0"/>
              <w:jc w:val="center"/>
              <w:rPr>
                <w:rFonts w:cs="Times New Roman"/>
                <w:b/>
                <w:bCs/>
                <w:color w:val="000000"/>
                <w:sz w:val="20"/>
                <w:szCs w:val="20"/>
              </w:rPr>
            </w:pPr>
            <w:r w:rsidRPr="00D8017D">
              <w:rPr>
                <w:rFonts w:cs="Times New Roman"/>
                <w:b/>
                <w:bCs/>
                <w:color w:val="000000"/>
                <w:sz w:val="20"/>
                <w:szCs w:val="20"/>
              </w:rPr>
              <w:t>2023</w:t>
            </w:r>
          </w:p>
        </w:tc>
        <w:tc>
          <w:tcPr>
            <w:tcW w:w="907" w:type="dxa"/>
            <w:shd w:val="clear" w:color="auto" w:fill="9CC2E5" w:themeFill="accent1" w:themeFillTint="99"/>
            <w:noWrap/>
            <w:vAlign w:val="center"/>
            <w:hideMark/>
          </w:tcPr>
          <w:p w14:paraId="70B15828" w14:textId="5E5CFC3E" w:rsidR="00B74B06" w:rsidRPr="00D8017D" w:rsidRDefault="00B74B06" w:rsidP="00306379">
            <w:pPr>
              <w:ind w:firstLine="0"/>
              <w:jc w:val="center"/>
              <w:rPr>
                <w:rFonts w:cs="Times New Roman"/>
                <w:b/>
                <w:bCs/>
                <w:color w:val="000000"/>
                <w:sz w:val="20"/>
                <w:szCs w:val="20"/>
              </w:rPr>
            </w:pPr>
            <w:r w:rsidRPr="00D8017D">
              <w:rPr>
                <w:rFonts w:cs="Times New Roman"/>
                <w:b/>
                <w:bCs/>
                <w:color w:val="000000"/>
                <w:sz w:val="20"/>
                <w:szCs w:val="20"/>
              </w:rPr>
              <w:t>2024</w:t>
            </w:r>
          </w:p>
        </w:tc>
        <w:tc>
          <w:tcPr>
            <w:tcW w:w="907" w:type="dxa"/>
            <w:shd w:val="clear" w:color="auto" w:fill="9CC2E5" w:themeFill="accent1" w:themeFillTint="99"/>
            <w:noWrap/>
            <w:vAlign w:val="center"/>
            <w:hideMark/>
          </w:tcPr>
          <w:p w14:paraId="5E8FF875" w14:textId="012BFC2E" w:rsidR="00B74B06" w:rsidRPr="00D8017D" w:rsidRDefault="00B74B06" w:rsidP="00306379">
            <w:pPr>
              <w:ind w:firstLine="0"/>
              <w:jc w:val="center"/>
              <w:rPr>
                <w:rFonts w:cs="Times New Roman"/>
                <w:b/>
                <w:bCs/>
                <w:color w:val="000000"/>
                <w:sz w:val="20"/>
                <w:szCs w:val="20"/>
              </w:rPr>
            </w:pPr>
            <w:r w:rsidRPr="00D8017D">
              <w:rPr>
                <w:rFonts w:cs="Times New Roman"/>
                <w:b/>
                <w:bCs/>
                <w:color w:val="000000"/>
                <w:sz w:val="20"/>
                <w:szCs w:val="20"/>
              </w:rPr>
              <w:t>2025</w:t>
            </w:r>
          </w:p>
        </w:tc>
        <w:tc>
          <w:tcPr>
            <w:tcW w:w="907" w:type="dxa"/>
            <w:shd w:val="clear" w:color="auto" w:fill="9CC2E5" w:themeFill="accent1" w:themeFillTint="99"/>
            <w:vAlign w:val="center"/>
          </w:tcPr>
          <w:p w14:paraId="543B7925" w14:textId="40CA68F5" w:rsidR="00B74B06" w:rsidRPr="00D8017D" w:rsidRDefault="00B74B06" w:rsidP="00306379">
            <w:pPr>
              <w:ind w:firstLine="0"/>
              <w:jc w:val="center"/>
              <w:rPr>
                <w:rFonts w:cs="Times New Roman"/>
                <w:b/>
                <w:bCs/>
                <w:color w:val="000000"/>
                <w:sz w:val="20"/>
                <w:szCs w:val="20"/>
              </w:rPr>
            </w:pPr>
            <w:r w:rsidRPr="00D8017D">
              <w:rPr>
                <w:rFonts w:cs="Times New Roman"/>
                <w:b/>
                <w:bCs/>
                <w:color w:val="000000"/>
                <w:sz w:val="20"/>
                <w:szCs w:val="20"/>
              </w:rPr>
              <w:t>2026</w:t>
            </w:r>
          </w:p>
        </w:tc>
        <w:tc>
          <w:tcPr>
            <w:tcW w:w="907" w:type="dxa"/>
            <w:shd w:val="clear" w:color="auto" w:fill="9CC2E5" w:themeFill="accent1" w:themeFillTint="99"/>
            <w:vAlign w:val="center"/>
          </w:tcPr>
          <w:p w14:paraId="08A355B7" w14:textId="3DE770BE" w:rsidR="00B74B06" w:rsidRPr="00D8017D" w:rsidRDefault="00B74B06" w:rsidP="00306379">
            <w:pPr>
              <w:ind w:firstLine="0"/>
              <w:jc w:val="center"/>
              <w:rPr>
                <w:rFonts w:cs="Times New Roman"/>
                <w:b/>
                <w:bCs/>
                <w:color w:val="000000"/>
                <w:sz w:val="20"/>
                <w:szCs w:val="20"/>
              </w:rPr>
            </w:pPr>
            <w:r w:rsidRPr="00D8017D">
              <w:rPr>
                <w:rFonts w:cs="Times New Roman"/>
                <w:b/>
                <w:bCs/>
                <w:color w:val="000000"/>
                <w:sz w:val="20"/>
                <w:szCs w:val="20"/>
              </w:rPr>
              <w:t>2027</w:t>
            </w:r>
          </w:p>
        </w:tc>
        <w:tc>
          <w:tcPr>
            <w:tcW w:w="907" w:type="dxa"/>
            <w:shd w:val="clear" w:color="auto" w:fill="9CC2E5" w:themeFill="accent1" w:themeFillTint="99"/>
            <w:vAlign w:val="center"/>
          </w:tcPr>
          <w:p w14:paraId="7D1BF5B7" w14:textId="2333F06D" w:rsidR="00B74B06" w:rsidRPr="00D8017D" w:rsidRDefault="00B74B06" w:rsidP="00306379">
            <w:pPr>
              <w:ind w:firstLine="0"/>
              <w:jc w:val="center"/>
              <w:rPr>
                <w:rFonts w:cs="Times New Roman"/>
                <w:b/>
                <w:bCs/>
                <w:color w:val="000000"/>
                <w:sz w:val="20"/>
                <w:szCs w:val="20"/>
              </w:rPr>
            </w:pPr>
            <w:r w:rsidRPr="00D8017D">
              <w:rPr>
                <w:rFonts w:cs="Times New Roman"/>
                <w:b/>
                <w:bCs/>
                <w:color w:val="000000"/>
                <w:sz w:val="20"/>
                <w:szCs w:val="20"/>
              </w:rPr>
              <w:t>2028</w:t>
            </w:r>
          </w:p>
        </w:tc>
      </w:tr>
      <w:tr w:rsidR="00B74B06" w:rsidRPr="00D8017D" w14:paraId="26320C4F" w14:textId="4715DBF7" w:rsidTr="00B74B06">
        <w:trPr>
          <w:trHeight w:val="312"/>
          <w:jc w:val="center"/>
        </w:trPr>
        <w:tc>
          <w:tcPr>
            <w:tcW w:w="1281" w:type="dxa"/>
            <w:noWrap/>
            <w:hideMark/>
          </w:tcPr>
          <w:p w14:paraId="200F22A4" w14:textId="77777777" w:rsidR="00B74B06" w:rsidRPr="00D8017D" w:rsidRDefault="00B74B06" w:rsidP="00306379">
            <w:pPr>
              <w:ind w:firstLine="0"/>
              <w:jc w:val="left"/>
              <w:rPr>
                <w:rFonts w:cs="Times New Roman"/>
                <w:color w:val="000000"/>
                <w:sz w:val="20"/>
                <w:szCs w:val="20"/>
              </w:rPr>
            </w:pPr>
            <w:r w:rsidRPr="00D8017D">
              <w:rPr>
                <w:rFonts w:cs="Times New Roman"/>
                <w:color w:val="000000"/>
                <w:sz w:val="20"/>
                <w:szCs w:val="20"/>
              </w:rPr>
              <w:t xml:space="preserve">IKP, milj. </w:t>
            </w:r>
            <w:r w:rsidRPr="00D8017D">
              <w:rPr>
                <w:rFonts w:cs="Times New Roman"/>
                <w:i/>
                <w:iCs/>
                <w:color w:val="000000"/>
                <w:sz w:val="20"/>
                <w:szCs w:val="20"/>
              </w:rPr>
              <w:t>euro</w:t>
            </w:r>
          </w:p>
        </w:tc>
        <w:tc>
          <w:tcPr>
            <w:tcW w:w="907" w:type="dxa"/>
            <w:noWrap/>
            <w:vAlign w:val="bottom"/>
            <w:hideMark/>
          </w:tcPr>
          <w:p w14:paraId="7FB0A9F7" w14:textId="6D4ED647" w:rsidR="00B74B06" w:rsidRPr="00D8017D" w:rsidRDefault="00B74B06" w:rsidP="00306379">
            <w:pPr>
              <w:ind w:firstLine="0"/>
              <w:jc w:val="center"/>
              <w:rPr>
                <w:rFonts w:cs="Times New Roman"/>
                <w:color w:val="000000"/>
                <w:sz w:val="20"/>
                <w:szCs w:val="20"/>
              </w:rPr>
            </w:pPr>
            <w:r w:rsidRPr="00D8017D">
              <w:rPr>
                <w:rFonts w:cs="Times New Roman"/>
                <w:b/>
                <w:bCs/>
                <w:sz w:val="20"/>
                <w:szCs w:val="20"/>
              </w:rPr>
              <w:t>29 224</w:t>
            </w:r>
          </w:p>
        </w:tc>
        <w:tc>
          <w:tcPr>
            <w:tcW w:w="907" w:type="dxa"/>
            <w:noWrap/>
            <w:vAlign w:val="bottom"/>
            <w:hideMark/>
          </w:tcPr>
          <w:p w14:paraId="3775785E" w14:textId="2463D675" w:rsidR="00B74B06" w:rsidRPr="00D8017D" w:rsidRDefault="00B74B06" w:rsidP="00306379">
            <w:pPr>
              <w:ind w:firstLine="0"/>
              <w:jc w:val="center"/>
              <w:rPr>
                <w:rFonts w:cs="Times New Roman"/>
                <w:color w:val="000000"/>
                <w:sz w:val="20"/>
                <w:szCs w:val="20"/>
              </w:rPr>
            </w:pPr>
            <w:r w:rsidRPr="00D8017D">
              <w:rPr>
                <w:rFonts w:cs="Times New Roman"/>
                <w:b/>
                <w:bCs/>
                <w:sz w:val="20"/>
                <w:szCs w:val="20"/>
              </w:rPr>
              <w:t>32 284</w:t>
            </w:r>
          </w:p>
        </w:tc>
        <w:tc>
          <w:tcPr>
            <w:tcW w:w="907" w:type="dxa"/>
            <w:noWrap/>
            <w:vAlign w:val="bottom"/>
            <w:hideMark/>
          </w:tcPr>
          <w:p w14:paraId="30978FEE" w14:textId="65536CB4" w:rsidR="00B74B06" w:rsidRPr="00D8017D" w:rsidRDefault="00B74B06" w:rsidP="00306379">
            <w:pPr>
              <w:ind w:firstLine="0"/>
              <w:jc w:val="center"/>
              <w:rPr>
                <w:rFonts w:cs="Times New Roman"/>
                <w:color w:val="000000"/>
                <w:sz w:val="20"/>
                <w:szCs w:val="20"/>
              </w:rPr>
            </w:pPr>
            <w:r w:rsidRPr="00D8017D">
              <w:rPr>
                <w:rFonts w:cs="Times New Roman"/>
                <w:b/>
                <w:bCs/>
                <w:sz w:val="20"/>
                <w:szCs w:val="20"/>
              </w:rPr>
              <w:t>36 100</w:t>
            </w:r>
          </w:p>
        </w:tc>
        <w:tc>
          <w:tcPr>
            <w:tcW w:w="907" w:type="dxa"/>
            <w:noWrap/>
            <w:vAlign w:val="bottom"/>
            <w:hideMark/>
          </w:tcPr>
          <w:p w14:paraId="417978E0" w14:textId="1F7949CD" w:rsidR="00B74B06" w:rsidRPr="00D8017D" w:rsidRDefault="00B74B06" w:rsidP="00306379">
            <w:pPr>
              <w:ind w:firstLine="0"/>
              <w:jc w:val="center"/>
              <w:rPr>
                <w:rFonts w:cs="Times New Roman"/>
                <w:color w:val="000000"/>
                <w:sz w:val="20"/>
                <w:szCs w:val="20"/>
              </w:rPr>
            </w:pPr>
            <w:r w:rsidRPr="00D8017D">
              <w:rPr>
                <w:rFonts w:cs="Times New Roman"/>
                <w:b/>
                <w:bCs/>
                <w:sz w:val="20"/>
                <w:szCs w:val="20"/>
              </w:rPr>
              <w:t>39 372</w:t>
            </w:r>
          </w:p>
        </w:tc>
        <w:tc>
          <w:tcPr>
            <w:tcW w:w="907" w:type="dxa"/>
            <w:noWrap/>
            <w:vAlign w:val="bottom"/>
            <w:hideMark/>
          </w:tcPr>
          <w:p w14:paraId="6C1EF3ED" w14:textId="25207EA1" w:rsidR="00B74B06" w:rsidRPr="00D8017D" w:rsidRDefault="00B74B06" w:rsidP="00306379">
            <w:pPr>
              <w:ind w:firstLine="0"/>
              <w:jc w:val="center"/>
              <w:rPr>
                <w:rFonts w:cs="Times New Roman"/>
                <w:color w:val="000000"/>
                <w:sz w:val="20"/>
                <w:szCs w:val="20"/>
              </w:rPr>
            </w:pPr>
            <w:r w:rsidRPr="00D8017D">
              <w:rPr>
                <w:rFonts w:cs="Times New Roman"/>
                <w:b/>
                <w:bCs/>
                <w:sz w:val="20"/>
                <w:szCs w:val="20"/>
              </w:rPr>
              <w:t>40 208</w:t>
            </w:r>
          </w:p>
        </w:tc>
        <w:tc>
          <w:tcPr>
            <w:tcW w:w="907" w:type="dxa"/>
            <w:noWrap/>
            <w:vAlign w:val="bottom"/>
            <w:hideMark/>
          </w:tcPr>
          <w:p w14:paraId="7A80C108" w14:textId="19BD0D3C" w:rsidR="00B74B06" w:rsidRPr="00D8017D" w:rsidRDefault="00B74B06" w:rsidP="00306379">
            <w:pPr>
              <w:ind w:firstLine="0"/>
              <w:jc w:val="center"/>
              <w:rPr>
                <w:rFonts w:cs="Times New Roman"/>
                <w:color w:val="000000"/>
                <w:sz w:val="20"/>
                <w:szCs w:val="20"/>
              </w:rPr>
            </w:pPr>
            <w:r w:rsidRPr="00D8017D">
              <w:rPr>
                <w:rFonts w:cs="Times New Roman"/>
                <w:b/>
                <w:bCs/>
                <w:sz w:val="20"/>
                <w:szCs w:val="20"/>
              </w:rPr>
              <w:t>41 985</w:t>
            </w:r>
          </w:p>
        </w:tc>
        <w:tc>
          <w:tcPr>
            <w:tcW w:w="907" w:type="dxa"/>
            <w:vAlign w:val="bottom"/>
          </w:tcPr>
          <w:p w14:paraId="387A4C83" w14:textId="264C6556" w:rsidR="00B74B06" w:rsidRPr="00D8017D" w:rsidRDefault="00B74B06" w:rsidP="00306379">
            <w:pPr>
              <w:ind w:firstLine="0"/>
              <w:jc w:val="center"/>
              <w:rPr>
                <w:rFonts w:cs="Times New Roman"/>
                <w:color w:val="000000"/>
                <w:sz w:val="20"/>
                <w:szCs w:val="20"/>
              </w:rPr>
            </w:pPr>
            <w:r w:rsidRPr="00D8017D">
              <w:rPr>
                <w:rFonts w:cs="Times New Roman"/>
                <w:b/>
                <w:bCs/>
                <w:sz w:val="20"/>
                <w:szCs w:val="20"/>
              </w:rPr>
              <w:t>43 953</w:t>
            </w:r>
          </w:p>
        </w:tc>
        <w:tc>
          <w:tcPr>
            <w:tcW w:w="907" w:type="dxa"/>
            <w:vAlign w:val="bottom"/>
          </w:tcPr>
          <w:p w14:paraId="46D61A20" w14:textId="147D816C" w:rsidR="00B74B06" w:rsidRPr="00D8017D" w:rsidRDefault="00B74B06" w:rsidP="00306379">
            <w:pPr>
              <w:ind w:firstLine="0"/>
              <w:jc w:val="center"/>
              <w:rPr>
                <w:rFonts w:cs="Times New Roman"/>
                <w:color w:val="000000"/>
                <w:sz w:val="20"/>
                <w:szCs w:val="20"/>
              </w:rPr>
            </w:pPr>
            <w:r w:rsidRPr="00D8017D">
              <w:rPr>
                <w:rFonts w:cs="Times New Roman"/>
                <w:b/>
                <w:bCs/>
                <w:sz w:val="20"/>
                <w:szCs w:val="20"/>
              </w:rPr>
              <w:t>46 026</w:t>
            </w:r>
          </w:p>
        </w:tc>
        <w:tc>
          <w:tcPr>
            <w:tcW w:w="907" w:type="dxa"/>
            <w:vAlign w:val="bottom"/>
          </w:tcPr>
          <w:p w14:paraId="1EB523FB" w14:textId="3D94884C" w:rsidR="00B74B06" w:rsidRPr="00D8017D" w:rsidRDefault="00B74B06" w:rsidP="00306379">
            <w:pPr>
              <w:ind w:firstLine="0"/>
              <w:jc w:val="center"/>
              <w:rPr>
                <w:rFonts w:cs="Times New Roman"/>
                <w:color w:val="000000"/>
                <w:sz w:val="20"/>
                <w:szCs w:val="20"/>
              </w:rPr>
            </w:pPr>
            <w:r w:rsidRPr="00D8017D">
              <w:rPr>
                <w:rFonts w:cs="Times New Roman"/>
                <w:b/>
                <w:bCs/>
                <w:sz w:val="20"/>
                <w:szCs w:val="20"/>
              </w:rPr>
              <w:t>48 154</w:t>
            </w:r>
          </w:p>
        </w:tc>
      </w:tr>
      <w:tr w:rsidR="00B74B06" w:rsidRPr="00D8017D" w14:paraId="2CD5B7B3" w14:textId="3D4A332A" w:rsidTr="0090045A">
        <w:trPr>
          <w:trHeight w:val="312"/>
          <w:jc w:val="center"/>
        </w:trPr>
        <w:tc>
          <w:tcPr>
            <w:tcW w:w="1281" w:type="dxa"/>
            <w:shd w:val="clear" w:color="auto" w:fill="9CC2E5" w:themeFill="accent1" w:themeFillTint="99"/>
            <w:noWrap/>
          </w:tcPr>
          <w:p w14:paraId="690EE80C" w14:textId="77777777" w:rsidR="00B74B06" w:rsidRPr="00D8017D" w:rsidRDefault="00B74B06" w:rsidP="008349F0">
            <w:pPr>
              <w:ind w:firstLine="0"/>
              <w:jc w:val="left"/>
              <w:rPr>
                <w:rFonts w:cs="Times New Roman"/>
                <w:color w:val="000000"/>
                <w:sz w:val="20"/>
                <w:szCs w:val="20"/>
                <w:highlight w:val="lightGray"/>
              </w:rPr>
            </w:pPr>
          </w:p>
        </w:tc>
        <w:tc>
          <w:tcPr>
            <w:tcW w:w="5442" w:type="dxa"/>
            <w:gridSpan w:val="6"/>
            <w:shd w:val="clear" w:color="auto" w:fill="9CC2E5" w:themeFill="accent1" w:themeFillTint="99"/>
            <w:noWrap/>
          </w:tcPr>
          <w:p w14:paraId="250EE122" w14:textId="4C0110F5" w:rsidR="00B74B06" w:rsidRPr="00D8017D" w:rsidRDefault="00B74B06" w:rsidP="008349F0">
            <w:pPr>
              <w:ind w:firstLine="0"/>
              <w:jc w:val="center"/>
              <w:rPr>
                <w:rFonts w:cs="Times New Roman"/>
                <w:b/>
                <w:bCs/>
                <w:sz w:val="20"/>
                <w:szCs w:val="20"/>
                <w:highlight w:val="lightGray"/>
              </w:rPr>
            </w:pPr>
            <w:r w:rsidRPr="00D8017D">
              <w:rPr>
                <w:rFonts w:cs="Times New Roman"/>
                <w:b/>
                <w:bCs/>
                <w:color w:val="000000"/>
                <w:sz w:val="20"/>
                <w:szCs w:val="20"/>
              </w:rPr>
              <w:t>fakts/novērtējums</w:t>
            </w:r>
          </w:p>
        </w:tc>
        <w:tc>
          <w:tcPr>
            <w:tcW w:w="2721" w:type="dxa"/>
            <w:gridSpan w:val="3"/>
            <w:shd w:val="clear" w:color="auto" w:fill="9CC2E5" w:themeFill="accent1" w:themeFillTint="99"/>
          </w:tcPr>
          <w:p w14:paraId="6C840352" w14:textId="01E0D167" w:rsidR="00B74B06" w:rsidRPr="00D8017D" w:rsidRDefault="00B74B06" w:rsidP="008349F0">
            <w:pPr>
              <w:ind w:firstLine="0"/>
              <w:jc w:val="center"/>
              <w:rPr>
                <w:rFonts w:cs="Times New Roman"/>
                <w:b/>
                <w:bCs/>
                <w:color w:val="000000"/>
                <w:sz w:val="20"/>
                <w:szCs w:val="20"/>
                <w:highlight w:val="lightGray"/>
              </w:rPr>
            </w:pPr>
            <w:r w:rsidRPr="00D8017D">
              <w:rPr>
                <w:rFonts w:cs="Times New Roman"/>
                <w:b/>
                <w:bCs/>
                <w:color w:val="000000"/>
                <w:sz w:val="20"/>
                <w:szCs w:val="20"/>
              </w:rPr>
              <w:t>prognoze</w:t>
            </w:r>
          </w:p>
        </w:tc>
      </w:tr>
      <w:tr w:rsidR="00B74B06" w:rsidRPr="00D8017D" w14:paraId="51C90452" w14:textId="3D0A25A4" w:rsidTr="00B74B06">
        <w:trPr>
          <w:trHeight w:val="312"/>
          <w:jc w:val="center"/>
        </w:trPr>
        <w:tc>
          <w:tcPr>
            <w:tcW w:w="1281" w:type="dxa"/>
            <w:shd w:val="clear" w:color="auto" w:fill="BDD6EE" w:themeFill="accent1" w:themeFillTint="66"/>
            <w:noWrap/>
            <w:hideMark/>
          </w:tcPr>
          <w:p w14:paraId="1DF51C68" w14:textId="428E49E7" w:rsidR="00B74B06" w:rsidRPr="00D8017D" w:rsidRDefault="00B74B06" w:rsidP="00306379">
            <w:pPr>
              <w:ind w:firstLine="0"/>
              <w:jc w:val="left"/>
              <w:rPr>
                <w:rFonts w:cs="Times New Roman"/>
                <w:b/>
                <w:bCs/>
                <w:color w:val="000000"/>
                <w:sz w:val="20"/>
                <w:szCs w:val="20"/>
              </w:rPr>
            </w:pPr>
            <w:r w:rsidRPr="00D8017D">
              <w:rPr>
                <w:rFonts w:cs="Times New Roman"/>
                <w:b/>
                <w:bCs/>
                <w:color w:val="000000"/>
                <w:sz w:val="20"/>
                <w:szCs w:val="20"/>
              </w:rPr>
              <w:t xml:space="preserve">Vienreizējie un citi īslaicīgie pasākumi, milj. </w:t>
            </w:r>
            <w:r w:rsidRPr="00D8017D">
              <w:rPr>
                <w:rFonts w:cs="Times New Roman"/>
                <w:b/>
                <w:bCs/>
                <w:i/>
                <w:iCs/>
                <w:color w:val="000000"/>
                <w:sz w:val="20"/>
                <w:szCs w:val="20"/>
              </w:rPr>
              <w:t>euro</w:t>
            </w:r>
            <w:r w:rsidRPr="00D8017D">
              <w:rPr>
                <w:rFonts w:cs="Times New Roman"/>
                <w:b/>
                <w:bCs/>
                <w:color w:val="000000"/>
                <w:sz w:val="20"/>
                <w:szCs w:val="20"/>
              </w:rPr>
              <w:t>, tai skaitā</w:t>
            </w:r>
          </w:p>
        </w:tc>
        <w:tc>
          <w:tcPr>
            <w:tcW w:w="907" w:type="dxa"/>
            <w:shd w:val="clear" w:color="auto" w:fill="BDD6EE" w:themeFill="accent1" w:themeFillTint="66"/>
            <w:noWrap/>
            <w:vAlign w:val="center"/>
          </w:tcPr>
          <w:p w14:paraId="5F4F751B" w14:textId="7E209899" w:rsidR="00B74B06" w:rsidRPr="00D8017D" w:rsidRDefault="00B74B06" w:rsidP="00306379">
            <w:pPr>
              <w:ind w:firstLine="0"/>
              <w:jc w:val="center"/>
              <w:rPr>
                <w:rFonts w:cs="Times New Roman"/>
                <w:b/>
                <w:bCs/>
                <w:color w:val="000000"/>
                <w:sz w:val="20"/>
                <w:szCs w:val="20"/>
                <w:highlight w:val="lightGray"/>
              </w:rPr>
            </w:pPr>
            <w:r w:rsidRPr="00D8017D">
              <w:rPr>
                <w:rFonts w:cs="Times New Roman"/>
                <w:b/>
                <w:bCs/>
                <w:sz w:val="20"/>
                <w:szCs w:val="20"/>
              </w:rPr>
              <w:t>-1 015,5</w:t>
            </w:r>
          </w:p>
        </w:tc>
        <w:tc>
          <w:tcPr>
            <w:tcW w:w="907" w:type="dxa"/>
            <w:shd w:val="clear" w:color="auto" w:fill="BDD6EE" w:themeFill="accent1" w:themeFillTint="66"/>
            <w:noWrap/>
            <w:vAlign w:val="center"/>
          </w:tcPr>
          <w:p w14:paraId="064C76E9" w14:textId="4DBF2FF9" w:rsidR="00B74B06" w:rsidRPr="00D8017D" w:rsidRDefault="00B74B06" w:rsidP="00306379">
            <w:pPr>
              <w:ind w:firstLine="0"/>
              <w:jc w:val="center"/>
              <w:rPr>
                <w:rFonts w:cs="Times New Roman"/>
                <w:b/>
                <w:bCs/>
                <w:color w:val="000000"/>
                <w:sz w:val="20"/>
                <w:szCs w:val="20"/>
                <w:highlight w:val="lightGray"/>
              </w:rPr>
            </w:pPr>
            <w:r w:rsidRPr="00D8017D">
              <w:rPr>
                <w:rFonts w:cs="Times New Roman"/>
                <w:b/>
                <w:bCs/>
                <w:sz w:val="20"/>
                <w:szCs w:val="20"/>
              </w:rPr>
              <w:t>-2 054,7</w:t>
            </w:r>
          </w:p>
        </w:tc>
        <w:tc>
          <w:tcPr>
            <w:tcW w:w="907" w:type="dxa"/>
            <w:shd w:val="clear" w:color="auto" w:fill="BDD6EE" w:themeFill="accent1" w:themeFillTint="66"/>
            <w:noWrap/>
            <w:vAlign w:val="center"/>
          </w:tcPr>
          <w:p w14:paraId="3E7A83EA" w14:textId="31EBEC4E" w:rsidR="00B74B06" w:rsidRPr="00D8017D" w:rsidRDefault="00B74B06" w:rsidP="00306379">
            <w:pPr>
              <w:ind w:firstLine="0"/>
              <w:jc w:val="center"/>
              <w:rPr>
                <w:rFonts w:cs="Times New Roman"/>
                <w:b/>
                <w:bCs/>
                <w:color w:val="000000"/>
                <w:sz w:val="20"/>
                <w:szCs w:val="20"/>
                <w:highlight w:val="lightGray"/>
              </w:rPr>
            </w:pPr>
            <w:r w:rsidRPr="00D8017D">
              <w:rPr>
                <w:rFonts w:cs="Times New Roman"/>
                <w:b/>
                <w:bCs/>
                <w:sz w:val="20"/>
                <w:szCs w:val="20"/>
              </w:rPr>
              <w:t>-1 878,6</w:t>
            </w:r>
          </w:p>
        </w:tc>
        <w:tc>
          <w:tcPr>
            <w:tcW w:w="907" w:type="dxa"/>
            <w:shd w:val="clear" w:color="auto" w:fill="BDD6EE" w:themeFill="accent1" w:themeFillTint="66"/>
            <w:noWrap/>
            <w:vAlign w:val="center"/>
          </w:tcPr>
          <w:p w14:paraId="7D23757B" w14:textId="0B455A46" w:rsidR="00B74B06" w:rsidRPr="00D8017D" w:rsidRDefault="00B74B06" w:rsidP="00306379">
            <w:pPr>
              <w:ind w:firstLine="0"/>
              <w:jc w:val="center"/>
              <w:rPr>
                <w:rFonts w:cs="Times New Roman"/>
                <w:b/>
                <w:bCs/>
                <w:color w:val="000000"/>
                <w:sz w:val="20"/>
                <w:szCs w:val="20"/>
                <w:highlight w:val="lightGray"/>
              </w:rPr>
            </w:pPr>
            <w:r w:rsidRPr="00D8017D">
              <w:rPr>
                <w:rFonts w:cs="Times New Roman"/>
                <w:b/>
                <w:bCs/>
                <w:sz w:val="20"/>
                <w:szCs w:val="20"/>
              </w:rPr>
              <w:t>-820,8</w:t>
            </w:r>
          </w:p>
        </w:tc>
        <w:tc>
          <w:tcPr>
            <w:tcW w:w="907" w:type="dxa"/>
            <w:shd w:val="clear" w:color="auto" w:fill="BDD6EE" w:themeFill="accent1" w:themeFillTint="66"/>
            <w:noWrap/>
            <w:vAlign w:val="center"/>
          </w:tcPr>
          <w:p w14:paraId="545EE8D7" w14:textId="15E6D85D" w:rsidR="00B74B06" w:rsidRPr="00D8017D" w:rsidRDefault="00B74B06" w:rsidP="00306379">
            <w:pPr>
              <w:ind w:firstLine="0"/>
              <w:jc w:val="center"/>
              <w:rPr>
                <w:rFonts w:cs="Times New Roman"/>
                <w:b/>
                <w:bCs/>
                <w:color w:val="000000"/>
                <w:sz w:val="20"/>
                <w:szCs w:val="20"/>
                <w:highlight w:val="lightGray"/>
              </w:rPr>
            </w:pPr>
            <w:r w:rsidRPr="00D8017D">
              <w:rPr>
                <w:rFonts w:cs="Times New Roman"/>
                <w:b/>
                <w:bCs/>
                <w:sz w:val="20"/>
                <w:szCs w:val="20"/>
              </w:rPr>
              <w:t>-697,4</w:t>
            </w:r>
          </w:p>
        </w:tc>
        <w:tc>
          <w:tcPr>
            <w:tcW w:w="907" w:type="dxa"/>
            <w:shd w:val="clear" w:color="auto" w:fill="BDD6EE" w:themeFill="accent1" w:themeFillTint="66"/>
            <w:noWrap/>
            <w:vAlign w:val="center"/>
          </w:tcPr>
          <w:p w14:paraId="5817755E" w14:textId="2F856CD3" w:rsidR="00B74B06" w:rsidRPr="00D8017D" w:rsidRDefault="00B74B06" w:rsidP="00306379">
            <w:pPr>
              <w:ind w:firstLine="0"/>
              <w:jc w:val="center"/>
              <w:rPr>
                <w:rFonts w:cs="Times New Roman"/>
                <w:b/>
                <w:bCs/>
                <w:color w:val="000000"/>
                <w:sz w:val="20"/>
                <w:szCs w:val="20"/>
                <w:highlight w:val="lightGray"/>
              </w:rPr>
            </w:pPr>
            <w:r w:rsidRPr="00D8017D">
              <w:rPr>
                <w:rFonts w:cs="Times New Roman"/>
                <w:b/>
                <w:bCs/>
                <w:sz w:val="20"/>
                <w:szCs w:val="20"/>
              </w:rPr>
              <w:t>-765,0</w:t>
            </w:r>
          </w:p>
        </w:tc>
        <w:tc>
          <w:tcPr>
            <w:tcW w:w="907" w:type="dxa"/>
            <w:shd w:val="clear" w:color="auto" w:fill="BDD6EE" w:themeFill="accent1" w:themeFillTint="66"/>
            <w:vAlign w:val="center"/>
          </w:tcPr>
          <w:p w14:paraId="16FE7B41" w14:textId="75A9B911" w:rsidR="00B74B06" w:rsidRPr="00D8017D" w:rsidRDefault="00B74B06" w:rsidP="00306379">
            <w:pPr>
              <w:ind w:firstLine="0"/>
              <w:jc w:val="center"/>
              <w:rPr>
                <w:rFonts w:cs="Times New Roman"/>
                <w:b/>
                <w:bCs/>
                <w:color w:val="000000"/>
                <w:sz w:val="20"/>
                <w:szCs w:val="20"/>
                <w:highlight w:val="lightGray"/>
              </w:rPr>
            </w:pPr>
            <w:r w:rsidRPr="00D8017D">
              <w:rPr>
                <w:rFonts w:cs="Times New Roman"/>
                <w:b/>
                <w:bCs/>
                <w:sz w:val="20"/>
                <w:szCs w:val="20"/>
              </w:rPr>
              <w:t>-719,4</w:t>
            </w:r>
          </w:p>
        </w:tc>
        <w:tc>
          <w:tcPr>
            <w:tcW w:w="907" w:type="dxa"/>
            <w:shd w:val="clear" w:color="auto" w:fill="BDD6EE" w:themeFill="accent1" w:themeFillTint="66"/>
            <w:vAlign w:val="center"/>
          </w:tcPr>
          <w:p w14:paraId="3BCB39DD" w14:textId="74E7BD6A" w:rsidR="00B74B06" w:rsidRPr="00D8017D" w:rsidRDefault="00B74B06" w:rsidP="00306379">
            <w:pPr>
              <w:ind w:firstLine="0"/>
              <w:jc w:val="center"/>
              <w:rPr>
                <w:rFonts w:cs="Times New Roman"/>
                <w:b/>
                <w:bCs/>
                <w:color w:val="000000"/>
                <w:sz w:val="20"/>
                <w:szCs w:val="20"/>
                <w:highlight w:val="lightGray"/>
              </w:rPr>
            </w:pPr>
            <w:r w:rsidRPr="00D8017D">
              <w:rPr>
                <w:rFonts w:cs="Times New Roman"/>
                <w:b/>
                <w:bCs/>
                <w:sz w:val="20"/>
                <w:szCs w:val="20"/>
              </w:rPr>
              <w:t>-778,8</w:t>
            </w:r>
          </w:p>
        </w:tc>
        <w:tc>
          <w:tcPr>
            <w:tcW w:w="907" w:type="dxa"/>
            <w:shd w:val="clear" w:color="auto" w:fill="BDD6EE" w:themeFill="accent1" w:themeFillTint="66"/>
            <w:vAlign w:val="center"/>
          </w:tcPr>
          <w:p w14:paraId="7E77B789" w14:textId="1FDA0BDF" w:rsidR="00B74B06" w:rsidRPr="00D8017D" w:rsidRDefault="00B74B06" w:rsidP="00306379">
            <w:pPr>
              <w:ind w:firstLine="0"/>
              <w:jc w:val="center"/>
              <w:rPr>
                <w:rFonts w:cs="Times New Roman"/>
                <w:b/>
                <w:bCs/>
                <w:color w:val="000000"/>
                <w:sz w:val="20"/>
                <w:szCs w:val="20"/>
                <w:highlight w:val="lightGray"/>
              </w:rPr>
            </w:pPr>
            <w:r w:rsidRPr="00D8017D">
              <w:rPr>
                <w:rFonts w:cs="Times New Roman"/>
                <w:b/>
                <w:bCs/>
                <w:sz w:val="20"/>
                <w:szCs w:val="20"/>
              </w:rPr>
              <w:t>-766,4</w:t>
            </w:r>
          </w:p>
        </w:tc>
      </w:tr>
      <w:tr w:rsidR="00B74B06" w:rsidRPr="00D8017D" w14:paraId="6AE0FFF6" w14:textId="0BA15B3E" w:rsidTr="00B74B06">
        <w:trPr>
          <w:trHeight w:val="312"/>
          <w:jc w:val="center"/>
        </w:trPr>
        <w:tc>
          <w:tcPr>
            <w:tcW w:w="1281" w:type="dxa"/>
            <w:noWrap/>
            <w:hideMark/>
          </w:tcPr>
          <w:p w14:paraId="27B799E1" w14:textId="26EDDCDA" w:rsidR="00B74B06" w:rsidRPr="00D8017D" w:rsidRDefault="00B74B06" w:rsidP="00306379">
            <w:pPr>
              <w:ind w:firstLine="0"/>
              <w:jc w:val="left"/>
              <w:rPr>
                <w:rFonts w:cs="Times New Roman"/>
                <w:color w:val="000000"/>
                <w:sz w:val="20"/>
                <w:szCs w:val="20"/>
              </w:rPr>
            </w:pPr>
            <w:r w:rsidRPr="00D8017D">
              <w:rPr>
                <w:rFonts w:cs="Times New Roman"/>
                <w:color w:val="000000"/>
                <w:sz w:val="20"/>
                <w:szCs w:val="20"/>
              </w:rPr>
              <w:t>Covid -19 pandēmijas mazināšanas pasākumi</w:t>
            </w:r>
          </w:p>
        </w:tc>
        <w:tc>
          <w:tcPr>
            <w:tcW w:w="907" w:type="dxa"/>
            <w:noWrap/>
            <w:vAlign w:val="center"/>
          </w:tcPr>
          <w:p w14:paraId="49970948" w14:textId="3913E107"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-960,8</w:t>
            </w:r>
          </w:p>
        </w:tc>
        <w:tc>
          <w:tcPr>
            <w:tcW w:w="907" w:type="dxa"/>
            <w:noWrap/>
            <w:vAlign w:val="center"/>
          </w:tcPr>
          <w:p w14:paraId="424BE001" w14:textId="5D270B36"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-2 102,8</w:t>
            </w:r>
          </w:p>
        </w:tc>
        <w:tc>
          <w:tcPr>
            <w:tcW w:w="907" w:type="dxa"/>
            <w:noWrap/>
            <w:vAlign w:val="center"/>
          </w:tcPr>
          <w:p w14:paraId="73DD5FD3" w14:textId="3A12A0FF"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-796,4</w:t>
            </w:r>
          </w:p>
        </w:tc>
        <w:tc>
          <w:tcPr>
            <w:tcW w:w="907" w:type="dxa"/>
            <w:noWrap/>
            <w:vAlign w:val="center"/>
          </w:tcPr>
          <w:p w14:paraId="0EB21D36" w14:textId="461F9448"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-65,3</w:t>
            </w:r>
          </w:p>
        </w:tc>
        <w:tc>
          <w:tcPr>
            <w:tcW w:w="907" w:type="dxa"/>
            <w:noWrap/>
            <w:vAlign w:val="center"/>
          </w:tcPr>
          <w:p w14:paraId="62176852" w14:textId="40B6EB8D"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-8,9</w:t>
            </w:r>
          </w:p>
        </w:tc>
        <w:tc>
          <w:tcPr>
            <w:tcW w:w="907" w:type="dxa"/>
            <w:noWrap/>
            <w:vAlign w:val="center"/>
          </w:tcPr>
          <w:p w14:paraId="370A0B79" w14:textId="2F2647BF"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-5,3</w:t>
            </w:r>
          </w:p>
        </w:tc>
        <w:tc>
          <w:tcPr>
            <w:tcW w:w="907" w:type="dxa"/>
            <w:vAlign w:val="center"/>
          </w:tcPr>
          <w:p w14:paraId="1766FA33" w14:textId="624D2E77"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-5,3</w:t>
            </w:r>
          </w:p>
        </w:tc>
        <w:tc>
          <w:tcPr>
            <w:tcW w:w="907" w:type="dxa"/>
            <w:vAlign w:val="center"/>
          </w:tcPr>
          <w:p w14:paraId="649936D0" w14:textId="7F64EDB5"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-5,3</w:t>
            </w:r>
          </w:p>
        </w:tc>
        <w:tc>
          <w:tcPr>
            <w:tcW w:w="907" w:type="dxa"/>
            <w:vAlign w:val="center"/>
          </w:tcPr>
          <w:p w14:paraId="64D8C3EB" w14:textId="483170C9"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-5,3</w:t>
            </w:r>
          </w:p>
        </w:tc>
      </w:tr>
      <w:tr w:rsidR="00B74B06" w:rsidRPr="00D8017D" w14:paraId="3A84DBE8" w14:textId="5FF90400" w:rsidTr="00B74B06">
        <w:trPr>
          <w:trHeight w:val="312"/>
          <w:jc w:val="center"/>
        </w:trPr>
        <w:tc>
          <w:tcPr>
            <w:tcW w:w="1281" w:type="dxa"/>
            <w:noWrap/>
            <w:hideMark/>
          </w:tcPr>
          <w:p w14:paraId="54C8684B" w14:textId="77777777" w:rsidR="00B74B06" w:rsidRPr="00D8017D" w:rsidRDefault="00B74B06" w:rsidP="00306379">
            <w:pPr>
              <w:ind w:firstLine="0"/>
              <w:jc w:val="left"/>
              <w:rPr>
                <w:rFonts w:cs="Times New Roman"/>
                <w:color w:val="000000"/>
                <w:sz w:val="20"/>
                <w:szCs w:val="20"/>
              </w:rPr>
            </w:pPr>
            <w:r w:rsidRPr="00D8017D">
              <w:rPr>
                <w:rFonts w:cs="Times New Roman"/>
                <w:color w:val="000000"/>
                <w:sz w:val="20"/>
                <w:szCs w:val="20"/>
              </w:rPr>
              <w:t>enerģijas cenas pieauguma mazināšanas pasākumi</w:t>
            </w:r>
          </w:p>
        </w:tc>
        <w:tc>
          <w:tcPr>
            <w:tcW w:w="907" w:type="dxa"/>
            <w:noWrap/>
            <w:vAlign w:val="center"/>
          </w:tcPr>
          <w:p w14:paraId="2755DCB0" w14:textId="07A9FFA4" w:rsidR="00B74B06" w:rsidRPr="00D8017D" w:rsidRDefault="00B74B06" w:rsidP="00306379">
            <w:pPr>
              <w:ind w:firstLine="0"/>
              <w:jc w:val="center"/>
              <w:rPr>
                <w:rFonts w:cs="Times New Roman"/>
                <w:color w:val="000000"/>
                <w:sz w:val="20"/>
                <w:szCs w:val="20"/>
                <w:highlight w:val="lightGray"/>
              </w:rPr>
            </w:pPr>
          </w:p>
        </w:tc>
        <w:tc>
          <w:tcPr>
            <w:tcW w:w="907" w:type="dxa"/>
            <w:noWrap/>
            <w:vAlign w:val="center"/>
          </w:tcPr>
          <w:p w14:paraId="240024CE" w14:textId="6E030ACA"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-1,9</w:t>
            </w:r>
          </w:p>
        </w:tc>
        <w:tc>
          <w:tcPr>
            <w:tcW w:w="907" w:type="dxa"/>
            <w:noWrap/>
            <w:vAlign w:val="center"/>
          </w:tcPr>
          <w:p w14:paraId="3490B6A6" w14:textId="78857257"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-1 001,2</w:t>
            </w:r>
          </w:p>
        </w:tc>
        <w:tc>
          <w:tcPr>
            <w:tcW w:w="907" w:type="dxa"/>
            <w:noWrap/>
            <w:vAlign w:val="center"/>
          </w:tcPr>
          <w:p w14:paraId="2EBBC08B" w14:textId="03C54B16"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-399,3</w:t>
            </w:r>
          </w:p>
        </w:tc>
        <w:tc>
          <w:tcPr>
            <w:tcW w:w="907" w:type="dxa"/>
            <w:noWrap/>
            <w:vAlign w:val="center"/>
          </w:tcPr>
          <w:p w14:paraId="73D65DD9" w14:textId="4EF906F6" w:rsidR="00B74B06" w:rsidRPr="00D8017D" w:rsidRDefault="00B74B06" w:rsidP="00306379">
            <w:pPr>
              <w:ind w:firstLine="0"/>
              <w:jc w:val="center"/>
              <w:rPr>
                <w:rFonts w:cs="Times New Roman"/>
                <w:color w:val="000000"/>
                <w:sz w:val="20"/>
                <w:szCs w:val="20"/>
                <w:highlight w:val="lightGray"/>
              </w:rPr>
            </w:pPr>
          </w:p>
        </w:tc>
        <w:tc>
          <w:tcPr>
            <w:tcW w:w="907" w:type="dxa"/>
            <w:noWrap/>
            <w:vAlign w:val="center"/>
          </w:tcPr>
          <w:p w14:paraId="01DB475F" w14:textId="1FC0E004" w:rsidR="00B74B06" w:rsidRPr="00D8017D" w:rsidRDefault="00B74B06" w:rsidP="00306379">
            <w:pPr>
              <w:ind w:firstLine="0"/>
              <w:jc w:val="center"/>
              <w:rPr>
                <w:rFonts w:cs="Times New Roman"/>
                <w:color w:val="000000"/>
                <w:sz w:val="20"/>
                <w:szCs w:val="20"/>
                <w:highlight w:val="lightGray"/>
              </w:rPr>
            </w:pPr>
          </w:p>
        </w:tc>
        <w:tc>
          <w:tcPr>
            <w:tcW w:w="907" w:type="dxa"/>
            <w:vAlign w:val="center"/>
          </w:tcPr>
          <w:p w14:paraId="544DAC9A" w14:textId="455EBE16" w:rsidR="00B74B06" w:rsidRPr="00D8017D" w:rsidRDefault="00B74B06" w:rsidP="00306379">
            <w:pPr>
              <w:ind w:firstLine="0"/>
              <w:jc w:val="center"/>
              <w:rPr>
                <w:rFonts w:cs="Times New Roman"/>
                <w:color w:val="000000"/>
                <w:sz w:val="20"/>
                <w:szCs w:val="20"/>
                <w:highlight w:val="lightGray"/>
              </w:rPr>
            </w:pPr>
          </w:p>
        </w:tc>
        <w:tc>
          <w:tcPr>
            <w:tcW w:w="907" w:type="dxa"/>
            <w:vAlign w:val="center"/>
          </w:tcPr>
          <w:p w14:paraId="42E3666A" w14:textId="5EAF3A84" w:rsidR="00B74B06" w:rsidRPr="00D8017D" w:rsidRDefault="00B74B06" w:rsidP="00306379">
            <w:pPr>
              <w:ind w:firstLine="0"/>
              <w:jc w:val="center"/>
              <w:rPr>
                <w:rFonts w:cs="Times New Roman"/>
                <w:color w:val="000000"/>
                <w:sz w:val="20"/>
                <w:szCs w:val="20"/>
                <w:highlight w:val="lightGray"/>
              </w:rPr>
            </w:pPr>
          </w:p>
        </w:tc>
        <w:tc>
          <w:tcPr>
            <w:tcW w:w="907" w:type="dxa"/>
            <w:vAlign w:val="center"/>
          </w:tcPr>
          <w:p w14:paraId="28DCD284" w14:textId="0364C2B5" w:rsidR="00B74B06" w:rsidRPr="00D8017D" w:rsidRDefault="00B74B06" w:rsidP="00306379">
            <w:pPr>
              <w:ind w:firstLine="0"/>
              <w:jc w:val="center"/>
              <w:rPr>
                <w:rFonts w:cs="Times New Roman"/>
                <w:color w:val="000000"/>
                <w:sz w:val="20"/>
                <w:szCs w:val="20"/>
                <w:highlight w:val="lightGray"/>
              </w:rPr>
            </w:pPr>
          </w:p>
        </w:tc>
      </w:tr>
      <w:tr w:rsidR="00B74B06" w:rsidRPr="00D8017D" w14:paraId="60B6DFD5" w14:textId="0A85293B" w:rsidTr="00B74B06">
        <w:trPr>
          <w:trHeight w:val="312"/>
          <w:jc w:val="center"/>
        </w:trPr>
        <w:tc>
          <w:tcPr>
            <w:tcW w:w="1281" w:type="dxa"/>
            <w:noWrap/>
            <w:hideMark/>
          </w:tcPr>
          <w:p w14:paraId="15F537D7" w14:textId="77777777" w:rsidR="00B74B06" w:rsidRPr="00D8017D" w:rsidRDefault="00B74B06" w:rsidP="00306379">
            <w:pPr>
              <w:ind w:firstLine="0"/>
              <w:jc w:val="left"/>
              <w:rPr>
                <w:rFonts w:cs="Times New Roman"/>
                <w:color w:val="000000"/>
                <w:sz w:val="20"/>
                <w:szCs w:val="20"/>
              </w:rPr>
            </w:pPr>
            <w:r w:rsidRPr="00D8017D">
              <w:rPr>
                <w:rFonts w:cs="Times New Roman"/>
                <w:color w:val="000000"/>
                <w:sz w:val="20"/>
                <w:szCs w:val="20"/>
              </w:rPr>
              <w:t>aizsardzības un iekšējās drošības finansējums</w:t>
            </w:r>
          </w:p>
        </w:tc>
        <w:tc>
          <w:tcPr>
            <w:tcW w:w="907" w:type="dxa"/>
            <w:noWrap/>
            <w:vAlign w:val="center"/>
          </w:tcPr>
          <w:p w14:paraId="7B6BDD70" w14:textId="2CD3E681" w:rsidR="00B74B06" w:rsidRPr="00D8017D" w:rsidRDefault="00B74B06" w:rsidP="00306379">
            <w:pPr>
              <w:ind w:firstLine="0"/>
              <w:jc w:val="center"/>
              <w:rPr>
                <w:rFonts w:cs="Times New Roman"/>
                <w:color w:val="000000"/>
                <w:sz w:val="20"/>
                <w:szCs w:val="20"/>
                <w:highlight w:val="lightGray"/>
              </w:rPr>
            </w:pPr>
          </w:p>
        </w:tc>
        <w:tc>
          <w:tcPr>
            <w:tcW w:w="907" w:type="dxa"/>
            <w:noWrap/>
            <w:vAlign w:val="center"/>
          </w:tcPr>
          <w:p w14:paraId="741B0393" w14:textId="583EAEEA" w:rsidR="00B74B06" w:rsidRPr="00D8017D" w:rsidRDefault="00B74B06" w:rsidP="00306379">
            <w:pPr>
              <w:ind w:firstLine="0"/>
              <w:jc w:val="center"/>
              <w:rPr>
                <w:rFonts w:cs="Times New Roman"/>
                <w:color w:val="000000"/>
                <w:sz w:val="20"/>
                <w:szCs w:val="20"/>
                <w:highlight w:val="lightGray"/>
              </w:rPr>
            </w:pPr>
          </w:p>
        </w:tc>
        <w:tc>
          <w:tcPr>
            <w:tcW w:w="907" w:type="dxa"/>
            <w:noWrap/>
            <w:vAlign w:val="center"/>
          </w:tcPr>
          <w:p w14:paraId="4B652233" w14:textId="77C92EDB" w:rsidR="00B74B06" w:rsidRPr="00D8017D" w:rsidRDefault="00B74B06" w:rsidP="00306379">
            <w:pPr>
              <w:ind w:firstLine="0"/>
              <w:jc w:val="center"/>
              <w:rPr>
                <w:rFonts w:cs="Times New Roman"/>
                <w:color w:val="000000"/>
                <w:sz w:val="20"/>
                <w:szCs w:val="20"/>
                <w:highlight w:val="lightGray"/>
              </w:rPr>
            </w:pPr>
          </w:p>
        </w:tc>
        <w:tc>
          <w:tcPr>
            <w:tcW w:w="907" w:type="dxa"/>
            <w:noWrap/>
            <w:vAlign w:val="center"/>
          </w:tcPr>
          <w:p w14:paraId="01DDEBDA" w14:textId="60EABA5F"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-219,8</w:t>
            </w:r>
          </w:p>
        </w:tc>
        <w:tc>
          <w:tcPr>
            <w:tcW w:w="907" w:type="dxa"/>
            <w:noWrap/>
            <w:vAlign w:val="center"/>
          </w:tcPr>
          <w:p w14:paraId="39ADBE32" w14:textId="25BBD4E0"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-343,1</w:t>
            </w:r>
          </w:p>
        </w:tc>
        <w:tc>
          <w:tcPr>
            <w:tcW w:w="907" w:type="dxa"/>
            <w:noWrap/>
            <w:vAlign w:val="center"/>
          </w:tcPr>
          <w:p w14:paraId="59666041" w14:textId="5205F9E0"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-441,4</w:t>
            </w:r>
          </w:p>
        </w:tc>
        <w:tc>
          <w:tcPr>
            <w:tcW w:w="907" w:type="dxa"/>
            <w:vAlign w:val="center"/>
          </w:tcPr>
          <w:p w14:paraId="47877128" w14:textId="74879917"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-482,6</w:t>
            </w:r>
          </w:p>
        </w:tc>
        <w:tc>
          <w:tcPr>
            <w:tcW w:w="907" w:type="dxa"/>
            <w:vAlign w:val="center"/>
          </w:tcPr>
          <w:p w14:paraId="320CF9AD" w14:textId="2179B5E0" w:rsidR="00B74B06" w:rsidRPr="00D8017D" w:rsidRDefault="00B74B06" w:rsidP="00306379">
            <w:pPr>
              <w:ind w:firstLine="0"/>
              <w:jc w:val="center"/>
              <w:rPr>
                <w:rFonts w:cs="Times New Roman"/>
                <w:sz w:val="20"/>
                <w:szCs w:val="20"/>
                <w:highlight w:val="lightGray"/>
              </w:rPr>
            </w:pPr>
            <w:r w:rsidRPr="00D8017D">
              <w:rPr>
                <w:rFonts w:cs="Times New Roman"/>
                <w:sz w:val="20"/>
                <w:szCs w:val="20"/>
              </w:rPr>
              <w:t>-527,6</w:t>
            </w:r>
          </w:p>
        </w:tc>
        <w:tc>
          <w:tcPr>
            <w:tcW w:w="907" w:type="dxa"/>
            <w:vAlign w:val="center"/>
          </w:tcPr>
          <w:p w14:paraId="36D33C23" w14:textId="092FD7C2" w:rsidR="00B74B06" w:rsidRPr="00D8017D" w:rsidRDefault="00B74B06" w:rsidP="00306379">
            <w:pPr>
              <w:ind w:firstLine="0"/>
              <w:jc w:val="center"/>
              <w:rPr>
                <w:rFonts w:cs="Times New Roman"/>
                <w:sz w:val="20"/>
                <w:szCs w:val="20"/>
                <w:highlight w:val="lightGray"/>
              </w:rPr>
            </w:pPr>
            <w:r w:rsidRPr="00D8017D">
              <w:rPr>
                <w:rFonts w:cs="Times New Roman"/>
                <w:sz w:val="20"/>
                <w:szCs w:val="20"/>
              </w:rPr>
              <w:t>-353,9</w:t>
            </w:r>
          </w:p>
        </w:tc>
      </w:tr>
      <w:tr w:rsidR="00B74B06" w:rsidRPr="00D8017D" w14:paraId="0DDC6FD0" w14:textId="4E6502E7" w:rsidTr="00B74B06">
        <w:trPr>
          <w:trHeight w:val="312"/>
          <w:jc w:val="center"/>
        </w:trPr>
        <w:tc>
          <w:tcPr>
            <w:tcW w:w="1281" w:type="dxa"/>
            <w:noWrap/>
            <w:hideMark/>
          </w:tcPr>
          <w:p w14:paraId="62B5D567" w14:textId="77777777" w:rsidR="00B74B06" w:rsidRPr="00D8017D" w:rsidRDefault="00B74B06" w:rsidP="00306379">
            <w:pPr>
              <w:ind w:firstLine="0"/>
              <w:jc w:val="left"/>
              <w:rPr>
                <w:rFonts w:cs="Times New Roman"/>
                <w:color w:val="000000"/>
                <w:sz w:val="20"/>
                <w:szCs w:val="20"/>
              </w:rPr>
            </w:pPr>
            <w:r w:rsidRPr="00D8017D">
              <w:rPr>
                <w:rFonts w:cs="Times New Roman"/>
                <w:color w:val="000000"/>
                <w:sz w:val="20"/>
                <w:szCs w:val="20"/>
              </w:rPr>
              <w:t>atbalsts bēgļiem no Ukrainas</w:t>
            </w:r>
          </w:p>
        </w:tc>
        <w:tc>
          <w:tcPr>
            <w:tcW w:w="907" w:type="dxa"/>
            <w:noWrap/>
            <w:vAlign w:val="center"/>
          </w:tcPr>
          <w:p w14:paraId="74C8C740" w14:textId="7C177E51" w:rsidR="00B74B06" w:rsidRPr="00D8017D" w:rsidRDefault="00B74B06" w:rsidP="00306379">
            <w:pPr>
              <w:ind w:firstLine="0"/>
              <w:jc w:val="center"/>
              <w:rPr>
                <w:rFonts w:cs="Times New Roman"/>
                <w:color w:val="000000"/>
                <w:sz w:val="20"/>
                <w:szCs w:val="20"/>
                <w:highlight w:val="lightGray"/>
              </w:rPr>
            </w:pPr>
          </w:p>
        </w:tc>
        <w:tc>
          <w:tcPr>
            <w:tcW w:w="907" w:type="dxa"/>
            <w:noWrap/>
            <w:vAlign w:val="center"/>
          </w:tcPr>
          <w:p w14:paraId="5590E599" w14:textId="2C55E5E2" w:rsidR="00B74B06" w:rsidRPr="00D8017D" w:rsidRDefault="00B74B06" w:rsidP="00306379">
            <w:pPr>
              <w:ind w:firstLine="0"/>
              <w:jc w:val="center"/>
              <w:rPr>
                <w:rFonts w:cs="Times New Roman"/>
                <w:color w:val="000000"/>
                <w:sz w:val="20"/>
                <w:szCs w:val="20"/>
                <w:highlight w:val="lightGray"/>
              </w:rPr>
            </w:pPr>
          </w:p>
        </w:tc>
        <w:tc>
          <w:tcPr>
            <w:tcW w:w="907" w:type="dxa"/>
            <w:noWrap/>
            <w:vAlign w:val="center"/>
          </w:tcPr>
          <w:p w14:paraId="32C50875" w14:textId="6D3E14F2"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-81,0</w:t>
            </w:r>
          </w:p>
        </w:tc>
        <w:tc>
          <w:tcPr>
            <w:tcW w:w="907" w:type="dxa"/>
            <w:noWrap/>
            <w:vAlign w:val="center"/>
          </w:tcPr>
          <w:p w14:paraId="4BE23D3B" w14:textId="4EF8E207"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-67,9</w:t>
            </w:r>
          </w:p>
        </w:tc>
        <w:tc>
          <w:tcPr>
            <w:tcW w:w="907" w:type="dxa"/>
            <w:noWrap/>
            <w:vAlign w:val="center"/>
          </w:tcPr>
          <w:p w14:paraId="4153DA46" w14:textId="60B19431"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-53,0</w:t>
            </w:r>
          </w:p>
        </w:tc>
        <w:tc>
          <w:tcPr>
            <w:tcW w:w="907" w:type="dxa"/>
            <w:noWrap/>
            <w:vAlign w:val="center"/>
          </w:tcPr>
          <w:p w14:paraId="48E9811A" w14:textId="7660DDB3" w:rsidR="00B74B06" w:rsidRPr="00D8017D" w:rsidRDefault="00B74B06" w:rsidP="00306379">
            <w:pPr>
              <w:ind w:firstLine="0"/>
              <w:jc w:val="center"/>
              <w:rPr>
                <w:rFonts w:cs="Times New Roman"/>
                <w:color w:val="000000"/>
                <w:sz w:val="20"/>
                <w:szCs w:val="20"/>
                <w:highlight w:val="lightGray"/>
              </w:rPr>
            </w:pPr>
          </w:p>
        </w:tc>
        <w:tc>
          <w:tcPr>
            <w:tcW w:w="907" w:type="dxa"/>
            <w:vAlign w:val="center"/>
          </w:tcPr>
          <w:p w14:paraId="410A9BD6" w14:textId="7D260A9E" w:rsidR="00B74B06" w:rsidRPr="00D8017D" w:rsidRDefault="00B74B06" w:rsidP="00306379">
            <w:pPr>
              <w:ind w:firstLine="0"/>
              <w:jc w:val="center"/>
              <w:rPr>
                <w:rFonts w:cs="Times New Roman"/>
                <w:color w:val="000000"/>
                <w:sz w:val="20"/>
                <w:szCs w:val="20"/>
                <w:highlight w:val="lightGray"/>
              </w:rPr>
            </w:pPr>
          </w:p>
        </w:tc>
        <w:tc>
          <w:tcPr>
            <w:tcW w:w="907" w:type="dxa"/>
            <w:vAlign w:val="center"/>
          </w:tcPr>
          <w:p w14:paraId="4F092EF7" w14:textId="3772537F" w:rsidR="00B74B06" w:rsidRPr="00D8017D" w:rsidRDefault="00B74B06" w:rsidP="00306379">
            <w:pPr>
              <w:ind w:firstLine="0"/>
              <w:jc w:val="center"/>
              <w:rPr>
                <w:rFonts w:cs="Times New Roman"/>
                <w:color w:val="000000"/>
                <w:sz w:val="20"/>
                <w:szCs w:val="20"/>
                <w:highlight w:val="lightGray"/>
              </w:rPr>
            </w:pPr>
          </w:p>
        </w:tc>
        <w:tc>
          <w:tcPr>
            <w:tcW w:w="907" w:type="dxa"/>
            <w:vAlign w:val="center"/>
          </w:tcPr>
          <w:p w14:paraId="2E5BABD9" w14:textId="37FA11F8" w:rsidR="00B74B06" w:rsidRPr="00D8017D" w:rsidRDefault="00B74B06" w:rsidP="00306379">
            <w:pPr>
              <w:ind w:firstLine="0"/>
              <w:jc w:val="center"/>
              <w:rPr>
                <w:rFonts w:cs="Times New Roman"/>
                <w:color w:val="000000"/>
                <w:sz w:val="20"/>
                <w:szCs w:val="20"/>
                <w:highlight w:val="lightGray"/>
              </w:rPr>
            </w:pPr>
          </w:p>
        </w:tc>
      </w:tr>
      <w:tr w:rsidR="00B74B06" w:rsidRPr="00D8017D" w14:paraId="6CCCA6DF" w14:textId="22FD869E" w:rsidTr="00B74B06">
        <w:trPr>
          <w:trHeight w:val="312"/>
          <w:jc w:val="center"/>
        </w:trPr>
        <w:tc>
          <w:tcPr>
            <w:tcW w:w="1281" w:type="dxa"/>
            <w:noWrap/>
            <w:hideMark/>
          </w:tcPr>
          <w:p w14:paraId="5CBA3914" w14:textId="0851F87A" w:rsidR="00B74B06" w:rsidRPr="00D8017D" w:rsidRDefault="00B74B06" w:rsidP="00306379">
            <w:pPr>
              <w:ind w:firstLine="0"/>
              <w:jc w:val="left"/>
              <w:rPr>
                <w:rFonts w:cs="Times New Roman"/>
                <w:color w:val="000000"/>
                <w:sz w:val="20"/>
                <w:szCs w:val="20"/>
              </w:rPr>
            </w:pPr>
            <w:r w:rsidRPr="00D8017D">
              <w:rPr>
                <w:rFonts w:cs="Times New Roman"/>
                <w:color w:val="000000"/>
                <w:sz w:val="20"/>
                <w:szCs w:val="20"/>
              </w:rPr>
              <w:lastRenderedPageBreak/>
              <w:t xml:space="preserve">citi/vienreizējie izdevumi valsts aizsardzībai un iekšējai drošībai </w:t>
            </w:r>
            <w:r w:rsidRPr="00D8017D">
              <w:rPr>
                <w:rFonts w:cs="Times New Roman"/>
                <w:color w:val="000000"/>
                <w:sz w:val="20"/>
                <w:szCs w:val="20"/>
              </w:rPr>
              <w:br/>
              <w:t>(18.pr + % maksājumi par aizdevumu UA)</w:t>
            </w:r>
          </w:p>
        </w:tc>
        <w:tc>
          <w:tcPr>
            <w:tcW w:w="907" w:type="dxa"/>
            <w:noWrap/>
            <w:vAlign w:val="center"/>
          </w:tcPr>
          <w:p w14:paraId="6F2CAF25" w14:textId="3EFE830B"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-54,7</w:t>
            </w:r>
          </w:p>
        </w:tc>
        <w:tc>
          <w:tcPr>
            <w:tcW w:w="907" w:type="dxa"/>
            <w:noWrap/>
            <w:vAlign w:val="center"/>
          </w:tcPr>
          <w:p w14:paraId="20481A73" w14:textId="3160AFB3"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49,9</w:t>
            </w:r>
          </w:p>
        </w:tc>
        <w:tc>
          <w:tcPr>
            <w:tcW w:w="907" w:type="dxa"/>
            <w:noWrap/>
            <w:vAlign w:val="center"/>
          </w:tcPr>
          <w:p w14:paraId="092B78EF" w14:textId="274DCE0B" w:rsidR="00B74B06" w:rsidRPr="00D8017D" w:rsidRDefault="00B74B06" w:rsidP="00306379">
            <w:pPr>
              <w:ind w:firstLine="0"/>
              <w:jc w:val="center"/>
              <w:rPr>
                <w:rFonts w:cs="Times New Roman"/>
                <w:color w:val="000000"/>
                <w:sz w:val="20"/>
                <w:szCs w:val="20"/>
                <w:highlight w:val="lightGray"/>
              </w:rPr>
            </w:pPr>
          </w:p>
        </w:tc>
        <w:tc>
          <w:tcPr>
            <w:tcW w:w="907" w:type="dxa"/>
            <w:noWrap/>
            <w:vAlign w:val="center"/>
          </w:tcPr>
          <w:p w14:paraId="63CB236B" w14:textId="52404EF6"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-68,6</w:t>
            </w:r>
          </w:p>
        </w:tc>
        <w:tc>
          <w:tcPr>
            <w:tcW w:w="907" w:type="dxa"/>
            <w:noWrap/>
            <w:vAlign w:val="center"/>
          </w:tcPr>
          <w:p w14:paraId="031A9B5D" w14:textId="1DB1F84F"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-292,4</w:t>
            </w:r>
          </w:p>
        </w:tc>
        <w:tc>
          <w:tcPr>
            <w:tcW w:w="907" w:type="dxa"/>
            <w:noWrap/>
            <w:vAlign w:val="center"/>
          </w:tcPr>
          <w:p w14:paraId="2EC6E9F2" w14:textId="5430AB50"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-318,3</w:t>
            </w:r>
          </w:p>
        </w:tc>
        <w:tc>
          <w:tcPr>
            <w:tcW w:w="907" w:type="dxa"/>
            <w:vAlign w:val="center"/>
          </w:tcPr>
          <w:p w14:paraId="2009B45F" w14:textId="40CA6C74"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-231,5</w:t>
            </w:r>
          </w:p>
        </w:tc>
        <w:tc>
          <w:tcPr>
            <w:tcW w:w="907" w:type="dxa"/>
            <w:vAlign w:val="center"/>
          </w:tcPr>
          <w:p w14:paraId="2F59679F" w14:textId="54058799"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-245,8</w:t>
            </w:r>
          </w:p>
        </w:tc>
        <w:tc>
          <w:tcPr>
            <w:tcW w:w="907" w:type="dxa"/>
            <w:vAlign w:val="center"/>
          </w:tcPr>
          <w:p w14:paraId="13E900B4" w14:textId="10A79CDF" w:rsidR="00B74B06" w:rsidRPr="00D8017D" w:rsidRDefault="00B74B06" w:rsidP="00306379">
            <w:pPr>
              <w:ind w:firstLine="0"/>
              <w:jc w:val="center"/>
              <w:rPr>
                <w:rFonts w:cs="Times New Roman"/>
                <w:color w:val="000000"/>
                <w:sz w:val="20"/>
                <w:szCs w:val="20"/>
                <w:highlight w:val="lightGray"/>
              </w:rPr>
            </w:pPr>
            <w:r w:rsidRPr="00D8017D">
              <w:rPr>
                <w:rFonts w:cs="Times New Roman"/>
                <w:sz w:val="20"/>
                <w:szCs w:val="20"/>
              </w:rPr>
              <w:t>-407,1</w:t>
            </w:r>
          </w:p>
        </w:tc>
      </w:tr>
      <w:tr w:rsidR="00B74B06" w:rsidRPr="00D8017D" w14:paraId="6B91883F" w14:textId="77777777" w:rsidTr="0019425D">
        <w:trPr>
          <w:trHeight w:val="312"/>
          <w:jc w:val="center"/>
        </w:trPr>
        <w:tc>
          <w:tcPr>
            <w:tcW w:w="1281" w:type="dxa"/>
            <w:shd w:val="clear" w:color="auto" w:fill="9CC2E5" w:themeFill="accent1" w:themeFillTint="99"/>
            <w:noWrap/>
          </w:tcPr>
          <w:p w14:paraId="740FD506" w14:textId="77777777" w:rsidR="00B74B06" w:rsidRPr="00D8017D" w:rsidRDefault="00B74B06" w:rsidP="00713CED">
            <w:pPr>
              <w:ind w:firstLine="0"/>
              <w:jc w:val="left"/>
              <w:rPr>
                <w:rFonts w:cs="Times New Roman"/>
                <w:color w:val="000000"/>
                <w:sz w:val="20"/>
                <w:szCs w:val="20"/>
                <w:highlight w:val="lightGray"/>
              </w:rPr>
            </w:pPr>
          </w:p>
        </w:tc>
        <w:tc>
          <w:tcPr>
            <w:tcW w:w="5442" w:type="dxa"/>
            <w:gridSpan w:val="6"/>
            <w:shd w:val="clear" w:color="auto" w:fill="9CC2E5" w:themeFill="accent1" w:themeFillTint="99"/>
            <w:noWrap/>
          </w:tcPr>
          <w:p w14:paraId="1E6C3E18" w14:textId="77777777" w:rsidR="00B74B06" w:rsidRPr="00D8017D" w:rsidRDefault="00B74B06" w:rsidP="00713CED">
            <w:pPr>
              <w:ind w:firstLine="0"/>
              <w:jc w:val="center"/>
              <w:rPr>
                <w:rFonts w:cs="Times New Roman"/>
                <w:b/>
                <w:bCs/>
                <w:sz w:val="20"/>
                <w:szCs w:val="20"/>
                <w:highlight w:val="lightGray"/>
              </w:rPr>
            </w:pPr>
            <w:r w:rsidRPr="00D8017D">
              <w:rPr>
                <w:rFonts w:cs="Times New Roman"/>
                <w:b/>
                <w:bCs/>
                <w:color w:val="000000"/>
                <w:sz w:val="20"/>
                <w:szCs w:val="20"/>
              </w:rPr>
              <w:t>fakts/novērtējums</w:t>
            </w:r>
          </w:p>
        </w:tc>
        <w:tc>
          <w:tcPr>
            <w:tcW w:w="2721" w:type="dxa"/>
            <w:gridSpan w:val="3"/>
            <w:shd w:val="clear" w:color="auto" w:fill="9CC2E5" w:themeFill="accent1" w:themeFillTint="99"/>
          </w:tcPr>
          <w:p w14:paraId="36F3B92C" w14:textId="45491487" w:rsidR="00B74B06" w:rsidRPr="00D8017D" w:rsidRDefault="00B74B06" w:rsidP="00713CED">
            <w:pPr>
              <w:ind w:firstLine="0"/>
              <w:jc w:val="center"/>
              <w:rPr>
                <w:rFonts w:cs="Times New Roman"/>
                <w:b/>
                <w:bCs/>
                <w:color w:val="000000"/>
                <w:sz w:val="20"/>
                <w:szCs w:val="20"/>
                <w:highlight w:val="lightGray"/>
              </w:rPr>
            </w:pPr>
            <w:r w:rsidRPr="00D8017D">
              <w:rPr>
                <w:rFonts w:cs="Times New Roman"/>
                <w:b/>
                <w:bCs/>
                <w:color w:val="000000"/>
                <w:sz w:val="20"/>
                <w:szCs w:val="20"/>
              </w:rPr>
              <w:t>prognoze</w:t>
            </w:r>
          </w:p>
        </w:tc>
      </w:tr>
      <w:tr w:rsidR="0034167A" w:rsidRPr="00D8017D" w14:paraId="614D2D64" w14:textId="5D4FDAE1" w:rsidTr="00B74B06">
        <w:trPr>
          <w:trHeight w:val="312"/>
          <w:jc w:val="center"/>
        </w:trPr>
        <w:tc>
          <w:tcPr>
            <w:tcW w:w="1281" w:type="dxa"/>
            <w:shd w:val="clear" w:color="auto" w:fill="BDD6EE" w:themeFill="accent1" w:themeFillTint="66"/>
            <w:noWrap/>
            <w:hideMark/>
          </w:tcPr>
          <w:p w14:paraId="2CC536B8" w14:textId="72E9D209" w:rsidR="0034167A" w:rsidRPr="00D8017D" w:rsidRDefault="0034167A" w:rsidP="0034167A">
            <w:pPr>
              <w:ind w:firstLine="0"/>
              <w:jc w:val="left"/>
              <w:rPr>
                <w:rFonts w:cs="Times New Roman"/>
                <w:b/>
                <w:bCs/>
                <w:color w:val="000000"/>
                <w:sz w:val="20"/>
                <w:szCs w:val="20"/>
              </w:rPr>
            </w:pPr>
            <w:r w:rsidRPr="00D8017D">
              <w:rPr>
                <w:rFonts w:cs="Times New Roman"/>
                <w:b/>
                <w:bCs/>
                <w:color w:val="000000"/>
                <w:sz w:val="20"/>
                <w:szCs w:val="20"/>
              </w:rPr>
              <w:t>Vienreizējie un citi īslaicīgie pasākumi, % no IKP, tai skaitā</w:t>
            </w:r>
          </w:p>
        </w:tc>
        <w:tc>
          <w:tcPr>
            <w:tcW w:w="907" w:type="dxa"/>
            <w:shd w:val="clear" w:color="auto" w:fill="BDD6EE" w:themeFill="accent1" w:themeFillTint="66"/>
            <w:noWrap/>
            <w:vAlign w:val="center"/>
          </w:tcPr>
          <w:p w14:paraId="24D0E8D1" w14:textId="5C1F87FA" w:rsidR="0034167A" w:rsidRPr="00D8017D" w:rsidRDefault="0034167A" w:rsidP="0034167A">
            <w:pPr>
              <w:ind w:firstLine="0"/>
              <w:jc w:val="center"/>
              <w:rPr>
                <w:rFonts w:cs="Times New Roman"/>
                <w:b/>
                <w:bCs/>
                <w:color w:val="000000"/>
                <w:sz w:val="20"/>
                <w:szCs w:val="20"/>
                <w:highlight w:val="lightGray"/>
              </w:rPr>
            </w:pPr>
            <w:r>
              <w:rPr>
                <w:b/>
                <w:bCs/>
                <w:sz w:val="20"/>
                <w:szCs w:val="20"/>
              </w:rPr>
              <w:t>-3,47</w:t>
            </w:r>
          </w:p>
        </w:tc>
        <w:tc>
          <w:tcPr>
            <w:tcW w:w="907" w:type="dxa"/>
            <w:shd w:val="clear" w:color="auto" w:fill="BDD6EE" w:themeFill="accent1" w:themeFillTint="66"/>
            <w:noWrap/>
            <w:vAlign w:val="center"/>
          </w:tcPr>
          <w:p w14:paraId="7D8067B3" w14:textId="4993AA3D" w:rsidR="0034167A" w:rsidRPr="00D8017D" w:rsidRDefault="0034167A" w:rsidP="0034167A">
            <w:pPr>
              <w:ind w:firstLine="0"/>
              <w:jc w:val="center"/>
              <w:rPr>
                <w:rFonts w:cs="Times New Roman"/>
                <w:b/>
                <w:bCs/>
                <w:color w:val="000000"/>
                <w:sz w:val="20"/>
                <w:szCs w:val="20"/>
                <w:highlight w:val="lightGray"/>
              </w:rPr>
            </w:pPr>
            <w:r>
              <w:rPr>
                <w:b/>
                <w:bCs/>
                <w:sz w:val="20"/>
                <w:szCs w:val="20"/>
              </w:rPr>
              <w:t>-6,36</w:t>
            </w:r>
          </w:p>
        </w:tc>
        <w:tc>
          <w:tcPr>
            <w:tcW w:w="907" w:type="dxa"/>
            <w:shd w:val="clear" w:color="auto" w:fill="BDD6EE" w:themeFill="accent1" w:themeFillTint="66"/>
            <w:noWrap/>
            <w:vAlign w:val="center"/>
          </w:tcPr>
          <w:p w14:paraId="42172CB2" w14:textId="542DDD4F" w:rsidR="0034167A" w:rsidRPr="00D8017D" w:rsidRDefault="0034167A" w:rsidP="0034167A">
            <w:pPr>
              <w:ind w:firstLine="0"/>
              <w:jc w:val="center"/>
              <w:rPr>
                <w:rFonts w:cs="Times New Roman"/>
                <w:b/>
                <w:bCs/>
                <w:color w:val="000000"/>
                <w:sz w:val="20"/>
                <w:szCs w:val="20"/>
                <w:highlight w:val="lightGray"/>
              </w:rPr>
            </w:pPr>
            <w:r>
              <w:rPr>
                <w:b/>
                <w:bCs/>
                <w:color w:val="000000"/>
                <w:sz w:val="20"/>
                <w:szCs w:val="20"/>
              </w:rPr>
              <w:t>-5,20</w:t>
            </w:r>
          </w:p>
        </w:tc>
        <w:tc>
          <w:tcPr>
            <w:tcW w:w="907" w:type="dxa"/>
            <w:shd w:val="clear" w:color="auto" w:fill="BDD6EE" w:themeFill="accent1" w:themeFillTint="66"/>
            <w:noWrap/>
            <w:vAlign w:val="center"/>
          </w:tcPr>
          <w:p w14:paraId="0E1A8D72" w14:textId="782AC959" w:rsidR="0034167A" w:rsidRPr="00D8017D" w:rsidRDefault="0034167A" w:rsidP="0034167A">
            <w:pPr>
              <w:ind w:firstLine="0"/>
              <w:jc w:val="center"/>
              <w:rPr>
                <w:rFonts w:cs="Times New Roman"/>
                <w:b/>
                <w:bCs/>
                <w:color w:val="000000"/>
                <w:sz w:val="20"/>
                <w:szCs w:val="20"/>
                <w:highlight w:val="lightGray"/>
              </w:rPr>
            </w:pPr>
            <w:r>
              <w:rPr>
                <w:b/>
                <w:bCs/>
                <w:color w:val="000000"/>
                <w:sz w:val="20"/>
                <w:szCs w:val="20"/>
              </w:rPr>
              <w:t>-2,08</w:t>
            </w:r>
          </w:p>
        </w:tc>
        <w:tc>
          <w:tcPr>
            <w:tcW w:w="907" w:type="dxa"/>
            <w:shd w:val="clear" w:color="auto" w:fill="BDD6EE" w:themeFill="accent1" w:themeFillTint="66"/>
            <w:noWrap/>
            <w:vAlign w:val="center"/>
          </w:tcPr>
          <w:p w14:paraId="2BB10DA8" w14:textId="42DDEF3E" w:rsidR="0034167A" w:rsidRPr="00D8017D" w:rsidRDefault="0034167A" w:rsidP="0034167A">
            <w:pPr>
              <w:ind w:firstLine="0"/>
              <w:jc w:val="center"/>
              <w:rPr>
                <w:rFonts w:cs="Times New Roman"/>
                <w:b/>
                <w:bCs/>
                <w:color w:val="000000"/>
                <w:sz w:val="20"/>
                <w:szCs w:val="20"/>
                <w:highlight w:val="lightGray"/>
              </w:rPr>
            </w:pPr>
            <w:r>
              <w:rPr>
                <w:b/>
                <w:bCs/>
                <w:color w:val="000000"/>
                <w:sz w:val="20"/>
                <w:szCs w:val="20"/>
              </w:rPr>
              <w:t>-1,73</w:t>
            </w:r>
          </w:p>
        </w:tc>
        <w:tc>
          <w:tcPr>
            <w:tcW w:w="907" w:type="dxa"/>
            <w:shd w:val="clear" w:color="auto" w:fill="BDD6EE" w:themeFill="accent1" w:themeFillTint="66"/>
            <w:noWrap/>
            <w:vAlign w:val="center"/>
          </w:tcPr>
          <w:p w14:paraId="4265A532" w14:textId="64CA2C9F" w:rsidR="0034167A" w:rsidRPr="00D8017D" w:rsidRDefault="0034167A" w:rsidP="0034167A">
            <w:pPr>
              <w:ind w:firstLine="0"/>
              <w:jc w:val="center"/>
              <w:rPr>
                <w:rFonts w:cs="Times New Roman"/>
                <w:b/>
                <w:bCs/>
                <w:color w:val="000000"/>
                <w:sz w:val="20"/>
                <w:szCs w:val="20"/>
                <w:highlight w:val="lightGray"/>
              </w:rPr>
            </w:pPr>
            <w:r>
              <w:rPr>
                <w:b/>
                <w:bCs/>
                <w:color w:val="000000"/>
                <w:sz w:val="20"/>
                <w:szCs w:val="20"/>
              </w:rPr>
              <w:t>-1,82</w:t>
            </w:r>
          </w:p>
        </w:tc>
        <w:tc>
          <w:tcPr>
            <w:tcW w:w="907" w:type="dxa"/>
            <w:shd w:val="clear" w:color="auto" w:fill="BDD6EE" w:themeFill="accent1" w:themeFillTint="66"/>
            <w:vAlign w:val="center"/>
          </w:tcPr>
          <w:p w14:paraId="507F4DB9" w14:textId="24C18F13" w:rsidR="0034167A" w:rsidRPr="00D8017D" w:rsidRDefault="0034167A" w:rsidP="0034167A">
            <w:pPr>
              <w:ind w:firstLine="0"/>
              <w:jc w:val="center"/>
              <w:rPr>
                <w:rFonts w:cs="Times New Roman"/>
                <w:b/>
                <w:bCs/>
                <w:color w:val="000000"/>
                <w:sz w:val="20"/>
                <w:szCs w:val="20"/>
                <w:highlight w:val="lightGray"/>
              </w:rPr>
            </w:pPr>
            <w:r>
              <w:rPr>
                <w:b/>
                <w:bCs/>
                <w:color w:val="000000"/>
                <w:sz w:val="20"/>
                <w:szCs w:val="20"/>
              </w:rPr>
              <w:t>-1,64</w:t>
            </w:r>
          </w:p>
        </w:tc>
        <w:tc>
          <w:tcPr>
            <w:tcW w:w="907" w:type="dxa"/>
            <w:shd w:val="clear" w:color="auto" w:fill="BDD6EE" w:themeFill="accent1" w:themeFillTint="66"/>
            <w:vAlign w:val="center"/>
          </w:tcPr>
          <w:p w14:paraId="3ED594E3" w14:textId="32B396CC" w:rsidR="0034167A" w:rsidRPr="00D8017D" w:rsidRDefault="0034167A" w:rsidP="0034167A">
            <w:pPr>
              <w:ind w:firstLine="0"/>
              <w:jc w:val="center"/>
              <w:rPr>
                <w:rFonts w:cs="Times New Roman"/>
                <w:b/>
                <w:bCs/>
                <w:color w:val="000000"/>
                <w:sz w:val="20"/>
                <w:szCs w:val="20"/>
                <w:highlight w:val="lightGray"/>
              </w:rPr>
            </w:pPr>
            <w:r>
              <w:rPr>
                <w:b/>
                <w:bCs/>
                <w:color w:val="000000"/>
                <w:sz w:val="20"/>
                <w:szCs w:val="20"/>
              </w:rPr>
              <w:t>-1,69</w:t>
            </w:r>
          </w:p>
        </w:tc>
        <w:tc>
          <w:tcPr>
            <w:tcW w:w="907" w:type="dxa"/>
            <w:shd w:val="clear" w:color="auto" w:fill="BDD6EE" w:themeFill="accent1" w:themeFillTint="66"/>
            <w:vAlign w:val="center"/>
          </w:tcPr>
          <w:p w14:paraId="22BDAAC6" w14:textId="3B0DBBA6" w:rsidR="0034167A" w:rsidRPr="00D8017D" w:rsidRDefault="0034167A" w:rsidP="0034167A">
            <w:pPr>
              <w:ind w:firstLine="0"/>
              <w:jc w:val="center"/>
              <w:rPr>
                <w:rFonts w:cs="Times New Roman"/>
                <w:b/>
                <w:bCs/>
                <w:color w:val="000000"/>
                <w:sz w:val="20"/>
                <w:szCs w:val="20"/>
                <w:highlight w:val="lightGray"/>
              </w:rPr>
            </w:pPr>
            <w:r>
              <w:rPr>
                <w:b/>
                <w:bCs/>
                <w:color w:val="000000"/>
                <w:sz w:val="20"/>
                <w:szCs w:val="20"/>
              </w:rPr>
              <w:t>-1,59</w:t>
            </w:r>
          </w:p>
        </w:tc>
      </w:tr>
      <w:tr w:rsidR="0034167A" w:rsidRPr="00D8017D" w14:paraId="37727151" w14:textId="43266BB4" w:rsidTr="00B74B06">
        <w:trPr>
          <w:trHeight w:val="312"/>
          <w:jc w:val="center"/>
        </w:trPr>
        <w:tc>
          <w:tcPr>
            <w:tcW w:w="1281" w:type="dxa"/>
            <w:noWrap/>
            <w:hideMark/>
          </w:tcPr>
          <w:p w14:paraId="68D34FC2" w14:textId="375FDF74" w:rsidR="0034167A" w:rsidRPr="00D8017D" w:rsidRDefault="0034167A" w:rsidP="0034167A">
            <w:pPr>
              <w:ind w:firstLine="0"/>
              <w:jc w:val="left"/>
              <w:rPr>
                <w:rFonts w:cs="Times New Roman"/>
                <w:color w:val="000000"/>
                <w:sz w:val="20"/>
                <w:szCs w:val="20"/>
              </w:rPr>
            </w:pPr>
            <w:r w:rsidRPr="00D8017D">
              <w:rPr>
                <w:rFonts w:cs="Times New Roman"/>
                <w:color w:val="000000"/>
                <w:sz w:val="20"/>
                <w:szCs w:val="20"/>
              </w:rPr>
              <w:t>Covid-19 pandēmijas mazināšanas pasākumi</w:t>
            </w:r>
          </w:p>
        </w:tc>
        <w:tc>
          <w:tcPr>
            <w:tcW w:w="907" w:type="dxa"/>
            <w:noWrap/>
            <w:vAlign w:val="center"/>
          </w:tcPr>
          <w:p w14:paraId="0DA7BE0A" w14:textId="14D57DAA" w:rsidR="0034167A" w:rsidRPr="00D8017D" w:rsidRDefault="0034167A" w:rsidP="0034167A">
            <w:pPr>
              <w:ind w:firstLine="0"/>
              <w:jc w:val="center"/>
              <w:rPr>
                <w:rFonts w:cs="Times New Roman"/>
                <w:color w:val="000000"/>
                <w:sz w:val="20"/>
                <w:szCs w:val="20"/>
                <w:highlight w:val="lightGray"/>
              </w:rPr>
            </w:pPr>
            <w:r>
              <w:rPr>
                <w:sz w:val="20"/>
                <w:szCs w:val="20"/>
              </w:rPr>
              <w:t>-3,29</w:t>
            </w:r>
          </w:p>
        </w:tc>
        <w:tc>
          <w:tcPr>
            <w:tcW w:w="907" w:type="dxa"/>
            <w:noWrap/>
            <w:vAlign w:val="center"/>
          </w:tcPr>
          <w:p w14:paraId="77324312" w14:textId="5DC9B622" w:rsidR="0034167A" w:rsidRPr="00D8017D" w:rsidRDefault="0034167A" w:rsidP="0034167A">
            <w:pPr>
              <w:ind w:firstLine="0"/>
              <w:jc w:val="center"/>
              <w:rPr>
                <w:rFonts w:cs="Times New Roman"/>
                <w:color w:val="000000"/>
                <w:sz w:val="20"/>
                <w:szCs w:val="20"/>
                <w:highlight w:val="lightGray"/>
              </w:rPr>
            </w:pPr>
            <w:r>
              <w:rPr>
                <w:sz w:val="20"/>
                <w:szCs w:val="20"/>
              </w:rPr>
              <w:t>-6,51</w:t>
            </w:r>
          </w:p>
        </w:tc>
        <w:tc>
          <w:tcPr>
            <w:tcW w:w="907" w:type="dxa"/>
            <w:noWrap/>
            <w:vAlign w:val="center"/>
          </w:tcPr>
          <w:p w14:paraId="5E4407A4" w14:textId="74540D2F" w:rsidR="0034167A" w:rsidRPr="00D8017D" w:rsidRDefault="0034167A" w:rsidP="0034167A">
            <w:pPr>
              <w:ind w:firstLine="0"/>
              <w:jc w:val="center"/>
              <w:rPr>
                <w:rFonts w:cs="Times New Roman"/>
                <w:color w:val="000000"/>
                <w:sz w:val="20"/>
                <w:szCs w:val="20"/>
                <w:highlight w:val="lightGray"/>
              </w:rPr>
            </w:pPr>
            <w:r>
              <w:rPr>
                <w:sz w:val="20"/>
                <w:szCs w:val="20"/>
              </w:rPr>
              <w:t>-2,21</w:t>
            </w:r>
          </w:p>
        </w:tc>
        <w:tc>
          <w:tcPr>
            <w:tcW w:w="907" w:type="dxa"/>
            <w:noWrap/>
            <w:vAlign w:val="center"/>
          </w:tcPr>
          <w:p w14:paraId="72E61363" w14:textId="005997D3" w:rsidR="0034167A" w:rsidRPr="00D8017D" w:rsidRDefault="0034167A" w:rsidP="0034167A">
            <w:pPr>
              <w:ind w:firstLine="0"/>
              <w:jc w:val="center"/>
              <w:rPr>
                <w:rFonts w:cs="Times New Roman"/>
                <w:color w:val="000000"/>
                <w:sz w:val="20"/>
                <w:szCs w:val="20"/>
                <w:highlight w:val="lightGray"/>
              </w:rPr>
            </w:pPr>
            <w:r>
              <w:rPr>
                <w:sz w:val="20"/>
                <w:szCs w:val="20"/>
              </w:rPr>
              <w:t>-0,17</w:t>
            </w:r>
          </w:p>
        </w:tc>
        <w:tc>
          <w:tcPr>
            <w:tcW w:w="907" w:type="dxa"/>
            <w:noWrap/>
            <w:vAlign w:val="center"/>
          </w:tcPr>
          <w:p w14:paraId="7F82C3FB" w14:textId="21A8C27C" w:rsidR="0034167A" w:rsidRPr="00D8017D" w:rsidRDefault="0034167A" w:rsidP="0034167A">
            <w:pPr>
              <w:ind w:firstLine="0"/>
              <w:jc w:val="center"/>
              <w:rPr>
                <w:rFonts w:cs="Times New Roman"/>
                <w:color w:val="000000"/>
                <w:sz w:val="20"/>
                <w:szCs w:val="20"/>
                <w:highlight w:val="lightGray"/>
              </w:rPr>
            </w:pPr>
            <w:r>
              <w:rPr>
                <w:sz w:val="20"/>
                <w:szCs w:val="20"/>
              </w:rPr>
              <w:t>-0,02</w:t>
            </w:r>
          </w:p>
        </w:tc>
        <w:tc>
          <w:tcPr>
            <w:tcW w:w="907" w:type="dxa"/>
            <w:noWrap/>
            <w:vAlign w:val="center"/>
          </w:tcPr>
          <w:p w14:paraId="56A580AC" w14:textId="5E0A5750" w:rsidR="0034167A" w:rsidRPr="00D8017D" w:rsidRDefault="0034167A" w:rsidP="0034167A">
            <w:pPr>
              <w:ind w:firstLine="0"/>
              <w:jc w:val="center"/>
              <w:rPr>
                <w:rFonts w:cs="Times New Roman"/>
                <w:color w:val="000000"/>
                <w:sz w:val="20"/>
                <w:szCs w:val="20"/>
                <w:highlight w:val="lightGray"/>
              </w:rPr>
            </w:pPr>
            <w:r>
              <w:rPr>
                <w:sz w:val="20"/>
                <w:szCs w:val="20"/>
              </w:rPr>
              <w:t>-0,01</w:t>
            </w:r>
          </w:p>
        </w:tc>
        <w:tc>
          <w:tcPr>
            <w:tcW w:w="907" w:type="dxa"/>
            <w:vAlign w:val="center"/>
          </w:tcPr>
          <w:p w14:paraId="26463681" w14:textId="08322FFA" w:rsidR="0034167A" w:rsidRPr="00D8017D" w:rsidRDefault="0034167A" w:rsidP="0034167A">
            <w:pPr>
              <w:ind w:firstLine="0"/>
              <w:jc w:val="center"/>
              <w:rPr>
                <w:rFonts w:cs="Times New Roman"/>
                <w:color w:val="000000"/>
                <w:sz w:val="20"/>
                <w:szCs w:val="20"/>
                <w:highlight w:val="lightGray"/>
              </w:rPr>
            </w:pPr>
            <w:r>
              <w:rPr>
                <w:sz w:val="20"/>
                <w:szCs w:val="20"/>
              </w:rPr>
              <w:t>-0,01</w:t>
            </w:r>
          </w:p>
        </w:tc>
        <w:tc>
          <w:tcPr>
            <w:tcW w:w="907" w:type="dxa"/>
            <w:vAlign w:val="center"/>
          </w:tcPr>
          <w:p w14:paraId="6EA5BB8B" w14:textId="7B3D0310" w:rsidR="0034167A" w:rsidRPr="00D8017D" w:rsidRDefault="0034167A" w:rsidP="0034167A">
            <w:pPr>
              <w:ind w:firstLine="0"/>
              <w:jc w:val="center"/>
              <w:rPr>
                <w:rFonts w:cs="Times New Roman"/>
                <w:sz w:val="20"/>
                <w:szCs w:val="20"/>
                <w:highlight w:val="lightGray"/>
              </w:rPr>
            </w:pPr>
            <w:r>
              <w:rPr>
                <w:sz w:val="20"/>
                <w:szCs w:val="20"/>
              </w:rPr>
              <w:t>-0,01</w:t>
            </w:r>
          </w:p>
        </w:tc>
        <w:tc>
          <w:tcPr>
            <w:tcW w:w="907" w:type="dxa"/>
            <w:vAlign w:val="center"/>
          </w:tcPr>
          <w:p w14:paraId="6718A4AD" w14:textId="43B13695" w:rsidR="0034167A" w:rsidRPr="00D8017D" w:rsidRDefault="0034167A" w:rsidP="0034167A">
            <w:pPr>
              <w:ind w:firstLine="0"/>
              <w:jc w:val="center"/>
              <w:rPr>
                <w:rFonts w:cs="Times New Roman"/>
                <w:sz w:val="20"/>
                <w:szCs w:val="20"/>
                <w:highlight w:val="lightGray"/>
              </w:rPr>
            </w:pPr>
            <w:r>
              <w:rPr>
                <w:sz w:val="20"/>
                <w:szCs w:val="20"/>
              </w:rPr>
              <w:t>-0,01</w:t>
            </w:r>
          </w:p>
        </w:tc>
      </w:tr>
      <w:tr w:rsidR="0034167A" w:rsidRPr="00D8017D" w14:paraId="2BF88631" w14:textId="4D72AE52" w:rsidTr="00725164">
        <w:trPr>
          <w:trHeight w:val="312"/>
          <w:jc w:val="center"/>
        </w:trPr>
        <w:tc>
          <w:tcPr>
            <w:tcW w:w="1281" w:type="dxa"/>
            <w:noWrap/>
            <w:hideMark/>
          </w:tcPr>
          <w:p w14:paraId="3C71FC8E" w14:textId="77777777" w:rsidR="0034167A" w:rsidRPr="00D8017D" w:rsidRDefault="0034167A" w:rsidP="0034167A">
            <w:pPr>
              <w:ind w:firstLine="0"/>
              <w:jc w:val="left"/>
              <w:rPr>
                <w:rFonts w:cs="Times New Roman"/>
                <w:color w:val="000000"/>
                <w:sz w:val="20"/>
                <w:szCs w:val="20"/>
              </w:rPr>
            </w:pPr>
            <w:r w:rsidRPr="00D8017D">
              <w:rPr>
                <w:rFonts w:cs="Times New Roman"/>
                <w:color w:val="000000"/>
                <w:sz w:val="20"/>
                <w:szCs w:val="20"/>
              </w:rPr>
              <w:t>enerģijas cenas pieauguma mazināšanas pasākumi</w:t>
            </w:r>
          </w:p>
        </w:tc>
        <w:tc>
          <w:tcPr>
            <w:tcW w:w="907" w:type="dxa"/>
            <w:noWrap/>
            <w:vAlign w:val="center"/>
          </w:tcPr>
          <w:p w14:paraId="7BF29C0A" w14:textId="0087CD2C" w:rsidR="0034167A" w:rsidRPr="00D8017D" w:rsidRDefault="0034167A" w:rsidP="0034167A">
            <w:pPr>
              <w:ind w:firstLine="0"/>
              <w:jc w:val="center"/>
              <w:rPr>
                <w:rFonts w:cs="Times New Roman"/>
                <w:color w:val="000000"/>
                <w:sz w:val="20"/>
                <w:szCs w:val="20"/>
                <w:highlight w:val="lightGray"/>
              </w:rPr>
            </w:pPr>
            <w:r>
              <w:rPr>
                <w:sz w:val="20"/>
                <w:szCs w:val="20"/>
              </w:rPr>
              <w:t> </w:t>
            </w:r>
          </w:p>
        </w:tc>
        <w:tc>
          <w:tcPr>
            <w:tcW w:w="907" w:type="dxa"/>
            <w:noWrap/>
            <w:vAlign w:val="center"/>
          </w:tcPr>
          <w:p w14:paraId="25591E46" w14:textId="6C7868D8" w:rsidR="0034167A" w:rsidRPr="00D8017D" w:rsidRDefault="0034167A" w:rsidP="0034167A">
            <w:pPr>
              <w:ind w:firstLine="0"/>
              <w:jc w:val="center"/>
              <w:rPr>
                <w:rFonts w:cs="Times New Roman"/>
                <w:color w:val="000000"/>
                <w:sz w:val="20"/>
                <w:szCs w:val="20"/>
                <w:highlight w:val="lightGray"/>
              </w:rPr>
            </w:pPr>
            <w:r>
              <w:rPr>
                <w:sz w:val="20"/>
                <w:szCs w:val="20"/>
              </w:rPr>
              <w:t>-0,01</w:t>
            </w:r>
          </w:p>
        </w:tc>
        <w:tc>
          <w:tcPr>
            <w:tcW w:w="907" w:type="dxa"/>
            <w:noWrap/>
            <w:vAlign w:val="center"/>
          </w:tcPr>
          <w:p w14:paraId="66EB39F8" w14:textId="590D9E19" w:rsidR="0034167A" w:rsidRPr="00D8017D" w:rsidRDefault="0034167A" w:rsidP="0034167A">
            <w:pPr>
              <w:ind w:firstLine="0"/>
              <w:jc w:val="center"/>
              <w:rPr>
                <w:rFonts w:cs="Times New Roman"/>
                <w:color w:val="000000"/>
                <w:sz w:val="20"/>
                <w:szCs w:val="20"/>
                <w:highlight w:val="lightGray"/>
              </w:rPr>
            </w:pPr>
            <w:r>
              <w:rPr>
                <w:sz w:val="20"/>
                <w:szCs w:val="20"/>
              </w:rPr>
              <w:t>-2,77</w:t>
            </w:r>
          </w:p>
        </w:tc>
        <w:tc>
          <w:tcPr>
            <w:tcW w:w="907" w:type="dxa"/>
            <w:noWrap/>
            <w:vAlign w:val="center"/>
          </w:tcPr>
          <w:p w14:paraId="691BD76D" w14:textId="456E6F41" w:rsidR="0034167A" w:rsidRPr="00D8017D" w:rsidRDefault="0034167A" w:rsidP="0034167A">
            <w:pPr>
              <w:ind w:firstLine="0"/>
              <w:jc w:val="center"/>
              <w:rPr>
                <w:rFonts w:cs="Times New Roman"/>
                <w:color w:val="000000"/>
                <w:sz w:val="20"/>
                <w:szCs w:val="20"/>
                <w:highlight w:val="lightGray"/>
              </w:rPr>
            </w:pPr>
            <w:r>
              <w:rPr>
                <w:sz w:val="20"/>
                <w:szCs w:val="20"/>
              </w:rPr>
              <w:t>-1,01</w:t>
            </w:r>
          </w:p>
        </w:tc>
        <w:tc>
          <w:tcPr>
            <w:tcW w:w="907" w:type="dxa"/>
            <w:noWrap/>
            <w:vAlign w:val="center"/>
          </w:tcPr>
          <w:p w14:paraId="6C2465DC" w14:textId="5B6E874A" w:rsidR="0034167A" w:rsidRPr="00D8017D" w:rsidRDefault="0034167A" w:rsidP="0034167A">
            <w:pPr>
              <w:ind w:firstLine="0"/>
              <w:jc w:val="center"/>
              <w:rPr>
                <w:rFonts w:cs="Times New Roman"/>
                <w:color w:val="000000"/>
                <w:sz w:val="20"/>
                <w:szCs w:val="20"/>
                <w:highlight w:val="lightGray"/>
              </w:rPr>
            </w:pPr>
          </w:p>
        </w:tc>
        <w:tc>
          <w:tcPr>
            <w:tcW w:w="907" w:type="dxa"/>
            <w:noWrap/>
            <w:vAlign w:val="center"/>
          </w:tcPr>
          <w:p w14:paraId="4B648D07" w14:textId="0129F91E" w:rsidR="0034167A" w:rsidRPr="00D8017D" w:rsidRDefault="0034167A" w:rsidP="0034167A">
            <w:pPr>
              <w:ind w:firstLine="0"/>
              <w:jc w:val="center"/>
              <w:rPr>
                <w:rFonts w:cs="Times New Roman"/>
                <w:color w:val="000000"/>
                <w:sz w:val="20"/>
                <w:szCs w:val="20"/>
                <w:highlight w:val="lightGray"/>
              </w:rPr>
            </w:pPr>
            <w:r>
              <w:rPr>
                <w:sz w:val="20"/>
                <w:szCs w:val="20"/>
              </w:rPr>
              <w:t> </w:t>
            </w:r>
          </w:p>
        </w:tc>
        <w:tc>
          <w:tcPr>
            <w:tcW w:w="907" w:type="dxa"/>
            <w:vAlign w:val="bottom"/>
          </w:tcPr>
          <w:p w14:paraId="6B8312CB" w14:textId="4246AF18" w:rsidR="0034167A" w:rsidRPr="00D8017D" w:rsidRDefault="0034167A" w:rsidP="0034167A">
            <w:pPr>
              <w:ind w:firstLine="0"/>
              <w:jc w:val="center"/>
              <w:rPr>
                <w:rFonts w:cs="Times New Roman"/>
                <w:color w:val="000000"/>
                <w:sz w:val="20"/>
                <w:szCs w:val="20"/>
                <w:highlight w:val="lightGray"/>
              </w:rPr>
            </w:pPr>
            <w:r>
              <w:rPr>
                <w:sz w:val="20"/>
                <w:szCs w:val="20"/>
              </w:rPr>
              <w:t> </w:t>
            </w:r>
          </w:p>
        </w:tc>
        <w:tc>
          <w:tcPr>
            <w:tcW w:w="907" w:type="dxa"/>
            <w:vAlign w:val="bottom"/>
          </w:tcPr>
          <w:p w14:paraId="1E74DA01" w14:textId="2CB7F23B" w:rsidR="0034167A" w:rsidRPr="00D8017D" w:rsidRDefault="0034167A" w:rsidP="0034167A">
            <w:pPr>
              <w:ind w:firstLine="0"/>
              <w:jc w:val="center"/>
              <w:rPr>
                <w:rFonts w:cs="Times New Roman"/>
                <w:color w:val="000000"/>
                <w:sz w:val="20"/>
                <w:szCs w:val="20"/>
                <w:highlight w:val="lightGray"/>
              </w:rPr>
            </w:pPr>
            <w:r>
              <w:rPr>
                <w:color w:val="000000"/>
                <w:sz w:val="20"/>
                <w:szCs w:val="20"/>
              </w:rPr>
              <w:t> </w:t>
            </w:r>
          </w:p>
        </w:tc>
        <w:tc>
          <w:tcPr>
            <w:tcW w:w="907" w:type="dxa"/>
            <w:vAlign w:val="bottom"/>
          </w:tcPr>
          <w:p w14:paraId="03DC0D57" w14:textId="27D47D74" w:rsidR="0034167A" w:rsidRPr="00D8017D" w:rsidRDefault="0034167A" w:rsidP="0034167A">
            <w:pPr>
              <w:ind w:firstLine="0"/>
              <w:jc w:val="center"/>
              <w:rPr>
                <w:rFonts w:cs="Times New Roman"/>
                <w:color w:val="000000"/>
                <w:sz w:val="20"/>
                <w:szCs w:val="20"/>
                <w:highlight w:val="lightGray"/>
              </w:rPr>
            </w:pPr>
            <w:r>
              <w:rPr>
                <w:color w:val="000000"/>
                <w:sz w:val="20"/>
                <w:szCs w:val="20"/>
              </w:rPr>
              <w:t> </w:t>
            </w:r>
          </w:p>
        </w:tc>
      </w:tr>
      <w:tr w:rsidR="0034167A" w:rsidRPr="00D8017D" w14:paraId="0C25B2E5" w14:textId="7A0D6640" w:rsidTr="00B74B06">
        <w:trPr>
          <w:trHeight w:val="312"/>
          <w:jc w:val="center"/>
        </w:trPr>
        <w:tc>
          <w:tcPr>
            <w:tcW w:w="1281" w:type="dxa"/>
            <w:noWrap/>
            <w:hideMark/>
          </w:tcPr>
          <w:p w14:paraId="7840D97E" w14:textId="77777777" w:rsidR="0034167A" w:rsidRPr="00D8017D" w:rsidRDefault="0034167A" w:rsidP="0034167A">
            <w:pPr>
              <w:ind w:firstLine="0"/>
              <w:jc w:val="left"/>
              <w:rPr>
                <w:rFonts w:cs="Times New Roman"/>
                <w:color w:val="000000"/>
                <w:sz w:val="20"/>
                <w:szCs w:val="20"/>
              </w:rPr>
            </w:pPr>
            <w:r w:rsidRPr="00D8017D">
              <w:rPr>
                <w:rFonts w:cs="Times New Roman"/>
                <w:color w:val="000000"/>
                <w:sz w:val="20"/>
                <w:szCs w:val="20"/>
              </w:rPr>
              <w:t>aizsardzības un iekšējās drošības finansējums</w:t>
            </w:r>
          </w:p>
        </w:tc>
        <w:tc>
          <w:tcPr>
            <w:tcW w:w="907" w:type="dxa"/>
            <w:noWrap/>
            <w:vAlign w:val="center"/>
          </w:tcPr>
          <w:p w14:paraId="6AE4B2DA" w14:textId="1DDD9193" w:rsidR="0034167A" w:rsidRPr="00D8017D" w:rsidRDefault="0034167A" w:rsidP="0034167A">
            <w:pPr>
              <w:ind w:firstLine="0"/>
              <w:jc w:val="center"/>
              <w:rPr>
                <w:rFonts w:cs="Times New Roman"/>
                <w:color w:val="000000"/>
                <w:sz w:val="20"/>
                <w:szCs w:val="20"/>
                <w:highlight w:val="lightGray"/>
              </w:rPr>
            </w:pPr>
            <w:r>
              <w:rPr>
                <w:color w:val="000000"/>
                <w:sz w:val="20"/>
                <w:szCs w:val="20"/>
              </w:rPr>
              <w:t> </w:t>
            </w:r>
          </w:p>
        </w:tc>
        <w:tc>
          <w:tcPr>
            <w:tcW w:w="907" w:type="dxa"/>
            <w:noWrap/>
            <w:vAlign w:val="center"/>
          </w:tcPr>
          <w:p w14:paraId="62AE4D9A" w14:textId="5826845A" w:rsidR="0034167A" w:rsidRPr="00D8017D" w:rsidRDefault="0034167A" w:rsidP="0034167A">
            <w:pPr>
              <w:ind w:firstLine="0"/>
              <w:jc w:val="center"/>
              <w:rPr>
                <w:rFonts w:cs="Times New Roman"/>
                <w:color w:val="000000"/>
                <w:sz w:val="20"/>
                <w:szCs w:val="20"/>
                <w:highlight w:val="lightGray"/>
              </w:rPr>
            </w:pPr>
            <w:r>
              <w:rPr>
                <w:color w:val="000000"/>
                <w:sz w:val="20"/>
                <w:szCs w:val="20"/>
              </w:rPr>
              <w:t> </w:t>
            </w:r>
          </w:p>
        </w:tc>
        <w:tc>
          <w:tcPr>
            <w:tcW w:w="907" w:type="dxa"/>
            <w:noWrap/>
            <w:vAlign w:val="center"/>
          </w:tcPr>
          <w:p w14:paraId="53E40940" w14:textId="58B04344" w:rsidR="0034167A" w:rsidRPr="00D8017D" w:rsidRDefault="0034167A" w:rsidP="0034167A">
            <w:pPr>
              <w:ind w:firstLine="0"/>
              <w:jc w:val="center"/>
              <w:rPr>
                <w:rFonts w:cs="Times New Roman"/>
                <w:color w:val="000000"/>
                <w:sz w:val="20"/>
                <w:szCs w:val="20"/>
                <w:highlight w:val="lightGray"/>
              </w:rPr>
            </w:pPr>
            <w:r>
              <w:rPr>
                <w:sz w:val="20"/>
                <w:szCs w:val="20"/>
              </w:rPr>
              <w:t> </w:t>
            </w:r>
          </w:p>
        </w:tc>
        <w:tc>
          <w:tcPr>
            <w:tcW w:w="907" w:type="dxa"/>
            <w:noWrap/>
            <w:vAlign w:val="center"/>
          </w:tcPr>
          <w:p w14:paraId="6E43C333" w14:textId="1FCF180C" w:rsidR="0034167A" w:rsidRPr="00D8017D" w:rsidRDefault="0034167A" w:rsidP="0034167A">
            <w:pPr>
              <w:ind w:firstLine="0"/>
              <w:jc w:val="center"/>
              <w:rPr>
                <w:rFonts w:cs="Times New Roman"/>
                <w:color w:val="000000"/>
                <w:sz w:val="20"/>
                <w:szCs w:val="20"/>
                <w:highlight w:val="lightGray"/>
              </w:rPr>
            </w:pPr>
            <w:r>
              <w:rPr>
                <w:sz w:val="20"/>
                <w:szCs w:val="20"/>
              </w:rPr>
              <w:t>-0,56</w:t>
            </w:r>
          </w:p>
        </w:tc>
        <w:tc>
          <w:tcPr>
            <w:tcW w:w="907" w:type="dxa"/>
            <w:noWrap/>
            <w:vAlign w:val="center"/>
          </w:tcPr>
          <w:p w14:paraId="38A46B65" w14:textId="60ECACC0" w:rsidR="0034167A" w:rsidRPr="00D8017D" w:rsidRDefault="0034167A" w:rsidP="0034167A">
            <w:pPr>
              <w:ind w:firstLine="0"/>
              <w:jc w:val="center"/>
              <w:rPr>
                <w:rFonts w:cs="Times New Roman"/>
                <w:color w:val="000000"/>
                <w:sz w:val="20"/>
                <w:szCs w:val="20"/>
                <w:highlight w:val="lightGray"/>
              </w:rPr>
            </w:pPr>
            <w:r>
              <w:rPr>
                <w:sz w:val="20"/>
                <w:szCs w:val="20"/>
              </w:rPr>
              <w:t>-0,85</w:t>
            </w:r>
          </w:p>
        </w:tc>
        <w:tc>
          <w:tcPr>
            <w:tcW w:w="907" w:type="dxa"/>
            <w:noWrap/>
            <w:vAlign w:val="center"/>
          </w:tcPr>
          <w:p w14:paraId="16B8E2E0" w14:textId="53E9D0A4" w:rsidR="0034167A" w:rsidRPr="00D8017D" w:rsidRDefault="0034167A" w:rsidP="0034167A">
            <w:pPr>
              <w:ind w:firstLine="0"/>
              <w:jc w:val="center"/>
              <w:rPr>
                <w:rFonts w:cs="Times New Roman"/>
                <w:color w:val="000000"/>
                <w:sz w:val="20"/>
                <w:szCs w:val="20"/>
                <w:highlight w:val="lightGray"/>
              </w:rPr>
            </w:pPr>
            <w:r>
              <w:rPr>
                <w:sz w:val="20"/>
                <w:szCs w:val="20"/>
              </w:rPr>
              <w:t>-1,05</w:t>
            </w:r>
          </w:p>
        </w:tc>
        <w:tc>
          <w:tcPr>
            <w:tcW w:w="907" w:type="dxa"/>
            <w:vAlign w:val="center"/>
          </w:tcPr>
          <w:p w14:paraId="4DE47567" w14:textId="393B2A32" w:rsidR="0034167A" w:rsidRPr="00D8017D" w:rsidRDefault="0034167A" w:rsidP="0034167A">
            <w:pPr>
              <w:ind w:firstLine="0"/>
              <w:jc w:val="center"/>
              <w:rPr>
                <w:rFonts w:cs="Times New Roman"/>
                <w:color w:val="000000"/>
                <w:sz w:val="20"/>
                <w:szCs w:val="20"/>
                <w:highlight w:val="lightGray"/>
              </w:rPr>
            </w:pPr>
            <w:r>
              <w:rPr>
                <w:sz w:val="20"/>
                <w:szCs w:val="20"/>
              </w:rPr>
              <w:t>-1,10</w:t>
            </w:r>
          </w:p>
        </w:tc>
        <w:tc>
          <w:tcPr>
            <w:tcW w:w="907" w:type="dxa"/>
            <w:vAlign w:val="center"/>
          </w:tcPr>
          <w:p w14:paraId="5078DBF0" w14:textId="69952E6E" w:rsidR="0034167A" w:rsidRPr="00D8017D" w:rsidRDefault="0034167A" w:rsidP="0034167A">
            <w:pPr>
              <w:ind w:firstLine="0"/>
              <w:jc w:val="center"/>
              <w:rPr>
                <w:rFonts w:cs="Times New Roman"/>
                <w:sz w:val="20"/>
                <w:szCs w:val="20"/>
                <w:highlight w:val="lightGray"/>
              </w:rPr>
            </w:pPr>
            <w:r>
              <w:rPr>
                <w:sz w:val="20"/>
                <w:szCs w:val="20"/>
              </w:rPr>
              <w:t>-1,15</w:t>
            </w:r>
          </w:p>
        </w:tc>
        <w:tc>
          <w:tcPr>
            <w:tcW w:w="907" w:type="dxa"/>
            <w:vAlign w:val="center"/>
          </w:tcPr>
          <w:p w14:paraId="479A7921" w14:textId="2E375EBA" w:rsidR="0034167A" w:rsidRPr="00D8017D" w:rsidRDefault="0034167A" w:rsidP="0034167A">
            <w:pPr>
              <w:ind w:firstLine="0"/>
              <w:jc w:val="center"/>
              <w:rPr>
                <w:rFonts w:cs="Times New Roman"/>
                <w:sz w:val="20"/>
                <w:szCs w:val="20"/>
                <w:highlight w:val="lightGray"/>
              </w:rPr>
            </w:pPr>
            <w:r>
              <w:rPr>
                <w:sz w:val="20"/>
                <w:szCs w:val="20"/>
              </w:rPr>
              <w:t>-0,74</w:t>
            </w:r>
          </w:p>
        </w:tc>
      </w:tr>
      <w:tr w:rsidR="0034167A" w:rsidRPr="00D8017D" w14:paraId="449E98FB" w14:textId="20EBF52B" w:rsidTr="00725164">
        <w:trPr>
          <w:trHeight w:val="312"/>
          <w:jc w:val="center"/>
        </w:trPr>
        <w:tc>
          <w:tcPr>
            <w:tcW w:w="1281" w:type="dxa"/>
            <w:noWrap/>
            <w:hideMark/>
          </w:tcPr>
          <w:p w14:paraId="1D4CAEBF" w14:textId="77777777" w:rsidR="0034167A" w:rsidRPr="00D8017D" w:rsidRDefault="0034167A" w:rsidP="0034167A">
            <w:pPr>
              <w:ind w:firstLine="0"/>
              <w:jc w:val="left"/>
              <w:rPr>
                <w:rFonts w:cs="Times New Roman"/>
                <w:color w:val="000000"/>
                <w:sz w:val="20"/>
                <w:szCs w:val="20"/>
              </w:rPr>
            </w:pPr>
            <w:r w:rsidRPr="00D8017D">
              <w:rPr>
                <w:rFonts w:cs="Times New Roman"/>
                <w:color w:val="000000"/>
                <w:sz w:val="20"/>
                <w:szCs w:val="20"/>
              </w:rPr>
              <w:t>atbalsts bēgļiem no Ukrainas</w:t>
            </w:r>
          </w:p>
        </w:tc>
        <w:tc>
          <w:tcPr>
            <w:tcW w:w="907" w:type="dxa"/>
            <w:noWrap/>
            <w:vAlign w:val="center"/>
          </w:tcPr>
          <w:p w14:paraId="21D887AA" w14:textId="1D39D5F9" w:rsidR="0034167A" w:rsidRPr="00D8017D" w:rsidRDefault="0034167A" w:rsidP="0034167A">
            <w:pPr>
              <w:ind w:firstLine="0"/>
              <w:jc w:val="center"/>
              <w:rPr>
                <w:rFonts w:cs="Times New Roman"/>
                <w:color w:val="000000"/>
                <w:sz w:val="20"/>
                <w:szCs w:val="20"/>
                <w:highlight w:val="lightGray"/>
              </w:rPr>
            </w:pPr>
            <w:r>
              <w:rPr>
                <w:color w:val="000000"/>
                <w:sz w:val="20"/>
                <w:szCs w:val="20"/>
              </w:rPr>
              <w:t> </w:t>
            </w:r>
          </w:p>
        </w:tc>
        <w:tc>
          <w:tcPr>
            <w:tcW w:w="907" w:type="dxa"/>
            <w:noWrap/>
            <w:vAlign w:val="center"/>
          </w:tcPr>
          <w:p w14:paraId="0AD95A08" w14:textId="4ED2611C" w:rsidR="0034167A" w:rsidRPr="00D8017D" w:rsidRDefault="0034167A" w:rsidP="0034167A">
            <w:pPr>
              <w:ind w:firstLine="0"/>
              <w:jc w:val="center"/>
              <w:rPr>
                <w:rFonts w:cs="Times New Roman"/>
                <w:color w:val="000000"/>
                <w:sz w:val="20"/>
                <w:szCs w:val="20"/>
                <w:highlight w:val="lightGray"/>
              </w:rPr>
            </w:pPr>
            <w:r>
              <w:rPr>
                <w:color w:val="000000"/>
                <w:sz w:val="20"/>
                <w:szCs w:val="20"/>
              </w:rPr>
              <w:t> </w:t>
            </w:r>
          </w:p>
        </w:tc>
        <w:tc>
          <w:tcPr>
            <w:tcW w:w="907" w:type="dxa"/>
            <w:noWrap/>
            <w:vAlign w:val="center"/>
          </w:tcPr>
          <w:p w14:paraId="4F5F8D24" w14:textId="0ED4271B" w:rsidR="0034167A" w:rsidRPr="00D8017D" w:rsidRDefault="0034167A" w:rsidP="0034167A">
            <w:pPr>
              <w:ind w:firstLine="0"/>
              <w:jc w:val="center"/>
              <w:rPr>
                <w:rFonts w:cs="Times New Roman"/>
                <w:color w:val="000000"/>
                <w:sz w:val="20"/>
                <w:szCs w:val="20"/>
                <w:highlight w:val="lightGray"/>
              </w:rPr>
            </w:pPr>
            <w:r>
              <w:rPr>
                <w:sz w:val="20"/>
                <w:szCs w:val="20"/>
              </w:rPr>
              <w:t>-0,22</w:t>
            </w:r>
          </w:p>
        </w:tc>
        <w:tc>
          <w:tcPr>
            <w:tcW w:w="907" w:type="dxa"/>
            <w:noWrap/>
            <w:vAlign w:val="center"/>
          </w:tcPr>
          <w:p w14:paraId="1FB68CAD" w14:textId="4C0FB6BE" w:rsidR="0034167A" w:rsidRPr="00D8017D" w:rsidRDefault="0034167A" w:rsidP="0034167A">
            <w:pPr>
              <w:ind w:firstLine="0"/>
              <w:jc w:val="center"/>
              <w:rPr>
                <w:rFonts w:cs="Times New Roman"/>
                <w:color w:val="000000"/>
                <w:sz w:val="20"/>
                <w:szCs w:val="20"/>
                <w:highlight w:val="lightGray"/>
              </w:rPr>
            </w:pPr>
            <w:r>
              <w:rPr>
                <w:sz w:val="20"/>
                <w:szCs w:val="20"/>
              </w:rPr>
              <w:t>-0,17</w:t>
            </w:r>
          </w:p>
        </w:tc>
        <w:tc>
          <w:tcPr>
            <w:tcW w:w="907" w:type="dxa"/>
            <w:noWrap/>
            <w:vAlign w:val="center"/>
          </w:tcPr>
          <w:p w14:paraId="393F8038" w14:textId="36082BDB" w:rsidR="0034167A" w:rsidRPr="00D8017D" w:rsidRDefault="0034167A" w:rsidP="0034167A">
            <w:pPr>
              <w:ind w:firstLine="0"/>
              <w:jc w:val="center"/>
              <w:rPr>
                <w:rFonts w:cs="Times New Roman"/>
                <w:color w:val="000000"/>
                <w:sz w:val="20"/>
                <w:szCs w:val="20"/>
                <w:highlight w:val="lightGray"/>
              </w:rPr>
            </w:pPr>
            <w:r>
              <w:rPr>
                <w:sz w:val="20"/>
                <w:szCs w:val="20"/>
              </w:rPr>
              <w:t>-0,13</w:t>
            </w:r>
          </w:p>
        </w:tc>
        <w:tc>
          <w:tcPr>
            <w:tcW w:w="907" w:type="dxa"/>
            <w:noWrap/>
            <w:vAlign w:val="center"/>
          </w:tcPr>
          <w:p w14:paraId="5426C719" w14:textId="72874573" w:rsidR="0034167A" w:rsidRPr="00D8017D" w:rsidRDefault="0034167A" w:rsidP="0034167A">
            <w:pPr>
              <w:ind w:firstLine="0"/>
              <w:jc w:val="center"/>
              <w:rPr>
                <w:rFonts w:cs="Times New Roman"/>
                <w:color w:val="000000"/>
                <w:sz w:val="20"/>
                <w:szCs w:val="20"/>
                <w:highlight w:val="lightGray"/>
              </w:rPr>
            </w:pPr>
            <w:r>
              <w:rPr>
                <w:sz w:val="20"/>
                <w:szCs w:val="20"/>
              </w:rPr>
              <w:t> </w:t>
            </w:r>
          </w:p>
        </w:tc>
        <w:tc>
          <w:tcPr>
            <w:tcW w:w="907" w:type="dxa"/>
            <w:vAlign w:val="center"/>
          </w:tcPr>
          <w:p w14:paraId="6EB0F35B" w14:textId="4A804543" w:rsidR="0034167A" w:rsidRPr="00D8017D" w:rsidRDefault="0034167A" w:rsidP="0034167A">
            <w:pPr>
              <w:ind w:firstLine="0"/>
              <w:jc w:val="center"/>
              <w:rPr>
                <w:rFonts w:cs="Times New Roman"/>
                <w:color w:val="000000"/>
                <w:sz w:val="20"/>
                <w:szCs w:val="20"/>
                <w:highlight w:val="lightGray"/>
              </w:rPr>
            </w:pPr>
            <w:r>
              <w:rPr>
                <w:sz w:val="20"/>
                <w:szCs w:val="20"/>
              </w:rPr>
              <w:t> </w:t>
            </w:r>
          </w:p>
        </w:tc>
        <w:tc>
          <w:tcPr>
            <w:tcW w:w="907" w:type="dxa"/>
            <w:vAlign w:val="bottom"/>
          </w:tcPr>
          <w:p w14:paraId="1574CBC5" w14:textId="35EDF82D" w:rsidR="0034167A" w:rsidRPr="00D8017D" w:rsidRDefault="0034167A" w:rsidP="0034167A">
            <w:pPr>
              <w:ind w:firstLine="0"/>
              <w:jc w:val="center"/>
              <w:rPr>
                <w:rFonts w:cs="Times New Roman"/>
                <w:color w:val="000000"/>
                <w:sz w:val="20"/>
                <w:szCs w:val="20"/>
                <w:highlight w:val="lightGray"/>
              </w:rPr>
            </w:pPr>
            <w:r>
              <w:rPr>
                <w:color w:val="000000"/>
                <w:sz w:val="20"/>
                <w:szCs w:val="20"/>
              </w:rPr>
              <w:t> </w:t>
            </w:r>
          </w:p>
        </w:tc>
        <w:tc>
          <w:tcPr>
            <w:tcW w:w="907" w:type="dxa"/>
            <w:vAlign w:val="bottom"/>
          </w:tcPr>
          <w:p w14:paraId="3CB9F2A6" w14:textId="0556B237" w:rsidR="0034167A" w:rsidRPr="00D8017D" w:rsidRDefault="0034167A" w:rsidP="0034167A">
            <w:pPr>
              <w:ind w:firstLine="0"/>
              <w:jc w:val="center"/>
              <w:rPr>
                <w:rFonts w:cs="Times New Roman"/>
                <w:color w:val="000000"/>
                <w:sz w:val="20"/>
                <w:szCs w:val="20"/>
                <w:highlight w:val="lightGray"/>
              </w:rPr>
            </w:pPr>
            <w:r>
              <w:rPr>
                <w:color w:val="000000"/>
                <w:sz w:val="20"/>
                <w:szCs w:val="20"/>
              </w:rPr>
              <w:t> </w:t>
            </w:r>
          </w:p>
        </w:tc>
      </w:tr>
      <w:tr w:rsidR="0034167A" w:rsidRPr="00D8017D" w14:paraId="1919676E" w14:textId="209BDF46" w:rsidTr="00B74B06">
        <w:trPr>
          <w:trHeight w:val="312"/>
          <w:jc w:val="center"/>
        </w:trPr>
        <w:tc>
          <w:tcPr>
            <w:tcW w:w="1281" w:type="dxa"/>
            <w:noWrap/>
            <w:hideMark/>
          </w:tcPr>
          <w:p w14:paraId="135FA463" w14:textId="77777777" w:rsidR="0034167A" w:rsidRPr="00D8017D" w:rsidRDefault="0034167A" w:rsidP="0034167A">
            <w:pPr>
              <w:ind w:firstLine="0"/>
              <w:jc w:val="left"/>
              <w:rPr>
                <w:rFonts w:cs="Times New Roman"/>
                <w:color w:val="000000"/>
                <w:sz w:val="20"/>
                <w:szCs w:val="20"/>
              </w:rPr>
            </w:pPr>
            <w:r w:rsidRPr="00D8017D">
              <w:rPr>
                <w:rFonts w:cs="Times New Roman"/>
                <w:color w:val="000000"/>
                <w:sz w:val="20"/>
                <w:szCs w:val="20"/>
              </w:rPr>
              <w:t xml:space="preserve">citi/vienreizējie izdevumi valsts aizsardzībai un iekšējai drošībai </w:t>
            </w:r>
            <w:r w:rsidRPr="00D8017D">
              <w:rPr>
                <w:rFonts w:cs="Times New Roman"/>
                <w:color w:val="000000"/>
                <w:sz w:val="20"/>
                <w:szCs w:val="20"/>
              </w:rPr>
              <w:br/>
              <w:t>(18.pr + % maksājumi par aizdevumu UA)</w:t>
            </w:r>
          </w:p>
        </w:tc>
        <w:tc>
          <w:tcPr>
            <w:tcW w:w="907" w:type="dxa"/>
            <w:noWrap/>
            <w:vAlign w:val="center"/>
          </w:tcPr>
          <w:p w14:paraId="57321D37" w14:textId="0C357D9D" w:rsidR="0034167A" w:rsidRPr="00D8017D" w:rsidRDefault="0034167A" w:rsidP="0034167A">
            <w:pPr>
              <w:ind w:firstLine="0"/>
              <w:jc w:val="center"/>
              <w:rPr>
                <w:rFonts w:cs="Times New Roman"/>
                <w:color w:val="000000"/>
                <w:sz w:val="20"/>
                <w:szCs w:val="20"/>
                <w:highlight w:val="lightGray"/>
              </w:rPr>
            </w:pPr>
            <w:r>
              <w:rPr>
                <w:color w:val="000000"/>
                <w:sz w:val="20"/>
                <w:szCs w:val="20"/>
              </w:rPr>
              <w:t>-0,19</w:t>
            </w:r>
          </w:p>
        </w:tc>
        <w:tc>
          <w:tcPr>
            <w:tcW w:w="907" w:type="dxa"/>
            <w:noWrap/>
            <w:vAlign w:val="center"/>
          </w:tcPr>
          <w:p w14:paraId="3897AA1D" w14:textId="2DF42CDA" w:rsidR="0034167A" w:rsidRPr="00D8017D" w:rsidRDefault="0034167A" w:rsidP="0034167A">
            <w:pPr>
              <w:ind w:firstLine="0"/>
              <w:jc w:val="center"/>
              <w:rPr>
                <w:rFonts w:cs="Times New Roman"/>
                <w:color w:val="000000"/>
                <w:sz w:val="20"/>
                <w:szCs w:val="20"/>
                <w:highlight w:val="lightGray"/>
              </w:rPr>
            </w:pPr>
            <w:r>
              <w:rPr>
                <w:color w:val="000000"/>
                <w:sz w:val="20"/>
                <w:szCs w:val="20"/>
              </w:rPr>
              <w:t>0,15</w:t>
            </w:r>
          </w:p>
        </w:tc>
        <w:tc>
          <w:tcPr>
            <w:tcW w:w="907" w:type="dxa"/>
            <w:noWrap/>
            <w:vAlign w:val="center"/>
          </w:tcPr>
          <w:p w14:paraId="2D65D9ED" w14:textId="0B696012" w:rsidR="0034167A" w:rsidRPr="00D8017D" w:rsidRDefault="0034167A" w:rsidP="0034167A">
            <w:pPr>
              <w:ind w:firstLine="0"/>
              <w:jc w:val="center"/>
              <w:rPr>
                <w:rFonts w:cs="Times New Roman"/>
                <w:color w:val="000000"/>
                <w:sz w:val="20"/>
                <w:szCs w:val="20"/>
                <w:highlight w:val="lightGray"/>
              </w:rPr>
            </w:pPr>
            <w:r>
              <w:rPr>
                <w:sz w:val="20"/>
                <w:szCs w:val="20"/>
              </w:rPr>
              <w:t> </w:t>
            </w:r>
          </w:p>
        </w:tc>
        <w:tc>
          <w:tcPr>
            <w:tcW w:w="907" w:type="dxa"/>
            <w:noWrap/>
            <w:vAlign w:val="center"/>
          </w:tcPr>
          <w:p w14:paraId="37662633" w14:textId="199F820D" w:rsidR="0034167A" w:rsidRPr="00D8017D" w:rsidRDefault="0034167A" w:rsidP="0034167A">
            <w:pPr>
              <w:ind w:firstLine="0"/>
              <w:jc w:val="center"/>
              <w:rPr>
                <w:rFonts w:cs="Times New Roman"/>
                <w:color w:val="000000"/>
                <w:sz w:val="20"/>
                <w:szCs w:val="20"/>
                <w:highlight w:val="lightGray"/>
              </w:rPr>
            </w:pPr>
            <w:r>
              <w:rPr>
                <w:sz w:val="20"/>
                <w:szCs w:val="20"/>
              </w:rPr>
              <w:t>-0,17</w:t>
            </w:r>
          </w:p>
        </w:tc>
        <w:tc>
          <w:tcPr>
            <w:tcW w:w="907" w:type="dxa"/>
            <w:noWrap/>
            <w:vAlign w:val="center"/>
          </w:tcPr>
          <w:p w14:paraId="64D448D8" w14:textId="7D8F1BAF" w:rsidR="0034167A" w:rsidRPr="00D8017D" w:rsidRDefault="0034167A" w:rsidP="0034167A">
            <w:pPr>
              <w:ind w:firstLine="0"/>
              <w:jc w:val="center"/>
              <w:rPr>
                <w:rFonts w:cs="Times New Roman"/>
                <w:color w:val="000000"/>
                <w:sz w:val="20"/>
                <w:szCs w:val="20"/>
                <w:highlight w:val="lightGray"/>
              </w:rPr>
            </w:pPr>
            <w:r>
              <w:rPr>
                <w:sz w:val="20"/>
                <w:szCs w:val="20"/>
              </w:rPr>
              <w:t>-0,73</w:t>
            </w:r>
          </w:p>
        </w:tc>
        <w:tc>
          <w:tcPr>
            <w:tcW w:w="907" w:type="dxa"/>
            <w:noWrap/>
            <w:vAlign w:val="center"/>
          </w:tcPr>
          <w:p w14:paraId="3EFB69E6" w14:textId="2BFAAE51" w:rsidR="0034167A" w:rsidRPr="00D8017D" w:rsidRDefault="0034167A" w:rsidP="0034167A">
            <w:pPr>
              <w:ind w:firstLine="0"/>
              <w:jc w:val="center"/>
              <w:rPr>
                <w:rFonts w:cs="Times New Roman"/>
                <w:color w:val="000000"/>
                <w:sz w:val="20"/>
                <w:szCs w:val="20"/>
                <w:highlight w:val="lightGray"/>
              </w:rPr>
            </w:pPr>
            <w:r>
              <w:rPr>
                <w:sz w:val="20"/>
                <w:szCs w:val="20"/>
              </w:rPr>
              <w:t>-0,76</w:t>
            </w:r>
          </w:p>
        </w:tc>
        <w:tc>
          <w:tcPr>
            <w:tcW w:w="907" w:type="dxa"/>
            <w:vAlign w:val="center"/>
          </w:tcPr>
          <w:p w14:paraId="4E1A77D1" w14:textId="104A3FB2" w:rsidR="0034167A" w:rsidRPr="00D8017D" w:rsidRDefault="0034167A" w:rsidP="0034167A">
            <w:pPr>
              <w:ind w:firstLine="0"/>
              <w:jc w:val="center"/>
              <w:rPr>
                <w:rFonts w:cs="Times New Roman"/>
                <w:color w:val="000000"/>
                <w:sz w:val="20"/>
                <w:szCs w:val="20"/>
                <w:highlight w:val="lightGray"/>
              </w:rPr>
            </w:pPr>
            <w:r>
              <w:rPr>
                <w:sz w:val="20"/>
                <w:szCs w:val="20"/>
              </w:rPr>
              <w:t>-0,53</w:t>
            </w:r>
          </w:p>
        </w:tc>
        <w:tc>
          <w:tcPr>
            <w:tcW w:w="907" w:type="dxa"/>
            <w:vAlign w:val="center"/>
          </w:tcPr>
          <w:p w14:paraId="68736FE7" w14:textId="6D09C6C4" w:rsidR="0034167A" w:rsidRPr="00D8017D" w:rsidRDefault="0034167A" w:rsidP="0034167A">
            <w:pPr>
              <w:ind w:firstLine="0"/>
              <w:jc w:val="center"/>
              <w:rPr>
                <w:rFonts w:cs="Times New Roman"/>
                <w:color w:val="000000"/>
                <w:sz w:val="20"/>
                <w:szCs w:val="20"/>
                <w:highlight w:val="lightGray"/>
              </w:rPr>
            </w:pPr>
            <w:r>
              <w:rPr>
                <w:sz w:val="20"/>
                <w:szCs w:val="20"/>
              </w:rPr>
              <w:t>-0,53</w:t>
            </w:r>
          </w:p>
        </w:tc>
        <w:tc>
          <w:tcPr>
            <w:tcW w:w="907" w:type="dxa"/>
            <w:vAlign w:val="center"/>
          </w:tcPr>
          <w:p w14:paraId="2F98EF19" w14:textId="4CC99654" w:rsidR="0034167A" w:rsidRPr="00D8017D" w:rsidRDefault="0034167A" w:rsidP="0034167A">
            <w:pPr>
              <w:ind w:firstLine="0"/>
              <w:jc w:val="center"/>
              <w:rPr>
                <w:rFonts w:cs="Times New Roman"/>
                <w:color w:val="000000"/>
                <w:sz w:val="20"/>
                <w:szCs w:val="20"/>
                <w:highlight w:val="lightGray"/>
              </w:rPr>
            </w:pPr>
            <w:r>
              <w:rPr>
                <w:sz w:val="20"/>
                <w:szCs w:val="20"/>
              </w:rPr>
              <w:t>-0,85</w:t>
            </w:r>
          </w:p>
        </w:tc>
      </w:tr>
    </w:tbl>
    <w:p w14:paraId="57F7C494" w14:textId="77777777" w:rsidR="005E5B55" w:rsidRPr="00D8017D" w:rsidRDefault="005E5B55" w:rsidP="004F7ED2">
      <w:pPr>
        <w:spacing w:after="0"/>
        <w:rPr>
          <w:rFonts w:eastAsia="Times New Roman" w:cs="Times New Roman"/>
          <w:szCs w:val="24"/>
          <w:highlight w:val="lightGray"/>
        </w:rPr>
      </w:pPr>
    </w:p>
    <w:p w14:paraId="42D83BA8" w14:textId="6BD3C65D" w:rsidR="006A31A9" w:rsidRPr="00CB0B63" w:rsidRDefault="006A31A9" w:rsidP="006A31A9">
      <w:r w:rsidRPr="00CB0B63">
        <w:t xml:space="preserve">Vidēja termiņa budžeta ietvars ir Latvijas fiskālās politikas īstenošanas rīks. Ar tā starpniecību tiek īstenoti gan Latvijas fiskālās politikas vispārējais, gan specifiskie mērķi (vidēja termiņa budžeta politikas prioritārie attīstības virzieni). Fiskālās politikas vispārējais mērķis </w:t>
      </w:r>
      <w:r>
        <w:t>ir ilgtermiņa rādītājs un nav pakļauts ikgadējām pārmaiņām. F</w:t>
      </w:r>
      <w:r w:rsidRPr="00CB0B63">
        <w:t>iskālās politikas specifiski</w:t>
      </w:r>
      <w:r>
        <w:t xml:space="preserve">e </w:t>
      </w:r>
      <w:r w:rsidRPr="00CB0B63">
        <w:t>mērķ</w:t>
      </w:r>
      <w:r>
        <w:t>i ir vidēja termiņa rādītājs un var tikt koriģēti un papildināti, izstrādājot jaunu budžeta ietvaru.</w:t>
      </w:r>
      <w:r w:rsidRPr="00CB0B63">
        <w:t xml:space="preserve"> </w:t>
      </w:r>
    </w:p>
    <w:p w14:paraId="1FF5588D" w14:textId="2F744241" w:rsidR="00101433" w:rsidRPr="008925F6" w:rsidRDefault="006A31A9" w:rsidP="00101433">
      <w:r w:rsidRPr="00CB0B63">
        <w:lastRenderedPageBreak/>
        <w:t>Latvijas fiskālā politika tiek pakārtota Vadības deklarācija</w:t>
      </w:r>
      <w:r>
        <w:t>i</w:t>
      </w:r>
      <w:r w:rsidRPr="00CB0B63">
        <w:t xml:space="preserve">. Attiecīgi Latvijas </w:t>
      </w:r>
      <w:r w:rsidRPr="00101433">
        <w:rPr>
          <w:b/>
          <w:bCs/>
        </w:rPr>
        <w:t>fiskālās politikas vispārējais mērķis</w:t>
      </w:r>
      <w:r w:rsidRPr="00CB0B63">
        <w:t xml:space="preserve"> paliek nemainīgs - </w:t>
      </w:r>
      <w:r w:rsidRPr="00CB0B63">
        <w:rPr>
          <w:b/>
          <w:bCs/>
        </w:rPr>
        <w:t>ilgtspējīgas valsts veidošana, uzlabojot ģimeņu dzīves kvalitāti</w:t>
      </w:r>
      <w:r>
        <w:t xml:space="preserve">, kas atbilst </w:t>
      </w:r>
      <w:r w:rsidRPr="006A31A9">
        <w:t>2023</w:t>
      </w:r>
      <w:r w:rsidRPr="00CB0B63">
        <w:t>. gada 15. septembr</w:t>
      </w:r>
      <w:r>
        <w:t>a</w:t>
      </w:r>
      <w:r w:rsidRPr="00CB0B63">
        <w:t xml:space="preserve"> Deklarācij</w:t>
      </w:r>
      <w:r>
        <w:t>as</w:t>
      </w:r>
      <w:r w:rsidRPr="00CB0B63">
        <w:t xml:space="preserve"> par Evikas Siliņas vadītā Ministru kabineta iecerēto darbību</w:t>
      </w:r>
      <w:r w:rsidRPr="006A31A9">
        <w:rPr>
          <w:rStyle w:val="FootnoteReference"/>
        </w:rPr>
        <w:footnoteReference w:id="17"/>
      </w:r>
      <w:r w:rsidRPr="006A31A9">
        <w:t xml:space="preserve"> (turpmāk – Vadības deklarācija)</w:t>
      </w:r>
      <w:r>
        <w:t xml:space="preserve"> preambulā</w:t>
      </w:r>
      <w:r w:rsidRPr="00CB0B63">
        <w:t xml:space="preserve"> </w:t>
      </w:r>
      <w:r w:rsidRPr="008925F6">
        <w:t xml:space="preserve">paustajām nostādnēm.  </w:t>
      </w:r>
      <w:r w:rsidR="00101433" w:rsidRPr="008925F6">
        <w:t>Ņemot vērā valdības definētos rīcības prioritāros virzienus (</w:t>
      </w:r>
      <w:r w:rsidR="00101433" w:rsidRPr="008925F6">
        <w:rPr>
          <w:b/>
          <w:bCs/>
        </w:rPr>
        <w:t>drošība, izaugsme, labklājība</w:t>
      </w:r>
      <w:r w:rsidR="00101433" w:rsidRPr="008925F6">
        <w:t xml:space="preserve">), Latvijas fiskālās politikas specifiskie mērķi, jeb </w:t>
      </w:r>
      <w:r w:rsidR="00101433" w:rsidRPr="00101433">
        <w:rPr>
          <w:b/>
          <w:bCs/>
        </w:rPr>
        <w:t>vidēja termiņa budžeta politikas prioritārie attīstības virzieni</w:t>
      </w:r>
      <w:r w:rsidR="00101433" w:rsidRPr="008925F6">
        <w:t xml:space="preserve"> tiek precizēti atbilstoši </w:t>
      </w:r>
      <w:r w:rsidR="00101433">
        <w:t xml:space="preserve">budžeta procedūras laikā </w:t>
      </w:r>
      <w:r w:rsidR="00101433" w:rsidRPr="008925F6">
        <w:t>pieņemtajiem MK lēmumiem.</w:t>
      </w:r>
    </w:p>
    <w:p w14:paraId="42CD0B73" w14:textId="64A3A17D" w:rsidR="006A31A9" w:rsidRDefault="006A31A9" w:rsidP="006A31A9">
      <w:r>
        <w:t xml:space="preserve">Viens no ilgtspējīgas valsts veidošanas nosacījumiem ir ilgtspējīgas publiskās finanses, kur galvenais rādītājs ir vispārējās valdības parāda līmenis. </w:t>
      </w:r>
      <w:r w:rsidRPr="00CB0B63">
        <w:t xml:space="preserve">Atbilstoši </w:t>
      </w:r>
      <w:r w:rsidR="008A4304">
        <w:t>Valdības d</w:t>
      </w:r>
      <w:r w:rsidRPr="00CB0B63">
        <w:t>eklarācijai</w:t>
      </w:r>
      <w:r>
        <w:t>,</w:t>
      </w:r>
      <w:r w:rsidRPr="00CB0B63">
        <w:t xml:space="preserve"> fiskālo politiku plānots īstenot atbildīgi, nodrošinot valdības parādu ilgtermiņā vidēji 40% līmenī no IKP, ievērojot pretcikliskas fiskālās politikas principus un nodrošinot sociāli atbildīgu un attīstību veicinošu fiskālo politiku. </w:t>
      </w:r>
      <w:r>
        <w:t xml:space="preserve">Jāatzīmē, ka pašlaik šīs parāda līmenis ir pārsniegts un tas tuvojas 55% no IKP līmenim. Būtiski noskaidrot (1) iemeslus deklarācijā noteiktās vērtības pārsniegumam un (2), vai pašreizējais līmenis atbilst ilgtspējas nosacījumam. </w:t>
      </w:r>
    </w:p>
    <w:p w14:paraId="4F3D0E9F" w14:textId="0867110E" w:rsidR="006A31A9" w:rsidRDefault="006A31A9" w:rsidP="006A31A9">
      <w:r w:rsidRPr="00B126B1">
        <w:rPr>
          <w:b/>
          <w:bCs/>
          <w:u w:val="single"/>
        </w:rPr>
        <w:t>Pārsnieguma iemesli.</w:t>
      </w:r>
      <w:r>
        <w:t xml:space="preserve"> Krievijas karš Ukrainā un ASV prasība Eiropai nodrošināt finansējumu tās aizsardzībai, radīja nepieciešamību gan Latvijā, gan citās Eiropas valstīs strauji palielināt izdevumus aizsardzībai, virzoties uz 5% no IKP. Šādā situācijā tehniski ir divas iespējas – aizsardzības izdevumu palielinājumu finansēt, samazinot citus izdevumus/palielinot ieņēmumus, vai arī to finansēt no valsts parāda. Pirmajā gadījumā tiktu negatīvi ietekmēta ekonomika, jo publisko izdevumu samazinājums vai nodokļu celšana samazinātu pieprasījumu un bremzētu ekonomikas attīstību, jo aizsardzības izdevumu palielinājuma pozitīvais efekts uz ekonomiku ir zemāks par citu izdevumu/nodokļu pieauguma negatīvo efektu uz ekonomiku – aizsardzības izdevumu būtiska daļa tiek novirzīta importam. Lai straujais aizsardzības izdevumu pieaugums pēc iespējas mazāk negatīvi ietekmētu ekonomiku, ES valstis aktivizēja valsts izņēmuma klauzulu, kas atļāva valstīm aizsardzības izdevumu pieaugumu finansēt uz valsts parāda pieauguma rēķina. Šādu risinājumu pielietoja arī Latvija.   </w:t>
      </w:r>
    </w:p>
    <w:p w14:paraId="7466CD6A" w14:textId="3C658E36" w:rsidR="006A31A9" w:rsidRDefault="006A31A9" w:rsidP="006A31A9">
      <w:r>
        <w:t xml:space="preserve">Vispārējās valdības budžeta primārais deficīts 2026., 2027. un 2028. gadā attiecīgi ir </w:t>
      </w:r>
      <w:r w:rsidR="008925F6">
        <w:t>2,0</w:t>
      </w:r>
      <w:r>
        <w:t>%; 2,</w:t>
      </w:r>
      <w:r w:rsidR="008925F6">
        <w:t>5</w:t>
      </w:r>
      <w:r>
        <w:t>% un 2,1% no IKP, bet vienreizējie pasākumi drošībai un aizsardzībai šajos gados attiecīgi ir 2,1</w:t>
      </w:r>
      <w:r w:rsidR="00817292">
        <w:t>%</w:t>
      </w:r>
      <w:r>
        <w:t>;</w:t>
      </w:r>
      <w:r w:rsidR="00842C98">
        <w:t xml:space="preserve"> </w:t>
      </w:r>
      <w:r>
        <w:t>2,8</w:t>
      </w:r>
      <w:r w:rsidR="00817292">
        <w:t>%</w:t>
      </w:r>
      <w:r>
        <w:t xml:space="preserve"> un 2,</w:t>
      </w:r>
      <w:r w:rsidR="00817292">
        <w:t>6</w:t>
      </w:r>
      <w:r>
        <w:t xml:space="preserve">% no IKP, tas ir – visos gados tie pārsniedz primāro deficītu. Tas nozīmē, ka parāda pieaugums veido tikai un vienīgi vienreizēji pasākumi drošībai un aizsardzībai un pat ne pilnā apmērā. </w:t>
      </w:r>
    </w:p>
    <w:p w14:paraId="26E34BAD" w14:textId="754501B7" w:rsidR="006A31A9" w:rsidRDefault="006A31A9" w:rsidP="006A31A9">
      <w:r w:rsidRPr="0009515C">
        <w:rPr>
          <w:b/>
          <w:bCs/>
          <w:u w:val="single"/>
        </w:rPr>
        <w:t>Parāda ilgtspēja.</w:t>
      </w:r>
      <w:r>
        <w:t xml:space="preserve"> Parāds ir ilgtspējīgs. To nosaka divi faktori – (1) primāro deficītu veido vienreizēji pasākumi – gan </w:t>
      </w:r>
      <w:r w:rsidRPr="00B126B1">
        <w:t>vienreizējie pasākumi valsts drošībai, kas tika ieplānoti likuma "</w:t>
      </w:r>
      <w:hyperlink r:id="rId39" w:tgtFrame="_blank" w:history="1">
        <w:r w:rsidRPr="00B126B1">
          <w:t>Par valsts budžetu 2023. gadam un budžeta ietvaru 2023., 2024. un 2025. gadam</w:t>
        </w:r>
      </w:hyperlink>
      <w:r w:rsidRPr="00B126B1">
        <w:rPr>
          <w:sz w:val="28"/>
          <w:szCs w:val="28"/>
        </w:rPr>
        <w:t xml:space="preserve">" </w:t>
      </w:r>
      <w:r w:rsidRPr="00B126B1">
        <w:t>un izdevum</w:t>
      </w:r>
      <w:r w:rsidR="008925F6">
        <w:t>u</w:t>
      </w:r>
      <w:r w:rsidRPr="00B126B1">
        <w:t xml:space="preserve"> pasākumi, kuri tika atzīti par vienreizējiem saskaņā ar likuma "Par valsts budžetu 2024. gadam un budžeta ietvaru 2024., 2025. un 2026. gadam"</w:t>
      </w:r>
      <w:r w:rsidR="008925F6">
        <w:t xml:space="preserve"> un</w:t>
      </w:r>
      <w:r>
        <w:t xml:space="preserve"> turpmākajos budžeta ietvaros </w:t>
      </w:r>
      <w:r w:rsidR="008925F6">
        <w:t xml:space="preserve">jauni pasākumi </w:t>
      </w:r>
      <w:r>
        <w:t>vairs netiek plānoti, gan izdevumi aizsardzībai valsts izņēmuma kla</w:t>
      </w:r>
      <w:r w:rsidR="008925F6">
        <w:t>u</w:t>
      </w:r>
      <w:r>
        <w:t>zulas ietvaros, kur kopējais apjoms ir fiksēts 1,5% no IKP apmērā četru gadu periodam līdz 2028. gada</w:t>
      </w:r>
      <w:r w:rsidR="008925F6">
        <w:t>m</w:t>
      </w:r>
      <w:r>
        <w:t>. Tas nozīmē, ka tiesiskais regulējums nosaka, ka šie pasākumi beigsies un primārā bilance būs ar pārpalikumu. (2) Saskaņā ar fiskālajām prognozēm 2026</w:t>
      </w:r>
      <w:r w:rsidR="008925F6">
        <w:t>.</w:t>
      </w:r>
      <w:r>
        <w:t>-2028</w:t>
      </w:r>
      <w:r w:rsidR="008925F6">
        <w:t>.</w:t>
      </w:r>
      <w:r>
        <w:t xml:space="preserve"> gadu periodā efektīvā procentu likme valsts parāda apkalpošanai ir zemāka par ekonomikas izaugsmi, jeb tā saucamais r-g rādītājs ir negatīvs. Tas nozīmē, ka</w:t>
      </w:r>
      <w:r w:rsidR="008925F6">
        <w:t>,</w:t>
      </w:r>
      <w:r>
        <w:t xml:space="preserve"> ja primārā bilance ir nulle, IKP izaugsme nodrošina valsts parāda samazināšanos straujāk</w:t>
      </w:r>
      <w:r w:rsidR="008925F6">
        <w:t>,</w:t>
      </w:r>
      <w:r>
        <w:t xml:space="preserve"> kā procentu izdevumu izsauktais valsts parāda pieaugums. Šie abi faktori nodrošina, ka </w:t>
      </w:r>
      <w:r>
        <w:lastRenderedPageBreak/>
        <w:t xml:space="preserve">ilgtermiņā valsts parāds </w:t>
      </w:r>
      <w:r w:rsidR="008925F6">
        <w:t>procentos</w:t>
      </w:r>
      <w:r>
        <w:t xml:space="preserve"> pret IKP samazināsies, tātad valsts parāds, lai arī pašlaik pārsniedz 40% </w:t>
      </w:r>
      <w:r w:rsidR="008925F6">
        <w:t xml:space="preserve">no IKP </w:t>
      </w:r>
      <w:r>
        <w:t>robežu, ir ilgtspējīgs.</w:t>
      </w:r>
    </w:p>
    <w:p w14:paraId="78DB0289" w14:textId="77777777" w:rsidR="006A31A9" w:rsidRPr="00B126B1" w:rsidRDefault="006A31A9" w:rsidP="006A31A9">
      <w:r>
        <w:t xml:space="preserve">Augstāk minētie argumenti pamato atkāpšanos no Valdības deklarācijā noteiktā vispārējās valdības parāda 40% no IKP robežas, vienlaicīgi nodrošinot deklarācijas preambulā noteikto par ilgtspējīgu valsti. Rīkojoties pretēji – uzturot 40% parāda līmeni, bet izsaucot recesiju ekonomikā, vai arī neieguldot aizsardzībā – netiktu nodrošināti deklarācijas preambulā izvirzītie mērķi.  </w:t>
      </w:r>
    </w:p>
    <w:p w14:paraId="04FD480C" w14:textId="77777777" w:rsidR="006A31A9" w:rsidRPr="00CB0B63" w:rsidRDefault="006A31A9" w:rsidP="006A31A9">
      <w:r w:rsidRPr="00CB0B63">
        <w:t>2025. gada 13. maijā MK tika izskatīts informatīvais ziņojums “Plāns efektīvai aizsardzības un drošības finansējuma palielināšanai” 25-TA-776 (IP) (sēdes protokols Nr.19; 50.§) un tā protokollēmuma:</w:t>
      </w:r>
    </w:p>
    <w:p w14:paraId="2EA00DE3" w14:textId="0129FAA0" w:rsidR="00574E09" w:rsidRPr="00D8017D" w:rsidRDefault="00574E09" w:rsidP="003160BE">
      <w:pPr>
        <w:numPr>
          <w:ilvl w:val="0"/>
          <w:numId w:val="16"/>
        </w:numPr>
      </w:pPr>
      <w:r w:rsidRPr="00D8017D">
        <w:t>- 1. punktā ir noteikts, ka valsts aizsardzības, NATO spēju mērķu sasniegšanas un drošības vajadzībām, kā arī militārajam atbalstam Ukrainai MK ar 2026. gadu plāno virzīties uz izdevumiem 5% apmērā no IKP;</w:t>
      </w:r>
    </w:p>
    <w:p w14:paraId="05405971" w14:textId="4C0F0B06" w:rsidR="00574E09" w:rsidRPr="00D8017D" w:rsidRDefault="00574E09" w:rsidP="003160BE">
      <w:pPr>
        <w:numPr>
          <w:ilvl w:val="0"/>
          <w:numId w:val="16"/>
        </w:numPr>
      </w:pPr>
      <w:r w:rsidRPr="00D8017D">
        <w:t>- 2. punktā paredzēti iespējamie papildu nepieciešamo izdevumu finansēšanas avoti, t.sk.</w:t>
      </w:r>
      <w:r w:rsidRPr="00D8017D">
        <w:rPr>
          <w:rFonts w:eastAsia="Times New Roman" w:cs="Times New Roman"/>
          <w:color w:val="333333"/>
          <w:sz w:val="28"/>
          <w:szCs w:val="20"/>
        </w:rPr>
        <w:t xml:space="preserve"> </w:t>
      </w:r>
      <w:r w:rsidRPr="00D8017D">
        <w:t>vispārējās valdības budžeta deficīta palielinājumu, kas 2025.</w:t>
      </w:r>
      <w:r w:rsidR="008F44F4">
        <w:t xml:space="preserve"> –</w:t>
      </w:r>
      <w:r w:rsidRPr="00D8017D">
        <w:t xml:space="preserve"> 2028. gada periodā tiek veikts saskaņā ar valsts izņēmuma klauzulas noteikumiem. </w:t>
      </w:r>
    </w:p>
    <w:p w14:paraId="5D6DBAF8" w14:textId="1E651FFC" w:rsidR="00574E09" w:rsidRPr="00D8017D" w:rsidRDefault="00574E09" w:rsidP="003160BE">
      <w:pPr>
        <w:numPr>
          <w:ilvl w:val="0"/>
          <w:numId w:val="16"/>
        </w:numPr>
      </w:pPr>
      <w:r w:rsidRPr="00D8017D">
        <w:t>- 4. punktā noteikts, ka aizsardzības finansējuma palielinājums tiek veikts tā, lai vispārējās valdības parāds nepārsniedz 55% no IKP</w:t>
      </w:r>
      <w:r w:rsidR="002059AF" w:rsidRPr="00D8017D">
        <w:t>, kas minētajā periodā</w:t>
      </w:r>
      <w:r w:rsidR="008F44F4">
        <w:t>.</w:t>
      </w:r>
      <w:r w:rsidR="002059AF" w:rsidRPr="00D8017D">
        <w:t xml:space="preserve"> </w:t>
      </w:r>
    </w:p>
    <w:p w14:paraId="4C79B30E" w14:textId="262E230A" w:rsidR="00AD431A" w:rsidRPr="00D8017D" w:rsidRDefault="00AD431A" w:rsidP="004F7ED2">
      <w:pPr>
        <w:pStyle w:val="boldparagraphheader"/>
        <w:spacing w:after="120"/>
        <w:ind w:firstLine="720"/>
        <w:contextualSpacing w:val="0"/>
        <w:jc w:val="both"/>
        <w:rPr>
          <w:b w:val="0"/>
          <w:bCs/>
          <w:color w:val="auto"/>
          <w:sz w:val="24"/>
          <w:szCs w:val="24"/>
        </w:rPr>
      </w:pPr>
      <w:r w:rsidRPr="00D8017D">
        <w:rPr>
          <w:b w:val="0"/>
          <w:bCs/>
          <w:color w:val="auto"/>
          <w:sz w:val="24"/>
          <w:szCs w:val="24"/>
        </w:rPr>
        <w:t xml:space="preserve">Saskaņā ar </w:t>
      </w:r>
      <w:r w:rsidR="00E11486" w:rsidRPr="00D8017D">
        <w:rPr>
          <w:b w:val="0"/>
          <w:bCs/>
          <w:color w:val="auto"/>
          <w:sz w:val="24"/>
          <w:szCs w:val="24"/>
        </w:rPr>
        <w:t>MK</w:t>
      </w:r>
      <w:r w:rsidRPr="00D8017D">
        <w:rPr>
          <w:b w:val="0"/>
          <w:bCs/>
          <w:color w:val="auto"/>
          <w:sz w:val="24"/>
          <w:szCs w:val="24"/>
        </w:rPr>
        <w:t xml:space="preserve"> 202</w:t>
      </w:r>
      <w:r w:rsidR="00487ACF" w:rsidRPr="00D8017D">
        <w:rPr>
          <w:b w:val="0"/>
          <w:bCs/>
          <w:color w:val="auto"/>
          <w:sz w:val="24"/>
          <w:szCs w:val="24"/>
        </w:rPr>
        <w:t>5</w:t>
      </w:r>
      <w:r w:rsidRPr="00D8017D">
        <w:rPr>
          <w:b w:val="0"/>
          <w:bCs/>
          <w:color w:val="auto"/>
          <w:sz w:val="24"/>
          <w:szCs w:val="24"/>
        </w:rPr>
        <w:t xml:space="preserve">. gada </w:t>
      </w:r>
      <w:r w:rsidR="00487ACF" w:rsidRPr="00D8017D">
        <w:rPr>
          <w:b w:val="0"/>
          <w:bCs/>
          <w:color w:val="auto"/>
          <w:sz w:val="24"/>
          <w:szCs w:val="24"/>
        </w:rPr>
        <w:t>15</w:t>
      </w:r>
      <w:r w:rsidRPr="00D8017D">
        <w:rPr>
          <w:b w:val="0"/>
          <w:bCs/>
          <w:color w:val="auto"/>
          <w:sz w:val="24"/>
          <w:szCs w:val="24"/>
        </w:rPr>
        <w:t xml:space="preserve">. aprīļa sēdē apstiprināto </w:t>
      </w:r>
      <w:r w:rsidR="00487ACF" w:rsidRPr="00D8017D">
        <w:rPr>
          <w:b w:val="0"/>
          <w:bCs/>
          <w:color w:val="auto"/>
          <w:sz w:val="24"/>
          <w:szCs w:val="24"/>
        </w:rPr>
        <w:t xml:space="preserve">FM sagatavoto </w:t>
      </w:r>
      <w:r w:rsidRPr="00D8017D">
        <w:rPr>
          <w:b w:val="0"/>
          <w:bCs/>
          <w:color w:val="auto"/>
          <w:sz w:val="24"/>
          <w:szCs w:val="24"/>
        </w:rPr>
        <w:t xml:space="preserve">informatīvo ziņojumu </w:t>
      </w:r>
      <w:bookmarkStart w:id="41" w:name="_Hlk209212313"/>
      <w:r w:rsidR="00BB3CFE" w:rsidRPr="00D8017D">
        <w:rPr>
          <w:b w:val="0"/>
          <w:bCs/>
          <w:color w:val="auto"/>
          <w:sz w:val="24"/>
          <w:szCs w:val="24"/>
        </w:rPr>
        <w:t>“</w:t>
      </w:r>
      <w:r w:rsidR="00487ACF" w:rsidRPr="00D8017D">
        <w:rPr>
          <w:b w:val="0"/>
          <w:bCs/>
          <w:color w:val="auto"/>
          <w:sz w:val="24"/>
          <w:szCs w:val="24"/>
        </w:rPr>
        <w:t>Latvijas Fiskāli strukturālā plāna 2025.–2028. gadam 2025. gada Progresa ziņojum</w:t>
      </w:r>
      <w:bookmarkEnd w:id="41"/>
      <w:r w:rsidR="00487ACF" w:rsidRPr="00D8017D">
        <w:rPr>
          <w:b w:val="0"/>
          <w:bCs/>
          <w:color w:val="auto"/>
          <w:sz w:val="24"/>
          <w:szCs w:val="24"/>
        </w:rPr>
        <w:t>s</w:t>
      </w:r>
      <w:r w:rsidRPr="00D8017D">
        <w:rPr>
          <w:b w:val="0"/>
          <w:bCs/>
          <w:color w:val="auto"/>
          <w:sz w:val="24"/>
          <w:szCs w:val="24"/>
        </w:rPr>
        <w:t>”</w:t>
      </w:r>
      <w:r w:rsidRPr="00D8017D">
        <w:rPr>
          <w:b w:val="0"/>
          <w:bCs/>
          <w:color w:val="auto"/>
          <w:sz w:val="24"/>
          <w:szCs w:val="24"/>
          <w:vertAlign w:val="superscript"/>
        </w:rPr>
        <w:footnoteReference w:id="18"/>
      </w:r>
      <w:r w:rsidRPr="00D8017D">
        <w:rPr>
          <w:b w:val="0"/>
          <w:bCs/>
          <w:color w:val="auto"/>
          <w:sz w:val="24"/>
          <w:szCs w:val="24"/>
        </w:rPr>
        <w:t xml:space="preserve"> </w:t>
      </w:r>
      <w:r w:rsidR="00487ACF" w:rsidRPr="00D8017D">
        <w:rPr>
          <w:b w:val="0"/>
          <w:bCs/>
          <w:sz w:val="24"/>
          <w:szCs w:val="24"/>
        </w:rPr>
        <w:t xml:space="preserve">nākamajam budžeta ciklam </w:t>
      </w:r>
      <w:r w:rsidR="000433EF" w:rsidRPr="00D8017D">
        <w:rPr>
          <w:b w:val="0"/>
          <w:bCs/>
          <w:color w:val="auto"/>
          <w:sz w:val="24"/>
          <w:szCs w:val="24"/>
        </w:rPr>
        <w:t xml:space="preserve">tika </w:t>
      </w:r>
      <w:r w:rsidRPr="00D8017D">
        <w:rPr>
          <w:b w:val="0"/>
          <w:bCs/>
          <w:color w:val="auto"/>
          <w:sz w:val="24"/>
          <w:szCs w:val="24"/>
        </w:rPr>
        <w:t>prognozēta negatīva fiskālā telpa</w:t>
      </w:r>
      <w:r w:rsidR="00487ACF" w:rsidRPr="00D8017D">
        <w:rPr>
          <w:b w:val="0"/>
          <w:bCs/>
          <w:color w:val="auto"/>
          <w:sz w:val="24"/>
          <w:szCs w:val="24"/>
        </w:rPr>
        <w:t xml:space="preserve">. </w:t>
      </w:r>
      <w:r w:rsidRPr="00D8017D">
        <w:rPr>
          <w:b w:val="0"/>
          <w:bCs/>
          <w:color w:val="auto"/>
          <w:sz w:val="24"/>
          <w:szCs w:val="24"/>
        </w:rPr>
        <w:t xml:space="preserve"> </w:t>
      </w:r>
    </w:p>
    <w:p w14:paraId="200203FC" w14:textId="77777777" w:rsidR="004F7ED2" w:rsidRPr="00D8017D" w:rsidRDefault="00487ACF" w:rsidP="004F7ED2">
      <w:pPr>
        <w:pStyle w:val="boldparagraphheader"/>
        <w:spacing w:after="120"/>
        <w:ind w:firstLine="720"/>
        <w:contextualSpacing w:val="0"/>
        <w:jc w:val="both"/>
        <w:rPr>
          <w:b w:val="0"/>
          <w:bCs/>
          <w:color w:val="auto"/>
          <w:sz w:val="24"/>
          <w:szCs w:val="24"/>
        </w:rPr>
      </w:pPr>
      <w:r w:rsidRPr="00D8017D">
        <w:rPr>
          <w:b w:val="0"/>
          <w:bCs/>
          <w:color w:val="auto"/>
          <w:sz w:val="24"/>
          <w:szCs w:val="24"/>
        </w:rPr>
        <w:t xml:space="preserve">Jau otro gadu </w:t>
      </w:r>
      <w:r w:rsidR="00BB3CFE" w:rsidRPr="00D8017D">
        <w:rPr>
          <w:b w:val="0"/>
          <w:bCs/>
          <w:color w:val="auto"/>
          <w:sz w:val="24"/>
          <w:szCs w:val="24"/>
        </w:rPr>
        <w:t>FM</w:t>
      </w:r>
      <w:r w:rsidRPr="00D8017D">
        <w:rPr>
          <w:b w:val="0"/>
          <w:bCs/>
          <w:color w:val="auto"/>
          <w:sz w:val="24"/>
          <w:szCs w:val="24"/>
        </w:rPr>
        <w:t xml:space="preserve"> sagatavotais dokuments </w:t>
      </w:r>
      <w:r w:rsidR="00480D3F" w:rsidRPr="00D8017D">
        <w:rPr>
          <w:b w:val="0"/>
          <w:bCs/>
          <w:color w:val="auto"/>
          <w:sz w:val="24"/>
          <w:szCs w:val="24"/>
        </w:rPr>
        <w:t xml:space="preserve">MK </w:t>
      </w:r>
      <w:r w:rsidRPr="00D8017D">
        <w:rPr>
          <w:b w:val="0"/>
          <w:bCs/>
          <w:color w:val="auto"/>
          <w:sz w:val="24"/>
          <w:szCs w:val="24"/>
        </w:rPr>
        <w:t>tika izskatīts vienlaikus ar Latvijas ekonomikas attīstības ziņojumu</w:t>
      </w:r>
      <w:r w:rsidRPr="00D8017D">
        <w:rPr>
          <w:b w:val="0"/>
          <w:bCs/>
          <w:vertAlign w:val="superscript"/>
        </w:rPr>
        <w:footnoteReference w:id="19"/>
      </w:r>
      <w:r w:rsidRPr="00D8017D">
        <w:rPr>
          <w:b w:val="0"/>
          <w:bCs/>
          <w:color w:val="auto"/>
          <w:sz w:val="24"/>
          <w:szCs w:val="24"/>
        </w:rPr>
        <w:t>, par kuru ziņoja ekonomikas ministrs</w:t>
      </w:r>
      <w:r w:rsidR="00480D3F" w:rsidRPr="00D8017D">
        <w:rPr>
          <w:b w:val="0"/>
          <w:bCs/>
          <w:color w:val="auto"/>
          <w:sz w:val="24"/>
          <w:szCs w:val="24"/>
        </w:rPr>
        <w:t xml:space="preserve"> un attiecīgi </w:t>
      </w:r>
      <w:r w:rsidR="00916E47" w:rsidRPr="00D8017D">
        <w:rPr>
          <w:b w:val="0"/>
          <w:bCs/>
          <w:color w:val="auto"/>
          <w:sz w:val="24"/>
          <w:szCs w:val="24"/>
        </w:rPr>
        <w:t>notika diskusija</w:t>
      </w:r>
      <w:r w:rsidR="007356F8" w:rsidRPr="00D8017D">
        <w:rPr>
          <w:b w:val="0"/>
          <w:bCs/>
          <w:color w:val="auto"/>
          <w:sz w:val="24"/>
          <w:szCs w:val="24"/>
        </w:rPr>
        <w:t xml:space="preserve"> par iespējamiem prioritārajiem virzieniem ekonomikas attīstībai</w:t>
      </w:r>
      <w:r w:rsidR="00480D3F" w:rsidRPr="00D8017D">
        <w:rPr>
          <w:b w:val="0"/>
          <w:bCs/>
          <w:color w:val="auto"/>
          <w:sz w:val="24"/>
          <w:szCs w:val="24"/>
        </w:rPr>
        <w:t xml:space="preserve">. </w:t>
      </w:r>
    </w:p>
    <w:p w14:paraId="4AF508C2" w14:textId="0BCAF656" w:rsidR="007356F8" w:rsidRPr="00D8017D" w:rsidRDefault="004F74EA" w:rsidP="004F7ED2">
      <w:pPr>
        <w:pStyle w:val="boldparagraphheader"/>
        <w:spacing w:after="120"/>
        <w:ind w:firstLine="720"/>
        <w:contextualSpacing w:val="0"/>
        <w:jc w:val="both"/>
        <w:rPr>
          <w:b w:val="0"/>
          <w:bCs/>
          <w:color w:val="auto"/>
          <w:sz w:val="24"/>
          <w:szCs w:val="24"/>
        </w:rPr>
      </w:pPr>
      <w:r w:rsidRPr="00D8017D">
        <w:rPr>
          <w:b w:val="0"/>
          <w:bCs/>
          <w:color w:val="auto"/>
          <w:sz w:val="24"/>
          <w:szCs w:val="24"/>
        </w:rPr>
        <w:t>Papildus</w:t>
      </w:r>
      <w:r w:rsidR="00835A7A" w:rsidRPr="00D8017D">
        <w:rPr>
          <w:b w:val="0"/>
          <w:bCs/>
          <w:color w:val="auto"/>
          <w:sz w:val="24"/>
          <w:szCs w:val="24"/>
        </w:rPr>
        <w:t xml:space="preserve"> tam, veicinot politisku diskusiju likumdevēja līmenī,</w:t>
      </w:r>
      <w:r w:rsidRPr="00D8017D">
        <w:rPr>
          <w:b w:val="0"/>
          <w:bCs/>
          <w:color w:val="auto"/>
          <w:sz w:val="24"/>
          <w:szCs w:val="24"/>
        </w:rPr>
        <w:t xml:space="preserve"> 202</w:t>
      </w:r>
      <w:r w:rsidR="00480D3F" w:rsidRPr="00D8017D">
        <w:rPr>
          <w:b w:val="0"/>
          <w:bCs/>
          <w:color w:val="auto"/>
          <w:sz w:val="24"/>
          <w:szCs w:val="24"/>
        </w:rPr>
        <w:t>5</w:t>
      </w:r>
      <w:r w:rsidRPr="00D8017D">
        <w:rPr>
          <w:b w:val="0"/>
          <w:bCs/>
          <w:color w:val="auto"/>
          <w:sz w:val="24"/>
          <w:szCs w:val="24"/>
        </w:rPr>
        <w:t xml:space="preserve">. gada </w:t>
      </w:r>
      <w:r w:rsidR="00480D3F" w:rsidRPr="00D8017D">
        <w:rPr>
          <w:b w:val="0"/>
          <w:bCs/>
          <w:color w:val="auto"/>
          <w:sz w:val="24"/>
          <w:szCs w:val="24"/>
        </w:rPr>
        <w:t>8.</w:t>
      </w:r>
      <w:r w:rsidRPr="00D8017D">
        <w:rPr>
          <w:b w:val="0"/>
          <w:bCs/>
          <w:color w:val="auto"/>
          <w:sz w:val="24"/>
          <w:szCs w:val="24"/>
        </w:rPr>
        <w:t xml:space="preserve"> maijā </w:t>
      </w:r>
      <w:r w:rsidR="00835A7A" w:rsidRPr="00D8017D">
        <w:rPr>
          <w:b w:val="0"/>
          <w:bCs/>
          <w:color w:val="auto"/>
          <w:sz w:val="24"/>
          <w:szCs w:val="24"/>
        </w:rPr>
        <w:t xml:space="preserve">jau </w:t>
      </w:r>
      <w:r w:rsidR="00480D3F" w:rsidRPr="00D8017D">
        <w:rPr>
          <w:b w:val="0"/>
          <w:bCs/>
          <w:color w:val="auto"/>
          <w:sz w:val="24"/>
          <w:szCs w:val="24"/>
        </w:rPr>
        <w:t>trešo</w:t>
      </w:r>
      <w:r w:rsidR="00835A7A" w:rsidRPr="00D8017D">
        <w:rPr>
          <w:b w:val="0"/>
          <w:bCs/>
          <w:color w:val="auto"/>
          <w:sz w:val="24"/>
          <w:szCs w:val="24"/>
        </w:rPr>
        <w:t xml:space="preserve"> gadu pēc kārtas notika </w:t>
      </w:r>
      <w:r w:rsidRPr="00D8017D">
        <w:rPr>
          <w:b w:val="0"/>
          <w:bCs/>
          <w:color w:val="auto"/>
          <w:sz w:val="24"/>
          <w:szCs w:val="24"/>
        </w:rPr>
        <w:t xml:space="preserve">debates Latvijas Republikas 14. Saeimas plenārsēdē, finanšu ministram ziņojot par </w:t>
      </w:r>
      <w:r w:rsidR="009C5D58" w:rsidRPr="00D8017D">
        <w:rPr>
          <w:b w:val="0"/>
          <w:bCs/>
          <w:color w:val="auto"/>
          <w:sz w:val="24"/>
          <w:szCs w:val="24"/>
        </w:rPr>
        <w:t>Latvijas Fiskāli strukturālā plāna 2025.–2028. gadam 2025. gada Progresa ziņojums</w:t>
      </w:r>
      <w:r w:rsidR="00835A7A" w:rsidRPr="00D8017D">
        <w:rPr>
          <w:b w:val="0"/>
          <w:bCs/>
          <w:vertAlign w:val="superscript"/>
        </w:rPr>
        <w:footnoteReference w:id="20"/>
      </w:r>
      <w:r w:rsidR="00835A7A" w:rsidRPr="00D8017D">
        <w:rPr>
          <w:b w:val="0"/>
          <w:bCs/>
          <w:color w:val="auto"/>
          <w:sz w:val="24"/>
          <w:szCs w:val="24"/>
        </w:rPr>
        <w:t>. Debatēs bija iespēja diskutēt ne tikai par valsts finanšu stāvokli, bet arī par budžeta prioritātēm nākamajam gadam un vidējam termiņam. Viens no galvenajiem valsts budžeta uzdevumiem ir ne tikai nodrošināt publiskos pakalpojumus un īstenot pretciklisku fiskālo politiku, bet arī nodrošināt labvēlīgus apstākļus ekonomikas attīstībai. Tāpēc</w:t>
      </w:r>
      <w:r w:rsidR="009C5D58" w:rsidRPr="00D8017D">
        <w:rPr>
          <w:b w:val="0"/>
          <w:bCs/>
          <w:color w:val="auto"/>
          <w:sz w:val="24"/>
          <w:szCs w:val="24"/>
        </w:rPr>
        <w:t xml:space="preserve"> arī</w:t>
      </w:r>
      <w:r w:rsidR="00835A7A" w:rsidRPr="00D8017D">
        <w:rPr>
          <w:b w:val="0"/>
          <w:bCs/>
          <w:color w:val="auto"/>
          <w:sz w:val="24"/>
          <w:szCs w:val="24"/>
        </w:rPr>
        <w:t xml:space="preserve"> šogad finanšu ministra ziņojum</w:t>
      </w:r>
      <w:r w:rsidR="00E51BB0" w:rsidRPr="00D8017D">
        <w:rPr>
          <w:b w:val="0"/>
          <w:bCs/>
          <w:color w:val="auto"/>
          <w:sz w:val="24"/>
          <w:szCs w:val="24"/>
        </w:rPr>
        <w:t>s</w:t>
      </w:r>
      <w:r w:rsidR="00835A7A" w:rsidRPr="00D8017D">
        <w:rPr>
          <w:b w:val="0"/>
          <w:bCs/>
          <w:color w:val="auto"/>
          <w:sz w:val="24"/>
          <w:szCs w:val="24"/>
        </w:rPr>
        <w:t xml:space="preserve"> uzklausīts </w:t>
      </w:r>
      <w:r w:rsidR="00E51BB0" w:rsidRPr="00D8017D">
        <w:rPr>
          <w:b w:val="0"/>
          <w:bCs/>
          <w:color w:val="auto"/>
          <w:sz w:val="24"/>
          <w:szCs w:val="24"/>
        </w:rPr>
        <w:t xml:space="preserve">kopā ar </w:t>
      </w:r>
      <w:r w:rsidR="00835A7A" w:rsidRPr="00D8017D">
        <w:rPr>
          <w:b w:val="0"/>
          <w:bCs/>
          <w:color w:val="auto"/>
          <w:sz w:val="24"/>
          <w:szCs w:val="24"/>
        </w:rPr>
        <w:t>ekonomikas ministra ziņojum</w:t>
      </w:r>
      <w:r w:rsidR="00E51BB0" w:rsidRPr="00D8017D">
        <w:rPr>
          <w:b w:val="0"/>
          <w:bCs/>
          <w:color w:val="auto"/>
          <w:sz w:val="24"/>
          <w:szCs w:val="24"/>
        </w:rPr>
        <w:t>u</w:t>
      </w:r>
      <w:r w:rsidR="00835A7A" w:rsidRPr="00D8017D">
        <w:rPr>
          <w:b w:val="0"/>
          <w:bCs/>
          <w:color w:val="auto"/>
          <w:sz w:val="24"/>
          <w:szCs w:val="24"/>
        </w:rPr>
        <w:t xml:space="preserve"> par ekonomisko politiku</w:t>
      </w:r>
      <w:r w:rsidRPr="00D8017D">
        <w:rPr>
          <w:b w:val="0"/>
          <w:bCs/>
          <w:color w:val="auto"/>
          <w:sz w:val="24"/>
          <w:szCs w:val="24"/>
        </w:rPr>
        <w:t xml:space="preserve">. </w:t>
      </w:r>
    </w:p>
    <w:p w14:paraId="164DCAF4" w14:textId="5B3FF925" w:rsidR="00DD00F5" w:rsidRPr="00D8017D" w:rsidRDefault="00DD00F5" w:rsidP="004F7ED2">
      <w:pPr>
        <w:rPr>
          <w:rFonts w:cs="Times New Roman"/>
          <w:szCs w:val="24"/>
        </w:rPr>
      </w:pPr>
      <w:r w:rsidRPr="00D8017D">
        <w:rPr>
          <w:rFonts w:cs="Times New Roman"/>
          <w:szCs w:val="24"/>
        </w:rPr>
        <w:t xml:space="preserve">Atbilstoši MK 2025. gada 13. maija protokola (sēdes prot. Nr.19 50.§) 7. punktam tika noteikts mērķis veikt publiskā sektora efektivizācijas un vispārējās valdības </w:t>
      </w:r>
      <w:r w:rsidRPr="00D8017D">
        <w:rPr>
          <w:rFonts w:cs="Times New Roman"/>
          <w:bCs/>
          <w:szCs w:val="24"/>
        </w:rPr>
        <w:t>izdevumu samazinājumu</w:t>
      </w:r>
      <w:r w:rsidRPr="00D8017D">
        <w:rPr>
          <w:rFonts w:cs="Times New Roman"/>
          <w:szCs w:val="24"/>
        </w:rPr>
        <w:t xml:space="preserve"> ne mazāk kā 450 milj. </w:t>
      </w:r>
      <w:r w:rsidRPr="00D8017D">
        <w:rPr>
          <w:rFonts w:cs="Times New Roman"/>
          <w:i/>
          <w:szCs w:val="24"/>
        </w:rPr>
        <w:t>euro</w:t>
      </w:r>
      <w:r w:rsidRPr="00D8017D">
        <w:rPr>
          <w:rFonts w:cs="Times New Roman"/>
          <w:szCs w:val="24"/>
        </w:rPr>
        <w:t xml:space="preserve"> apmērā 2026. – 2028. gadā, tajā skaitā 2026. gadā ne mazāk kā 150 milj. </w:t>
      </w:r>
      <w:r w:rsidRPr="00D8017D">
        <w:rPr>
          <w:rFonts w:cs="Times New Roman"/>
          <w:i/>
          <w:szCs w:val="24"/>
        </w:rPr>
        <w:t>euro</w:t>
      </w:r>
      <w:r w:rsidRPr="00D8017D">
        <w:rPr>
          <w:rFonts w:cs="Times New Roman"/>
          <w:szCs w:val="24"/>
        </w:rPr>
        <w:t>.</w:t>
      </w:r>
    </w:p>
    <w:p w14:paraId="1E37C3B3" w14:textId="3E84100C" w:rsidR="00E51BB0" w:rsidRPr="00D8017D" w:rsidRDefault="005103B3" w:rsidP="004F7ED2">
      <w:pPr>
        <w:rPr>
          <w:rFonts w:cs="Times New Roman"/>
          <w:szCs w:val="24"/>
        </w:rPr>
      </w:pPr>
      <w:r w:rsidRPr="00D8017D">
        <w:rPr>
          <w:rFonts w:cs="Times New Roman"/>
          <w:bCs/>
          <w:color w:val="000000" w:themeColor="text1"/>
          <w:szCs w:val="24"/>
        </w:rPr>
        <w:t xml:space="preserve">Saskaņā ar MK 2025. gada 27. marta rīkojumā Nr. 179 </w:t>
      </w:r>
      <w:r w:rsidR="008F44F4">
        <w:rPr>
          <w:rFonts w:cs="Times New Roman"/>
          <w:bCs/>
          <w:color w:val="000000" w:themeColor="text1"/>
          <w:szCs w:val="24"/>
        </w:rPr>
        <w:t>“</w:t>
      </w:r>
      <w:r w:rsidRPr="00D8017D">
        <w:rPr>
          <w:rFonts w:cs="Times New Roman"/>
          <w:bCs/>
          <w:color w:val="000000" w:themeColor="text1"/>
          <w:szCs w:val="24"/>
        </w:rPr>
        <w:t xml:space="preserve">Par likumprojekta </w:t>
      </w:r>
      <w:r w:rsidR="008F44F4">
        <w:rPr>
          <w:rFonts w:cs="Times New Roman"/>
          <w:bCs/>
          <w:color w:val="000000" w:themeColor="text1"/>
          <w:szCs w:val="24"/>
        </w:rPr>
        <w:t>“</w:t>
      </w:r>
      <w:r w:rsidRPr="00D8017D">
        <w:rPr>
          <w:rFonts w:cs="Times New Roman"/>
          <w:bCs/>
          <w:color w:val="000000" w:themeColor="text1"/>
          <w:szCs w:val="24"/>
        </w:rPr>
        <w:t>Par valsts budžetu 2026. gadam un budžeta ietvaru 2026., 2027. un 2028. gadam</w:t>
      </w:r>
      <w:r w:rsidR="008F44F4">
        <w:rPr>
          <w:rFonts w:cs="Times New Roman"/>
          <w:bCs/>
          <w:color w:val="000000" w:themeColor="text1"/>
          <w:szCs w:val="24"/>
        </w:rPr>
        <w:t>”</w:t>
      </w:r>
      <w:r w:rsidRPr="00D8017D">
        <w:rPr>
          <w:rFonts w:cs="Times New Roman"/>
          <w:bCs/>
          <w:color w:val="000000" w:themeColor="text1"/>
          <w:szCs w:val="24"/>
        </w:rPr>
        <w:t xml:space="preserve"> sagatavošanas grafiku</w:t>
      </w:r>
      <w:r w:rsidR="008F44F4">
        <w:rPr>
          <w:rFonts w:cs="Times New Roman"/>
          <w:bCs/>
          <w:color w:val="000000" w:themeColor="text1"/>
          <w:szCs w:val="24"/>
        </w:rPr>
        <w:t>”</w:t>
      </w:r>
      <w:r w:rsidRPr="00D8017D">
        <w:rPr>
          <w:rFonts w:cs="Times New Roman"/>
          <w:bCs/>
          <w:color w:val="000000" w:themeColor="text1"/>
          <w:szCs w:val="24"/>
        </w:rPr>
        <w:t xml:space="preserve"> (turpmāk – rīkojums Nr. 179) pielikuma 9. punktu 2025. gada 30. jūnijā bija noteikts termiņš priekšlikumu iesniegšanai prioritārajiem pasākumiem aizsardzībai un demogrāfijai. </w:t>
      </w:r>
      <w:r w:rsidR="00E51BB0" w:rsidRPr="00D8017D">
        <w:rPr>
          <w:rFonts w:cs="Times New Roman"/>
          <w:bCs/>
          <w:color w:val="000000" w:themeColor="text1"/>
          <w:szCs w:val="24"/>
        </w:rPr>
        <w:t xml:space="preserve">Ņemot vērā </w:t>
      </w:r>
      <w:r w:rsidR="00E51BB0" w:rsidRPr="00D8017D">
        <w:rPr>
          <w:rFonts w:cs="Times New Roman"/>
          <w:bCs/>
          <w:color w:val="000000" w:themeColor="text1"/>
          <w:szCs w:val="24"/>
        </w:rPr>
        <w:lastRenderedPageBreak/>
        <w:t xml:space="preserve">sarežģīto situāciju valsts budžeta likumprojekta sagatavošanā saistībā ar </w:t>
      </w:r>
      <w:r w:rsidR="00E51BB0" w:rsidRPr="00D8017D">
        <w:rPr>
          <w:rFonts w:cs="Times New Roman"/>
          <w:szCs w:val="24"/>
        </w:rPr>
        <w:t>2026.</w:t>
      </w:r>
      <w:r w:rsidR="00DD00F5" w:rsidRPr="00D8017D">
        <w:rPr>
          <w:rFonts w:cs="Times New Roman"/>
          <w:szCs w:val="24"/>
        </w:rPr>
        <w:t xml:space="preserve"> </w:t>
      </w:r>
      <w:r w:rsidR="00E51BB0" w:rsidRPr="00D8017D">
        <w:rPr>
          <w:rFonts w:cs="Times New Roman"/>
          <w:szCs w:val="24"/>
        </w:rPr>
        <w:t>–</w:t>
      </w:r>
      <w:r w:rsidR="00DD00F5" w:rsidRPr="00D8017D">
        <w:rPr>
          <w:rFonts w:cs="Times New Roman"/>
          <w:szCs w:val="24"/>
        </w:rPr>
        <w:t xml:space="preserve"> </w:t>
      </w:r>
      <w:r w:rsidR="00E51BB0" w:rsidRPr="00D8017D">
        <w:rPr>
          <w:rFonts w:cs="Times New Roman"/>
          <w:szCs w:val="24"/>
        </w:rPr>
        <w:t>2028. gadam</w:t>
      </w:r>
      <w:r w:rsidR="00E51BB0" w:rsidRPr="00D8017D">
        <w:rPr>
          <w:rFonts w:cs="Times New Roman"/>
          <w:bCs/>
          <w:color w:val="000000" w:themeColor="text1"/>
          <w:szCs w:val="24"/>
        </w:rPr>
        <w:t xml:space="preserve"> indikatīvi pieejamo papildus finansējumu prioritāšu finansēšanai</w:t>
      </w:r>
      <w:r w:rsidR="00E51BB0" w:rsidRPr="00D8017D">
        <w:rPr>
          <w:rFonts w:cs="Times New Roman"/>
          <w:szCs w:val="24"/>
        </w:rPr>
        <w:t xml:space="preserve">, </w:t>
      </w:r>
      <w:r w:rsidR="00E51BB0" w:rsidRPr="00D8017D">
        <w:rPr>
          <w:rStyle w:val="ui-provider"/>
          <w:rFonts w:cs="Times New Roman"/>
          <w:szCs w:val="24"/>
        </w:rPr>
        <w:t xml:space="preserve">veikti grozījumi </w:t>
      </w:r>
      <w:r w:rsidRPr="00D8017D">
        <w:rPr>
          <w:rStyle w:val="ui-provider"/>
          <w:rFonts w:cs="Times New Roman"/>
          <w:szCs w:val="24"/>
        </w:rPr>
        <w:t>rīkojuma Nr. 179</w:t>
      </w:r>
      <w:r w:rsidR="00E51BB0" w:rsidRPr="00D8017D">
        <w:rPr>
          <w:rStyle w:val="FootnoteReference"/>
          <w:rFonts w:cs="Times New Roman"/>
          <w:szCs w:val="24"/>
        </w:rPr>
        <w:footnoteReference w:id="21"/>
      </w:r>
      <w:r w:rsidR="00E51BB0" w:rsidRPr="00D8017D">
        <w:rPr>
          <w:rStyle w:val="ui-provider"/>
          <w:rFonts w:cs="Times New Roman"/>
          <w:szCs w:val="24"/>
        </w:rPr>
        <w:t xml:space="preserve">, nosakot, ka ministrijas un citas centrālās valsts iestādes </w:t>
      </w:r>
      <w:r w:rsidR="00E51BB0" w:rsidRPr="00D8017D">
        <w:rPr>
          <w:rStyle w:val="ui-provider"/>
          <w:rFonts w:cs="Times New Roman"/>
          <w:b/>
          <w:bCs/>
          <w:szCs w:val="24"/>
        </w:rPr>
        <w:t xml:space="preserve">nesniedz priekšlikumus </w:t>
      </w:r>
      <w:r w:rsidR="00E51BB0" w:rsidRPr="00D8017D">
        <w:rPr>
          <w:rFonts w:cs="Times New Roman"/>
          <w:b/>
          <w:bCs/>
          <w:szCs w:val="24"/>
        </w:rPr>
        <w:t>prioritārajiem pasākumiem</w:t>
      </w:r>
      <w:r w:rsidR="00E51BB0" w:rsidRPr="00D8017D">
        <w:rPr>
          <w:rStyle w:val="ui-provider"/>
          <w:rFonts w:cs="Times New Roman"/>
          <w:szCs w:val="24"/>
        </w:rPr>
        <w:t xml:space="preserve">, savukārt </w:t>
      </w:r>
      <w:r w:rsidR="00E51BB0" w:rsidRPr="00D8017D">
        <w:rPr>
          <w:rStyle w:val="ui-provider"/>
          <w:rFonts w:cs="Times New Roman"/>
          <w:b/>
          <w:bCs/>
          <w:szCs w:val="24"/>
        </w:rPr>
        <w:t>neatkarīgās institūcijas</w:t>
      </w:r>
      <w:r w:rsidR="00E51BB0" w:rsidRPr="00D8017D">
        <w:rPr>
          <w:rFonts w:cs="Times New Roman"/>
          <w:b/>
          <w:bCs/>
          <w:szCs w:val="24"/>
        </w:rPr>
        <w:t xml:space="preserve"> </w:t>
      </w:r>
      <w:r w:rsidR="00E51BB0" w:rsidRPr="00D8017D">
        <w:rPr>
          <w:rStyle w:val="ui-provider"/>
          <w:rFonts w:cs="Times New Roman"/>
          <w:b/>
          <w:bCs/>
          <w:szCs w:val="24"/>
        </w:rPr>
        <w:t xml:space="preserve">tiek aicinātas nesniegt priekšlikumus </w:t>
      </w:r>
      <w:r w:rsidR="00E51BB0" w:rsidRPr="00D8017D">
        <w:rPr>
          <w:rFonts w:cs="Times New Roman"/>
          <w:b/>
          <w:bCs/>
          <w:szCs w:val="24"/>
        </w:rPr>
        <w:t>prioritārajiem pasākumiem</w:t>
      </w:r>
      <w:r w:rsidR="00E51BB0" w:rsidRPr="00D8017D">
        <w:rPr>
          <w:rStyle w:val="ui-provider"/>
          <w:rFonts w:cs="Times New Roman"/>
          <w:szCs w:val="24"/>
        </w:rPr>
        <w:t xml:space="preserve">. Vienlaikus, tika pieņemts zināšanai, ka </w:t>
      </w:r>
      <w:r w:rsidR="00E51BB0" w:rsidRPr="00D8017D">
        <w:rPr>
          <w:rFonts w:cs="Times New Roman"/>
          <w:szCs w:val="24"/>
        </w:rPr>
        <w:t xml:space="preserve">paliek spēkā rīkojuma Nr. 179 2.4. apakšpunktā noteiktais, ka izdevumu pārskatīšanas rezultātā iegūtie līdzekļi pamatā tiek novirzīti </w:t>
      </w:r>
      <w:r w:rsidR="00E51BB0" w:rsidRPr="00D8017D">
        <w:rPr>
          <w:rFonts w:cs="Times New Roman"/>
          <w:b/>
          <w:bCs/>
          <w:szCs w:val="24"/>
        </w:rPr>
        <w:t>aizsardzības izdevumu un demogrāfijas pasākumu finansēšanai</w:t>
      </w:r>
      <w:r w:rsidR="00E51BB0" w:rsidRPr="00D8017D">
        <w:rPr>
          <w:rFonts w:cs="Times New Roman"/>
          <w:szCs w:val="24"/>
        </w:rPr>
        <w:t xml:space="preserve"> </w:t>
      </w:r>
      <w:r w:rsidR="00E51BB0" w:rsidRPr="00D8017D">
        <w:rPr>
          <w:rFonts w:cs="Times New Roman"/>
          <w:iCs/>
          <w:szCs w:val="24"/>
        </w:rPr>
        <w:t>(</w:t>
      </w:r>
      <w:r w:rsidR="00DD00F5" w:rsidRPr="00D8017D">
        <w:rPr>
          <w:rFonts w:cs="Times New Roman"/>
          <w:iCs/>
          <w:szCs w:val="24"/>
        </w:rPr>
        <w:t xml:space="preserve">sēdes </w:t>
      </w:r>
      <w:r w:rsidR="00E51BB0" w:rsidRPr="00D8017D">
        <w:rPr>
          <w:rFonts w:cs="Times New Roman"/>
          <w:bCs/>
          <w:szCs w:val="24"/>
        </w:rPr>
        <w:t>prot</w:t>
      </w:r>
      <w:r w:rsidR="00DD00F5" w:rsidRPr="00D8017D">
        <w:rPr>
          <w:rFonts w:cs="Times New Roman"/>
          <w:bCs/>
          <w:szCs w:val="24"/>
        </w:rPr>
        <w:t>.</w:t>
      </w:r>
      <w:r w:rsidR="00E51BB0" w:rsidRPr="00D8017D">
        <w:rPr>
          <w:rFonts w:cs="Times New Roman"/>
          <w:bCs/>
          <w:szCs w:val="24"/>
        </w:rPr>
        <w:t xml:space="preserve"> Nr. 25 46. §)</w:t>
      </w:r>
      <w:r w:rsidRPr="00D8017D">
        <w:rPr>
          <w:rFonts w:cs="Times New Roman"/>
          <w:szCs w:val="24"/>
        </w:rPr>
        <w:t xml:space="preserve"> un noteikts, ka ministrijām pēc tam, kad tās ir veikušas izdevumu samazināšanu noteiktajā apjomā, ir tiesības sniegt priekšlikumus iekļaušanai izdevumu pārskatīšanas ziņojumā par papildu ietaupījumu novirzīšanu savas nozares neatliekamajām prioritātēm. </w:t>
      </w:r>
    </w:p>
    <w:p w14:paraId="5623D203" w14:textId="0BC6699F" w:rsidR="00DD00F5" w:rsidRPr="00D8017D" w:rsidRDefault="00DD00F5" w:rsidP="004F7ED2">
      <w:pPr>
        <w:rPr>
          <w:rFonts w:cs="Times New Roman"/>
          <w:szCs w:val="24"/>
        </w:rPr>
      </w:pPr>
      <w:r w:rsidRPr="00D8017D">
        <w:rPr>
          <w:rFonts w:cs="Times New Roman"/>
          <w:szCs w:val="24"/>
        </w:rPr>
        <w:t xml:space="preserve">2025. gada 27. maija sēdē, izskatot likumprojektu “Grozījumi Izglītības likumā”, tika nolemts </w:t>
      </w:r>
      <w:r w:rsidRPr="00D8017D">
        <w:rPr>
          <w:rFonts w:cs="Times New Roman"/>
          <w:b/>
          <w:bCs/>
          <w:szCs w:val="24"/>
        </w:rPr>
        <w:t>noteikt pāreju uz jaunu vispārējās pamata un vidējās izglītības pedagogu darba samaksas finansēšanas modeli “Programma skolā” par prioritāti</w:t>
      </w:r>
      <w:r w:rsidRPr="00D8017D">
        <w:rPr>
          <w:rFonts w:cs="Times New Roman"/>
          <w:szCs w:val="24"/>
        </w:rPr>
        <w:t xml:space="preserve"> likumprojekta “Par valsts budžetu 2026. gadam un budžeta ietvaru 2026., 2027. un 2028. gadam” izstrādes procesā (protokols Nr. 21 41. §).</w:t>
      </w:r>
    </w:p>
    <w:p w14:paraId="4D9B809A" w14:textId="77777777" w:rsidR="005103B3" w:rsidRPr="00D8017D" w:rsidRDefault="005103B3" w:rsidP="004F7ED2">
      <w:pPr>
        <w:rPr>
          <w:rFonts w:cs="Times New Roman"/>
          <w:szCs w:val="24"/>
        </w:rPr>
      </w:pPr>
      <w:r w:rsidRPr="00D8017D">
        <w:rPr>
          <w:rFonts w:cs="Times New Roman"/>
          <w:szCs w:val="24"/>
        </w:rPr>
        <w:t xml:space="preserve">MK 2025. gada 19. augusta sēdē, izskatot informatīvo ziņojumu “Par neatkarīgo institūciju prioritārajiem pasākumiem 2026., 2027., 2028. un 2029. gadam” (sēdes prot. Nr.32 50. §), tika pieņemti zināšanai neatkarīgo iestāžu papildu finansējuma pieprasījumi prioritārajiem pasākumiem. </w:t>
      </w:r>
    </w:p>
    <w:p w14:paraId="6A0430FE" w14:textId="5127F435" w:rsidR="00557435" w:rsidRPr="00D8017D" w:rsidRDefault="00557435" w:rsidP="004F7ED2">
      <w:pPr>
        <w:widowControl w:val="0"/>
        <w:rPr>
          <w:rFonts w:eastAsia="Times New Roman" w:cs="Times New Roman"/>
          <w:szCs w:val="24"/>
        </w:rPr>
      </w:pPr>
      <w:r w:rsidRPr="00D8017D">
        <w:rPr>
          <w:rFonts w:eastAsia="Times New Roman" w:cs="Times New Roman"/>
          <w:szCs w:val="24"/>
        </w:rPr>
        <w:t>Tālāk šajā nodaļā ti</w:t>
      </w:r>
      <w:r w:rsidR="00AA3F38" w:rsidRPr="00D8017D">
        <w:rPr>
          <w:rFonts w:eastAsia="Times New Roman" w:cs="Times New Roman"/>
          <w:szCs w:val="24"/>
        </w:rPr>
        <w:t>ek</w:t>
      </w:r>
      <w:r w:rsidRPr="00D8017D">
        <w:rPr>
          <w:rFonts w:eastAsia="Times New Roman" w:cs="Times New Roman"/>
          <w:szCs w:val="24"/>
        </w:rPr>
        <w:t xml:space="preserve"> sniegts izvērsums gan par to</w:t>
      </w:r>
      <w:r w:rsidR="008F02A2" w:rsidRPr="00D8017D">
        <w:rPr>
          <w:rFonts w:eastAsia="Times New Roman" w:cs="Times New Roman"/>
          <w:szCs w:val="24"/>
        </w:rPr>
        <w:t>,</w:t>
      </w:r>
      <w:r w:rsidRPr="00D8017D">
        <w:rPr>
          <w:rFonts w:eastAsia="Times New Roman" w:cs="Times New Roman"/>
          <w:szCs w:val="24"/>
        </w:rPr>
        <w:t xml:space="preserve"> kā tiek aprēķināti pieejamie papildus resursi budžeta prioritāšu īstenošanai, gan arī par to, kādi ir </w:t>
      </w:r>
      <w:r w:rsidR="00801615" w:rsidRPr="00D8017D">
        <w:rPr>
          <w:rFonts w:eastAsia="Times New Roman" w:cs="Times New Roman"/>
          <w:szCs w:val="24"/>
        </w:rPr>
        <w:t>MK</w:t>
      </w:r>
      <w:r w:rsidRPr="00D8017D">
        <w:rPr>
          <w:rFonts w:eastAsia="Times New Roman" w:cs="Times New Roman"/>
          <w:szCs w:val="24"/>
        </w:rPr>
        <w:t xml:space="preserve"> pieņemtie lēmumi fiskālās politikas vispārējā mērķa un specifisko mērķu sasniegšanai. Informācija ietverta sekojošās apakšdaļās:</w:t>
      </w:r>
    </w:p>
    <w:p w14:paraId="3DD85CE3" w14:textId="77777777" w:rsidR="00557435" w:rsidRPr="00D8017D" w:rsidRDefault="00557435" w:rsidP="006F6679">
      <w:pPr>
        <w:widowControl w:val="0"/>
        <w:numPr>
          <w:ilvl w:val="0"/>
          <w:numId w:val="5"/>
        </w:numPr>
        <w:spacing w:after="0"/>
        <w:ind w:left="1069" w:hanging="360"/>
        <w:rPr>
          <w:rFonts w:eastAsia="Times New Roman" w:cs="Times New Roman"/>
          <w:szCs w:val="24"/>
        </w:rPr>
      </w:pPr>
      <w:r w:rsidRPr="00D8017D">
        <w:rPr>
          <w:rFonts w:eastAsia="Times New Roman" w:cs="Times New Roman"/>
          <w:szCs w:val="24"/>
        </w:rPr>
        <w:t>vidēja termiņa strukturālās bilances mērķu noteikšana;</w:t>
      </w:r>
    </w:p>
    <w:p w14:paraId="3070376C" w14:textId="77777777" w:rsidR="00557435" w:rsidRPr="00D8017D" w:rsidRDefault="00557435" w:rsidP="006F6679">
      <w:pPr>
        <w:widowControl w:val="0"/>
        <w:numPr>
          <w:ilvl w:val="0"/>
          <w:numId w:val="5"/>
        </w:numPr>
        <w:spacing w:after="0"/>
        <w:ind w:left="1069" w:hanging="360"/>
        <w:rPr>
          <w:rFonts w:eastAsia="Times New Roman" w:cs="Times New Roman"/>
          <w:szCs w:val="24"/>
        </w:rPr>
      </w:pPr>
      <w:r w:rsidRPr="00D8017D">
        <w:rPr>
          <w:rFonts w:eastAsia="Times New Roman" w:cs="Times New Roman"/>
          <w:szCs w:val="24"/>
        </w:rPr>
        <w:t>vispārējās valdības budžeta bilance;</w:t>
      </w:r>
    </w:p>
    <w:p w14:paraId="5C0B0499" w14:textId="77777777" w:rsidR="00557435" w:rsidRPr="00D8017D" w:rsidRDefault="00557435" w:rsidP="006F6679">
      <w:pPr>
        <w:widowControl w:val="0"/>
        <w:numPr>
          <w:ilvl w:val="0"/>
          <w:numId w:val="5"/>
        </w:numPr>
        <w:spacing w:after="0"/>
        <w:ind w:left="1069" w:hanging="360"/>
        <w:rPr>
          <w:rFonts w:eastAsia="Times New Roman" w:cs="Times New Roman"/>
          <w:szCs w:val="24"/>
        </w:rPr>
      </w:pPr>
      <w:r w:rsidRPr="00D8017D">
        <w:rPr>
          <w:rFonts w:eastAsia="Times New Roman" w:cs="Times New Roman"/>
          <w:szCs w:val="24"/>
        </w:rPr>
        <w:t>vidēja termiņa budžeta prioritārie attīstības virzieni.</w:t>
      </w:r>
    </w:p>
    <w:p w14:paraId="69777FB6" w14:textId="11506410" w:rsidR="0042606F" w:rsidRPr="00D8017D" w:rsidRDefault="003164D4" w:rsidP="008349F0">
      <w:pPr>
        <w:pStyle w:val="Heading2"/>
      </w:pPr>
      <w:bookmarkStart w:id="42" w:name="_Toc210289881"/>
      <w:r w:rsidRPr="00D8017D">
        <w:t xml:space="preserve">2.1. </w:t>
      </w:r>
      <w:r w:rsidR="000548A5" w:rsidRPr="00D8017D">
        <w:t>Vidēja termiņa strukturālās bilances mērķu noteikšana</w:t>
      </w:r>
      <w:bookmarkEnd w:id="42"/>
    </w:p>
    <w:p w14:paraId="4E14BACA" w14:textId="3C8E05F5" w:rsidR="00EA4FF4" w:rsidRPr="00D8017D" w:rsidRDefault="00EA4FF4" w:rsidP="006E534E">
      <w:pPr>
        <w:spacing w:after="0"/>
        <w:ind w:firstLine="709"/>
        <w:rPr>
          <w:rFonts w:eastAsia="Calibri" w:cs="Times New Roman"/>
          <w:szCs w:val="20"/>
        </w:rPr>
      </w:pPr>
      <w:r w:rsidRPr="00D8017D">
        <w:rPr>
          <w:rFonts w:eastAsia="Calibri" w:cs="Times New Roman"/>
          <w:szCs w:val="20"/>
        </w:rPr>
        <w:t>Valdības deklarācijā ir nostiprināta a</w:t>
      </w:r>
      <w:r w:rsidR="00644AD1" w:rsidRPr="00D8017D">
        <w:rPr>
          <w:rFonts w:eastAsia="Calibri" w:cs="Times New Roman"/>
          <w:szCs w:val="20"/>
        </w:rPr>
        <w:t xml:space="preserve">pņemšanās </w:t>
      </w:r>
      <w:r w:rsidRPr="00D8017D">
        <w:rPr>
          <w:rFonts w:eastAsia="Calibri" w:cs="Times New Roman"/>
          <w:szCs w:val="20"/>
        </w:rPr>
        <w:t>īstenot</w:t>
      </w:r>
      <w:r w:rsidR="00644AD1" w:rsidRPr="00D8017D">
        <w:rPr>
          <w:rFonts w:eastAsia="Calibri" w:cs="Times New Roman"/>
          <w:szCs w:val="20"/>
        </w:rPr>
        <w:t xml:space="preserve"> </w:t>
      </w:r>
      <w:r w:rsidRPr="00D8017D">
        <w:rPr>
          <w:rFonts w:eastAsia="Calibri" w:cs="Times New Roman"/>
          <w:szCs w:val="20"/>
        </w:rPr>
        <w:t>f</w:t>
      </w:r>
      <w:r w:rsidRPr="00D8017D">
        <w:t xml:space="preserve">iskālo politiku saskaņā ar spēkā esošajiem Latvijas un </w:t>
      </w:r>
      <w:r w:rsidR="00B93389" w:rsidRPr="00D8017D">
        <w:t>ES</w:t>
      </w:r>
      <w:r w:rsidRPr="00D8017D">
        <w:t xml:space="preserve"> tiesību aktos noteiktajiem fiskālajiem nosacījumiem un adaptēt to atbilstoši </w:t>
      </w:r>
      <w:r w:rsidR="00114704" w:rsidRPr="00D8017D">
        <w:t xml:space="preserve">reformētam </w:t>
      </w:r>
      <w:r w:rsidRPr="00D8017D">
        <w:t>ES ekonomiskās pārvaldības tiesisk</w:t>
      </w:r>
      <w:r w:rsidR="00114704" w:rsidRPr="00D8017D">
        <w:t>ajam</w:t>
      </w:r>
      <w:r w:rsidRPr="00D8017D">
        <w:t xml:space="preserve"> ietvara</w:t>
      </w:r>
      <w:r w:rsidR="00114704" w:rsidRPr="00D8017D">
        <w:t>m</w:t>
      </w:r>
      <w:r w:rsidRPr="00D8017D">
        <w:t>.</w:t>
      </w:r>
    </w:p>
    <w:p w14:paraId="4D826C6C" w14:textId="77777777" w:rsidR="00AE0B8A" w:rsidRPr="00D8017D" w:rsidRDefault="00AE0B8A" w:rsidP="004F7ED2">
      <w:pPr>
        <w:spacing w:after="0"/>
        <w:ind w:firstLine="0"/>
        <w:rPr>
          <w:rFonts w:eastAsia="Times New Roman" w:cs="Times New Roman"/>
          <w:highlight w:val="lightGray"/>
        </w:rPr>
      </w:pPr>
    </w:p>
    <w:p w14:paraId="5BA47DAE" w14:textId="29AEA3A9" w:rsidR="00B02A36" w:rsidRPr="00D8017D" w:rsidRDefault="00A7117E" w:rsidP="004F7ED2">
      <w:pPr>
        <w:pStyle w:val="Heading3"/>
        <w:numPr>
          <w:ilvl w:val="0"/>
          <w:numId w:val="0"/>
        </w:numPr>
        <w:spacing w:before="0"/>
        <w:rPr>
          <w:sz w:val="24"/>
          <w:szCs w:val="24"/>
        </w:rPr>
      </w:pPr>
      <w:bookmarkStart w:id="43" w:name="_Toc210289882"/>
      <w:r w:rsidRPr="00D8017D">
        <w:rPr>
          <w:szCs w:val="24"/>
        </w:rPr>
        <w:t xml:space="preserve">2.1.1. </w:t>
      </w:r>
      <w:r w:rsidR="007F6BDA" w:rsidRPr="00D8017D">
        <w:t xml:space="preserve">Strukturālās </w:t>
      </w:r>
      <w:r w:rsidRPr="00D8017D">
        <w:t>bilances mērķi</w:t>
      </w:r>
      <w:bookmarkEnd w:id="43"/>
    </w:p>
    <w:p w14:paraId="6112858F" w14:textId="61B9ED47" w:rsidR="0000055D" w:rsidRPr="00D8017D" w:rsidRDefault="00425BD5" w:rsidP="008349F0">
      <w:pPr>
        <w:ind w:firstLine="709"/>
        <w:rPr>
          <w:rFonts w:eastAsia="Times New Roman" w:cs="Times New Roman"/>
        </w:rPr>
      </w:pPr>
      <w:r w:rsidRPr="00D8017D">
        <w:rPr>
          <w:rFonts w:eastAsia="Times New Roman" w:cs="Times New Roman"/>
        </w:rPr>
        <w:t xml:space="preserve">FDL paredz, ka strukturālās bilances mērķu definēšanā tiek piemērota vairāku pakāpju metode un tai ir vienlaicīgi jānodrošina atbilstība nacionālā līmeņa fiskālajiem nosacījumiem (bilances nosacījums, izdevumu pieauguma nosacījums un izdevumu pārmantojamības nosacījums), gan arī </w:t>
      </w:r>
      <w:r w:rsidR="001145C0" w:rsidRPr="00D8017D">
        <w:rPr>
          <w:rFonts w:eastAsia="Times New Roman" w:cs="Times New Roman"/>
        </w:rPr>
        <w:t xml:space="preserve">ES fiskālajiem </w:t>
      </w:r>
      <w:r w:rsidRPr="00D8017D">
        <w:rPr>
          <w:rFonts w:eastAsia="Times New Roman" w:cs="Times New Roman"/>
        </w:rPr>
        <w:t xml:space="preserve">nosacījumiem. </w:t>
      </w:r>
    </w:p>
    <w:p w14:paraId="53E22E42" w14:textId="6F06A43F" w:rsidR="0000055D" w:rsidRPr="00D8017D" w:rsidRDefault="00504BB9" w:rsidP="008349F0">
      <w:pPr>
        <w:ind w:firstLine="709"/>
        <w:rPr>
          <w:rFonts w:eastAsia="Times New Roman" w:cs="Times New Roman"/>
        </w:rPr>
      </w:pPr>
      <w:r w:rsidRPr="00D8017D">
        <w:rPr>
          <w:rFonts w:eastAsia="Times New Roman" w:cs="Times New Roman"/>
        </w:rPr>
        <w:t xml:space="preserve">Jāatzīmē, ka </w:t>
      </w:r>
      <w:r w:rsidR="00A03B87" w:rsidRPr="00D8017D">
        <w:rPr>
          <w:rFonts w:eastAsia="Times New Roman" w:cs="Times New Roman"/>
        </w:rPr>
        <w:t xml:space="preserve">Eiropas Parlamenta un Padomes 2024. gada 29. aprīļa Regula (ES) 2024/1263 par ekonomikas politikas efektīvu koordināciju un budžeta daudzpusēju uzraudzību un ar ko atceļ Padomes Regulu (EK) Nr. 1466/97 ļauj dalībvalstīm noteikt savus valstu budžeta mērķus dažādu rādītāju izteiksmē, piemēram, kā strukturālā bilance, ja tas paredzēts to valstu tiesību aktos. </w:t>
      </w:r>
      <w:r w:rsidR="0000055D" w:rsidRPr="00D8017D">
        <w:rPr>
          <w:rFonts w:eastAsia="Times New Roman" w:cs="Times New Roman"/>
        </w:rPr>
        <w:lastRenderedPageBreak/>
        <w:t xml:space="preserve">Attiecīgi šajā kontekstā konkrēto FDL fiskālo nosacījumu piemērošana jāskata kontekstā ar </w:t>
      </w:r>
      <w:r w:rsidR="00A03B87" w:rsidRPr="00D8017D">
        <w:rPr>
          <w:rFonts w:eastAsia="Times New Roman" w:cs="Times New Roman"/>
        </w:rPr>
        <w:t>spēkā esošajiem</w:t>
      </w:r>
      <w:r w:rsidR="0000055D" w:rsidRPr="00D8017D">
        <w:rPr>
          <w:rFonts w:eastAsia="Times New Roman" w:cs="Times New Roman"/>
        </w:rPr>
        <w:t xml:space="preserve"> ES fiskāl</w:t>
      </w:r>
      <w:r w:rsidR="006B0061" w:rsidRPr="00D8017D">
        <w:rPr>
          <w:rFonts w:eastAsia="Times New Roman" w:cs="Times New Roman"/>
        </w:rPr>
        <w:t>aj</w:t>
      </w:r>
      <w:r w:rsidR="00A03B87" w:rsidRPr="00D8017D">
        <w:rPr>
          <w:rFonts w:eastAsia="Times New Roman" w:cs="Times New Roman"/>
        </w:rPr>
        <w:t>iem</w:t>
      </w:r>
      <w:r w:rsidR="0000055D" w:rsidRPr="00D8017D">
        <w:rPr>
          <w:rFonts w:eastAsia="Times New Roman" w:cs="Times New Roman"/>
        </w:rPr>
        <w:t xml:space="preserve"> noteikum</w:t>
      </w:r>
      <w:r w:rsidR="00A03B87" w:rsidRPr="00D8017D">
        <w:rPr>
          <w:rFonts w:eastAsia="Times New Roman" w:cs="Times New Roman"/>
        </w:rPr>
        <w:t xml:space="preserve">iem. </w:t>
      </w:r>
    </w:p>
    <w:p w14:paraId="4F788CD7" w14:textId="0598BA9E" w:rsidR="001145C0" w:rsidRPr="00D8017D" w:rsidRDefault="001145C0" w:rsidP="008349F0">
      <w:pPr>
        <w:rPr>
          <w:rFonts w:eastAsia="Times New Roman" w:cs="Times New Roman"/>
          <w:bCs/>
        </w:rPr>
      </w:pPr>
      <w:r w:rsidRPr="00D8017D">
        <w:rPr>
          <w:rFonts w:eastAsia="Times New Roman" w:cs="Times New Roman"/>
          <w:bCs/>
        </w:rPr>
        <w:t>Ņemot vērā jaunos ES fiskālos nosacījumus, nosakot 202</w:t>
      </w:r>
      <w:r w:rsidR="003D1B44" w:rsidRPr="00D8017D">
        <w:rPr>
          <w:rFonts w:eastAsia="Times New Roman" w:cs="Times New Roman"/>
          <w:bCs/>
        </w:rPr>
        <w:t>6</w:t>
      </w:r>
      <w:r w:rsidRPr="00D8017D">
        <w:rPr>
          <w:rFonts w:eastAsia="Times New Roman" w:cs="Times New Roman"/>
          <w:bCs/>
        </w:rPr>
        <w:t>., 202</w:t>
      </w:r>
      <w:r w:rsidR="003D1B44" w:rsidRPr="00D8017D">
        <w:rPr>
          <w:rFonts w:eastAsia="Times New Roman" w:cs="Times New Roman"/>
          <w:bCs/>
        </w:rPr>
        <w:t>7</w:t>
      </w:r>
      <w:r w:rsidRPr="00D8017D">
        <w:rPr>
          <w:rFonts w:eastAsia="Times New Roman" w:cs="Times New Roman"/>
          <w:bCs/>
        </w:rPr>
        <w:t>.</w:t>
      </w:r>
      <w:r w:rsidR="006B0061" w:rsidRPr="00D8017D">
        <w:rPr>
          <w:rFonts w:eastAsia="Times New Roman" w:cs="Times New Roman"/>
          <w:bCs/>
        </w:rPr>
        <w:t>,</w:t>
      </w:r>
      <w:r w:rsidR="003D1B44" w:rsidRPr="00D8017D">
        <w:rPr>
          <w:rFonts w:eastAsia="Times New Roman" w:cs="Times New Roman"/>
          <w:bCs/>
        </w:rPr>
        <w:t xml:space="preserve"> un </w:t>
      </w:r>
      <w:r w:rsidRPr="00D8017D">
        <w:rPr>
          <w:rFonts w:eastAsia="Times New Roman" w:cs="Times New Roman"/>
          <w:bCs/>
        </w:rPr>
        <w:t>202</w:t>
      </w:r>
      <w:r w:rsidR="003D1B44" w:rsidRPr="00D8017D">
        <w:rPr>
          <w:rFonts w:eastAsia="Times New Roman" w:cs="Times New Roman"/>
          <w:bCs/>
        </w:rPr>
        <w:t>8</w:t>
      </w:r>
      <w:r w:rsidRPr="00D8017D">
        <w:rPr>
          <w:rFonts w:eastAsia="Times New Roman" w:cs="Times New Roman"/>
          <w:bCs/>
        </w:rPr>
        <w:t xml:space="preserve">. </w:t>
      </w:r>
      <w:r w:rsidR="006B0061" w:rsidRPr="00D8017D">
        <w:rPr>
          <w:rFonts w:eastAsia="Times New Roman" w:cs="Times New Roman"/>
          <w:bCs/>
        </w:rPr>
        <w:t xml:space="preserve">gada </w:t>
      </w:r>
      <w:r w:rsidRPr="00D8017D">
        <w:rPr>
          <w:rFonts w:eastAsia="Times New Roman" w:cs="Times New Roman"/>
          <w:bCs/>
        </w:rPr>
        <w:t xml:space="preserve">strukturālās bilances mērķus faktiski tiek pielietoti </w:t>
      </w:r>
      <w:r w:rsidR="003D1B44" w:rsidRPr="00D8017D">
        <w:rPr>
          <w:rFonts w:eastAsia="Times New Roman" w:cs="Times New Roman"/>
          <w:bCs/>
        </w:rPr>
        <w:t xml:space="preserve">vairāki </w:t>
      </w:r>
      <w:r w:rsidRPr="00D8017D">
        <w:rPr>
          <w:rFonts w:eastAsia="Times New Roman" w:cs="Times New Roman"/>
          <w:bCs/>
        </w:rPr>
        <w:t>fiskālie nosacījumi:</w:t>
      </w:r>
    </w:p>
    <w:p w14:paraId="6122B0CF" w14:textId="77777777" w:rsidR="003D1B44" w:rsidRPr="00D8017D" w:rsidRDefault="003D1B44" w:rsidP="003160BE">
      <w:pPr>
        <w:numPr>
          <w:ilvl w:val="0"/>
          <w:numId w:val="12"/>
        </w:numPr>
        <w:spacing w:before="120"/>
        <w:ind w:left="0" w:firstLine="720"/>
        <w:rPr>
          <w:bCs/>
          <w:color w:val="000000" w:themeColor="text1"/>
          <w:szCs w:val="24"/>
        </w:rPr>
      </w:pPr>
      <w:r w:rsidRPr="00D8017D">
        <w:rPr>
          <w:bCs/>
          <w:color w:val="000000" w:themeColor="text1"/>
          <w:szCs w:val="24"/>
        </w:rPr>
        <w:t>FDL strukturālās bilances nosacījums;</w:t>
      </w:r>
    </w:p>
    <w:p w14:paraId="0AE5DF4D" w14:textId="77777777" w:rsidR="003D1B44" w:rsidRPr="00D8017D" w:rsidRDefault="003D1B44" w:rsidP="003160BE">
      <w:pPr>
        <w:numPr>
          <w:ilvl w:val="0"/>
          <w:numId w:val="12"/>
        </w:numPr>
        <w:spacing w:before="120"/>
        <w:ind w:left="0" w:firstLine="720"/>
        <w:rPr>
          <w:bCs/>
          <w:color w:val="000000" w:themeColor="text1"/>
          <w:szCs w:val="24"/>
        </w:rPr>
      </w:pPr>
      <w:r w:rsidRPr="00D8017D">
        <w:rPr>
          <w:bCs/>
          <w:color w:val="000000" w:themeColor="text1"/>
          <w:szCs w:val="24"/>
        </w:rPr>
        <w:t>ES strukturālās primārās bilances nosacījums;</w:t>
      </w:r>
    </w:p>
    <w:p w14:paraId="2FB4483E" w14:textId="77777777" w:rsidR="003D1B44" w:rsidRPr="00D8017D" w:rsidRDefault="003D1B44" w:rsidP="003160BE">
      <w:pPr>
        <w:numPr>
          <w:ilvl w:val="0"/>
          <w:numId w:val="12"/>
        </w:numPr>
        <w:spacing w:before="120"/>
        <w:ind w:left="0" w:firstLine="720"/>
        <w:rPr>
          <w:bCs/>
          <w:color w:val="000000" w:themeColor="text1"/>
          <w:szCs w:val="24"/>
        </w:rPr>
      </w:pPr>
      <w:r w:rsidRPr="00D8017D">
        <w:rPr>
          <w:bCs/>
          <w:color w:val="000000" w:themeColor="text1"/>
          <w:szCs w:val="24"/>
        </w:rPr>
        <w:t xml:space="preserve">ES valsts finansēto neto primāro izdevumu pieauguma nosacījums; </w:t>
      </w:r>
    </w:p>
    <w:p w14:paraId="32444000" w14:textId="77777777" w:rsidR="003D1B44" w:rsidRPr="00D8017D" w:rsidRDefault="003D1B44" w:rsidP="003160BE">
      <w:pPr>
        <w:numPr>
          <w:ilvl w:val="0"/>
          <w:numId w:val="12"/>
        </w:numPr>
        <w:spacing w:before="120"/>
        <w:ind w:left="0" w:firstLine="720"/>
        <w:rPr>
          <w:bCs/>
          <w:color w:val="000000" w:themeColor="text1"/>
          <w:szCs w:val="24"/>
        </w:rPr>
      </w:pPr>
      <w:r w:rsidRPr="00D8017D">
        <w:rPr>
          <w:bCs/>
          <w:color w:val="000000" w:themeColor="text1"/>
          <w:szCs w:val="24"/>
        </w:rPr>
        <w:t>Nominālās bilances nosacījums.</w:t>
      </w:r>
    </w:p>
    <w:p w14:paraId="7F5812CB" w14:textId="77777777" w:rsidR="003D1B44" w:rsidRPr="00D8017D" w:rsidRDefault="003D1B44" w:rsidP="003D1B44">
      <w:pPr>
        <w:rPr>
          <w:bCs/>
          <w:color w:val="000000" w:themeColor="text1"/>
          <w:szCs w:val="24"/>
        </w:rPr>
      </w:pPr>
      <w:r w:rsidRPr="00D8017D">
        <w:rPr>
          <w:bCs/>
          <w:color w:val="000000" w:themeColor="text1"/>
          <w:szCs w:val="24"/>
        </w:rPr>
        <w:t>Katrs no fiskālajiem nosacījumiem attiecas uz citu fiskālo rādītāju, bet, lai nodrošinātu salīdzināmību un noteiktu, kurš no fiskālajiem nosacījumiem ir dominējošais, fiskālie rādītāji tiek izteikti ar vienu fiskālo rādītāju. Šim nolūkam sākot ar Stabilitātes programmu 2024. – 2028. gadam</w:t>
      </w:r>
      <w:r w:rsidRPr="00D8017D">
        <w:rPr>
          <w:rStyle w:val="FootnoteReference"/>
          <w:bCs/>
          <w:color w:val="000000" w:themeColor="text1"/>
          <w:szCs w:val="24"/>
        </w:rPr>
        <w:footnoteReference w:id="22"/>
      </w:r>
      <w:r w:rsidRPr="00D8017D">
        <w:rPr>
          <w:bCs/>
          <w:color w:val="000000" w:themeColor="text1"/>
          <w:szCs w:val="24"/>
        </w:rPr>
        <w:t xml:space="preserve"> tiek izmantots </w:t>
      </w:r>
      <w:r w:rsidRPr="00D8017D">
        <w:rPr>
          <w:b/>
          <w:color w:val="000000" w:themeColor="text1"/>
          <w:szCs w:val="24"/>
        </w:rPr>
        <w:t>FDL strukturālās bilances rādītājs</w:t>
      </w:r>
      <w:r w:rsidRPr="00D8017D">
        <w:rPr>
          <w:bCs/>
          <w:color w:val="000000" w:themeColor="text1"/>
          <w:szCs w:val="24"/>
        </w:rPr>
        <w:t>.</w:t>
      </w:r>
    </w:p>
    <w:p w14:paraId="759E5868" w14:textId="5C62A7E2" w:rsidR="00425BD5" w:rsidRPr="00D8017D" w:rsidRDefault="00425BD5" w:rsidP="00B65051">
      <w:pPr>
        <w:ind w:left="-17" w:firstLine="726"/>
        <w:rPr>
          <w:color w:val="000000" w:themeColor="text1"/>
          <w:szCs w:val="24"/>
        </w:rPr>
      </w:pPr>
      <w:r w:rsidRPr="00D8017D">
        <w:rPr>
          <w:color w:val="000000" w:themeColor="text1"/>
          <w:szCs w:val="24"/>
        </w:rPr>
        <w:t xml:space="preserve">Kā </w:t>
      </w:r>
      <w:r w:rsidR="00DF0C48" w:rsidRPr="00D8017D">
        <w:rPr>
          <w:color w:val="000000" w:themeColor="text1"/>
          <w:szCs w:val="24"/>
        </w:rPr>
        <w:t>norādīts</w:t>
      </w:r>
      <w:r w:rsidRPr="00D8017D">
        <w:rPr>
          <w:color w:val="000000" w:themeColor="text1"/>
          <w:szCs w:val="24"/>
        </w:rPr>
        <w:t xml:space="preserve"> iepriekšējā sadaļā, </w:t>
      </w:r>
      <w:r w:rsidR="00AA5308" w:rsidRPr="00D8017D">
        <w:rPr>
          <w:color w:val="000000" w:themeColor="text1"/>
          <w:szCs w:val="24"/>
        </w:rPr>
        <w:t xml:space="preserve">nacionālā </w:t>
      </w:r>
      <w:r w:rsidRPr="00D8017D">
        <w:rPr>
          <w:color w:val="000000" w:themeColor="text1"/>
          <w:szCs w:val="24"/>
        </w:rPr>
        <w:t>fiskālās politikas stratēģija nosaka virkni pasākumu, kas tiek atzīti par vienreizējiem vispārējās valdības budžeta strukturālās bilances aprēķinā un šo pasākumu izdevumi attiecīgi tiek izslēgti no strukturālās bilances aprēķina</w:t>
      </w:r>
      <w:r w:rsidR="00CF2C6E" w:rsidRPr="00D8017D">
        <w:rPr>
          <w:color w:val="000000" w:themeColor="text1"/>
          <w:szCs w:val="24"/>
        </w:rPr>
        <w:t xml:space="preserve">, tomēr </w:t>
      </w:r>
      <w:r w:rsidR="00CF2C6E" w:rsidRPr="00D8017D">
        <w:rPr>
          <w:rFonts w:cs="Times New Roman"/>
          <w:szCs w:val="24"/>
        </w:rPr>
        <w:t xml:space="preserve">saskaņā ar ES metodoloģiju </w:t>
      </w:r>
      <w:r w:rsidR="00AA5308" w:rsidRPr="00D8017D">
        <w:rPr>
          <w:rFonts w:cs="Times New Roman"/>
          <w:szCs w:val="24"/>
        </w:rPr>
        <w:t xml:space="preserve">šie vienreizējie </w:t>
      </w:r>
      <w:r w:rsidR="00CF2C6E" w:rsidRPr="00D8017D">
        <w:rPr>
          <w:rFonts w:cs="Times New Roman"/>
          <w:szCs w:val="24"/>
        </w:rPr>
        <w:t>izdevumi netiek izslēgti no strukturālās bilances aprēķina</w:t>
      </w:r>
      <w:r w:rsidR="00AA5308" w:rsidRPr="00D8017D">
        <w:rPr>
          <w:rFonts w:cs="Times New Roman"/>
          <w:szCs w:val="24"/>
        </w:rPr>
        <w:t>.</w:t>
      </w:r>
    </w:p>
    <w:p w14:paraId="2A15A013" w14:textId="3BA7E61E" w:rsidR="007C1462" w:rsidRPr="00D8017D" w:rsidRDefault="001219A0" w:rsidP="007C1462">
      <w:pPr>
        <w:widowControl w:val="0"/>
        <w:spacing w:before="240"/>
        <w:rPr>
          <w:rFonts w:eastAsia="Times New Roman" w:cs="Times New Roman"/>
          <w:b/>
        </w:rPr>
      </w:pPr>
      <w:r w:rsidRPr="00D8017D">
        <w:rPr>
          <w:rFonts w:eastAsia="Times New Roman" w:cs="Times New Roman"/>
          <w:b/>
        </w:rPr>
        <w:t xml:space="preserve">FDL strukturālās bilances nosacījums </w:t>
      </w:r>
      <w:r w:rsidR="007C1462">
        <w:rPr>
          <w:rFonts w:eastAsia="Times New Roman" w:cs="Times New Roman"/>
          <w:b/>
        </w:rPr>
        <w:t xml:space="preserve">saskaņā ar </w:t>
      </w:r>
      <w:r w:rsidR="00F66F8E">
        <w:rPr>
          <w:rFonts w:eastAsia="Times New Roman" w:cs="Times New Roman"/>
          <w:b/>
        </w:rPr>
        <w:t xml:space="preserve">informatīvo ziņojumu </w:t>
      </w:r>
      <w:r w:rsidR="007C1462" w:rsidRPr="005361E5">
        <w:rPr>
          <w:rFonts w:eastAsia="Times New Roman" w:cs="Times New Roman"/>
          <w:b/>
        </w:rPr>
        <w:t>„Par makroekonomisko rādītāju, ieņēmumu un vispārējās valdības budžeta bilances prognozēm 2026., 2027., 2028. un 2029. gadā”</w:t>
      </w:r>
    </w:p>
    <w:p w14:paraId="70593985" w14:textId="28D48AF1" w:rsidR="007C1462" w:rsidRDefault="007C1462" w:rsidP="007C1462">
      <w:pPr>
        <w:rPr>
          <w:rFonts w:eastAsia="Times New Roman" w:cs="Times New Roman"/>
          <w:bCs/>
        </w:rPr>
      </w:pPr>
      <w:r>
        <w:rPr>
          <w:rFonts w:eastAsia="Times New Roman" w:cs="Times New Roman"/>
          <w:bCs/>
        </w:rPr>
        <w:t>FDL 10. pants nosaka, ka vispārējās valdības strukturālā bilance nevar būt mazāka par -1</w:t>
      </w:r>
      <w:r w:rsidR="007349BE">
        <w:rPr>
          <w:rFonts w:eastAsia="Times New Roman" w:cs="Times New Roman"/>
          <w:bCs/>
        </w:rPr>
        <w:t>,</w:t>
      </w:r>
      <w:r>
        <w:rPr>
          <w:rFonts w:eastAsia="Times New Roman" w:cs="Times New Roman"/>
          <w:bCs/>
        </w:rPr>
        <w:t xml:space="preserve">0% no IKP. Tā, kā Eiropas Padome pieņēma lēmumu par valsts izņēmuma klauzulas aktivizēšanu, MK </w:t>
      </w:r>
      <w:r w:rsidR="00F66F8E">
        <w:rPr>
          <w:rFonts w:eastAsia="Times New Roman" w:cs="Times New Roman"/>
          <w:bCs/>
        </w:rPr>
        <w:t>2025. gada 19. augustā</w:t>
      </w:r>
      <w:r w:rsidR="00F66F8E" w:rsidRPr="006F6679">
        <w:rPr>
          <w:rStyle w:val="FootnoteReference"/>
          <w:rFonts w:eastAsia="Times New Roman" w:cs="Times New Roman"/>
          <w:bCs/>
        </w:rPr>
        <w:footnoteReference w:id="23"/>
      </w:r>
      <w:r w:rsidR="00F66F8E">
        <w:rPr>
          <w:rFonts w:eastAsia="Times New Roman" w:cs="Times New Roman"/>
          <w:bCs/>
        </w:rPr>
        <w:t xml:space="preserve"> </w:t>
      </w:r>
      <w:r>
        <w:rPr>
          <w:rFonts w:eastAsia="Times New Roman" w:cs="Times New Roman"/>
          <w:bCs/>
        </w:rPr>
        <w:t>pieņēma lēmumu aktivizēt FDL 12. pantā paredzēto atkāpi no 10. pantā noteikt</w:t>
      </w:r>
      <w:r w:rsidR="00F66F8E">
        <w:rPr>
          <w:rFonts w:eastAsia="Times New Roman" w:cs="Times New Roman"/>
          <w:bCs/>
        </w:rPr>
        <w:t>ā</w:t>
      </w:r>
      <w:r>
        <w:rPr>
          <w:rFonts w:eastAsia="Times New Roman" w:cs="Times New Roman"/>
          <w:bCs/>
        </w:rPr>
        <w:t xml:space="preserve"> rādītāj</w:t>
      </w:r>
      <w:r w:rsidR="00F66F8E">
        <w:rPr>
          <w:rFonts w:eastAsia="Times New Roman" w:cs="Times New Roman"/>
          <w:bCs/>
        </w:rPr>
        <w:t>a</w:t>
      </w:r>
      <w:r>
        <w:rPr>
          <w:rFonts w:eastAsia="Times New Roman" w:cs="Times New Roman"/>
          <w:bCs/>
        </w:rPr>
        <w:t>. Protokollēmum</w:t>
      </w:r>
      <w:r w:rsidR="00F66F8E">
        <w:rPr>
          <w:rFonts w:eastAsia="Times New Roman" w:cs="Times New Roman"/>
          <w:bCs/>
        </w:rPr>
        <w:t xml:space="preserve">a 5. punktā </w:t>
      </w:r>
      <w:r w:rsidRPr="007C1462">
        <w:rPr>
          <w:rFonts w:eastAsia="Times New Roman" w:cs="Times New Roman"/>
          <w:bCs/>
        </w:rPr>
        <w:t>(sēdes prot. Nr. 32 48. §</w:t>
      </w:r>
      <w:r>
        <w:rPr>
          <w:rFonts w:eastAsia="Times New Roman" w:cs="Times New Roman"/>
          <w:bCs/>
        </w:rPr>
        <w:t>) noteikts “</w:t>
      </w:r>
      <w:r w:rsidRPr="005361E5">
        <w:rPr>
          <w:rFonts w:eastAsia="Times New Roman" w:cs="Times New Roman"/>
          <w:bCs/>
        </w:rPr>
        <w:t xml:space="preserve">Pamatojoties uz Eiropas Padomes 2025. gada 8. jūlija rekomendāciju, ar ko Latvijai ļauj novirzīties no neto izdevumu maksimālajiem pieauguma tempiem, kurus noteikusi Padome saskaņā ar Regulu (ES) 2024/1263 (Valsts izņēmuma klauzulas iedarbināšana), aktivizēt </w:t>
      </w:r>
      <w:r>
        <w:rPr>
          <w:rFonts w:eastAsia="Times New Roman" w:cs="Times New Roman"/>
          <w:bCs/>
        </w:rPr>
        <w:t>FDL</w:t>
      </w:r>
      <w:r w:rsidRPr="005361E5">
        <w:rPr>
          <w:rFonts w:eastAsia="Times New Roman" w:cs="Times New Roman"/>
          <w:bCs/>
        </w:rPr>
        <w:t xml:space="preserve"> 12. pantā paredzēto atkāpi no bilances nosacījuma un izmantot šo atkāpi atbilstoši minētās Padomes rekomendācijas nosacījumiem</w:t>
      </w:r>
      <w:r>
        <w:rPr>
          <w:rFonts w:eastAsia="Times New Roman" w:cs="Times New Roman"/>
          <w:bCs/>
        </w:rPr>
        <w:t>”.</w:t>
      </w:r>
    </w:p>
    <w:p w14:paraId="2A009F53" w14:textId="3034D2C0" w:rsidR="007C1462" w:rsidRDefault="007C1462" w:rsidP="007C1462">
      <w:pPr>
        <w:rPr>
          <w:rFonts w:eastAsia="Times New Roman" w:cs="Times New Roman"/>
          <w:bCs/>
        </w:rPr>
      </w:pPr>
      <w:r>
        <w:rPr>
          <w:rFonts w:eastAsia="Times New Roman" w:cs="Times New Roman"/>
          <w:bCs/>
        </w:rPr>
        <w:t xml:space="preserve">Līdz ar to minimālā pieļaujamā vispārējās valdības strukturālā bilance konkrētajā gadā tiek samazināta apmērā, kas atbilst valsts izņēmuma klauzulas izlietojumam attiecīgajā gadā. </w:t>
      </w:r>
    </w:p>
    <w:p w14:paraId="74ECFE4D" w14:textId="79A4B0BE" w:rsidR="007C1462" w:rsidRDefault="007C1462" w:rsidP="007C1462">
      <w:pPr>
        <w:rPr>
          <w:rFonts w:eastAsia="Times New Roman" w:cs="Times New Roman"/>
          <w:bCs/>
        </w:rPr>
      </w:pPr>
      <w:r>
        <w:rPr>
          <w:rFonts w:eastAsia="Times New Roman" w:cs="Times New Roman"/>
          <w:bCs/>
        </w:rPr>
        <w:t xml:space="preserve">Jāatzīmē, ka nemainīgas politikas scenārijā valsts izņēmuma klauzula tika izmantota šādā apjomā 2026. gadā </w:t>
      </w:r>
      <w:r w:rsidRPr="00E06813">
        <w:rPr>
          <w:rFonts w:eastAsia="Times New Roman" w:cs="Times New Roman"/>
          <w:bCs/>
        </w:rPr>
        <w:t>0,24</w:t>
      </w:r>
      <w:r>
        <w:rPr>
          <w:rFonts w:eastAsia="Times New Roman" w:cs="Times New Roman"/>
          <w:bCs/>
        </w:rPr>
        <w:t xml:space="preserve">% no IKP, 2027. gadā </w:t>
      </w:r>
      <w:r w:rsidRPr="00E06813">
        <w:rPr>
          <w:rFonts w:eastAsia="Times New Roman" w:cs="Times New Roman"/>
          <w:bCs/>
        </w:rPr>
        <w:t>0,97</w:t>
      </w:r>
      <w:r>
        <w:rPr>
          <w:rFonts w:eastAsia="Times New Roman" w:cs="Times New Roman"/>
          <w:bCs/>
        </w:rPr>
        <w:t xml:space="preserve">% no IKP un 2028. gadā </w:t>
      </w:r>
      <w:r w:rsidRPr="00E06813">
        <w:rPr>
          <w:rFonts w:eastAsia="Times New Roman" w:cs="Times New Roman"/>
          <w:bCs/>
        </w:rPr>
        <w:t>0,8</w:t>
      </w:r>
      <w:r w:rsidR="00B46FF6">
        <w:rPr>
          <w:rFonts w:eastAsia="Times New Roman" w:cs="Times New Roman"/>
          <w:bCs/>
        </w:rPr>
        <w:t>7</w:t>
      </w:r>
      <w:r>
        <w:rPr>
          <w:rFonts w:eastAsia="Times New Roman" w:cs="Times New Roman"/>
          <w:bCs/>
        </w:rPr>
        <w:t xml:space="preserve">% no IKP. Turpmākajā budžeta sagatavošanas procesā valsts izņēmuma klauzula tika izmantota lielākā apjomā. Tas izveido situāciju, kad minimāli pieļaujamā vispārējās valdības strukturālā bilance mainās atkarībā no brīža budžeta sagatavošanas procesā, tomēr šīs izmaiņas neietekmē fiskālo telpu. </w:t>
      </w:r>
    </w:p>
    <w:p w14:paraId="42E4D74B" w14:textId="4D7F8067" w:rsidR="007C1462" w:rsidRDefault="007C1462" w:rsidP="007C1462">
      <w:pPr>
        <w:rPr>
          <w:rFonts w:eastAsia="Times New Roman" w:cs="Times New Roman"/>
          <w:bCs/>
        </w:rPr>
      </w:pPr>
      <w:r>
        <w:rPr>
          <w:rFonts w:eastAsia="Times New Roman" w:cs="Times New Roman"/>
          <w:bCs/>
        </w:rPr>
        <w:lastRenderedPageBreak/>
        <w:t>Šajā sadaļā fiskālie nosacījumi tiek aprēķināti brīdī, kad tika sagatavots nemainīgas politikas scenārijs (2025. gada 19. augusts)</w:t>
      </w:r>
      <w:r w:rsidR="00F66F8E">
        <w:rPr>
          <w:rFonts w:eastAsia="Times New Roman" w:cs="Times New Roman"/>
          <w:bCs/>
        </w:rPr>
        <w:t>.</w:t>
      </w:r>
    </w:p>
    <w:p w14:paraId="3CCE2BB5" w14:textId="368DAAA2" w:rsidR="00AE0B8A" w:rsidRPr="00D8017D" w:rsidRDefault="003D1B44" w:rsidP="008675CC">
      <w:pPr>
        <w:spacing w:after="0"/>
        <w:rPr>
          <w:rFonts w:eastAsia="Times New Roman" w:cs="Times New Roman"/>
          <w:b/>
          <w:bCs/>
        </w:rPr>
      </w:pPr>
      <w:r w:rsidRPr="00D8017D">
        <w:rPr>
          <w:rFonts w:eastAsia="Times New Roman" w:cs="Times New Roman"/>
          <w:bCs/>
        </w:rPr>
        <w:t xml:space="preserve">Attiecīgi, nosakot </w:t>
      </w:r>
      <w:r w:rsidRPr="00D8017D">
        <w:rPr>
          <w:rFonts w:eastAsia="Times New Roman" w:cs="Times New Roman"/>
          <w:b/>
        </w:rPr>
        <w:t>v</w:t>
      </w:r>
      <w:r w:rsidRPr="00D8017D">
        <w:rPr>
          <w:rFonts w:eastAsia="Times New Roman" w:cs="Times New Roman"/>
          <w:b/>
          <w:bCs/>
        </w:rPr>
        <w:t>ispārējās valdības strukturālās bilances mērķi, tiek ņemta vērā valsts izņēmuma klauzulas attiecīgā gada fiskālā ietekme</w:t>
      </w:r>
      <w:r w:rsidR="00EA0657" w:rsidRPr="00D8017D">
        <w:rPr>
          <w:rFonts w:eastAsia="Times New Roman" w:cs="Times New Roman"/>
          <w:b/>
          <w:bCs/>
        </w:rPr>
        <w:t>.</w:t>
      </w:r>
    </w:p>
    <w:p w14:paraId="125A8ADB" w14:textId="77777777" w:rsidR="00EA0657" w:rsidRPr="00D8017D" w:rsidRDefault="00EA0657" w:rsidP="00EA0657">
      <w:pPr>
        <w:spacing w:after="0"/>
        <w:rPr>
          <w:color w:val="000000" w:themeColor="text1"/>
          <w:szCs w:val="24"/>
          <w:highlight w:val="lightGray"/>
        </w:rPr>
      </w:pPr>
    </w:p>
    <w:p w14:paraId="23F98DA1" w14:textId="77777777" w:rsidR="00EA0657" w:rsidRPr="00D8017D" w:rsidRDefault="00D64F4A" w:rsidP="00EA0657">
      <w:pPr>
        <w:pStyle w:val="ListParagraph"/>
        <w:jc w:val="right"/>
        <w:rPr>
          <w:rFonts w:eastAsia="Times New Roman" w:cs="Times New Roman"/>
          <w:b/>
          <w:i/>
          <w:iCs/>
        </w:rPr>
      </w:pPr>
      <w:r w:rsidRPr="00D8017D">
        <w:rPr>
          <w:rFonts w:eastAsia="Times New Roman" w:cs="Times New Roman"/>
          <w:b/>
          <w:i/>
          <w:iCs/>
          <w:szCs w:val="24"/>
          <w:lang w:eastAsia="en-US"/>
        </w:rPr>
        <w:t>2</w:t>
      </w:r>
      <w:r w:rsidR="00056940" w:rsidRPr="00D8017D">
        <w:rPr>
          <w:rFonts w:eastAsia="Times New Roman" w:cs="Times New Roman"/>
          <w:b/>
          <w:i/>
          <w:iCs/>
          <w:szCs w:val="24"/>
          <w:lang w:eastAsia="en-US"/>
        </w:rPr>
        <w:t>.</w:t>
      </w:r>
      <w:r w:rsidR="005E3EDA" w:rsidRPr="00D8017D">
        <w:rPr>
          <w:rFonts w:eastAsia="Times New Roman" w:cs="Times New Roman"/>
          <w:b/>
          <w:i/>
          <w:iCs/>
          <w:szCs w:val="24"/>
          <w:lang w:eastAsia="en-US"/>
        </w:rPr>
        <w:t>2</w:t>
      </w:r>
      <w:r w:rsidR="004B20AA" w:rsidRPr="00D8017D">
        <w:rPr>
          <w:rFonts w:eastAsia="Times New Roman" w:cs="Times New Roman"/>
          <w:b/>
          <w:i/>
          <w:iCs/>
          <w:szCs w:val="24"/>
          <w:lang w:eastAsia="en-US"/>
        </w:rPr>
        <w:t>.</w:t>
      </w:r>
      <w:r w:rsidR="00056940" w:rsidRPr="00D8017D">
        <w:rPr>
          <w:rFonts w:eastAsia="Times New Roman" w:cs="Times New Roman"/>
          <w:b/>
          <w:i/>
          <w:iCs/>
          <w:szCs w:val="24"/>
          <w:lang w:eastAsia="en-US"/>
        </w:rPr>
        <w:t xml:space="preserve"> </w:t>
      </w:r>
      <w:r w:rsidR="004B20AA" w:rsidRPr="00D8017D">
        <w:rPr>
          <w:rFonts w:eastAsia="Times New Roman" w:cs="Times New Roman"/>
          <w:b/>
          <w:i/>
          <w:iCs/>
          <w:szCs w:val="24"/>
          <w:lang w:eastAsia="en-US"/>
        </w:rPr>
        <w:t xml:space="preserve">tabula </w:t>
      </w:r>
      <w:r w:rsidR="00EA0657" w:rsidRPr="00D8017D">
        <w:rPr>
          <w:rFonts w:eastAsia="Times New Roman" w:cs="Times New Roman"/>
          <w:b/>
          <w:i/>
          <w:iCs/>
        </w:rPr>
        <w:t>Vispārējās valdības strukturālās bilances mērķi, balstoties uz FDL strukturālās bilances nosacījumu</w:t>
      </w:r>
    </w:p>
    <w:tbl>
      <w:tblPr>
        <w:tblW w:w="7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276"/>
        <w:gridCol w:w="1098"/>
        <w:gridCol w:w="737"/>
        <w:gridCol w:w="737"/>
        <w:gridCol w:w="737"/>
      </w:tblGrid>
      <w:tr w:rsidR="00EA0657" w:rsidRPr="00D8017D" w14:paraId="24168374" w14:textId="77777777" w:rsidTr="00F66F8E">
        <w:trPr>
          <w:trHeight w:val="20"/>
          <w:tblHeader/>
          <w:jc w:val="center"/>
        </w:trPr>
        <w:tc>
          <w:tcPr>
            <w:tcW w:w="3397" w:type="dxa"/>
            <w:shd w:val="clear" w:color="auto" w:fill="BDD6EE" w:themeFill="accent1" w:themeFillTint="66"/>
            <w:noWrap/>
            <w:vAlign w:val="bottom"/>
            <w:hideMark/>
          </w:tcPr>
          <w:p w14:paraId="6FD1A3E3" w14:textId="06F9074C" w:rsidR="00EA0657" w:rsidRPr="00D8017D" w:rsidRDefault="00EA0657" w:rsidP="00EA0657">
            <w:pPr>
              <w:spacing w:before="60" w:after="0"/>
              <w:ind w:firstLine="0"/>
              <w:jc w:val="left"/>
              <w:rPr>
                <w:rFonts w:eastAsia="Times New Roman" w:cs="Times New Roman"/>
                <w:color w:val="000000"/>
                <w:sz w:val="18"/>
                <w:szCs w:val="18"/>
                <w:highlight w:val="lightGray"/>
              </w:rPr>
            </w:pPr>
            <w:r w:rsidRPr="00D8017D">
              <w:rPr>
                <w:rFonts w:eastAsia="Times New Roman" w:cs="Times New Roman"/>
                <w:color w:val="000000"/>
                <w:sz w:val="19"/>
                <w:szCs w:val="19"/>
              </w:rPr>
              <w:t> </w:t>
            </w:r>
          </w:p>
        </w:tc>
        <w:tc>
          <w:tcPr>
            <w:tcW w:w="1276" w:type="dxa"/>
            <w:shd w:val="clear" w:color="auto" w:fill="BDD6EE" w:themeFill="accent1" w:themeFillTint="66"/>
            <w:noWrap/>
            <w:vAlign w:val="bottom"/>
          </w:tcPr>
          <w:p w14:paraId="5889378B" w14:textId="1D878D4B" w:rsidR="00EA0657" w:rsidRPr="00D8017D" w:rsidRDefault="00EA0657" w:rsidP="00EA0657">
            <w:pPr>
              <w:spacing w:before="60" w:after="0"/>
              <w:ind w:firstLine="0"/>
              <w:jc w:val="left"/>
              <w:rPr>
                <w:rFonts w:eastAsia="Times New Roman" w:cs="Times New Roman"/>
                <w:color w:val="000000"/>
                <w:sz w:val="18"/>
                <w:szCs w:val="18"/>
                <w:highlight w:val="lightGray"/>
              </w:rPr>
            </w:pPr>
          </w:p>
        </w:tc>
        <w:tc>
          <w:tcPr>
            <w:tcW w:w="1098" w:type="dxa"/>
            <w:shd w:val="clear" w:color="auto" w:fill="BDD6EE" w:themeFill="accent1" w:themeFillTint="66"/>
            <w:noWrap/>
            <w:vAlign w:val="center"/>
          </w:tcPr>
          <w:p w14:paraId="2324C7E8" w14:textId="54F2A40D" w:rsidR="00EA0657" w:rsidRPr="00F66F8E" w:rsidRDefault="00F66F8E" w:rsidP="00EA0657">
            <w:pPr>
              <w:spacing w:before="60" w:after="0"/>
              <w:ind w:firstLine="0"/>
              <w:jc w:val="center"/>
              <w:rPr>
                <w:rFonts w:eastAsia="Times New Roman" w:cs="Times New Roman"/>
                <w:b/>
                <w:bCs/>
                <w:color w:val="000000"/>
                <w:sz w:val="18"/>
                <w:szCs w:val="18"/>
              </w:rPr>
            </w:pPr>
            <w:r w:rsidRPr="00F66F8E">
              <w:rPr>
                <w:rFonts w:eastAsia="Times New Roman" w:cs="Times New Roman"/>
                <w:b/>
                <w:bCs/>
                <w:color w:val="000000"/>
                <w:sz w:val="18"/>
                <w:szCs w:val="18"/>
              </w:rPr>
              <w:t>2025</w:t>
            </w:r>
          </w:p>
        </w:tc>
        <w:tc>
          <w:tcPr>
            <w:tcW w:w="737" w:type="dxa"/>
            <w:shd w:val="clear" w:color="auto" w:fill="BDD6EE" w:themeFill="accent1" w:themeFillTint="66"/>
            <w:noWrap/>
            <w:vAlign w:val="center"/>
            <w:hideMark/>
          </w:tcPr>
          <w:p w14:paraId="5515E526" w14:textId="553962E2" w:rsidR="00EA0657" w:rsidRPr="00D8017D" w:rsidRDefault="00EA0657" w:rsidP="00EA0657">
            <w:pPr>
              <w:spacing w:before="60" w:after="0"/>
              <w:ind w:firstLine="0"/>
              <w:jc w:val="center"/>
              <w:rPr>
                <w:rFonts w:eastAsia="Times New Roman" w:cs="Times New Roman"/>
                <w:b/>
                <w:bCs/>
                <w:color w:val="000000"/>
                <w:sz w:val="18"/>
                <w:szCs w:val="18"/>
                <w:highlight w:val="lightGray"/>
              </w:rPr>
            </w:pPr>
            <w:r w:rsidRPr="00D8017D">
              <w:rPr>
                <w:rFonts w:eastAsia="Times New Roman" w:cs="Times New Roman"/>
                <w:b/>
                <w:bCs/>
                <w:color w:val="000000"/>
                <w:sz w:val="19"/>
                <w:szCs w:val="19"/>
              </w:rPr>
              <w:t>2026</w:t>
            </w:r>
          </w:p>
        </w:tc>
        <w:tc>
          <w:tcPr>
            <w:tcW w:w="737" w:type="dxa"/>
            <w:shd w:val="clear" w:color="auto" w:fill="BDD6EE" w:themeFill="accent1" w:themeFillTint="66"/>
            <w:noWrap/>
            <w:vAlign w:val="center"/>
            <w:hideMark/>
          </w:tcPr>
          <w:p w14:paraId="4404C2CA" w14:textId="53FCCB35" w:rsidR="00EA0657" w:rsidRPr="00D8017D" w:rsidRDefault="00EA0657" w:rsidP="00EA0657">
            <w:pPr>
              <w:spacing w:before="60" w:after="0"/>
              <w:ind w:firstLine="0"/>
              <w:jc w:val="center"/>
              <w:rPr>
                <w:rFonts w:eastAsia="Times New Roman" w:cs="Times New Roman"/>
                <w:b/>
                <w:bCs/>
                <w:color w:val="000000"/>
                <w:sz w:val="18"/>
                <w:szCs w:val="18"/>
                <w:highlight w:val="lightGray"/>
              </w:rPr>
            </w:pPr>
            <w:r w:rsidRPr="00D8017D">
              <w:rPr>
                <w:rFonts w:eastAsia="Times New Roman" w:cs="Times New Roman"/>
                <w:b/>
                <w:bCs/>
                <w:color w:val="000000"/>
                <w:sz w:val="19"/>
                <w:szCs w:val="19"/>
              </w:rPr>
              <w:t>2027</w:t>
            </w:r>
          </w:p>
        </w:tc>
        <w:tc>
          <w:tcPr>
            <w:tcW w:w="737" w:type="dxa"/>
            <w:shd w:val="clear" w:color="auto" w:fill="BDD6EE" w:themeFill="accent1" w:themeFillTint="66"/>
            <w:vAlign w:val="center"/>
          </w:tcPr>
          <w:p w14:paraId="05B18D03" w14:textId="11AFDA29" w:rsidR="00EA0657" w:rsidRPr="00D8017D" w:rsidRDefault="00EA0657" w:rsidP="00EA0657">
            <w:pPr>
              <w:spacing w:before="60" w:after="0"/>
              <w:ind w:firstLine="0"/>
              <w:jc w:val="center"/>
              <w:rPr>
                <w:rFonts w:eastAsia="Times New Roman" w:cs="Times New Roman"/>
                <w:b/>
                <w:bCs/>
                <w:color w:val="000000"/>
                <w:sz w:val="18"/>
                <w:szCs w:val="18"/>
                <w:highlight w:val="lightGray"/>
              </w:rPr>
            </w:pPr>
            <w:r w:rsidRPr="00D8017D">
              <w:rPr>
                <w:rFonts w:eastAsia="Times New Roman" w:cs="Times New Roman"/>
                <w:b/>
                <w:bCs/>
                <w:color w:val="000000"/>
                <w:sz w:val="19"/>
                <w:szCs w:val="19"/>
              </w:rPr>
              <w:t>2028</w:t>
            </w:r>
          </w:p>
        </w:tc>
      </w:tr>
      <w:tr w:rsidR="007C1462" w:rsidRPr="00D8017D" w:rsidDel="007C1462" w14:paraId="562ACB6E" w14:textId="77777777" w:rsidTr="00F66F8E">
        <w:trPr>
          <w:trHeight w:val="20"/>
          <w:jc w:val="center"/>
        </w:trPr>
        <w:tc>
          <w:tcPr>
            <w:tcW w:w="3397" w:type="dxa"/>
            <w:noWrap/>
            <w:vAlign w:val="center"/>
          </w:tcPr>
          <w:p w14:paraId="0CD31494" w14:textId="57EE2A1F" w:rsidR="007C1462" w:rsidRPr="00F66F8E" w:rsidDel="007C1462" w:rsidRDefault="007C1462" w:rsidP="00EA0657">
            <w:pPr>
              <w:spacing w:before="60" w:after="0"/>
              <w:ind w:firstLine="0"/>
              <w:jc w:val="left"/>
              <w:rPr>
                <w:rFonts w:eastAsia="Times New Roman" w:cs="Times New Roman"/>
                <w:color w:val="000000"/>
                <w:sz w:val="19"/>
                <w:szCs w:val="19"/>
              </w:rPr>
            </w:pPr>
            <w:r w:rsidRPr="00F66F8E">
              <w:rPr>
                <w:rFonts w:eastAsia="Times New Roman" w:cs="Times New Roman"/>
                <w:color w:val="000000"/>
                <w:sz w:val="19"/>
                <w:szCs w:val="19"/>
              </w:rPr>
              <w:t>FDL 10. panta nosacījums</w:t>
            </w:r>
            <w:r w:rsidR="00106477">
              <w:rPr>
                <w:rFonts w:eastAsia="Times New Roman" w:cs="Times New Roman"/>
                <w:color w:val="000000"/>
                <w:sz w:val="19"/>
                <w:szCs w:val="19"/>
              </w:rPr>
              <w:t>, % no IKP</w:t>
            </w:r>
          </w:p>
        </w:tc>
        <w:tc>
          <w:tcPr>
            <w:tcW w:w="1276" w:type="dxa"/>
            <w:noWrap/>
            <w:vAlign w:val="center"/>
          </w:tcPr>
          <w:p w14:paraId="18C932F5" w14:textId="16B8F3FA" w:rsidR="007C1462" w:rsidRPr="00F66F8E" w:rsidDel="007C1462" w:rsidRDefault="007C1462" w:rsidP="00EA0657">
            <w:pPr>
              <w:spacing w:before="60" w:after="0"/>
              <w:ind w:firstLine="0"/>
              <w:jc w:val="center"/>
              <w:rPr>
                <w:rFonts w:eastAsia="Times New Roman" w:cs="Times New Roman"/>
                <w:color w:val="000000"/>
                <w:sz w:val="19"/>
                <w:szCs w:val="19"/>
              </w:rPr>
            </w:pPr>
            <w:r w:rsidRPr="00F66F8E">
              <w:rPr>
                <w:rFonts w:eastAsia="Times New Roman" w:cs="Times New Roman"/>
                <w:color w:val="000000"/>
                <w:sz w:val="19"/>
                <w:szCs w:val="19"/>
              </w:rPr>
              <w:t>(1)</w:t>
            </w:r>
          </w:p>
        </w:tc>
        <w:tc>
          <w:tcPr>
            <w:tcW w:w="1098" w:type="dxa"/>
            <w:noWrap/>
            <w:vAlign w:val="center"/>
          </w:tcPr>
          <w:p w14:paraId="79B49587" w14:textId="77777777" w:rsidR="007C1462" w:rsidRPr="00F66F8E" w:rsidDel="007C1462" w:rsidRDefault="007C1462" w:rsidP="00EA0657">
            <w:pPr>
              <w:spacing w:before="60" w:after="0"/>
              <w:ind w:firstLine="0"/>
              <w:jc w:val="center"/>
              <w:rPr>
                <w:rFonts w:eastAsia="Times New Roman" w:cs="Times New Roman"/>
                <w:color w:val="000000"/>
                <w:sz w:val="19"/>
                <w:szCs w:val="19"/>
              </w:rPr>
            </w:pPr>
          </w:p>
        </w:tc>
        <w:tc>
          <w:tcPr>
            <w:tcW w:w="737" w:type="dxa"/>
            <w:noWrap/>
            <w:vAlign w:val="center"/>
          </w:tcPr>
          <w:p w14:paraId="1FD9428C" w14:textId="776051BD" w:rsidR="007C1462" w:rsidRPr="00F66F8E" w:rsidDel="007C1462" w:rsidRDefault="007C1462" w:rsidP="00EA0657">
            <w:pPr>
              <w:spacing w:before="60" w:after="0"/>
              <w:ind w:firstLine="0"/>
              <w:jc w:val="center"/>
              <w:rPr>
                <w:rFonts w:eastAsia="Times New Roman" w:cs="Times New Roman"/>
                <w:color w:val="000000"/>
                <w:sz w:val="18"/>
                <w:szCs w:val="18"/>
              </w:rPr>
            </w:pPr>
            <w:r w:rsidRPr="00F66F8E">
              <w:rPr>
                <w:rFonts w:eastAsia="Times New Roman" w:cs="Times New Roman"/>
                <w:color w:val="000000"/>
                <w:sz w:val="18"/>
                <w:szCs w:val="18"/>
              </w:rPr>
              <w:t>-1,00</w:t>
            </w:r>
          </w:p>
        </w:tc>
        <w:tc>
          <w:tcPr>
            <w:tcW w:w="737" w:type="dxa"/>
            <w:noWrap/>
            <w:vAlign w:val="center"/>
          </w:tcPr>
          <w:p w14:paraId="6CDABAEA" w14:textId="0BED79E1" w:rsidR="007C1462" w:rsidRPr="00F66F8E" w:rsidDel="007C1462" w:rsidRDefault="007C1462" w:rsidP="00EA0657">
            <w:pPr>
              <w:spacing w:before="60" w:after="0"/>
              <w:ind w:firstLine="0"/>
              <w:jc w:val="center"/>
              <w:rPr>
                <w:rFonts w:eastAsia="Times New Roman" w:cs="Times New Roman"/>
                <w:color w:val="000000"/>
                <w:sz w:val="18"/>
                <w:szCs w:val="18"/>
              </w:rPr>
            </w:pPr>
            <w:r w:rsidRPr="00F66F8E">
              <w:rPr>
                <w:rFonts w:eastAsia="Times New Roman" w:cs="Times New Roman"/>
                <w:color w:val="000000"/>
                <w:sz w:val="18"/>
                <w:szCs w:val="18"/>
              </w:rPr>
              <w:t>-1,00</w:t>
            </w:r>
          </w:p>
        </w:tc>
        <w:tc>
          <w:tcPr>
            <w:tcW w:w="737" w:type="dxa"/>
            <w:vAlign w:val="center"/>
          </w:tcPr>
          <w:p w14:paraId="1E419CD8" w14:textId="6B22A607" w:rsidR="007C1462" w:rsidRPr="00F66F8E" w:rsidDel="007C1462" w:rsidRDefault="007C1462" w:rsidP="00EA0657">
            <w:pPr>
              <w:spacing w:before="60" w:after="0"/>
              <w:ind w:firstLine="0"/>
              <w:jc w:val="center"/>
              <w:rPr>
                <w:rFonts w:eastAsia="Times New Roman" w:cs="Times New Roman"/>
                <w:color w:val="000000"/>
                <w:sz w:val="18"/>
                <w:szCs w:val="18"/>
              </w:rPr>
            </w:pPr>
            <w:r w:rsidRPr="00F66F8E">
              <w:rPr>
                <w:rFonts w:eastAsia="Times New Roman" w:cs="Times New Roman"/>
                <w:color w:val="000000"/>
                <w:sz w:val="18"/>
                <w:szCs w:val="18"/>
              </w:rPr>
              <w:t>-1,00</w:t>
            </w:r>
          </w:p>
        </w:tc>
      </w:tr>
      <w:tr w:rsidR="00EA0657" w:rsidRPr="00D8017D" w14:paraId="2D04218E" w14:textId="77777777" w:rsidTr="00F66F8E">
        <w:trPr>
          <w:trHeight w:val="20"/>
          <w:jc w:val="center"/>
        </w:trPr>
        <w:tc>
          <w:tcPr>
            <w:tcW w:w="3397" w:type="dxa"/>
            <w:noWrap/>
            <w:vAlign w:val="center"/>
          </w:tcPr>
          <w:p w14:paraId="0C197494" w14:textId="1A051BBF" w:rsidR="00EA0657" w:rsidRPr="00F66F8E" w:rsidRDefault="00EA0657" w:rsidP="00EA0657">
            <w:pPr>
              <w:spacing w:before="60" w:after="0"/>
              <w:ind w:firstLine="0"/>
              <w:jc w:val="left"/>
              <w:rPr>
                <w:rFonts w:eastAsia="Times New Roman" w:cs="Times New Roman"/>
                <w:color w:val="000000"/>
                <w:sz w:val="19"/>
                <w:szCs w:val="19"/>
              </w:rPr>
            </w:pPr>
            <w:r w:rsidRPr="00F66F8E">
              <w:rPr>
                <w:rFonts w:eastAsia="Times New Roman" w:cs="Times New Roman"/>
                <w:color w:val="000000"/>
                <w:sz w:val="19"/>
                <w:szCs w:val="19"/>
              </w:rPr>
              <w:t xml:space="preserve">Valsts </w:t>
            </w:r>
            <w:r w:rsidR="00D64419" w:rsidRPr="00F66F8E">
              <w:rPr>
                <w:rFonts w:eastAsia="Times New Roman" w:cs="Times New Roman"/>
                <w:color w:val="000000"/>
                <w:sz w:val="19"/>
                <w:szCs w:val="19"/>
              </w:rPr>
              <w:t>izņēmuma</w:t>
            </w:r>
            <w:r w:rsidRPr="00F66F8E">
              <w:rPr>
                <w:rFonts w:eastAsia="Times New Roman" w:cs="Times New Roman"/>
                <w:color w:val="000000"/>
                <w:sz w:val="19"/>
                <w:szCs w:val="19"/>
              </w:rPr>
              <w:t xml:space="preserve"> klauzulas fiskālā ietekme, % no IKP</w:t>
            </w:r>
          </w:p>
        </w:tc>
        <w:tc>
          <w:tcPr>
            <w:tcW w:w="1276" w:type="dxa"/>
            <w:noWrap/>
            <w:vAlign w:val="center"/>
          </w:tcPr>
          <w:p w14:paraId="4799F8A7" w14:textId="62361E66" w:rsidR="00EA0657" w:rsidRPr="00F66F8E" w:rsidRDefault="00EA0657" w:rsidP="00EA0657">
            <w:pPr>
              <w:spacing w:before="60" w:after="0"/>
              <w:ind w:firstLine="0"/>
              <w:jc w:val="center"/>
              <w:rPr>
                <w:rFonts w:eastAsia="Times New Roman" w:cs="Times New Roman"/>
                <w:color w:val="000000"/>
                <w:sz w:val="19"/>
                <w:szCs w:val="19"/>
              </w:rPr>
            </w:pPr>
            <w:r w:rsidRPr="00F66F8E">
              <w:rPr>
                <w:rFonts w:eastAsia="Times New Roman" w:cs="Times New Roman"/>
                <w:color w:val="000000"/>
                <w:sz w:val="19"/>
                <w:szCs w:val="19"/>
              </w:rPr>
              <w:t>(2)</w:t>
            </w:r>
          </w:p>
        </w:tc>
        <w:tc>
          <w:tcPr>
            <w:tcW w:w="1098" w:type="dxa"/>
            <w:noWrap/>
            <w:vAlign w:val="center"/>
          </w:tcPr>
          <w:p w14:paraId="78E502EB" w14:textId="77777777" w:rsidR="00EA0657" w:rsidRPr="00F66F8E" w:rsidRDefault="00EA0657" w:rsidP="00EA0657">
            <w:pPr>
              <w:spacing w:before="60" w:after="0"/>
              <w:ind w:firstLine="0"/>
              <w:jc w:val="center"/>
              <w:rPr>
                <w:rFonts w:eastAsia="Times New Roman" w:cs="Times New Roman"/>
                <w:color w:val="000000"/>
                <w:sz w:val="19"/>
                <w:szCs w:val="19"/>
              </w:rPr>
            </w:pPr>
          </w:p>
        </w:tc>
        <w:tc>
          <w:tcPr>
            <w:tcW w:w="737" w:type="dxa"/>
            <w:noWrap/>
            <w:vAlign w:val="center"/>
          </w:tcPr>
          <w:p w14:paraId="04ADF2ED" w14:textId="57CFF489" w:rsidR="00EA0657" w:rsidRPr="00F66F8E" w:rsidRDefault="00EA0657" w:rsidP="00EA0657">
            <w:pPr>
              <w:spacing w:before="60" w:after="0"/>
              <w:ind w:firstLine="0"/>
              <w:jc w:val="center"/>
              <w:rPr>
                <w:rFonts w:eastAsia="Times New Roman" w:cs="Times New Roman"/>
                <w:color w:val="000000"/>
                <w:sz w:val="18"/>
                <w:szCs w:val="18"/>
              </w:rPr>
            </w:pPr>
            <w:r w:rsidRPr="00F66F8E">
              <w:rPr>
                <w:rFonts w:eastAsia="Times New Roman" w:cs="Times New Roman"/>
                <w:color w:val="000000"/>
                <w:sz w:val="19"/>
                <w:szCs w:val="19"/>
              </w:rPr>
              <w:t>0,2</w:t>
            </w:r>
            <w:r w:rsidR="002A0A69">
              <w:rPr>
                <w:rFonts w:eastAsia="Times New Roman" w:cs="Times New Roman"/>
                <w:color w:val="000000"/>
                <w:sz w:val="19"/>
                <w:szCs w:val="19"/>
              </w:rPr>
              <w:t>4</w:t>
            </w:r>
          </w:p>
        </w:tc>
        <w:tc>
          <w:tcPr>
            <w:tcW w:w="737" w:type="dxa"/>
            <w:noWrap/>
            <w:vAlign w:val="center"/>
          </w:tcPr>
          <w:p w14:paraId="204D23D3" w14:textId="005C1ED6" w:rsidR="00EA0657" w:rsidRPr="00F66F8E" w:rsidRDefault="00EA0657" w:rsidP="00EA0657">
            <w:pPr>
              <w:spacing w:before="60" w:after="0"/>
              <w:ind w:firstLine="0"/>
              <w:jc w:val="center"/>
              <w:rPr>
                <w:rFonts w:eastAsia="Times New Roman" w:cs="Times New Roman"/>
                <w:color w:val="000000"/>
                <w:sz w:val="18"/>
                <w:szCs w:val="18"/>
              </w:rPr>
            </w:pPr>
            <w:r w:rsidRPr="00F66F8E">
              <w:rPr>
                <w:rFonts w:eastAsia="Times New Roman" w:cs="Times New Roman"/>
                <w:color w:val="000000"/>
                <w:sz w:val="19"/>
                <w:szCs w:val="19"/>
              </w:rPr>
              <w:t>0,97</w:t>
            </w:r>
          </w:p>
        </w:tc>
        <w:tc>
          <w:tcPr>
            <w:tcW w:w="737" w:type="dxa"/>
            <w:vAlign w:val="center"/>
          </w:tcPr>
          <w:p w14:paraId="4A641232" w14:textId="72B5582E" w:rsidR="00EA0657" w:rsidRPr="00F66F8E" w:rsidRDefault="00EA0657" w:rsidP="00EA0657">
            <w:pPr>
              <w:spacing w:before="60" w:after="0"/>
              <w:ind w:firstLine="0"/>
              <w:jc w:val="center"/>
              <w:rPr>
                <w:rFonts w:eastAsia="Times New Roman" w:cs="Times New Roman"/>
                <w:color w:val="000000"/>
                <w:sz w:val="18"/>
                <w:szCs w:val="18"/>
              </w:rPr>
            </w:pPr>
            <w:r w:rsidRPr="00F66F8E">
              <w:rPr>
                <w:rFonts w:eastAsia="Times New Roman" w:cs="Times New Roman"/>
                <w:color w:val="000000"/>
                <w:sz w:val="19"/>
                <w:szCs w:val="19"/>
              </w:rPr>
              <w:t>0,8</w:t>
            </w:r>
            <w:r w:rsidR="0034167A">
              <w:rPr>
                <w:rFonts w:eastAsia="Times New Roman" w:cs="Times New Roman"/>
                <w:color w:val="000000"/>
                <w:sz w:val="19"/>
                <w:szCs w:val="19"/>
              </w:rPr>
              <w:t>7</w:t>
            </w:r>
          </w:p>
        </w:tc>
      </w:tr>
      <w:tr w:rsidR="00EA0657" w:rsidRPr="00D8017D" w14:paraId="56F41AC7" w14:textId="77777777" w:rsidTr="00EA0657">
        <w:trPr>
          <w:trHeight w:val="20"/>
          <w:jc w:val="center"/>
        </w:trPr>
        <w:tc>
          <w:tcPr>
            <w:tcW w:w="3397" w:type="dxa"/>
            <w:shd w:val="clear" w:color="auto" w:fill="BDD6EE" w:themeFill="accent1" w:themeFillTint="66"/>
            <w:noWrap/>
            <w:vAlign w:val="center"/>
          </w:tcPr>
          <w:p w14:paraId="4C0F76A7" w14:textId="31A647F0" w:rsidR="00EA0657" w:rsidRPr="00D8017D" w:rsidRDefault="00EA0657" w:rsidP="00EA0657">
            <w:pPr>
              <w:spacing w:before="60" w:after="0"/>
              <w:ind w:firstLine="0"/>
              <w:jc w:val="left"/>
              <w:rPr>
                <w:rFonts w:eastAsia="Times New Roman" w:cs="Times New Roman"/>
                <w:b/>
                <w:bCs/>
                <w:color w:val="000000"/>
                <w:sz w:val="18"/>
                <w:szCs w:val="18"/>
                <w:highlight w:val="lightGray"/>
              </w:rPr>
            </w:pPr>
            <w:r w:rsidRPr="00D8017D">
              <w:rPr>
                <w:rFonts w:eastAsia="Times New Roman" w:cs="Times New Roman"/>
                <w:b/>
                <w:bCs/>
                <w:color w:val="000000"/>
                <w:sz w:val="19"/>
                <w:szCs w:val="19"/>
              </w:rPr>
              <w:t>Vispārējās valdības strukturālās bilances prognoze un mērķi, % no IKP</w:t>
            </w:r>
          </w:p>
        </w:tc>
        <w:tc>
          <w:tcPr>
            <w:tcW w:w="1276" w:type="dxa"/>
            <w:shd w:val="clear" w:color="auto" w:fill="BDD6EE" w:themeFill="accent1" w:themeFillTint="66"/>
            <w:noWrap/>
            <w:vAlign w:val="center"/>
          </w:tcPr>
          <w:p w14:paraId="0847BA9D" w14:textId="5113ABAB" w:rsidR="00EA0657" w:rsidRPr="00D8017D" w:rsidRDefault="00EA0657" w:rsidP="00EA0657">
            <w:pPr>
              <w:spacing w:before="60" w:after="0"/>
              <w:ind w:firstLine="0"/>
              <w:jc w:val="center"/>
              <w:rPr>
                <w:rFonts w:eastAsia="Times New Roman" w:cs="Times New Roman"/>
                <w:b/>
                <w:bCs/>
                <w:color w:val="000000"/>
                <w:sz w:val="18"/>
                <w:szCs w:val="18"/>
                <w:highlight w:val="lightGray"/>
              </w:rPr>
            </w:pPr>
            <w:r w:rsidRPr="00D8017D">
              <w:rPr>
                <w:rFonts w:eastAsia="Times New Roman" w:cs="Times New Roman"/>
                <w:b/>
                <w:bCs/>
                <w:color w:val="000000"/>
                <w:sz w:val="19"/>
                <w:szCs w:val="19"/>
              </w:rPr>
              <w:t>(3)=(</w:t>
            </w:r>
            <w:r w:rsidR="007C1462">
              <w:rPr>
                <w:rFonts w:eastAsia="Times New Roman" w:cs="Times New Roman"/>
                <w:b/>
                <w:bCs/>
                <w:color w:val="000000"/>
                <w:sz w:val="19"/>
                <w:szCs w:val="19"/>
              </w:rPr>
              <w:t>1</w:t>
            </w:r>
            <w:r w:rsidRPr="00D8017D">
              <w:rPr>
                <w:rFonts w:eastAsia="Times New Roman" w:cs="Times New Roman"/>
                <w:b/>
                <w:bCs/>
                <w:color w:val="000000"/>
                <w:sz w:val="19"/>
                <w:szCs w:val="19"/>
              </w:rPr>
              <w:t>)-(</w:t>
            </w:r>
            <w:r w:rsidR="007C1462">
              <w:rPr>
                <w:rFonts w:eastAsia="Times New Roman" w:cs="Times New Roman"/>
                <w:b/>
                <w:bCs/>
                <w:color w:val="000000"/>
                <w:sz w:val="19"/>
                <w:szCs w:val="19"/>
              </w:rPr>
              <w:t>2</w:t>
            </w:r>
            <w:r w:rsidRPr="00D8017D">
              <w:rPr>
                <w:rFonts w:eastAsia="Times New Roman" w:cs="Times New Roman"/>
                <w:b/>
                <w:bCs/>
                <w:color w:val="000000"/>
                <w:sz w:val="19"/>
                <w:szCs w:val="19"/>
              </w:rPr>
              <w:t>)</w:t>
            </w:r>
          </w:p>
        </w:tc>
        <w:tc>
          <w:tcPr>
            <w:tcW w:w="1098" w:type="dxa"/>
            <w:shd w:val="clear" w:color="auto" w:fill="BDD6EE" w:themeFill="accent1" w:themeFillTint="66"/>
            <w:noWrap/>
            <w:vAlign w:val="center"/>
          </w:tcPr>
          <w:p w14:paraId="42CED9A0" w14:textId="72AE7FDE" w:rsidR="00EA0657" w:rsidRPr="00F66F8E" w:rsidRDefault="00EA0657" w:rsidP="00EA0657">
            <w:pPr>
              <w:spacing w:before="60" w:after="0"/>
              <w:ind w:firstLine="0"/>
              <w:jc w:val="center"/>
              <w:rPr>
                <w:rFonts w:eastAsia="Times New Roman" w:cs="Times New Roman"/>
                <w:b/>
                <w:bCs/>
                <w:color w:val="000000"/>
                <w:sz w:val="18"/>
                <w:szCs w:val="18"/>
              </w:rPr>
            </w:pPr>
            <w:r w:rsidRPr="00F66F8E">
              <w:rPr>
                <w:rFonts w:eastAsia="Times New Roman" w:cs="Times New Roman"/>
                <w:b/>
                <w:bCs/>
                <w:color w:val="000000"/>
                <w:sz w:val="19"/>
                <w:szCs w:val="19"/>
              </w:rPr>
              <w:t>-0,6</w:t>
            </w:r>
          </w:p>
        </w:tc>
        <w:tc>
          <w:tcPr>
            <w:tcW w:w="737" w:type="dxa"/>
            <w:shd w:val="clear" w:color="auto" w:fill="BDD6EE" w:themeFill="accent1" w:themeFillTint="66"/>
            <w:noWrap/>
            <w:vAlign w:val="center"/>
          </w:tcPr>
          <w:p w14:paraId="147F98A2" w14:textId="2E5685A3" w:rsidR="00EA0657" w:rsidRPr="00D8017D" w:rsidRDefault="00EA0657" w:rsidP="00EA0657">
            <w:pPr>
              <w:spacing w:before="60" w:after="0"/>
              <w:ind w:firstLine="0"/>
              <w:jc w:val="center"/>
              <w:rPr>
                <w:rFonts w:eastAsia="Times New Roman" w:cs="Times New Roman"/>
                <w:b/>
                <w:bCs/>
                <w:color w:val="000000"/>
                <w:sz w:val="18"/>
                <w:szCs w:val="18"/>
                <w:highlight w:val="lightGray"/>
              </w:rPr>
            </w:pPr>
            <w:r w:rsidRPr="00D8017D">
              <w:rPr>
                <w:rFonts w:eastAsia="Times New Roman" w:cs="Times New Roman"/>
                <w:b/>
                <w:bCs/>
                <w:color w:val="000000"/>
                <w:sz w:val="19"/>
                <w:szCs w:val="19"/>
              </w:rPr>
              <w:t>-1,2</w:t>
            </w:r>
            <w:r w:rsidR="002A0A69">
              <w:rPr>
                <w:rFonts w:eastAsia="Times New Roman" w:cs="Times New Roman"/>
                <w:b/>
                <w:bCs/>
                <w:color w:val="000000"/>
                <w:sz w:val="19"/>
                <w:szCs w:val="19"/>
              </w:rPr>
              <w:t>4</w:t>
            </w:r>
          </w:p>
        </w:tc>
        <w:tc>
          <w:tcPr>
            <w:tcW w:w="737" w:type="dxa"/>
            <w:shd w:val="clear" w:color="auto" w:fill="BDD6EE" w:themeFill="accent1" w:themeFillTint="66"/>
            <w:noWrap/>
            <w:vAlign w:val="center"/>
          </w:tcPr>
          <w:p w14:paraId="7E0F3998" w14:textId="0DA9B62E" w:rsidR="00EA0657" w:rsidRPr="00D8017D" w:rsidRDefault="00EA0657" w:rsidP="00EA0657">
            <w:pPr>
              <w:spacing w:before="60" w:after="0"/>
              <w:ind w:firstLine="0"/>
              <w:jc w:val="center"/>
              <w:rPr>
                <w:rFonts w:eastAsia="Times New Roman" w:cs="Times New Roman"/>
                <w:b/>
                <w:bCs/>
                <w:color w:val="000000"/>
                <w:sz w:val="18"/>
                <w:szCs w:val="18"/>
                <w:highlight w:val="lightGray"/>
              </w:rPr>
            </w:pPr>
            <w:r w:rsidRPr="00D8017D">
              <w:rPr>
                <w:rFonts w:eastAsia="Times New Roman" w:cs="Times New Roman"/>
                <w:b/>
                <w:bCs/>
                <w:color w:val="000000"/>
                <w:sz w:val="19"/>
                <w:szCs w:val="19"/>
              </w:rPr>
              <w:t>-1,97</w:t>
            </w:r>
          </w:p>
        </w:tc>
        <w:tc>
          <w:tcPr>
            <w:tcW w:w="737" w:type="dxa"/>
            <w:shd w:val="clear" w:color="auto" w:fill="BDD6EE" w:themeFill="accent1" w:themeFillTint="66"/>
            <w:vAlign w:val="center"/>
          </w:tcPr>
          <w:p w14:paraId="292165A5" w14:textId="5076CC8E" w:rsidR="00EA0657" w:rsidRPr="00D8017D" w:rsidRDefault="00EA0657" w:rsidP="00EA0657">
            <w:pPr>
              <w:spacing w:before="60" w:after="0"/>
              <w:ind w:firstLine="0"/>
              <w:jc w:val="center"/>
              <w:rPr>
                <w:rFonts w:eastAsia="Times New Roman" w:cs="Times New Roman"/>
                <w:b/>
                <w:bCs/>
                <w:color w:val="000000"/>
                <w:sz w:val="18"/>
                <w:szCs w:val="18"/>
                <w:highlight w:val="lightGray"/>
              </w:rPr>
            </w:pPr>
            <w:r w:rsidRPr="00D8017D">
              <w:rPr>
                <w:rFonts w:eastAsia="Times New Roman" w:cs="Times New Roman"/>
                <w:b/>
                <w:bCs/>
                <w:color w:val="000000"/>
                <w:sz w:val="19"/>
                <w:szCs w:val="19"/>
              </w:rPr>
              <w:t>-1,8</w:t>
            </w:r>
            <w:r w:rsidR="0034167A">
              <w:rPr>
                <w:rFonts w:eastAsia="Times New Roman" w:cs="Times New Roman"/>
                <w:b/>
                <w:bCs/>
                <w:color w:val="000000"/>
                <w:sz w:val="19"/>
                <w:szCs w:val="19"/>
              </w:rPr>
              <w:t>7</w:t>
            </w:r>
          </w:p>
        </w:tc>
      </w:tr>
    </w:tbl>
    <w:p w14:paraId="2AD50651" w14:textId="77777777" w:rsidR="00EA0657" w:rsidRPr="00D8017D" w:rsidRDefault="00EA0657" w:rsidP="00EA0657">
      <w:pPr>
        <w:widowControl w:val="0"/>
        <w:rPr>
          <w:rFonts w:eastAsia="Times New Roman" w:cs="Times New Roman"/>
          <w:b/>
          <w:szCs w:val="24"/>
        </w:rPr>
      </w:pPr>
    </w:p>
    <w:p w14:paraId="3887CA0D" w14:textId="3836DDA5" w:rsidR="00EA0657" w:rsidRPr="00D8017D" w:rsidRDefault="00EA0657" w:rsidP="00EA0657">
      <w:pPr>
        <w:widowControl w:val="0"/>
        <w:rPr>
          <w:rFonts w:eastAsia="Times New Roman" w:cs="Times New Roman"/>
          <w:b/>
        </w:rPr>
      </w:pPr>
      <w:r w:rsidRPr="00D8017D">
        <w:rPr>
          <w:rFonts w:eastAsia="Times New Roman" w:cs="Times New Roman"/>
          <w:b/>
          <w:szCs w:val="24"/>
        </w:rPr>
        <w:t xml:space="preserve">ES strukturālās primārās bilances nosacījums </w:t>
      </w:r>
    </w:p>
    <w:p w14:paraId="4C5F2831" w14:textId="7D2A85BB" w:rsidR="00EA0657" w:rsidRPr="00D8017D" w:rsidRDefault="00EA0657" w:rsidP="00EA0657">
      <w:pPr>
        <w:widowControl w:val="0"/>
        <w:rPr>
          <w:rFonts w:eastAsia="Times New Roman" w:cs="Times New Roman"/>
          <w:szCs w:val="24"/>
        </w:rPr>
      </w:pPr>
      <w:r w:rsidRPr="00D8017D">
        <w:rPr>
          <w:rFonts w:eastAsia="Times New Roman" w:cs="Times New Roman"/>
          <w:szCs w:val="24"/>
        </w:rPr>
        <w:t>ES strukturālās primārās bilances nosacījums ir fiskālais nosacījums, kas izriet no jaunā ES ekonomikas pārvaldības ietvara. Tas kalpo kā starprezultāts, kurā tiek izteikts nepieciešamais fiskālās ekspansijas vai konsolidācijas apjoms, lai nodrošinātu, ka deficīts līdz 2038. gadam nepārsniedz 3% no IKP robežu. Tas balstās uz ES metodoloģijā izmantoto pieņēmumu, ka nemainīgas politikas gadījumā strukturālā primārā bilance laika gaitā nemainās. Ja strukturālais primārais deficīts 2024. gadā ir lielāks, nekā tam būtu jābūt 2028. gadā, to ir nepieciešams pakāpeniski samazināt, veicot konsolidācijas pasākumus. Savukārt, ja 2024. gadā tas ir mazāks, nekā to varētu atļauties 2028. gadā, valsts var veikt ekspansīvu fiskālo politiku, bet ne vairāk, kā 2028. gadā sasniedzot maksimāli pieļaujamo līmeni. Latvija kā valsts ar deficītu zem 3% no IKP un parādu zem 60% no IKP 2024. gadā saņēma no EK tehnisko informāciju</w:t>
      </w:r>
      <w:r w:rsidRPr="00D8017D">
        <w:rPr>
          <w:rFonts w:eastAsia="Times New Roman" w:cs="Times New Roman"/>
          <w:szCs w:val="24"/>
          <w:vertAlign w:val="superscript"/>
        </w:rPr>
        <w:footnoteReference w:id="24"/>
      </w:r>
      <w:r w:rsidR="008675CC">
        <w:rPr>
          <w:rFonts w:eastAsia="Times New Roman" w:cs="Times New Roman"/>
          <w:szCs w:val="24"/>
        </w:rPr>
        <w:t>,</w:t>
      </w:r>
      <w:r w:rsidRPr="00D8017D">
        <w:rPr>
          <w:rFonts w:eastAsia="Times New Roman" w:cs="Times New Roman"/>
          <w:szCs w:val="24"/>
        </w:rPr>
        <w:t xml:space="preserve"> kurā bija noteikts strukturālās primārās budžeta bilances līmenis, kurš jānodrošina 2028. gadā.</w:t>
      </w:r>
    </w:p>
    <w:p w14:paraId="48959F6A" w14:textId="6BC09FD8" w:rsidR="00EA0657" w:rsidRPr="00D8017D" w:rsidRDefault="00EA0657" w:rsidP="00EA0657">
      <w:pPr>
        <w:widowControl w:val="0"/>
        <w:rPr>
          <w:rFonts w:eastAsia="Times New Roman" w:cs="Times New Roman"/>
          <w:bCs/>
        </w:rPr>
      </w:pPr>
      <w:r w:rsidRPr="00D8017D">
        <w:rPr>
          <w:rFonts w:eastAsia="Times New Roman" w:cs="Times New Roman"/>
          <w:bCs/>
        </w:rPr>
        <w:t xml:space="preserve">Saskaņā ar šo fiskālo nosacījumu, pieļaujamā strukturālā primārā bilance ir norādīta 2.3. tabulas 1. rindā. </w:t>
      </w:r>
    </w:p>
    <w:p w14:paraId="17ECB9E9" w14:textId="018F7E0F" w:rsidR="00EA0657" w:rsidRPr="00D8017D" w:rsidRDefault="00EA0657" w:rsidP="006E534E">
      <w:pPr>
        <w:widowControl w:val="0"/>
        <w:rPr>
          <w:rFonts w:eastAsia="Times New Roman" w:cs="Times New Roman"/>
          <w:bCs/>
        </w:rPr>
      </w:pPr>
      <w:r w:rsidRPr="00D8017D">
        <w:rPr>
          <w:rFonts w:eastAsia="Times New Roman" w:cs="Times New Roman"/>
          <w:bCs/>
        </w:rPr>
        <w:t>2.3. tabulā ir veikts arī pārrēķins no pieļaujamās strukturālās primārās bilances uz FDL strukturālo bilanci. Saskaņā ar šo pārrēķinu, pieļaujamais FDL strukturālai deficīts 2026. gadā ir tuvu 1,4% no IKP, būtiski augstāks 2027. gadā un 2028. gadā. Nosakot vispārējās valdības strukturālās bilances mērķi, tiek ņemta vērā valsts izņēmuma klauzulas attiecīgā gada fiskālā ietekme.</w:t>
      </w:r>
    </w:p>
    <w:p w14:paraId="7C65A491" w14:textId="77777777" w:rsidR="00347B1A" w:rsidRPr="00D8017D" w:rsidRDefault="00CB177C" w:rsidP="00347B1A">
      <w:pPr>
        <w:widowControl w:val="0"/>
        <w:jc w:val="right"/>
        <w:rPr>
          <w:rFonts w:eastAsia="Times New Roman" w:cs="Times New Roman"/>
          <w:b/>
          <w:i/>
          <w:iCs/>
          <w:szCs w:val="24"/>
        </w:rPr>
      </w:pPr>
      <w:r w:rsidRPr="00D8017D">
        <w:rPr>
          <w:rFonts w:eastAsia="Times New Roman" w:cs="Times New Roman"/>
          <w:b/>
          <w:i/>
          <w:iCs/>
          <w:szCs w:val="24"/>
        </w:rPr>
        <w:t>2.</w:t>
      </w:r>
      <w:r w:rsidR="004548BC" w:rsidRPr="00D8017D">
        <w:rPr>
          <w:rFonts w:eastAsia="Times New Roman" w:cs="Times New Roman"/>
          <w:b/>
          <w:i/>
          <w:iCs/>
          <w:szCs w:val="24"/>
        </w:rPr>
        <w:t>3</w:t>
      </w:r>
      <w:r w:rsidRPr="00D8017D">
        <w:rPr>
          <w:rFonts w:eastAsia="Times New Roman" w:cs="Times New Roman"/>
          <w:b/>
          <w:i/>
          <w:iCs/>
          <w:szCs w:val="24"/>
        </w:rPr>
        <w:t xml:space="preserve">. tabula. </w:t>
      </w:r>
      <w:r w:rsidR="00347B1A" w:rsidRPr="00D8017D">
        <w:rPr>
          <w:rFonts w:eastAsia="Times New Roman" w:cs="Times New Roman"/>
          <w:b/>
          <w:i/>
          <w:iCs/>
          <w:szCs w:val="24"/>
        </w:rPr>
        <w:t>Vispārējās valdības strukturālās bilances mērķi, balstoties uz ES strukturālās primārās bilances nosacījumu</w:t>
      </w:r>
    </w:p>
    <w:tbl>
      <w:tblPr>
        <w:tblW w:w="6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1271"/>
        <w:gridCol w:w="851"/>
        <w:gridCol w:w="850"/>
        <w:gridCol w:w="884"/>
      </w:tblGrid>
      <w:tr w:rsidR="00347B1A" w:rsidRPr="00825D14" w14:paraId="104BCDE2" w14:textId="77777777" w:rsidTr="00CF43D4">
        <w:trPr>
          <w:trHeight w:val="20"/>
          <w:tblHeader/>
          <w:jc w:val="center"/>
        </w:trPr>
        <w:tc>
          <w:tcPr>
            <w:tcW w:w="2693" w:type="dxa"/>
            <w:shd w:val="clear" w:color="auto" w:fill="BDD6EE" w:themeFill="accent1" w:themeFillTint="66"/>
            <w:noWrap/>
            <w:vAlign w:val="bottom"/>
            <w:hideMark/>
          </w:tcPr>
          <w:p w14:paraId="4B0FB845" w14:textId="308DD9C5" w:rsidR="00347B1A" w:rsidRPr="00825D14" w:rsidRDefault="00347B1A" w:rsidP="00347B1A">
            <w:pPr>
              <w:spacing w:before="60" w:after="0"/>
              <w:ind w:firstLine="0"/>
              <w:jc w:val="left"/>
              <w:rPr>
                <w:rFonts w:eastAsia="Times New Roman" w:cs="Times New Roman"/>
                <w:color w:val="000000"/>
                <w:sz w:val="19"/>
                <w:szCs w:val="19"/>
                <w:highlight w:val="lightGray"/>
              </w:rPr>
            </w:pPr>
            <w:r w:rsidRPr="00825D14">
              <w:rPr>
                <w:rFonts w:eastAsia="Times New Roman" w:cs="Times New Roman"/>
                <w:color w:val="000000"/>
                <w:sz w:val="19"/>
                <w:szCs w:val="19"/>
              </w:rPr>
              <w:t> </w:t>
            </w:r>
          </w:p>
        </w:tc>
        <w:tc>
          <w:tcPr>
            <w:tcW w:w="1271" w:type="dxa"/>
            <w:shd w:val="clear" w:color="auto" w:fill="BDD6EE" w:themeFill="accent1" w:themeFillTint="66"/>
          </w:tcPr>
          <w:p w14:paraId="351CFCC5" w14:textId="77777777" w:rsidR="00347B1A" w:rsidRPr="00825D14" w:rsidRDefault="00347B1A" w:rsidP="00347B1A">
            <w:pPr>
              <w:spacing w:before="60" w:after="0"/>
              <w:ind w:firstLine="0"/>
              <w:jc w:val="center"/>
              <w:rPr>
                <w:rFonts w:eastAsia="Times New Roman" w:cs="Times New Roman"/>
                <w:color w:val="000000"/>
                <w:sz w:val="19"/>
                <w:szCs w:val="19"/>
                <w:highlight w:val="lightGray"/>
              </w:rPr>
            </w:pPr>
          </w:p>
        </w:tc>
        <w:tc>
          <w:tcPr>
            <w:tcW w:w="851" w:type="dxa"/>
            <w:shd w:val="clear" w:color="auto" w:fill="BDD6EE" w:themeFill="accent1" w:themeFillTint="66"/>
            <w:noWrap/>
            <w:vAlign w:val="center"/>
            <w:hideMark/>
          </w:tcPr>
          <w:p w14:paraId="5DBCD0BE" w14:textId="035D4963" w:rsidR="00347B1A" w:rsidRPr="00825D14" w:rsidRDefault="00347B1A" w:rsidP="00347B1A">
            <w:pPr>
              <w:spacing w:before="60" w:after="0"/>
              <w:ind w:firstLine="0"/>
              <w:jc w:val="center"/>
              <w:rPr>
                <w:rFonts w:eastAsia="Times New Roman" w:cs="Times New Roman"/>
                <w:b/>
                <w:bCs/>
                <w:color w:val="000000"/>
                <w:sz w:val="19"/>
                <w:szCs w:val="19"/>
                <w:highlight w:val="lightGray"/>
              </w:rPr>
            </w:pPr>
            <w:r w:rsidRPr="00825D14">
              <w:rPr>
                <w:rFonts w:eastAsia="Times New Roman" w:cs="Times New Roman"/>
                <w:b/>
                <w:bCs/>
                <w:color w:val="000000"/>
                <w:sz w:val="19"/>
                <w:szCs w:val="19"/>
              </w:rPr>
              <w:t>2026</w:t>
            </w:r>
          </w:p>
        </w:tc>
        <w:tc>
          <w:tcPr>
            <w:tcW w:w="850" w:type="dxa"/>
            <w:shd w:val="clear" w:color="auto" w:fill="BDD6EE" w:themeFill="accent1" w:themeFillTint="66"/>
            <w:noWrap/>
            <w:vAlign w:val="center"/>
            <w:hideMark/>
          </w:tcPr>
          <w:p w14:paraId="2FA0E749" w14:textId="062484E1" w:rsidR="00347B1A" w:rsidRPr="00825D14" w:rsidRDefault="00347B1A" w:rsidP="00347B1A">
            <w:pPr>
              <w:spacing w:before="60" w:after="0"/>
              <w:ind w:firstLine="0"/>
              <w:jc w:val="center"/>
              <w:rPr>
                <w:rFonts w:eastAsia="Times New Roman" w:cs="Times New Roman"/>
                <w:b/>
                <w:bCs/>
                <w:color w:val="000000"/>
                <w:sz w:val="19"/>
                <w:szCs w:val="19"/>
                <w:highlight w:val="lightGray"/>
              </w:rPr>
            </w:pPr>
            <w:r w:rsidRPr="00825D14">
              <w:rPr>
                <w:rFonts w:eastAsia="Times New Roman" w:cs="Times New Roman"/>
                <w:b/>
                <w:bCs/>
                <w:color w:val="000000"/>
                <w:sz w:val="19"/>
                <w:szCs w:val="19"/>
              </w:rPr>
              <w:t>2027</w:t>
            </w:r>
          </w:p>
        </w:tc>
        <w:tc>
          <w:tcPr>
            <w:tcW w:w="884" w:type="dxa"/>
            <w:shd w:val="clear" w:color="auto" w:fill="BDD6EE" w:themeFill="accent1" w:themeFillTint="66"/>
            <w:noWrap/>
            <w:vAlign w:val="center"/>
            <w:hideMark/>
          </w:tcPr>
          <w:p w14:paraId="4AD5A254" w14:textId="23E507CA" w:rsidR="00347B1A" w:rsidRPr="00825D14" w:rsidRDefault="00347B1A" w:rsidP="00347B1A">
            <w:pPr>
              <w:spacing w:before="60" w:after="0"/>
              <w:ind w:firstLine="0"/>
              <w:jc w:val="center"/>
              <w:rPr>
                <w:rFonts w:eastAsia="Times New Roman" w:cs="Times New Roman"/>
                <w:b/>
                <w:bCs/>
                <w:color w:val="000000"/>
                <w:sz w:val="19"/>
                <w:szCs w:val="19"/>
                <w:highlight w:val="lightGray"/>
              </w:rPr>
            </w:pPr>
            <w:r w:rsidRPr="00825D14">
              <w:rPr>
                <w:rFonts w:eastAsia="Times New Roman" w:cs="Times New Roman"/>
                <w:b/>
                <w:bCs/>
                <w:color w:val="000000"/>
                <w:sz w:val="19"/>
                <w:szCs w:val="19"/>
              </w:rPr>
              <w:t>2028</w:t>
            </w:r>
          </w:p>
        </w:tc>
      </w:tr>
      <w:tr w:rsidR="00347B1A" w:rsidRPr="00825D14" w14:paraId="68430B2C" w14:textId="77777777" w:rsidTr="00347B1A">
        <w:trPr>
          <w:trHeight w:val="20"/>
          <w:jc w:val="center"/>
        </w:trPr>
        <w:tc>
          <w:tcPr>
            <w:tcW w:w="2693" w:type="dxa"/>
            <w:noWrap/>
            <w:vAlign w:val="center"/>
          </w:tcPr>
          <w:p w14:paraId="472612E5" w14:textId="5E2360B5" w:rsidR="00347B1A" w:rsidRPr="00825D14" w:rsidRDefault="00347B1A" w:rsidP="00347B1A">
            <w:pPr>
              <w:spacing w:before="60" w:after="0"/>
              <w:ind w:firstLine="0"/>
              <w:jc w:val="left"/>
              <w:rPr>
                <w:rFonts w:eastAsia="Times New Roman" w:cs="Times New Roman"/>
                <w:color w:val="000000"/>
                <w:sz w:val="19"/>
                <w:szCs w:val="19"/>
                <w:highlight w:val="lightGray"/>
              </w:rPr>
            </w:pPr>
            <w:r w:rsidRPr="00825D14">
              <w:rPr>
                <w:rFonts w:eastAsia="Times New Roman" w:cs="Times New Roman"/>
                <w:sz w:val="19"/>
                <w:szCs w:val="19"/>
              </w:rPr>
              <w:t>Strukturālās primārās bilances mērķis, % no IKP</w:t>
            </w:r>
          </w:p>
        </w:tc>
        <w:tc>
          <w:tcPr>
            <w:tcW w:w="1271" w:type="dxa"/>
            <w:vAlign w:val="center"/>
          </w:tcPr>
          <w:p w14:paraId="1AAFBE96" w14:textId="0ED27311" w:rsidR="00347B1A" w:rsidRPr="00825D14" w:rsidRDefault="00347B1A" w:rsidP="00347B1A">
            <w:pPr>
              <w:spacing w:before="60" w:after="0"/>
              <w:ind w:firstLine="0"/>
              <w:jc w:val="center"/>
              <w:rPr>
                <w:rFonts w:eastAsia="Times New Roman" w:cs="Times New Roman"/>
                <w:color w:val="000000"/>
                <w:sz w:val="19"/>
                <w:szCs w:val="19"/>
                <w:highlight w:val="lightGray"/>
              </w:rPr>
            </w:pPr>
            <w:r w:rsidRPr="00825D14">
              <w:rPr>
                <w:rFonts w:eastAsia="Times New Roman" w:cs="Times New Roman"/>
                <w:sz w:val="19"/>
                <w:szCs w:val="19"/>
              </w:rPr>
              <w:t>(1)</w:t>
            </w:r>
          </w:p>
        </w:tc>
        <w:tc>
          <w:tcPr>
            <w:tcW w:w="851" w:type="dxa"/>
            <w:noWrap/>
            <w:vAlign w:val="center"/>
          </w:tcPr>
          <w:p w14:paraId="277BC527" w14:textId="0B879354" w:rsidR="00347B1A" w:rsidRPr="00825D14" w:rsidRDefault="00347B1A" w:rsidP="00347B1A">
            <w:pPr>
              <w:spacing w:before="60" w:after="0"/>
              <w:ind w:firstLine="0"/>
              <w:jc w:val="center"/>
              <w:rPr>
                <w:rFonts w:eastAsia="Times New Roman" w:cs="Times New Roman"/>
                <w:color w:val="000000"/>
                <w:sz w:val="19"/>
                <w:szCs w:val="19"/>
                <w:highlight w:val="lightGray"/>
              </w:rPr>
            </w:pPr>
            <w:r w:rsidRPr="00825D14">
              <w:rPr>
                <w:rFonts w:cs="Times New Roman"/>
                <w:sz w:val="19"/>
                <w:szCs w:val="19"/>
              </w:rPr>
              <w:t>-1,32</w:t>
            </w:r>
          </w:p>
        </w:tc>
        <w:tc>
          <w:tcPr>
            <w:tcW w:w="850" w:type="dxa"/>
            <w:shd w:val="clear" w:color="auto" w:fill="FFFFFF" w:themeFill="background1"/>
            <w:noWrap/>
            <w:vAlign w:val="center"/>
            <w:hideMark/>
          </w:tcPr>
          <w:p w14:paraId="52472B8E" w14:textId="171CCED0" w:rsidR="00347B1A" w:rsidRPr="00825D14" w:rsidRDefault="00347B1A" w:rsidP="00347B1A">
            <w:pPr>
              <w:spacing w:before="60" w:after="0"/>
              <w:ind w:firstLine="0"/>
              <w:jc w:val="center"/>
              <w:rPr>
                <w:rFonts w:eastAsia="Times New Roman" w:cs="Times New Roman"/>
                <w:color w:val="000000"/>
                <w:sz w:val="19"/>
                <w:szCs w:val="19"/>
                <w:highlight w:val="lightGray"/>
              </w:rPr>
            </w:pPr>
            <w:r w:rsidRPr="00825D14">
              <w:rPr>
                <w:rFonts w:cs="Times New Roman"/>
                <w:sz w:val="19"/>
                <w:szCs w:val="19"/>
              </w:rPr>
              <w:t>-1,30</w:t>
            </w:r>
          </w:p>
        </w:tc>
        <w:tc>
          <w:tcPr>
            <w:tcW w:w="884" w:type="dxa"/>
            <w:shd w:val="clear" w:color="auto" w:fill="FFFFFF" w:themeFill="background1"/>
            <w:noWrap/>
            <w:vAlign w:val="center"/>
            <w:hideMark/>
          </w:tcPr>
          <w:p w14:paraId="0F5EBDE1" w14:textId="1C1ADC3C" w:rsidR="00347B1A" w:rsidRPr="00825D14" w:rsidRDefault="00347B1A" w:rsidP="00347B1A">
            <w:pPr>
              <w:spacing w:before="60" w:after="0"/>
              <w:ind w:firstLine="0"/>
              <w:jc w:val="center"/>
              <w:rPr>
                <w:rFonts w:eastAsia="Times New Roman" w:cs="Times New Roman"/>
                <w:color w:val="000000"/>
                <w:sz w:val="19"/>
                <w:szCs w:val="19"/>
                <w:highlight w:val="lightGray"/>
              </w:rPr>
            </w:pPr>
            <w:r w:rsidRPr="00825D14">
              <w:rPr>
                <w:rFonts w:cs="Times New Roman"/>
                <w:sz w:val="19"/>
                <w:szCs w:val="19"/>
              </w:rPr>
              <w:t>-1,2</w:t>
            </w:r>
            <w:r w:rsidR="00DD635D" w:rsidRPr="00825D14">
              <w:rPr>
                <w:rFonts w:cs="Times New Roman"/>
                <w:sz w:val="19"/>
                <w:szCs w:val="19"/>
              </w:rPr>
              <w:t>6</w:t>
            </w:r>
          </w:p>
        </w:tc>
      </w:tr>
      <w:tr w:rsidR="00347B1A" w:rsidRPr="00825D14" w14:paraId="5A79DF0E" w14:textId="77777777" w:rsidTr="00347B1A">
        <w:trPr>
          <w:trHeight w:val="20"/>
          <w:jc w:val="center"/>
        </w:trPr>
        <w:tc>
          <w:tcPr>
            <w:tcW w:w="2693" w:type="dxa"/>
            <w:noWrap/>
            <w:vAlign w:val="center"/>
          </w:tcPr>
          <w:p w14:paraId="6F107ED5" w14:textId="0D40984A" w:rsidR="00347B1A" w:rsidRPr="00825D14" w:rsidRDefault="00347B1A" w:rsidP="00347B1A">
            <w:pPr>
              <w:spacing w:before="60" w:after="0"/>
              <w:ind w:firstLine="0"/>
              <w:jc w:val="left"/>
              <w:rPr>
                <w:rFonts w:eastAsia="Times New Roman" w:cs="Times New Roman"/>
                <w:color w:val="000000"/>
                <w:sz w:val="19"/>
                <w:szCs w:val="19"/>
                <w:highlight w:val="lightGray"/>
              </w:rPr>
            </w:pPr>
            <w:r w:rsidRPr="00825D14">
              <w:rPr>
                <w:rFonts w:eastAsia="Times New Roman" w:cs="Times New Roman"/>
                <w:sz w:val="19"/>
                <w:szCs w:val="19"/>
              </w:rPr>
              <w:t>Vispārējās valdības procentu izdevumi, % no IKP</w:t>
            </w:r>
          </w:p>
        </w:tc>
        <w:tc>
          <w:tcPr>
            <w:tcW w:w="1271" w:type="dxa"/>
            <w:vAlign w:val="center"/>
          </w:tcPr>
          <w:p w14:paraId="66DEA823" w14:textId="7CDADBDF" w:rsidR="00347B1A" w:rsidRPr="00825D14" w:rsidRDefault="00347B1A" w:rsidP="00347B1A">
            <w:pPr>
              <w:spacing w:before="60" w:after="0"/>
              <w:ind w:firstLine="0"/>
              <w:jc w:val="center"/>
              <w:rPr>
                <w:rFonts w:eastAsia="Times New Roman" w:cs="Times New Roman"/>
                <w:color w:val="000000"/>
                <w:sz w:val="19"/>
                <w:szCs w:val="19"/>
                <w:highlight w:val="lightGray"/>
              </w:rPr>
            </w:pPr>
            <w:r w:rsidRPr="00825D14">
              <w:rPr>
                <w:rFonts w:eastAsia="Times New Roman" w:cs="Times New Roman"/>
                <w:sz w:val="19"/>
                <w:szCs w:val="19"/>
              </w:rPr>
              <w:t>(2)</w:t>
            </w:r>
          </w:p>
        </w:tc>
        <w:tc>
          <w:tcPr>
            <w:tcW w:w="851" w:type="dxa"/>
            <w:noWrap/>
            <w:vAlign w:val="center"/>
          </w:tcPr>
          <w:p w14:paraId="244EBD83" w14:textId="62293506" w:rsidR="00347B1A" w:rsidRPr="00825D14" w:rsidRDefault="00347B1A" w:rsidP="00347B1A">
            <w:pPr>
              <w:spacing w:before="60" w:after="0"/>
              <w:ind w:firstLine="0"/>
              <w:jc w:val="center"/>
              <w:rPr>
                <w:rFonts w:eastAsia="Times New Roman" w:cs="Times New Roman"/>
                <w:color w:val="000000"/>
                <w:sz w:val="19"/>
                <w:szCs w:val="19"/>
                <w:highlight w:val="lightGray"/>
              </w:rPr>
            </w:pPr>
            <w:r w:rsidRPr="00825D14">
              <w:rPr>
                <w:sz w:val="19"/>
                <w:szCs w:val="19"/>
              </w:rPr>
              <w:t>1,4</w:t>
            </w:r>
            <w:r w:rsidR="0034167A" w:rsidRPr="00825D14">
              <w:rPr>
                <w:sz w:val="19"/>
                <w:szCs w:val="19"/>
              </w:rPr>
              <w:t>5</w:t>
            </w:r>
          </w:p>
        </w:tc>
        <w:tc>
          <w:tcPr>
            <w:tcW w:w="850" w:type="dxa"/>
            <w:shd w:val="clear" w:color="auto" w:fill="FFFFFF" w:themeFill="background1"/>
            <w:noWrap/>
            <w:vAlign w:val="center"/>
            <w:hideMark/>
          </w:tcPr>
          <w:p w14:paraId="7BC90BD9" w14:textId="2DB9B4DD" w:rsidR="00347B1A" w:rsidRPr="00825D14" w:rsidRDefault="00347B1A" w:rsidP="00347B1A">
            <w:pPr>
              <w:spacing w:before="60" w:after="0"/>
              <w:ind w:firstLine="0"/>
              <w:jc w:val="center"/>
              <w:rPr>
                <w:rFonts w:eastAsia="Times New Roman" w:cs="Times New Roman"/>
                <w:color w:val="000000"/>
                <w:sz w:val="19"/>
                <w:szCs w:val="19"/>
                <w:highlight w:val="lightGray"/>
              </w:rPr>
            </w:pPr>
            <w:r w:rsidRPr="00825D14">
              <w:rPr>
                <w:sz w:val="19"/>
                <w:szCs w:val="19"/>
              </w:rPr>
              <w:t>1,</w:t>
            </w:r>
            <w:r w:rsidR="0034167A" w:rsidRPr="00825D14">
              <w:rPr>
                <w:sz w:val="19"/>
                <w:szCs w:val="19"/>
              </w:rPr>
              <w:t>56</w:t>
            </w:r>
          </w:p>
        </w:tc>
        <w:tc>
          <w:tcPr>
            <w:tcW w:w="884" w:type="dxa"/>
            <w:shd w:val="clear" w:color="auto" w:fill="FFFFFF" w:themeFill="background1"/>
            <w:noWrap/>
            <w:vAlign w:val="center"/>
            <w:hideMark/>
          </w:tcPr>
          <w:p w14:paraId="6AD88C0D" w14:textId="5F335C13" w:rsidR="00347B1A" w:rsidRPr="00825D14" w:rsidRDefault="00347B1A" w:rsidP="00347B1A">
            <w:pPr>
              <w:spacing w:before="60" w:after="0"/>
              <w:ind w:firstLine="0"/>
              <w:jc w:val="center"/>
              <w:rPr>
                <w:rFonts w:eastAsia="Times New Roman" w:cs="Times New Roman"/>
                <w:color w:val="000000"/>
                <w:sz w:val="19"/>
                <w:szCs w:val="19"/>
                <w:highlight w:val="lightGray"/>
              </w:rPr>
            </w:pPr>
            <w:r w:rsidRPr="00825D14">
              <w:rPr>
                <w:sz w:val="19"/>
                <w:szCs w:val="19"/>
              </w:rPr>
              <w:t>1,</w:t>
            </w:r>
            <w:r w:rsidR="0034167A" w:rsidRPr="00825D14">
              <w:rPr>
                <w:sz w:val="19"/>
                <w:szCs w:val="19"/>
              </w:rPr>
              <w:t>58</w:t>
            </w:r>
          </w:p>
        </w:tc>
      </w:tr>
      <w:tr w:rsidR="0034167A" w:rsidRPr="00825D14" w14:paraId="4BA8C6F0" w14:textId="77777777" w:rsidTr="00347B1A">
        <w:trPr>
          <w:trHeight w:val="20"/>
          <w:jc w:val="center"/>
        </w:trPr>
        <w:tc>
          <w:tcPr>
            <w:tcW w:w="2693" w:type="dxa"/>
            <w:noWrap/>
            <w:vAlign w:val="center"/>
          </w:tcPr>
          <w:p w14:paraId="106F1121" w14:textId="2FFFEF30" w:rsidR="0034167A" w:rsidRPr="00825D14" w:rsidRDefault="0034167A" w:rsidP="0034167A">
            <w:pPr>
              <w:spacing w:before="60" w:after="0"/>
              <w:ind w:firstLine="0"/>
              <w:jc w:val="left"/>
              <w:rPr>
                <w:rFonts w:eastAsia="Times New Roman" w:cs="Times New Roman"/>
                <w:color w:val="000000"/>
                <w:sz w:val="19"/>
                <w:szCs w:val="19"/>
                <w:highlight w:val="lightGray"/>
              </w:rPr>
            </w:pPr>
            <w:r w:rsidRPr="00825D14">
              <w:rPr>
                <w:rFonts w:eastAsia="Times New Roman" w:cs="Times New Roman"/>
                <w:sz w:val="19"/>
                <w:szCs w:val="19"/>
              </w:rPr>
              <w:t>Vienreizējie pasākumi, % no IKP</w:t>
            </w:r>
          </w:p>
        </w:tc>
        <w:tc>
          <w:tcPr>
            <w:tcW w:w="1271" w:type="dxa"/>
            <w:vAlign w:val="center"/>
          </w:tcPr>
          <w:p w14:paraId="0FF0C7D4" w14:textId="5F5B9BFB" w:rsidR="0034167A" w:rsidRPr="00825D14" w:rsidRDefault="0034167A" w:rsidP="0034167A">
            <w:pPr>
              <w:spacing w:before="60" w:after="0"/>
              <w:ind w:firstLine="0"/>
              <w:jc w:val="center"/>
              <w:rPr>
                <w:rFonts w:eastAsia="Times New Roman" w:cs="Times New Roman"/>
                <w:color w:val="000000"/>
                <w:sz w:val="19"/>
                <w:szCs w:val="19"/>
                <w:highlight w:val="lightGray"/>
              </w:rPr>
            </w:pPr>
            <w:r w:rsidRPr="00825D14">
              <w:rPr>
                <w:rFonts w:eastAsia="Times New Roman" w:cs="Times New Roman"/>
                <w:sz w:val="19"/>
                <w:szCs w:val="19"/>
              </w:rPr>
              <w:t>(3)</w:t>
            </w:r>
          </w:p>
        </w:tc>
        <w:tc>
          <w:tcPr>
            <w:tcW w:w="851" w:type="dxa"/>
            <w:noWrap/>
            <w:vAlign w:val="center"/>
          </w:tcPr>
          <w:p w14:paraId="5405EAD5" w14:textId="24AB653E" w:rsidR="0034167A" w:rsidRPr="00825D14" w:rsidRDefault="0034167A" w:rsidP="0034167A">
            <w:pPr>
              <w:spacing w:before="60" w:after="0"/>
              <w:ind w:firstLine="0"/>
              <w:jc w:val="center"/>
              <w:rPr>
                <w:rFonts w:eastAsia="Times New Roman" w:cs="Times New Roman"/>
                <w:color w:val="000000"/>
                <w:sz w:val="19"/>
                <w:szCs w:val="19"/>
                <w:highlight w:val="lightGray"/>
              </w:rPr>
            </w:pPr>
            <w:r w:rsidRPr="00825D14">
              <w:rPr>
                <w:color w:val="000000"/>
                <w:sz w:val="19"/>
                <w:szCs w:val="19"/>
              </w:rPr>
              <w:t>-1,64</w:t>
            </w:r>
          </w:p>
        </w:tc>
        <w:tc>
          <w:tcPr>
            <w:tcW w:w="850" w:type="dxa"/>
            <w:shd w:val="clear" w:color="auto" w:fill="FFFFFF" w:themeFill="background1"/>
            <w:noWrap/>
            <w:vAlign w:val="center"/>
            <w:hideMark/>
          </w:tcPr>
          <w:p w14:paraId="020ED323" w14:textId="660C5738" w:rsidR="0034167A" w:rsidRPr="00825D14" w:rsidRDefault="0034167A" w:rsidP="0034167A">
            <w:pPr>
              <w:spacing w:before="60" w:after="0"/>
              <w:ind w:firstLine="0"/>
              <w:jc w:val="center"/>
              <w:rPr>
                <w:rFonts w:eastAsia="Times New Roman" w:cs="Times New Roman"/>
                <w:color w:val="000000"/>
                <w:sz w:val="19"/>
                <w:szCs w:val="19"/>
                <w:highlight w:val="lightGray"/>
              </w:rPr>
            </w:pPr>
            <w:r w:rsidRPr="00825D14">
              <w:rPr>
                <w:color w:val="000000"/>
                <w:sz w:val="19"/>
                <w:szCs w:val="19"/>
              </w:rPr>
              <w:t>-1,69</w:t>
            </w:r>
          </w:p>
        </w:tc>
        <w:tc>
          <w:tcPr>
            <w:tcW w:w="884" w:type="dxa"/>
            <w:shd w:val="clear" w:color="auto" w:fill="FFFFFF" w:themeFill="background1"/>
            <w:noWrap/>
            <w:vAlign w:val="center"/>
            <w:hideMark/>
          </w:tcPr>
          <w:p w14:paraId="0DC68C75" w14:textId="429C3BB0" w:rsidR="0034167A" w:rsidRPr="00825D14" w:rsidRDefault="0034167A" w:rsidP="0034167A">
            <w:pPr>
              <w:spacing w:before="60" w:after="0"/>
              <w:ind w:firstLine="0"/>
              <w:jc w:val="center"/>
              <w:rPr>
                <w:rFonts w:eastAsia="Times New Roman" w:cs="Times New Roman"/>
                <w:color w:val="000000"/>
                <w:sz w:val="19"/>
                <w:szCs w:val="19"/>
                <w:highlight w:val="lightGray"/>
              </w:rPr>
            </w:pPr>
            <w:r w:rsidRPr="00825D14">
              <w:rPr>
                <w:color w:val="000000"/>
                <w:sz w:val="19"/>
                <w:szCs w:val="19"/>
              </w:rPr>
              <w:t>-1,59</w:t>
            </w:r>
          </w:p>
        </w:tc>
      </w:tr>
      <w:tr w:rsidR="00C5074D" w:rsidRPr="00825D14" w14:paraId="0470ED19" w14:textId="77777777" w:rsidTr="00347B1A">
        <w:trPr>
          <w:trHeight w:val="20"/>
          <w:jc w:val="center"/>
        </w:trPr>
        <w:tc>
          <w:tcPr>
            <w:tcW w:w="2693" w:type="dxa"/>
            <w:noWrap/>
            <w:vAlign w:val="center"/>
          </w:tcPr>
          <w:p w14:paraId="2DBD9F97" w14:textId="428CB3B1" w:rsidR="00C5074D" w:rsidRPr="00825D14" w:rsidRDefault="00C5074D" w:rsidP="00C5074D">
            <w:pPr>
              <w:spacing w:before="60" w:after="0"/>
              <w:ind w:firstLine="0"/>
              <w:jc w:val="left"/>
              <w:rPr>
                <w:rFonts w:eastAsia="Times New Roman" w:cs="Times New Roman"/>
                <w:color w:val="000000"/>
                <w:sz w:val="19"/>
                <w:szCs w:val="19"/>
                <w:highlight w:val="lightGray"/>
              </w:rPr>
            </w:pPr>
            <w:r w:rsidRPr="00825D14">
              <w:rPr>
                <w:rFonts w:eastAsia="Times New Roman" w:cs="Times New Roman"/>
                <w:sz w:val="19"/>
                <w:szCs w:val="19"/>
              </w:rPr>
              <w:t>Valsts izņēmuma klauzulas fiskālā ietekme, % no IKP</w:t>
            </w:r>
          </w:p>
        </w:tc>
        <w:tc>
          <w:tcPr>
            <w:tcW w:w="1271" w:type="dxa"/>
            <w:vAlign w:val="center"/>
          </w:tcPr>
          <w:p w14:paraId="5EA0335A" w14:textId="064DD372" w:rsidR="00C5074D" w:rsidRPr="00825D14" w:rsidRDefault="00C5074D" w:rsidP="00C5074D">
            <w:pPr>
              <w:spacing w:before="60" w:after="0"/>
              <w:ind w:firstLine="0"/>
              <w:jc w:val="center"/>
              <w:rPr>
                <w:rFonts w:eastAsia="Times New Roman" w:cs="Times New Roman"/>
                <w:color w:val="000000"/>
                <w:sz w:val="19"/>
                <w:szCs w:val="19"/>
                <w:highlight w:val="lightGray"/>
              </w:rPr>
            </w:pPr>
            <w:r w:rsidRPr="00825D14">
              <w:rPr>
                <w:rFonts w:eastAsia="Times New Roman" w:cs="Times New Roman"/>
                <w:sz w:val="19"/>
                <w:szCs w:val="19"/>
              </w:rPr>
              <w:t>(4)</w:t>
            </w:r>
          </w:p>
        </w:tc>
        <w:tc>
          <w:tcPr>
            <w:tcW w:w="851" w:type="dxa"/>
            <w:noWrap/>
            <w:vAlign w:val="center"/>
          </w:tcPr>
          <w:p w14:paraId="7F0A52B7" w14:textId="4727EA66" w:rsidR="00C5074D" w:rsidRPr="00825D14" w:rsidRDefault="00C5074D" w:rsidP="00C5074D">
            <w:pPr>
              <w:spacing w:before="60" w:after="0"/>
              <w:ind w:firstLine="0"/>
              <w:jc w:val="center"/>
              <w:rPr>
                <w:rFonts w:eastAsia="Times New Roman" w:cs="Times New Roman"/>
                <w:color w:val="000000"/>
                <w:sz w:val="19"/>
                <w:szCs w:val="19"/>
                <w:highlight w:val="lightGray"/>
              </w:rPr>
            </w:pPr>
            <w:r w:rsidRPr="00825D14">
              <w:rPr>
                <w:rFonts w:eastAsia="Times New Roman" w:cs="Times New Roman"/>
                <w:color w:val="000000"/>
                <w:sz w:val="19"/>
                <w:szCs w:val="19"/>
              </w:rPr>
              <w:t>0,2</w:t>
            </w:r>
            <w:r w:rsidR="002A0A69" w:rsidRPr="00825D14">
              <w:rPr>
                <w:rFonts w:eastAsia="Times New Roman" w:cs="Times New Roman"/>
                <w:color w:val="000000"/>
                <w:sz w:val="19"/>
                <w:szCs w:val="19"/>
              </w:rPr>
              <w:t>4</w:t>
            </w:r>
          </w:p>
        </w:tc>
        <w:tc>
          <w:tcPr>
            <w:tcW w:w="850" w:type="dxa"/>
            <w:shd w:val="clear" w:color="auto" w:fill="FFFFFF" w:themeFill="background1"/>
            <w:noWrap/>
            <w:vAlign w:val="center"/>
          </w:tcPr>
          <w:p w14:paraId="4A144418" w14:textId="28DE6437" w:rsidR="00C5074D" w:rsidRPr="00825D14" w:rsidRDefault="00C5074D" w:rsidP="00C5074D">
            <w:pPr>
              <w:spacing w:before="60" w:after="0"/>
              <w:ind w:firstLine="0"/>
              <w:jc w:val="center"/>
              <w:rPr>
                <w:rFonts w:eastAsia="Times New Roman" w:cs="Times New Roman"/>
                <w:color w:val="000000"/>
                <w:sz w:val="19"/>
                <w:szCs w:val="19"/>
                <w:highlight w:val="lightGray"/>
              </w:rPr>
            </w:pPr>
            <w:r w:rsidRPr="00825D14">
              <w:rPr>
                <w:rFonts w:eastAsia="Times New Roman" w:cs="Times New Roman"/>
                <w:color w:val="000000"/>
                <w:sz w:val="19"/>
                <w:szCs w:val="19"/>
              </w:rPr>
              <w:t>0,97</w:t>
            </w:r>
          </w:p>
        </w:tc>
        <w:tc>
          <w:tcPr>
            <w:tcW w:w="884" w:type="dxa"/>
            <w:shd w:val="clear" w:color="auto" w:fill="FFFFFF" w:themeFill="background1"/>
            <w:noWrap/>
            <w:vAlign w:val="center"/>
          </w:tcPr>
          <w:p w14:paraId="06853240" w14:textId="69EB4C06" w:rsidR="00C5074D" w:rsidRPr="00825D14" w:rsidRDefault="00C5074D" w:rsidP="00C5074D">
            <w:pPr>
              <w:spacing w:before="60" w:after="0"/>
              <w:ind w:firstLine="0"/>
              <w:jc w:val="center"/>
              <w:rPr>
                <w:rFonts w:eastAsia="Times New Roman" w:cs="Times New Roman"/>
                <w:color w:val="000000"/>
                <w:sz w:val="19"/>
                <w:szCs w:val="19"/>
                <w:highlight w:val="lightGray"/>
              </w:rPr>
            </w:pPr>
            <w:r w:rsidRPr="00825D14">
              <w:rPr>
                <w:rFonts w:eastAsia="Times New Roman" w:cs="Times New Roman"/>
                <w:color w:val="000000"/>
                <w:sz w:val="19"/>
                <w:szCs w:val="19"/>
              </w:rPr>
              <w:t>0,8</w:t>
            </w:r>
            <w:r w:rsidR="0034167A" w:rsidRPr="00825D14">
              <w:rPr>
                <w:rFonts w:eastAsia="Times New Roman" w:cs="Times New Roman"/>
                <w:color w:val="000000"/>
                <w:sz w:val="19"/>
                <w:szCs w:val="19"/>
              </w:rPr>
              <w:t>7</w:t>
            </w:r>
          </w:p>
        </w:tc>
      </w:tr>
      <w:tr w:rsidR="00347B1A" w:rsidRPr="00825D14" w14:paraId="3888F331" w14:textId="77777777" w:rsidTr="00347B1A">
        <w:trPr>
          <w:trHeight w:val="20"/>
          <w:jc w:val="center"/>
        </w:trPr>
        <w:tc>
          <w:tcPr>
            <w:tcW w:w="2693" w:type="dxa"/>
            <w:shd w:val="clear" w:color="auto" w:fill="BDD6EE" w:themeFill="accent1" w:themeFillTint="66"/>
            <w:noWrap/>
            <w:vAlign w:val="center"/>
          </w:tcPr>
          <w:p w14:paraId="24E4B763" w14:textId="6DD6FB0A" w:rsidR="00347B1A" w:rsidRPr="00825D14" w:rsidRDefault="00347B1A" w:rsidP="00347B1A">
            <w:pPr>
              <w:spacing w:before="60" w:after="0"/>
              <w:ind w:firstLine="0"/>
              <w:jc w:val="left"/>
              <w:rPr>
                <w:rFonts w:eastAsia="Times New Roman" w:cs="Times New Roman"/>
                <w:b/>
                <w:bCs/>
                <w:color w:val="000000"/>
                <w:sz w:val="19"/>
                <w:szCs w:val="19"/>
                <w:highlight w:val="lightGray"/>
              </w:rPr>
            </w:pPr>
            <w:r w:rsidRPr="00825D14">
              <w:rPr>
                <w:rFonts w:eastAsia="Times New Roman" w:cs="Times New Roman"/>
                <w:b/>
                <w:bCs/>
                <w:sz w:val="19"/>
                <w:szCs w:val="19"/>
              </w:rPr>
              <w:lastRenderedPageBreak/>
              <w:t>Vispārējās valdības strukturālās bilances mērķi, % no IKP</w:t>
            </w:r>
          </w:p>
        </w:tc>
        <w:tc>
          <w:tcPr>
            <w:tcW w:w="1271" w:type="dxa"/>
            <w:shd w:val="clear" w:color="auto" w:fill="BDD6EE" w:themeFill="accent1" w:themeFillTint="66"/>
            <w:vAlign w:val="center"/>
          </w:tcPr>
          <w:p w14:paraId="755C0E67" w14:textId="50F4D306" w:rsidR="00347B1A" w:rsidRPr="00825D14" w:rsidRDefault="00347B1A" w:rsidP="00347B1A">
            <w:pPr>
              <w:spacing w:before="60" w:after="0"/>
              <w:ind w:firstLine="0"/>
              <w:jc w:val="center"/>
              <w:rPr>
                <w:rFonts w:eastAsia="Times New Roman" w:cs="Times New Roman"/>
                <w:b/>
                <w:bCs/>
                <w:color w:val="000000"/>
                <w:sz w:val="19"/>
                <w:szCs w:val="19"/>
                <w:highlight w:val="lightGray"/>
              </w:rPr>
            </w:pPr>
            <w:r w:rsidRPr="00825D14">
              <w:rPr>
                <w:rFonts w:eastAsia="Times New Roman" w:cs="Times New Roman"/>
                <w:b/>
                <w:bCs/>
                <w:sz w:val="19"/>
                <w:szCs w:val="19"/>
              </w:rPr>
              <w:t>(5)=(1)-(2)-(3)-(4)</w:t>
            </w:r>
          </w:p>
        </w:tc>
        <w:tc>
          <w:tcPr>
            <w:tcW w:w="851" w:type="dxa"/>
            <w:shd w:val="clear" w:color="auto" w:fill="BDD6EE" w:themeFill="accent1" w:themeFillTint="66"/>
            <w:noWrap/>
            <w:vAlign w:val="center"/>
          </w:tcPr>
          <w:p w14:paraId="3A3F7A21" w14:textId="0F99D9E9" w:rsidR="00347B1A" w:rsidRPr="00825D14" w:rsidRDefault="00347B1A" w:rsidP="00347B1A">
            <w:pPr>
              <w:spacing w:before="60" w:after="0"/>
              <w:ind w:firstLine="0"/>
              <w:jc w:val="center"/>
              <w:rPr>
                <w:rFonts w:eastAsia="Times New Roman" w:cs="Times New Roman"/>
                <w:b/>
                <w:bCs/>
                <w:color w:val="000000"/>
                <w:sz w:val="19"/>
                <w:szCs w:val="19"/>
                <w:highlight w:val="lightGray"/>
              </w:rPr>
            </w:pPr>
            <w:r w:rsidRPr="00825D14">
              <w:rPr>
                <w:rFonts w:eastAsia="Times New Roman" w:cs="Times New Roman"/>
                <w:b/>
                <w:bCs/>
                <w:sz w:val="19"/>
                <w:szCs w:val="19"/>
              </w:rPr>
              <w:t>-1,3</w:t>
            </w:r>
            <w:r w:rsidR="0034167A" w:rsidRPr="00825D14">
              <w:rPr>
                <w:rFonts w:eastAsia="Times New Roman" w:cs="Times New Roman"/>
                <w:b/>
                <w:bCs/>
                <w:sz w:val="19"/>
                <w:szCs w:val="19"/>
              </w:rPr>
              <w:t>8</w:t>
            </w:r>
          </w:p>
        </w:tc>
        <w:tc>
          <w:tcPr>
            <w:tcW w:w="850" w:type="dxa"/>
            <w:shd w:val="clear" w:color="auto" w:fill="BDD6EE" w:themeFill="accent1" w:themeFillTint="66"/>
            <w:noWrap/>
            <w:vAlign w:val="center"/>
            <w:hideMark/>
          </w:tcPr>
          <w:p w14:paraId="303D24A6" w14:textId="780F148C" w:rsidR="00347B1A" w:rsidRPr="00825D14" w:rsidRDefault="00347B1A" w:rsidP="00347B1A">
            <w:pPr>
              <w:spacing w:before="60" w:after="0"/>
              <w:ind w:firstLine="0"/>
              <w:jc w:val="center"/>
              <w:rPr>
                <w:rFonts w:eastAsia="Times New Roman" w:cs="Times New Roman"/>
                <w:b/>
                <w:bCs/>
                <w:color w:val="000000"/>
                <w:sz w:val="19"/>
                <w:szCs w:val="19"/>
                <w:highlight w:val="lightGray"/>
              </w:rPr>
            </w:pPr>
            <w:r w:rsidRPr="00825D14">
              <w:rPr>
                <w:rFonts w:eastAsia="Times New Roman" w:cs="Times New Roman"/>
                <w:b/>
                <w:bCs/>
                <w:sz w:val="19"/>
                <w:szCs w:val="19"/>
              </w:rPr>
              <w:t>-2,14</w:t>
            </w:r>
          </w:p>
        </w:tc>
        <w:tc>
          <w:tcPr>
            <w:tcW w:w="884" w:type="dxa"/>
            <w:shd w:val="clear" w:color="auto" w:fill="BDD6EE" w:themeFill="accent1" w:themeFillTint="66"/>
            <w:noWrap/>
            <w:vAlign w:val="center"/>
            <w:hideMark/>
          </w:tcPr>
          <w:p w14:paraId="34B3B3EB" w14:textId="2C64BB7B" w:rsidR="00347B1A" w:rsidRPr="00825D14" w:rsidRDefault="00347B1A" w:rsidP="00347B1A">
            <w:pPr>
              <w:spacing w:before="60" w:after="0"/>
              <w:ind w:firstLine="0"/>
              <w:jc w:val="center"/>
              <w:rPr>
                <w:rFonts w:eastAsia="Times New Roman" w:cs="Times New Roman"/>
                <w:b/>
                <w:bCs/>
                <w:color w:val="000000"/>
                <w:sz w:val="19"/>
                <w:szCs w:val="19"/>
                <w:highlight w:val="lightGray"/>
              </w:rPr>
            </w:pPr>
            <w:r w:rsidRPr="00825D14">
              <w:rPr>
                <w:rFonts w:eastAsia="Times New Roman" w:cs="Times New Roman"/>
                <w:b/>
                <w:bCs/>
                <w:sz w:val="19"/>
                <w:szCs w:val="19"/>
              </w:rPr>
              <w:t>-2,1</w:t>
            </w:r>
            <w:r w:rsidR="0034167A" w:rsidRPr="00825D14">
              <w:rPr>
                <w:rFonts w:eastAsia="Times New Roman" w:cs="Times New Roman"/>
                <w:b/>
                <w:bCs/>
                <w:sz w:val="19"/>
                <w:szCs w:val="19"/>
              </w:rPr>
              <w:t>1</w:t>
            </w:r>
          </w:p>
        </w:tc>
      </w:tr>
    </w:tbl>
    <w:p w14:paraId="61D35319" w14:textId="77777777" w:rsidR="00B248BA" w:rsidRDefault="00B248BA" w:rsidP="00CF43D4">
      <w:pPr>
        <w:widowControl w:val="0"/>
        <w:ind w:firstLine="0"/>
        <w:rPr>
          <w:rFonts w:eastAsia="Times New Roman" w:cs="Times New Roman"/>
          <w:b/>
        </w:rPr>
      </w:pPr>
    </w:p>
    <w:p w14:paraId="78E6836D" w14:textId="044EE5D2" w:rsidR="00CB177C" w:rsidRPr="00D8017D" w:rsidRDefault="00CB177C" w:rsidP="008349F0">
      <w:pPr>
        <w:widowControl w:val="0"/>
        <w:ind w:left="720" w:firstLine="0"/>
        <w:rPr>
          <w:rFonts w:eastAsia="Times New Roman" w:cs="Times New Roman"/>
          <w:b/>
        </w:rPr>
      </w:pPr>
      <w:r w:rsidRPr="00D8017D">
        <w:rPr>
          <w:rFonts w:eastAsia="Times New Roman" w:cs="Times New Roman"/>
          <w:b/>
        </w:rPr>
        <w:t>ES valsts finansēto neto primāro izdevumu nosacījums</w:t>
      </w:r>
    </w:p>
    <w:p w14:paraId="5F26EC56" w14:textId="0CEEF8F4" w:rsidR="00CF3B09" w:rsidRDefault="00CF3B09" w:rsidP="00CF3B09">
      <w:pPr>
        <w:spacing w:after="240"/>
        <w:rPr>
          <w:rFonts w:cs="Times New Roman"/>
          <w:szCs w:val="20"/>
        </w:rPr>
      </w:pPr>
      <w:r>
        <w:rPr>
          <w:rFonts w:cs="Times New Roman"/>
          <w:szCs w:val="20"/>
        </w:rPr>
        <w:t>ES</w:t>
      </w:r>
      <w:r w:rsidRPr="008270F1">
        <w:rPr>
          <w:rFonts w:cs="Times New Roman"/>
          <w:szCs w:val="20"/>
        </w:rPr>
        <w:t xml:space="preserve"> Padome </w:t>
      </w:r>
      <w:r>
        <w:rPr>
          <w:rFonts w:cs="Times New Roman"/>
          <w:szCs w:val="20"/>
        </w:rPr>
        <w:t xml:space="preserve">2025. gada 21. janvārī Latvijai </w:t>
      </w:r>
      <w:r w:rsidRPr="008270F1">
        <w:rPr>
          <w:rFonts w:cs="Times New Roman"/>
          <w:szCs w:val="20"/>
        </w:rPr>
        <w:t xml:space="preserve">apstiprināja šādu </w:t>
      </w:r>
      <w:r>
        <w:rPr>
          <w:rFonts w:cs="Times New Roman"/>
          <w:szCs w:val="20"/>
        </w:rPr>
        <w:t>NNFPI</w:t>
      </w:r>
      <w:r w:rsidRPr="008270F1">
        <w:rPr>
          <w:rFonts w:cs="Times New Roman"/>
          <w:szCs w:val="20"/>
        </w:rPr>
        <w:t xml:space="preserve"> maksimālo pieaugumu</w:t>
      </w:r>
      <w:r>
        <w:rPr>
          <w:rFonts w:cs="Times New Roman"/>
          <w:szCs w:val="20"/>
        </w:rPr>
        <w:t xml:space="preserve">, </w:t>
      </w:r>
      <w:r>
        <w:rPr>
          <w:rFonts w:eastAsia="Times New Roman"/>
        </w:rPr>
        <w:t>kas</w:t>
      </w:r>
      <w:r w:rsidRPr="00881843">
        <w:rPr>
          <w:rFonts w:eastAsia="Times New Roman"/>
        </w:rPr>
        <w:t xml:space="preserve"> ir izteikts gan ikgadējā pieauguma rādītājā, gan kumulatīvā pieauguma rādītājā, rēķinot pret 2023. gada NNFPI līmeni</w:t>
      </w:r>
      <w:r w:rsidR="00F66F8E">
        <w:rPr>
          <w:rFonts w:eastAsia="Times New Roman"/>
        </w:rPr>
        <w:t>.</w:t>
      </w:r>
    </w:p>
    <w:p w14:paraId="73457EC6" w14:textId="0344FEDA" w:rsidR="00CF3B09" w:rsidRPr="009427E1" w:rsidRDefault="00CF3B09" w:rsidP="00CF3B09">
      <w:pPr>
        <w:ind w:firstLine="0"/>
        <w:jc w:val="right"/>
        <w:rPr>
          <w:rFonts w:cs="Times New Roman"/>
          <w:b/>
          <w:bCs/>
          <w:i/>
          <w:iCs/>
          <w:szCs w:val="20"/>
        </w:rPr>
      </w:pPr>
      <w:bookmarkStart w:id="44" w:name="_Hlk194317977"/>
      <w:r w:rsidRPr="006F6679">
        <w:rPr>
          <w:rFonts w:cs="Times New Roman"/>
          <w:b/>
          <w:bCs/>
          <w:i/>
          <w:iCs/>
          <w:szCs w:val="20"/>
        </w:rPr>
        <w:t>2.4. tabula</w:t>
      </w:r>
      <w:r w:rsidRPr="005B6D25">
        <w:rPr>
          <w:rFonts w:cs="Times New Roman"/>
          <w:b/>
          <w:bCs/>
          <w:i/>
          <w:iCs/>
          <w:szCs w:val="20"/>
        </w:rPr>
        <w:t>.</w:t>
      </w:r>
      <w:r w:rsidRPr="009427E1">
        <w:rPr>
          <w:rFonts w:cs="Times New Roman"/>
          <w:b/>
          <w:bCs/>
          <w:i/>
          <w:iCs/>
          <w:szCs w:val="20"/>
        </w:rPr>
        <w:t xml:space="preserve"> ES Padomes apstiprinātais NNFPI maksimālais pieaugums</w:t>
      </w:r>
    </w:p>
    <w:tbl>
      <w:tblPr>
        <w:tblStyle w:val="TableGrid0"/>
        <w:tblW w:w="7941" w:type="dxa"/>
        <w:jc w:val="center"/>
        <w:tblInd w:w="0" w:type="dxa"/>
        <w:tblCellMar>
          <w:top w:w="134" w:type="dxa"/>
          <w:left w:w="115" w:type="dxa"/>
          <w:right w:w="53" w:type="dxa"/>
        </w:tblCellMar>
        <w:tblLook w:val="04A0" w:firstRow="1" w:lastRow="0" w:firstColumn="1" w:lastColumn="0" w:noHBand="0" w:noVBand="1"/>
      </w:tblPr>
      <w:tblGrid>
        <w:gridCol w:w="1690"/>
        <w:gridCol w:w="1688"/>
        <w:gridCol w:w="1099"/>
        <w:gridCol w:w="1222"/>
        <w:gridCol w:w="1061"/>
        <w:gridCol w:w="1181"/>
      </w:tblGrid>
      <w:tr w:rsidR="00CF3B09" w:rsidRPr="00D14BB4" w14:paraId="1B50A5C7" w14:textId="77777777" w:rsidTr="00451B2D">
        <w:trPr>
          <w:trHeight w:val="227"/>
          <w:jc w:val="center"/>
        </w:trPr>
        <w:tc>
          <w:tcPr>
            <w:tcW w:w="3377" w:type="dxa"/>
            <w:gridSpan w:val="2"/>
            <w:tcBorders>
              <w:top w:val="single" w:sz="4" w:space="0" w:color="auto"/>
              <w:left w:val="single" w:sz="4" w:space="0" w:color="auto"/>
              <w:bottom w:val="single" w:sz="4" w:space="0" w:color="000000"/>
              <w:right w:val="single" w:sz="4" w:space="0" w:color="000000"/>
            </w:tcBorders>
            <w:shd w:val="clear" w:color="auto" w:fill="9CC2E5" w:themeFill="accent1" w:themeFillTint="99"/>
            <w:vAlign w:val="center"/>
          </w:tcPr>
          <w:bookmarkEnd w:id="44"/>
          <w:p w14:paraId="4C1D6279" w14:textId="77777777" w:rsidR="00CF3B09" w:rsidRPr="00B521D2" w:rsidRDefault="00CF3B09" w:rsidP="00451B2D">
            <w:pPr>
              <w:spacing w:after="0" w:line="259" w:lineRule="auto"/>
              <w:ind w:right="65" w:firstLine="0"/>
              <w:jc w:val="center"/>
              <w:rPr>
                <w:b/>
                <w:bCs/>
                <w:sz w:val="20"/>
                <w:szCs w:val="20"/>
              </w:rPr>
            </w:pPr>
            <w:r w:rsidRPr="00B521D2">
              <w:rPr>
                <w:b/>
                <w:bCs/>
                <w:sz w:val="20"/>
                <w:szCs w:val="20"/>
              </w:rPr>
              <w:t>gads</w:t>
            </w:r>
          </w:p>
        </w:tc>
        <w:tc>
          <w:tcPr>
            <w:tcW w:w="1099" w:type="dxa"/>
            <w:tcBorders>
              <w:top w:val="single" w:sz="4" w:space="0" w:color="auto"/>
              <w:left w:val="single" w:sz="4" w:space="0" w:color="000000"/>
              <w:bottom w:val="single" w:sz="4" w:space="0" w:color="000000"/>
              <w:right w:val="single" w:sz="4" w:space="0" w:color="000000"/>
            </w:tcBorders>
            <w:shd w:val="clear" w:color="auto" w:fill="9CC2E5" w:themeFill="accent1" w:themeFillTint="99"/>
            <w:vAlign w:val="center"/>
          </w:tcPr>
          <w:p w14:paraId="1E578F34" w14:textId="77777777" w:rsidR="00CF3B09" w:rsidRPr="00B521D2" w:rsidRDefault="00CF3B09" w:rsidP="00451B2D">
            <w:pPr>
              <w:spacing w:after="0" w:line="259" w:lineRule="auto"/>
              <w:ind w:right="62" w:firstLine="0"/>
              <w:jc w:val="center"/>
              <w:rPr>
                <w:b/>
                <w:bCs/>
                <w:sz w:val="20"/>
                <w:szCs w:val="20"/>
              </w:rPr>
            </w:pPr>
            <w:r w:rsidRPr="00B521D2">
              <w:rPr>
                <w:b/>
                <w:bCs/>
                <w:sz w:val="20"/>
                <w:szCs w:val="20"/>
              </w:rPr>
              <w:t>2025</w:t>
            </w:r>
          </w:p>
        </w:tc>
        <w:tc>
          <w:tcPr>
            <w:tcW w:w="1222" w:type="dxa"/>
            <w:tcBorders>
              <w:top w:val="single" w:sz="4" w:space="0" w:color="auto"/>
              <w:left w:val="single" w:sz="4" w:space="0" w:color="000000"/>
              <w:bottom w:val="single" w:sz="4" w:space="0" w:color="000000"/>
              <w:right w:val="single" w:sz="4" w:space="0" w:color="000000"/>
            </w:tcBorders>
            <w:shd w:val="clear" w:color="auto" w:fill="9CC2E5" w:themeFill="accent1" w:themeFillTint="99"/>
            <w:vAlign w:val="center"/>
          </w:tcPr>
          <w:p w14:paraId="201D902A" w14:textId="77777777" w:rsidR="00CF3B09" w:rsidRPr="00B521D2" w:rsidRDefault="00CF3B09" w:rsidP="00451B2D">
            <w:pPr>
              <w:spacing w:after="0" w:line="259" w:lineRule="auto"/>
              <w:ind w:right="64" w:firstLine="0"/>
              <w:jc w:val="center"/>
              <w:rPr>
                <w:b/>
                <w:bCs/>
                <w:sz w:val="20"/>
                <w:szCs w:val="20"/>
              </w:rPr>
            </w:pPr>
            <w:r w:rsidRPr="00B521D2">
              <w:rPr>
                <w:b/>
                <w:bCs/>
                <w:sz w:val="20"/>
                <w:szCs w:val="20"/>
              </w:rPr>
              <w:t>2026</w:t>
            </w:r>
          </w:p>
        </w:tc>
        <w:tc>
          <w:tcPr>
            <w:tcW w:w="1061" w:type="dxa"/>
            <w:tcBorders>
              <w:top w:val="single" w:sz="4" w:space="0" w:color="auto"/>
              <w:left w:val="single" w:sz="4" w:space="0" w:color="000000"/>
              <w:bottom w:val="single" w:sz="4" w:space="0" w:color="000000"/>
              <w:right w:val="single" w:sz="4" w:space="0" w:color="000000"/>
            </w:tcBorders>
            <w:shd w:val="clear" w:color="auto" w:fill="9CC2E5" w:themeFill="accent1" w:themeFillTint="99"/>
            <w:vAlign w:val="center"/>
          </w:tcPr>
          <w:p w14:paraId="29305FAB" w14:textId="77777777" w:rsidR="00CF3B09" w:rsidRPr="00B521D2" w:rsidRDefault="00CF3B09" w:rsidP="00451B2D">
            <w:pPr>
              <w:spacing w:after="0" w:line="259" w:lineRule="auto"/>
              <w:ind w:right="62" w:firstLine="0"/>
              <w:jc w:val="center"/>
              <w:rPr>
                <w:b/>
                <w:bCs/>
                <w:sz w:val="20"/>
                <w:szCs w:val="20"/>
              </w:rPr>
            </w:pPr>
            <w:r w:rsidRPr="00B521D2">
              <w:rPr>
                <w:b/>
                <w:bCs/>
                <w:sz w:val="20"/>
                <w:szCs w:val="20"/>
              </w:rPr>
              <w:t>2027</w:t>
            </w:r>
          </w:p>
        </w:tc>
        <w:tc>
          <w:tcPr>
            <w:tcW w:w="1181" w:type="dxa"/>
            <w:tcBorders>
              <w:top w:val="single" w:sz="4" w:space="0" w:color="auto"/>
              <w:left w:val="single" w:sz="4" w:space="0" w:color="000000"/>
              <w:bottom w:val="single" w:sz="4" w:space="0" w:color="000000"/>
              <w:right w:val="single" w:sz="4" w:space="0" w:color="auto"/>
            </w:tcBorders>
            <w:shd w:val="clear" w:color="auto" w:fill="9CC2E5" w:themeFill="accent1" w:themeFillTint="99"/>
            <w:vAlign w:val="center"/>
          </w:tcPr>
          <w:p w14:paraId="3FD2F6BE" w14:textId="77777777" w:rsidR="00CF3B09" w:rsidRPr="00B521D2" w:rsidRDefault="00CF3B09" w:rsidP="00451B2D">
            <w:pPr>
              <w:spacing w:after="0" w:line="259" w:lineRule="auto"/>
              <w:ind w:right="63" w:firstLine="0"/>
              <w:jc w:val="center"/>
              <w:rPr>
                <w:b/>
                <w:bCs/>
                <w:sz w:val="20"/>
                <w:szCs w:val="20"/>
              </w:rPr>
            </w:pPr>
            <w:r w:rsidRPr="00B521D2">
              <w:rPr>
                <w:b/>
                <w:bCs/>
                <w:sz w:val="20"/>
                <w:szCs w:val="20"/>
              </w:rPr>
              <w:t>2028</w:t>
            </w:r>
          </w:p>
        </w:tc>
      </w:tr>
      <w:tr w:rsidR="00CF3B09" w:rsidRPr="00D14BB4" w14:paraId="7333C148" w14:textId="77777777" w:rsidTr="00451B2D">
        <w:trPr>
          <w:trHeight w:val="211"/>
          <w:jc w:val="center"/>
        </w:trPr>
        <w:tc>
          <w:tcPr>
            <w:tcW w:w="1690" w:type="dxa"/>
            <w:vMerge w:val="restart"/>
            <w:tcBorders>
              <w:top w:val="single" w:sz="4" w:space="0" w:color="000000"/>
              <w:left w:val="single" w:sz="4" w:space="0" w:color="auto"/>
              <w:bottom w:val="single" w:sz="6" w:space="0" w:color="000000"/>
              <w:right w:val="single" w:sz="4" w:space="0" w:color="000000"/>
            </w:tcBorders>
            <w:vAlign w:val="center"/>
          </w:tcPr>
          <w:p w14:paraId="7FF47318" w14:textId="77777777" w:rsidR="00CF3B09" w:rsidRPr="00B521D2" w:rsidRDefault="00CF3B09" w:rsidP="00451B2D">
            <w:pPr>
              <w:spacing w:after="96" w:line="259" w:lineRule="auto"/>
              <w:ind w:right="62" w:firstLine="0"/>
              <w:jc w:val="center"/>
              <w:rPr>
                <w:sz w:val="20"/>
                <w:szCs w:val="20"/>
              </w:rPr>
            </w:pPr>
            <w:r w:rsidRPr="00B521D2">
              <w:rPr>
                <w:sz w:val="20"/>
                <w:szCs w:val="20"/>
              </w:rPr>
              <w:t>Pieauguma likme</w:t>
            </w:r>
            <w:r>
              <w:rPr>
                <w:sz w:val="20"/>
                <w:szCs w:val="20"/>
              </w:rPr>
              <w:t xml:space="preserve">, </w:t>
            </w:r>
            <w:r w:rsidRPr="00B521D2">
              <w:rPr>
                <w:sz w:val="20"/>
                <w:szCs w:val="20"/>
              </w:rPr>
              <w:t>%</w:t>
            </w:r>
          </w:p>
        </w:tc>
        <w:tc>
          <w:tcPr>
            <w:tcW w:w="1688" w:type="dxa"/>
            <w:tcBorders>
              <w:top w:val="single" w:sz="4" w:space="0" w:color="000000"/>
              <w:left w:val="single" w:sz="4" w:space="0" w:color="000000"/>
              <w:bottom w:val="single" w:sz="4" w:space="0" w:color="000000"/>
              <w:right w:val="single" w:sz="4" w:space="0" w:color="000000"/>
            </w:tcBorders>
            <w:vAlign w:val="center"/>
          </w:tcPr>
          <w:p w14:paraId="5FF05B93" w14:textId="77777777" w:rsidR="00CF3B09" w:rsidRPr="00B521D2" w:rsidRDefault="00CF3B09" w:rsidP="00451B2D">
            <w:pPr>
              <w:spacing w:after="0" w:line="259" w:lineRule="auto"/>
              <w:ind w:right="60" w:firstLine="0"/>
              <w:jc w:val="center"/>
              <w:rPr>
                <w:sz w:val="20"/>
                <w:szCs w:val="20"/>
              </w:rPr>
            </w:pPr>
            <w:r w:rsidRPr="00B521D2">
              <w:rPr>
                <w:sz w:val="20"/>
                <w:szCs w:val="20"/>
              </w:rPr>
              <w:t>gadā</w:t>
            </w:r>
          </w:p>
        </w:tc>
        <w:tc>
          <w:tcPr>
            <w:tcW w:w="1099" w:type="dxa"/>
            <w:tcBorders>
              <w:top w:val="single" w:sz="4" w:space="0" w:color="000000"/>
              <w:left w:val="single" w:sz="4" w:space="0" w:color="000000"/>
              <w:bottom w:val="single" w:sz="4" w:space="0" w:color="000000"/>
              <w:right w:val="single" w:sz="4" w:space="0" w:color="000000"/>
            </w:tcBorders>
            <w:vAlign w:val="center"/>
          </w:tcPr>
          <w:p w14:paraId="22F5F9FC" w14:textId="77777777" w:rsidR="00CF3B09" w:rsidRPr="00B521D2" w:rsidRDefault="00CF3B09" w:rsidP="00451B2D">
            <w:pPr>
              <w:spacing w:after="0" w:line="259" w:lineRule="auto"/>
              <w:ind w:right="60" w:firstLine="0"/>
              <w:jc w:val="center"/>
              <w:rPr>
                <w:sz w:val="20"/>
                <w:szCs w:val="20"/>
              </w:rPr>
            </w:pPr>
            <w:r w:rsidRPr="00B521D2">
              <w:rPr>
                <w:sz w:val="20"/>
                <w:szCs w:val="20"/>
              </w:rPr>
              <w:t>5,9</w:t>
            </w:r>
          </w:p>
        </w:tc>
        <w:tc>
          <w:tcPr>
            <w:tcW w:w="1222" w:type="dxa"/>
            <w:tcBorders>
              <w:top w:val="single" w:sz="4" w:space="0" w:color="000000"/>
              <w:left w:val="single" w:sz="4" w:space="0" w:color="000000"/>
              <w:bottom w:val="single" w:sz="4" w:space="0" w:color="000000"/>
              <w:right w:val="single" w:sz="4" w:space="0" w:color="000000"/>
            </w:tcBorders>
            <w:vAlign w:val="center"/>
          </w:tcPr>
          <w:p w14:paraId="5183FB62" w14:textId="77777777" w:rsidR="00CF3B09" w:rsidRPr="00B521D2" w:rsidRDefault="00CF3B09" w:rsidP="00451B2D">
            <w:pPr>
              <w:spacing w:after="0" w:line="259" w:lineRule="auto"/>
              <w:ind w:right="62" w:firstLine="0"/>
              <w:jc w:val="center"/>
              <w:rPr>
                <w:sz w:val="20"/>
                <w:szCs w:val="20"/>
              </w:rPr>
            </w:pPr>
            <w:r w:rsidRPr="00B521D2">
              <w:rPr>
                <w:sz w:val="20"/>
                <w:szCs w:val="20"/>
              </w:rPr>
              <w:t>3,6</w:t>
            </w:r>
          </w:p>
        </w:tc>
        <w:tc>
          <w:tcPr>
            <w:tcW w:w="1061" w:type="dxa"/>
            <w:tcBorders>
              <w:top w:val="single" w:sz="4" w:space="0" w:color="000000"/>
              <w:left w:val="single" w:sz="4" w:space="0" w:color="000000"/>
              <w:bottom w:val="single" w:sz="4" w:space="0" w:color="000000"/>
              <w:right w:val="single" w:sz="4" w:space="0" w:color="000000"/>
            </w:tcBorders>
            <w:vAlign w:val="center"/>
          </w:tcPr>
          <w:p w14:paraId="4F4FB957" w14:textId="77777777" w:rsidR="00CF3B09" w:rsidRPr="00B521D2" w:rsidRDefault="00CF3B09" w:rsidP="00451B2D">
            <w:pPr>
              <w:spacing w:after="0" w:line="259" w:lineRule="auto"/>
              <w:ind w:right="65" w:firstLine="0"/>
              <w:jc w:val="center"/>
              <w:rPr>
                <w:sz w:val="20"/>
                <w:szCs w:val="20"/>
              </w:rPr>
            </w:pPr>
            <w:r w:rsidRPr="00B521D2">
              <w:rPr>
                <w:sz w:val="20"/>
                <w:szCs w:val="20"/>
              </w:rPr>
              <w:t>3,4</w:t>
            </w:r>
          </w:p>
        </w:tc>
        <w:tc>
          <w:tcPr>
            <w:tcW w:w="1181" w:type="dxa"/>
            <w:tcBorders>
              <w:top w:val="single" w:sz="4" w:space="0" w:color="000000"/>
              <w:left w:val="single" w:sz="4" w:space="0" w:color="000000"/>
              <w:bottom w:val="single" w:sz="4" w:space="0" w:color="000000"/>
              <w:right w:val="single" w:sz="4" w:space="0" w:color="auto"/>
            </w:tcBorders>
            <w:vAlign w:val="center"/>
          </w:tcPr>
          <w:p w14:paraId="4086172C" w14:textId="77777777" w:rsidR="00CF3B09" w:rsidRPr="00B521D2" w:rsidRDefault="00CF3B09" w:rsidP="00451B2D">
            <w:pPr>
              <w:spacing w:after="0" w:line="259" w:lineRule="auto"/>
              <w:ind w:right="60" w:firstLine="0"/>
              <w:jc w:val="center"/>
              <w:rPr>
                <w:sz w:val="20"/>
                <w:szCs w:val="20"/>
              </w:rPr>
            </w:pPr>
            <w:r w:rsidRPr="00B521D2">
              <w:rPr>
                <w:sz w:val="20"/>
                <w:szCs w:val="20"/>
              </w:rPr>
              <w:t>3,3</w:t>
            </w:r>
          </w:p>
        </w:tc>
      </w:tr>
      <w:tr w:rsidR="00CF3B09" w:rsidRPr="00D14BB4" w14:paraId="5677118E" w14:textId="77777777" w:rsidTr="00451B2D">
        <w:trPr>
          <w:trHeight w:val="227"/>
          <w:jc w:val="center"/>
        </w:trPr>
        <w:tc>
          <w:tcPr>
            <w:tcW w:w="0" w:type="auto"/>
            <w:vMerge/>
            <w:tcBorders>
              <w:top w:val="nil"/>
              <w:left w:val="single" w:sz="4" w:space="0" w:color="auto"/>
              <w:bottom w:val="single" w:sz="4" w:space="0" w:color="auto"/>
              <w:right w:val="single" w:sz="4" w:space="0" w:color="000000"/>
            </w:tcBorders>
            <w:vAlign w:val="center"/>
          </w:tcPr>
          <w:p w14:paraId="238AE03E" w14:textId="77777777" w:rsidR="00CF3B09" w:rsidRPr="00B521D2" w:rsidRDefault="00CF3B09" w:rsidP="00451B2D">
            <w:pPr>
              <w:spacing w:after="160" w:line="259" w:lineRule="auto"/>
              <w:ind w:firstLine="0"/>
              <w:jc w:val="center"/>
              <w:rPr>
                <w:sz w:val="20"/>
                <w:szCs w:val="20"/>
              </w:rPr>
            </w:pPr>
          </w:p>
        </w:tc>
        <w:tc>
          <w:tcPr>
            <w:tcW w:w="1688" w:type="dxa"/>
            <w:tcBorders>
              <w:top w:val="single" w:sz="4" w:space="0" w:color="000000"/>
              <w:left w:val="single" w:sz="4" w:space="0" w:color="000000"/>
              <w:bottom w:val="single" w:sz="4" w:space="0" w:color="auto"/>
              <w:right w:val="single" w:sz="4" w:space="0" w:color="000000"/>
            </w:tcBorders>
            <w:vAlign w:val="center"/>
          </w:tcPr>
          <w:p w14:paraId="21C97262" w14:textId="77777777" w:rsidR="00CF3B09" w:rsidRPr="00B521D2" w:rsidRDefault="00CF3B09" w:rsidP="00451B2D">
            <w:pPr>
              <w:spacing w:after="0" w:line="259" w:lineRule="auto"/>
              <w:ind w:firstLine="0"/>
              <w:jc w:val="center"/>
              <w:rPr>
                <w:sz w:val="20"/>
                <w:szCs w:val="20"/>
              </w:rPr>
            </w:pPr>
            <w:r w:rsidRPr="00B521D2">
              <w:rPr>
                <w:sz w:val="20"/>
                <w:szCs w:val="20"/>
              </w:rPr>
              <w:t>kumulatīvi (*)</w:t>
            </w:r>
          </w:p>
        </w:tc>
        <w:tc>
          <w:tcPr>
            <w:tcW w:w="1099" w:type="dxa"/>
            <w:tcBorders>
              <w:top w:val="single" w:sz="4" w:space="0" w:color="000000"/>
              <w:left w:val="single" w:sz="4" w:space="0" w:color="000000"/>
              <w:bottom w:val="single" w:sz="4" w:space="0" w:color="auto"/>
              <w:right w:val="single" w:sz="4" w:space="0" w:color="000000"/>
            </w:tcBorders>
            <w:vAlign w:val="center"/>
          </w:tcPr>
          <w:p w14:paraId="4835D47F" w14:textId="77777777" w:rsidR="00CF3B09" w:rsidRPr="00B521D2" w:rsidRDefault="00CF3B09" w:rsidP="00451B2D">
            <w:pPr>
              <w:spacing w:after="0" w:line="259" w:lineRule="auto"/>
              <w:ind w:right="60" w:firstLine="0"/>
              <w:jc w:val="center"/>
              <w:rPr>
                <w:sz w:val="20"/>
                <w:szCs w:val="20"/>
              </w:rPr>
            </w:pPr>
            <w:r w:rsidRPr="00B521D2">
              <w:rPr>
                <w:sz w:val="20"/>
                <w:szCs w:val="20"/>
              </w:rPr>
              <w:t>15,5</w:t>
            </w:r>
          </w:p>
        </w:tc>
        <w:tc>
          <w:tcPr>
            <w:tcW w:w="1222" w:type="dxa"/>
            <w:tcBorders>
              <w:top w:val="single" w:sz="4" w:space="0" w:color="000000"/>
              <w:left w:val="single" w:sz="4" w:space="0" w:color="000000"/>
              <w:bottom w:val="single" w:sz="4" w:space="0" w:color="auto"/>
              <w:right w:val="single" w:sz="4" w:space="0" w:color="000000"/>
            </w:tcBorders>
            <w:vAlign w:val="center"/>
          </w:tcPr>
          <w:p w14:paraId="5425DD22" w14:textId="77777777" w:rsidR="00CF3B09" w:rsidRPr="00B521D2" w:rsidRDefault="00CF3B09" w:rsidP="00451B2D">
            <w:pPr>
              <w:spacing w:after="0" w:line="259" w:lineRule="auto"/>
              <w:ind w:right="62" w:firstLine="0"/>
              <w:jc w:val="center"/>
              <w:rPr>
                <w:sz w:val="20"/>
                <w:szCs w:val="20"/>
              </w:rPr>
            </w:pPr>
            <w:r w:rsidRPr="00B521D2">
              <w:rPr>
                <w:sz w:val="20"/>
                <w:szCs w:val="20"/>
              </w:rPr>
              <w:t>19,7</w:t>
            </w:r>
          </w:p>
        </w:tc>
        <w:tc>
          <w:tcPr>
            <w:tcW w:w="1061" w:type="dxa"/>
            <w:tcBorders>
              <w:top w:val="single" w:sz="4" w:space="0" w:color="000000"/>
              <w:left w:val="single" w:sz="4" w:space="0" w:color="000000"/>
              <w:bottom w:val="single" w:sz="4" w:space="0" w:color="auto"/>
              <w:right w:val="single" w:sz="4" w:space="0" w:color="000000"/>
            </w:tcBorders>
            <w:vAlign w:val="center"/>
          </w:tcPr>
          <w:p w14:paraId="4BA148C1" w14:textId="77777777" w:rsidR="00CF3B09" w:rsidRPr="00B521D2" w:rsidRDefault="00CF3B09" w:rsidP="00451B2D">
            <w:pPr>
              <w:spacing w:after="0" w:line="259" w:lineRule="auto"/>
              <w:ind w:right="65" w:firstLine="0"/>
              <w:jc w:val="center"/>
              <w:rPr>
                <w:sz w:val="20"/>
                <w:szCs w:val="20"/>
              </w:rPr>
            </w:pPr>
            <w:r w:rsidRPr="00B521D2">
              <w:rPr>
                <w:sz w:val="20"/>
                <w:szCs w:val="20"/>
              </w:rPr>
              <w:t>23,8</w:t>
            </w:r>
          </w:p>
        </w:tc>
        <w:tc>
          <w:tcPr>
            <w:tcW w:w="1181" w:type="dxa"/>
            <w:tcBorders>
              <w:top w:val="single" w:sz="4" w:space="0" w:color="000000"/>
              <w:left w:val="single" w:sz="4" w:space="0" w:color="000000"/>
              <w:bottom w:val="single" w:sz="4" w:space="0" w:color="auto"/>
              <w:right w:val="single" w:sz="4" w:space="0" w:color="auto"/>
            </w:tcBorders>
            <w:vAlign w:val="center"/>
          </w:tcPr>
          <w:p w14:paraId="0570E112" w14:textId="77777777" w:rsidR="00CF3B09" w:rsidRPr="00B521D2" w:rsidRDefault="00CF3B09" w:rsidP="00451B2D">
            <w:pPr>
              <w:spacing w:after="0" w:line="259" w:lineRule="auto"/>
              <w:ind w:right="60" w:firstLine="0"/>
              <w:jc w:val="center"/>
              <w:rPr>
                <w:sz w:val="20"/>
                <w:szCs w:val="20"/>
              </w:rPr>
            </w:pPr>
            <w:r w:rsidRPr="00B521D2">
              <w:rPr>
                <w:sz w:val="20"/>
                <w:szCs w:val="20"/>
              </w:rPr>
              <w:t>27,9</w:t>
            </w:r>
          </w:p>
        </w:tc>
      </w:tr>
    </w:tbl>
    <w:p w14:paraId="108C0F77" w14:textId="7815C6BF" w:rsidR="00CF3B09" w:rsidRDefault="00CF3B09" w:rsidP="00274414">
      <w:pPr>
        <w:spacing w:after="0" w:line="259" w:lineRule="auto"/>
        <w:ind w:right="32" w:firstLine="0"/>
        <w:rPr>
          <w:sz w:val="20"/>
        </w:rPr>
      </w:pPr>
      <w:r>
        <w:rPr>
          <w:sz w:val="20"/>
        </w:rPr>
        <w:t xml:space="preserve">(*) </w:t>
      </w:r>
      <w:r w:rsidRPr="008270F1">
        <w:rPr>
          <w:sz w:val="20"/>
        </w:rPr>
        <w:t xml:space="preserve">Kumulatīvie pieauguma tempi ir aprēķināti, ņemot vērā bāzes </w:t>
      </w:r>
      <w:r>
        <w:rPr>
          <w:sz w:val="20"/>
        </w:rPr>
        <w:t>2023</w:t>
      </w:r>
      <w:r w:rsidRPr="008270F1">
        <w:rPr>
          <w:sz w:val="20"/>
        </w:rPr>
        <w:t>.</w:t>
      </w:r>
      <w:r>
        <w:rPr>
          <w:sz w:val="20"/>
        </w:rPr>
        <w:t xml:space="preserve"> gadu.</w:t>
      </w:r>
    </w:p>
    <w:p w14:paraId="3C4555A3" w14:textId="77777777" w:rsidR="00274414" w:rsidRPr="00274414" w:rsidRDefault="00274414" w:rsidP="00274414">
      <w:pPr>
        <w:spacing w:after="0" w:line="259" w:lineRule="auto"/>
        <w:ind w:right="32" w:firstLine="0"/>
        <w:rPr>
          <w:sz w:val="20"/>
        </w:rPr>
      </w:pPr>
    </w:p>
    <w:p w14:paraId="6ED3C647" w14:textId="77777777" w:rsidR="00B65051" w:rsidRDefault="00347B1A" w:rsidP="00B65051">
      <w:pPr>
        <w:rPr>
          <w:rFonts w:eastAsia="Times New Roman"/>
          <w:bCs/>
        </w:rPr>
      </w:pPr>
      <w:r w:rsidRPr="00D8017D">
        <w:rPr>
          <w:rFonts w:eastAsia="Times New Roman"/>
          <w:bCs/>
        </w:rPr>
        <w:t xml:space="preserve">Jāatzīmē, ka ES Padomes apstiprinātais NNFPI pieaugums ir izteikts gan ikgadējā pieauguma rādītājā, gan kumulatīvā pieauguma rādītājā, rēķinot pret 2023. gada NNFPI līmeni un koriģējot to ar DRM. ES izdevumu pieauguma nosacījums tiek noteikts, izmantojot kumulatīvā pieauguma rādītāju, jo tas nosaka adekvātāku politiku gadījumos, kad iepriekšējos gados izdevumi ir zemāki, kā bija prognozēts Fiskāli strukturālajā plānā. Rīkojoties savādāk, gadā t+1 būtu jāveic papildus izdevumu samazinājums tikai tāpēc, ka gadā t valsts ir veikusi ietaupījumu izdevumos.   </w:t>
      </w:r>
    </w:p>
    <w:p w14:paraId="201F5C52" w14:textId="42061B29" w:rsidR="00B65051" w:rsidRPr="00D8017D" w:rsidRDefault="00B65051" w:rsidP="00B65051">
      <w:pPr>
        <w:rPr>
          <w:rFonts w:eastAsia="Times New Roman"/>
          <w:bCs/>
        </w:rPr>
      </w:pPr>
      <w:r>
        <w:rPr>
          <w:rFonts w:eastAsia="Times New Roman"/>
        </w:rPr>
        <w:t>D</w:t>
      </w:r>
      <w:r w:rsidRPr="00D8017D">
        <w:rPr>
          <w:rFonts w:eastAsia="Times New Roman"/>
        </w:rPr>
        <w:t>iskrecionāraj</w:t>
      </w:r>
      <w:r>
        <w:rPr>
          <w:rFonts w:eastAsia="Times New Roman"/>
        </w:rPr>
        <w:t>e</w:t>
      </w:r>
      <w:r w:rsidRPr="00D8017D">
        <w:rPr>
          <w:rFonts w:eastAsia="Times New Roman"/>
        </w:rPr>
        <w:t xml:space="preserve"> ieņēmumu pasākum</w:t>
      </w:r>
      <w:r>
        <w:rPr>
          <w:rFonts w:eastAsia="Times New Roman"/>
        </w:rPr>
        <w:t>i</w:t>
      </w:r>
      <w:r w:rsidRPr="00D8017D">
        <w:rPr>
          <w:rFonts w:eastAsia="Times New Roman"/>
        </w:rPr>
        <w:t xml:space="preserve"> (turpmāk – DRM)</w:t>
      </w:r>
      <w:r>
        <w:rPr>
          <w:rFonts w:eastAsia="Times New Roman"/>
        </w:rPr>
        <w:t xml:space="preserve"> ir precizēti. Tas </w:t>
      </w:r>
      <w:r w:rsidRPr="00D8017D">
        <w:rPr>
          <w:rFonts w:eastAsia="Times New Roman"/>
        </w:rPr>
        <w:t>ir saistīts ar to, ka EK</w:t>
      </w:r>
      <w:r w:rsidRPr="00D8017D">
        <w:rPr>
          <w:rStyle w:val="FootnoteReference"/>
          <w:rFonts w:eastAsia="Times New Roman"/>
        </w:rPr>
        <w:footnoteReference w:id="25"/>
      </w:r>
      <w:r w:rsidRPr="00D8017D">
        <w:rPr>
          <w:rFonts w:eastAsia="Times New Roman"/>
          <w:bCs/>
        </w:rPr>
        <w:t xml:space="preserve"> noteiktus ieņēmumu pasākumus neierindo starp diskrecionārajiem fiskālajiem pasākumiem, piemēram, papildu dividenžu maksājumus no valsts kapitālsabiedrībām un sekundāru ietekmi uz nodokļu ieņēmumiem. Sekundārā ietekme uz ieņēmumiem nav diskrecionārs fiskālais pasākums, tomēr EK prognozē tā tiek ņemta vērā kā makroekonomiska ietekme. EK prognozē tiek ņemti vērā arī papildu dividenžu maksājumi no valsts kapitālsabiedrībām, tomēr tos neuzskata par diskrecionāriem fiskālajiem pasākumiem, jo tie neietver izmaiņas “parastajā” dividenžu politikā, piemēram, dividenžu izmaksas rādītāja korekcijas. </w:t>
      </w:r>
    </w:p>
    <w:p w14:paraId="1A019D7F" w14:textId="2905BADF" w:rsidR="00347B1A" w:rsidRDefault="00D50DB0" w:rsidP="00347B1A">
      <w:pPr>
        <w:widowControl w:val="0"/>
        <w:spacing w:before="240"/>
        <w:jc w:val="right"/>
        <w:rPr>
          <w:rFonts w:eastAsia="Times New Roman" w:cs="Times New Roman"/>
          <w:b/>
          <w:i/>
          <w:iCs/>
          <w:szCs w:val="24"/>
        </w:rPr>
      </w:pPr>
      <w:r w:rsidRPr="00D8017D">
        <w:rPr>
          <w:rFonts w:eastAsia="Times New Roman" w:cs="Times New Roman"/>
          <w:b/>
          <w:i/>
          <w:iCs/>
          <w:szCs w:val="24"/>
        </w:rPr>
        <w:t>2.</w:t>
      </w:r>
      <w:r w:rsidR="00B248BA">
        <w:rPr>
          <w:rFonts w:eastAsia="Times New Roman" w:cs="Times New Roman"/>
          <w:b/>
          <w:i/>
          <w:iCs/>
          <w:szCs w:val="24"/>
        </w:rPr>
        <w:t>5</w:t>
      </w:r>
      <w:r w:rsidRPr="00D8017D">
        <w:rPr>
          <w:rFonts w:eastAsia="Times New Roman" w:cs="Times New Roman"/>
          <w:b/>
          <w:i/>
          <w:iCs/>
          <w:szCs w:val="24"/>
        </w:rPr>
        <w:t xml:space="preserve">. </w:t>
      </w:r>
      <w:r w:rsidR="00CB177C" w:rsidRPr="00D8017D">
        <w:rPr>
          <w:rFonts w:eastAsia="Times New Roman" w:cs="Times New Roman"/>
          <w:b/>
          <w:i/>
          <w:iCs/>
          <w:szCs w:val="24"/>
        </w:rPr>
        <w:t xml:space="preserve">tabula. </w:t>
      </w:r>
      <w:bookmarkStart w:id="45" w:name="_Hlk178762967"/>
      <w:r w:rsidR="00347B1A" w:rsidRPr="00D8017D">
        <w:rPr>
          <w:rFonts w:eastAsia="Times New Roman" w:cs="Times New Roman"/>
          <w:b/>
          <w:i/>
          <w:iCs/>
          <w:szCs w:val="24"/>
        </w:rPr>
        <w:t>Vispārējās valdības strukturālās bilances mērķi, balstoties uz ES izdevumu pieauguma nosacījumu</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1"/>
        <w:gridCol w:w="1134"/>
        <w:gridCol w:w="921"/>
        <w:gridCol w:w="921"/>
        <w:gridCol w:w="922"/>
        <w:gridCol w:w="921"/>
        <w:gridCol w:w="921"/>
        <w:gridCol w:w="922"/>
      </w:tblGrid>
      <w:tr w:rsidR="00B65051" w:rsidRPr="0096078F" w14:paraId="588E8BBB" w14:textId="77777777" w:rsidTr="00E46535">
        <w:trPr>
          <w:trHeight w:val="320"/>
          <w:tblHeader/>
          <w:jc w:val="center"/>
        </w:trPr>
        <w:tc>
          <w:tcPr>
            <w:tcW w:w="3251" w:type="dxa"/>
            <w:shd w:val="clear" w:color="000000" w:fill="BDD6EE"/>
            <w:noWrap/>
            <w:vAlign w:val="center"/>
            <w:hideMark/>
          </w:tcPr>
          <w:p w14:paraId="19998C3F"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w:t>
            </w:r>
          </w:p>
        </w:tc>
        <w:tc>
          <w:tcPr>
            <w:tcW w:w="1134" w:type="dxa"/>
            <w:shd w:val="clear" w:color="000000" w:fill="BDD6EE"/>
            <w:vAlign w:val="center"/>
            <w:hideMark/>
          </w:tcPr>
          <w:p w14:paraId="32A60E4D"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shd w:val="clear" w:color="000000" w:fill="BDD6EE"/>
            <w:vAlign w:val="center"/>
            <w:hideMark/>
          </w:tcPr>
          <w:p w14:paraId="277F6967" w14:textId="77777777" w:rsidR="00B65051" w:rsidRPr="006F6679" w:rsidRDefault="00B65051"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2023</w:t>
            </w:r>
          </w:p>
        </w:tc>
        <w:tc>
          <w:tcPr>
            <w:tcW w:w="921" w:type="dxa"/>
            <w:shd w:val="clear" w:color="000000" w:fill="BDD6EE"/>
            <w:vAlign w:val="center"/>
            <w:hideMark/>
          </w:tcPr>
          <w:p w14:paraId="5DFB6E8E" w14:textId="77777777" w:rsidR="00B65051" w:rsidRPr="006F6679" w:rsidRDefault="00B65051"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2024</w:t>
            </w:r>
          </w:p>
        </w:tc>
        <w:tc>
          <w:tcPr>
            <w:tcW w:w="922" w:type="dxa"/>
            <w:shd w:val="clear" w:color="000000" w:fill="BDD6EE"/>
            <w:vAlign w:val="center"/>
            <w:hideMark/>
          </w:tcPr>
          <w:p w14:paraId="11CD2B22" w14:textId="77777777" w:rsidR="00B65051" w:rsidRPr="006F6679" w:rsidRDefault="00B65051"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2025</w:t>
            </w:r>
          </w:p>
        </w:tc>
        <w:tc>
          <w:tcPr>
            <w:tcW w:w="921" w:type="dxa"/>
            <w:shd w:val="clear" w:color="000000" w:fill="BDD6EE"/>
            <w:noWrap/>
            <w:vAlign w:val="center"/>
            <w:hideMark/>
          </w:tcPr>
          <w:p w14:paraId="06FC8043" w14:textId="77777777" w:rsidR="00B65051" w:rsidRPr="006F6679" w:rsidRDefault="00B65051"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2026</w:t>
            </w:r>
          </w:p>
        </w:tc>
        <w:tc>
          <w:tcPr>
            <w:tcW w:w="921" w:type="dxa"/>
            <w:shd w:val="clear" w:color="000000" w:fill="BDD6EE"/>
            <w:noWrap/>
            <w:vAlign w:val="center"/>
            <w:hideMark/>
          </w:tcPr>
          <w:p w14:paraId="1FD133B4" w14:textId="77777777" w:rsidR="00B65051" w:rsidRPr="006F6679" w:rsidRDefault="00B65051"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2027</w:t>
            </w:r>
          </w:p>
        </w:tc>
        <w:tc>
          <w:tcPr>
            <w:tcW w:w="922" w:type="dxa"/>
            <w:shd w:val="clear" w:color="000000" w:fill="BDD6EE"/>
            <w:vAlign w:val="center"/>
            <w:hideMark/>
          </w:tcPr>
          <w:p w14:paraId="37B93E0F" w14:textId="77777777" w:rsidR="00B65051" w:rsidRPr="006F6679" w:rsidRDefault="00B65051"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2028</w:t>
            </w:r>
          </w:p>
        </w:tc>
      </w:tr>
      <w:tr w:rsidR="00B65051" w:rsidRPr="0096078F" w14:paraId="54EF7399" w14:textId="77777777" w:rsidTr="00E46535">
        <w:trPr>
          <w:trHeight w:val="510"/>
          <w:jc w:val="center"/>
        </w:trPr>
        <w:tc>
          <w:tcPr>
            <w:tcW w:w="3251" w:type="dxa"/>
            <w:vAlign w:val="center"/>
            <w:hideMark/>
          </w:tcPr>
          <w:p w14:paraId="6F936D4E" w14:textId="542F9688"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ES Padomes apstiprinātais ikgadējais NNFPI pieaugums, %</w:t>
            </w:r>
          </w:p>
        </w:tc>
        <w:tc>
          <w:tcPr>
            <w:tcW w:w="1134" w:type="dxa"/>
            <w:vAlign w:val="center"/>
            <w:hideMark/>
          </w:tcPr>
          <w:p w14:paraId="05D54A84"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w:t>
            </w:r>
          </w:p>
        </w:tc>
        <w:tc>
          <w:tcPr>
            <w:tcW w:w="921" w:type="dxa"/>
            <w:vAlign w:val="center"/>
            <w:hideMark/>
          </w:tcPr>
          <w:p w14:paraId="6298631F"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0B1F8CCF"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9,096</w:t>
            </w:r>
          </w:p>
        </w:tc>
        <w:tc>
          <w:tcPr>
            <w:tcW w:w="922" w:type="dxa"/>
            <w:vAlign w:val="center"/>
            <w:hideMark/>
          </w:tcPr>
          <w:p w14:paraId="54698DEE"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5,902</w:t>
            </w:r>
          </w:p>
        </w:tc>
        <w:tc>
          <w:tcPr>
            <w:tcW w:w="921" w:type="dxa"/>
            <w:noWrap/>
            <w:vAlign w:val="center"/>
            <w:hideMark/>
          </w:tcPr>
          <w:p w14:paraId="7076CE28"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3,645</w:t>
            </w:r>
          </w:p>
        </w:tc>
        <w:tc>
          <w:tcPr>
            <w:tcW w:w="921" w:type="dxa"/>
            <w:noWrap/>
            <w:vAlign w:val="center"/>
            <w:hideMark/>
          </w:tcPr>
          <w:p w14:paraId="18CFC78D"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3,363</w:t>
            </w:r>
          </w:p>
        </w:tc>
        <w:tc>
          <w:tcPr>
            <w:tcW w:w="922" w:type="dxa"/>
            <w:vAlign w:val="center"/>
            <w:hideMark/>
          </w:tcPr>
          <w:p w14:paraId="762718CD"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3,326</w:t>
            </w:r>
          </w:p>
        </w:tc>
      </w:tr>
      <w:tr w:rsidR="00B65051" w:rsidRPr="0096078F" w14:paraId="3233C009" w14:textId="77777777" w:rsidTr="00E46535">
        <w:trPr>
          <w:trHeight w:val="1010"/>
          <w:jc w:val="center"/>
        </w:trPr>
        <w:tc>
          <w:tcPr>
            <w:tcW w:w="3251" w:type="dxa"/>
            <w:vAlign w:val="center"/>
            <w:hideMark/>
          </w:tcPr>
          <w:p w14:paraId="013289A1"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NNFPI līmenis 2023. gadā, milj. </w:t>
            </w:r>
            <w:r w:rsidRPr="006F6679">
              <w:rPr>
                <w:rFonts w:eastAsia="Times New Roman" w:cs="Times New Roman"/>
                <w:i/>
                <w:iCs/>
                <w:color w:val="000000"/>
                <w:sz w:val="18"/>
                <w:szCs w:val="18"/>
              </w:rPr>
              <w:t>euro</w:t>
            </w:r>
            <w:r w:rsidRPr="006F6679">
              <w:rPr>
                <w:rFonts w:eastAsia="Times New Roman" w:cs="Times New Roman"/>
                <w:color w:val="000000"/>
                <w:sz w:val="18"/>
                <w:szCs w:val="18"/>
              </w:rPr>
              <w:t xml:space="preserve">; NNFPI līmenis atbilstoši ES Padomes apstiprinātajam NNFPI kumulatīvajam pieaugumam turpmākajiem gadiem, milj. </w:t>
            </w:r>
            <w:r w:rsidRPr="006F6679">
              <w:rPr>
                <w:rFonts w:eastAsia="Times New Roman" w:cs="Times New Roman"/>
                <w:i/>
                <w:iCs/>
                <w:color w:val="000000"/>
                <w:sz w:val="18"/>
                <w:szCs w:val="18"/>
              </w:rPr>
              <w:t>euro</w:t>
            </w:r>
            <w:r w:rsidRPr="006F6679">
              <w:rPr>
                <w:rFonts w:eastAsia="Times New Roman" w:cs="Times New Roman"/>
                <w:color w:val="000000"/>
                <w:sz w:val="18"/>
                <w:szCs w:val="18"/>
              </w:rPr>
              <w:t> </w:t>
            </w:r>
          </w:p>
        </w:tc>
        <w:tc>
          <w:tcPr>
            <w:tcW w:w="1134" w:type="dxa"/>
            <w:vAlign w:val="center"/>
            <w:hideMark/>
          </w:tcPr>
          <w:p w14:paraId="0AD69F30"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(2)=(4,t-1)*(1+(1,t)/100)</w:t>
            </w:r>
          </w:p>
        </w:tc>
        <w:tc>
          <w:tcPr>
            <w:tcW w:w="921" w:type="dxa"/>
            <w:vAlign w:val="center"/>
            <w:hideMark/>
          </w:tcPr>
          <w:p w14:paraId="66A5A2AB"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16012</w:t>
            </w:r>
          </w:p>
        </w:tc>
        <w:tc>
          <w:tcPr>
            <w:tcW w:w="921" w:type="dxa"/>
            <w:vAlign w:val="center"/>
            <w:hideMark/>
          </w:tcPr>
          <w:p w14:paraId="7B5E623B"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17469</w:t>
            </w:r>
          </w:p>
        </w:tc>
        <w:tc>
          <w:tcPr>
            <w:tcW w:w="922" w:type="dxa"/>
            <w:vAlign w:val="center"/>
            <w:hideMark/>
          </w:tcPr>
          <w:p w14:paraId="6EEB6D5D"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18740</w:t>
            </w:r>
          </w:p>
        </w:tc>
        <w:tc>
          <w:tcPr>
            <w:tcW w:w="921" w:type="dxa"/>
            <w:noWrap/>
            <w:vAlign w:val="center"/>
            <w:hideMark/>
          </w:tcPr>
          <w:p w14:paraId="58CF7368"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19497</w:t>
            </w:r>
          </w:p>
        </w:tc>
        <w:tc>
          <w:tcPr>
            <w:tcW w:w="921" w:type="dxa"/>
            <w:noWrap/>
            <w:vAlign w:val="center"/>
            <w:hideMark/>
          </w:tcPr>
          <w:p w14:paraId="298B48E8"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20071</w:t>
            </w:r>
          </w:p>
        </w:tc>
        <w:tc>
          <w:tcPr>
            <w:tcW w:w="922" w:type="dxa"/>
            <w:vAlign w:val="center"/>
            <w:hideMark/>
          </w:tcPr>
          <w:p w14:paraId="5F78A3E0"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20694</w:t>
            </w:r>
          </w:p>
        </w:tc>
      </w:tr>
      <w:tr w:rsidR="00B65051" w:rsidRPr="0096078F" w14:paraId="79FFD67C" w14:textId="77777777" w:rsidTr="00E46535">
        <w:trPr>
          <w:trHeight w:val="320"/>
          <w:jc w:val="center"/>
        </w:trPr>
        <w:tc>
          <w:tcPr>
            <w:tcW w:w="3251" w:type="dxa"/>
            <w:vAlign w:val="center"/>
            <w:hideMark/>
          </w:tcPr>
          <w:p w14:paraId="065AF62F"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DRM, milj. </w:t>
            </w:r>
            <w:r w:rsidRPr="006F6679">
              <w:rPr>
                <w:rFonts w:eastAsia="Times New Roman" w:cs="Times New Roman"/>
                <w:i/>
                <w:iCs/>
                <w:color w:val="000000"/>
                <w:sz w:val="18"/>
                <w:szCs w:val="18"/>
              </w:rPr>
              <w:t>euro</w:t>
            </w:r>
          </w:p>
        </w:tc>
        <w:tc>
          <w:tcPr>
            <w:tcW w:w="1134" w:type="dxa"/>
            <w:vAlign w:val="center"/>
            <w:hideMark/>
          </w:tcPr>
          <w:p w14:paraId="6AA3258A"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(3)</w:t>
            </w:r>
          </w:p>
        </w:tc>
        <w:tc>
          <w:tcPr>
            <w:tcW w:w="921" w:type="dxa"/>
            <w:vAlign w:val="center"/>
            <w:hideMark/>
          </w:tcPr>
          <w:p w14:paraId="0FE40F61"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3B2EB376"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226</w:t>
            </w:r>
          </w:p>
        </w:tc>
        <w:tc>
          <w:tcPr>
            <w:tcW w:w="922" w:type="dxa"/>
            <w:vAlign w:val="center"/>
            <w:hideMark/>
          </w:tcPr>
          <w:p w14:paraId="09A78AB1"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72</w:t>
            </w:r>
          </w:p>
        </w:tc>
        <w:tc>
          <w:tcPr>
            <w:tcW w:w="921" w:type="dxa"/>
            <w:noWrap/>
            <w:vAlign w:val="center"/>
            <w:hideMark/>
          </w:tcPr>
          <w:p w14:paraId="7B804D16"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-79</w:t>
            </w:r>
          </w:p>
        </w:tc>
        <w:tc>
          <w:tcPr>
            <w:tcW w:w="921" w:type="dxa"/>
            <w:noWrap/>
            <w:vAlign w:val="center"/>
            <w:hideMark/>
          </w:tcPr>
          <w:p w14:paraId="041A4C51"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-43</w:t>
            </w:r>
          </w:p>
        </w:tc>
        <w:tc>
          <w:tcPr>
            <w:tcW w:w="922" w:type="dxa"/>
            <w:vAlign w:val="center"/>
            <w:hideMark/>
          </w:tcPr>
          <w:p w14:paraId="7FEE74B2"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-95</w:t>
            </w:r>
          </w:p>
        </w:tc>
      </w:tr>
      <w:tr w:rsidR="00B65051" w:rsidRPr="00825D14" w14:paraId="46B0DE6E" w14:textId="77777777" w:rsidTr="00E46535">
        <w:trPr>
          <w:trHeight w:val="760"/>
          <w:jc w:val="center"/>
        </w:trPr>
        <w:tc>
          <w:tcPr>
            <w:tcW w:w="3251" w:type="dxa"/>
            <w:vAlign w:val="center"/>
            <w:hideMark/>
          </w:tcPr>
          <w:p w14:paraId="66D43CC5" w14:textId="211E0C94"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lastRenderedPageBreak/>
              <w:t xml:space="preserve">NNFPI līmenis atbilstoši ES Padomes apstiprinātajam NNFPI pieaugumam pieskaitot DRM, milj. </w:t>
            </w:r>
            <w:r w:rsidRPr="006F6679">
              <w:rPr>
                <w:rFonts w:eastAsia="Times New Roman" w:cs="Times New Roman"/>
                <w:i/>
                <w:iCs/>
                <w:color w:val="000000"/>
                <w:sz w:val="18"/>
                <w:szCs w:val="18"/>
              </w:rPr>
              <w:t>euro</w:t>
            </w:r>
          </w:p>
        </w:tc>
        <w:tc>
          <w:tcPr>
            <w:tcW w:w="1134" w:type="dxa"/>
            <w:vAlign w:val="center"/>
            <w:hideMark/>
          </w:tcPr>
          <w:p w14:paraId="772C36CB"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(4)=(2)+(3)</w:t>
            </w:r>
          </w:p>
        </w:tc>
        <w:tc>
          <w:tcPr>
            <w:tcW w:w="921" w:type="dxa"/>
            <w:vAlign w:val="center"/>
            <w:hideMark/>
          </w:tcPr>
          <w:p w14:paraId="763EF2CB"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67F5490F"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17 695</w:t>
            </w:r>
          </w:p>
        </w:tc>
        <w:tc>
          <w:tcPr>
            <w:tcW w:w="922" w:type="dxa"/>
            <w:vAlign w:val="center"/>
            <w:hideMark/>
          </w:tcPr>
          <w:p w14:paraId="4800B345"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18811</w:t>
            </w:r>
          </w:p>
        </w:tc>
        <w:tc>
          <w:tcPr>
            <w:tcW w:w="921" w:type="dxa"/>
            <w:noWrap/>
            <w:vAlign w:val="center"/>
            <w:hideMark/>
          </w:tcPr>
          <w:p w14:paraId="5DEA2A58"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19418</w:t>
            </w:r>
          </w:p>
        </w:tc>
        <w:tc>
          <w:tcPr>
            <w:tcW w:w="921" w:type="dxa"/>
            <w:noWrap/>
            <w:vAlign w:val="center"/>
            <w:hideMark/>
          </w:tcPr>
          <w:p w14:paraId="7B67485C"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20027</w:t>
            </w:r>
          </w:p>
        </w:tc>
        <w:tc>
          <w:tcPr>
            <w:tcW w:w="922" w:type="dxa"/>
            <w:vAlign w:val="center"/>
            <w:hideMark/>
          </w:tcPr>
          <w:p w14:paraId="444FDBD2"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20598</w:t>
            </w:r>
          </w:p>
        </w:tc>
      </w:tr>
      <w:tr w:rsidR="00B65051" w:rsidRPr="00825D14" w14:paraId="79B08290" w14:textId="77777777" w:rsidTr="00E46535">
        <w:trPr>
          <w:trHeight w:val="320"/>
          <w:jc w:val="center"/>
        </w:trPr>
        <w:tc>
          <w:tcPr>
            <w:tcW w:w="3251" w:type="dxa"/>
            <w:vAlign w:val="center"/>
            <w:hideMark/>
          </w:tcPr>
          <w:p w14:paraId="0A520552"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Procentu izdevumi, milj. </w:t>
            </w:r>
            <w:r w:rsidRPr="006F6679">
              <w:rPr>
                <w:rFonts w:eastAsia="Times New Roman" w:cs="Times New Roman"/>
                <w:i/>
                <w:iCs/>
                <w:color w:val="000000"/>
                <w:sz w:val="18"/>
                <w:szCs w:val="18"/>
              </w:rPr>
              <w:t>euro</w:t>
            </w:r>
          </w:p>
        </w:tc>
        <w:tc>
          <w:tcPr>
            <w:tcW w:w="1134" w:type="dxa"/>
            <w:vAlign w:val="center"/>
            <w:hideMark/>
          </w:tcPr>
          <w:p w14:paraId="07A2C8B9"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(5)</w:t>
            </w:r>
          </w:p>
        </w:tc>
        <w:tc>
          <w:tcPr>
            <w:tcW w:w="921" w:type="dxa"/>
            <w:vAlign w:val="center"/>
            <w:hideMark/>
          </w:tcPr>
          <w:p w14:paraId="0AFB21F3"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5F52185B"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6B7D33EC"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3D3DCEE9"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637</w:t>
            </w:r>
          </w:p>
        </w:tc>
        <w:tc>
          <w:tcPr>
            <w:tcW w:w="921" w:type="dxa"/>
            <w:noWrap/>
            <w:vAlign w:val="center"/>
            <w:hideMark/>
          </w:tcPr>
          <w:p w14:paraId="073782F6"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719</w:t>
            </w:r>
          </w:p>
        </w:tc>
        <w:tc>
          <w:tcPr>
            <w:tcW w:w="922" w:type="dxa"/>
            <w:vAlign w:val="center"/>
            <w:hideMark/>
          </w:tcPr>
          <w:p w14:paraId="77A7C153"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759</w:t>
            </w:r>
          </w:p>
        </w:tc>
      </w:tr>
      <w:tr w:rsidR="00B65051" w:rsidRPr="00825D14" w14:paraId="16A14D8E" w14:textId="77777777" w:rsidTr="00E46535">
        <w:trPr>
          <w:trHeight w:val="320"/>
          <w:jc w:val="center"/>
        </w:trPr>
        <w:tc>
          <w:tcPr>
            <w:tcW w:w="3251" w:type="dxa"/>
            <w:vAlign w:val="center"/>
            <w:hideMark/>
          </w:tcPr>
          <w:p w14:paraId="038DC06F"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Cikliskie bezdarba izdevumi, milj. </w:t>
            </w:r>
            <w:r w:rsidRPr="006F6679">
              <w:rPr>
                <w:rFonts w:eastAsia="Times New Roman" w:cs="Times New Roman"/>
                <w:i/>
                <w:iCs/>
                <w:color w:val="000000"/>
                <w:sz w:val="18"/>
                <w:szCs w:val="18"/>
              </w:rPr>
              <w:t>euro</w:t>
            </w:r>
          </w:p>
        </w:tc>
        <w:tc>
          <w:tcPr>
            <w:tcW w:w="1134" w:type="dxa"/>
            <w:vAlign w:val="center"/>
            <w:hideMark/>
          </w:tcPr>
          <w:p w14:paraId="701C0803"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(6)</w:t>
            </w:r>
          </w:p>
        </w:tc>
        <w:tc>
          <w:tcPr>
            <w:tcW w:w="921" w:type="dxa"/>
            <w:vAlign w:val="center"/>
            <w:hideMark/>
          </w:tcPr>
          <w:p w14:paraId="7E6C42F0"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1A50E81A"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2CE4EB1D"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651C7DD1"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8</w:t>
            </w:r>
          </w:p>
        </w:tc>
        <w:tc>
          <w:tcPr>
            <w:tcW w:w="921" w:type="dxa"/>
            <w:noWrap/>
            <w:vAlign w:val="center"/>
            <w:hideMark/>
          </w:tcPr>
          <w:p w14:paraId="1113A34E"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-5</w:t>
            </w:r>
          </w:p>
        </w:tc>
        <w:tc>
          <w:tcPr>
            <w:tcW w:w="922" w:type="dxa"/>
            <w:vAlign w:val="center"/>
            <w:hideMark/>
          </w:tcPr>
          <w:p w14:paraId="396C9BC9"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-11</w:t>
            </w:r>
          </w:p>
        </w:tc>
      </w:tr>
      <w:tr w:rsidR="00B65051" w:rsidRPr="00825D14" w14:paraId="0F1CC9AE" w14:textId="77777777" w:rsidTr="00E46535">
        <w:trPr>
          <w:trHeight w:val="320"/>
          <w:jc w:val="center"/>
        </w:trPr>
        <w:tc>
          <w:tcPr>
            <w:tcW w:w="3251" w:type="dxa"/>
            <w:vAlign w:val="center"/>
            <w:hideMark/>
          </w:tcPr>
          <w:p w14:paraId="45290AC4"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ES fondu izdevumi, milj. </w:t>
            </w:r>
            <w:r w:rsidRPr="006F6679">
              <w:rPr>
                <w:rFonts w:eastAsia="Times New Roman" w:cs="Times New Roman"/>
                <w:i/>
                <w:iCs/>
                <w:color w:val="000000"/>
                <w:sz w:val="18"/>
                <w:szCs w:val="18"/>
              </w:rPr>
              <w:t>euro</w:t>
            </w:r>
          </w:p>
        </w:tc>
        <w:tc>
          <w:tcPr>
            <w:tcW w:w="1134" w:type="dxa"/>
            <w:vAlign w:val="center"/>
            <w:hideMark/>
          </w:tcPr>
          <w:p w14:paraId="528ED44C"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(7)</w:t>
            </w:r>
          </w:p>
        </w:tc>
        <w:tc>
          <w:tcPr>
            <w:tcW w:w="921" w:type="dxa"/>
            <w:vAlign w:val="center"/>
            <w:hideMark/>
          </w:tcPr>
          <w:p w14:paraId="4C73524F"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7F296D59"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7354E890"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1B6AD89F"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900</w:t>
            </w:r>
          </w:p>
        </w:tc>
        <w:tc>
          <w:tcPr>
            <w:tcW w:w="921" w:type="dxa"/>
            <w:noWrap/>
            <w:vAlign w:val="center"/>
            <w:hideMark/>
          </w:tcPr>
          <w:p w14:paraId="6D050C6C"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694</w:t>
            </w:r>
          </w:p>
        </w:tc>
        <w:tc>
          <w:tcPr>
            <w:tcW w:w="922" w:type="dxa"/>
            <w:vAlign w:val="center"/>
            <w:hideMark/>
          </w:tcPr>
          <w:p w14:paraId="75BA8211"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491</w:t>
            </w:r>
          </w:p>
        </w:tc>
      </w:tr>
      <w:tr w:rsidR="00B65051" w:rsidRPr="00825D14" w14:paraId="2B90A88A" w14:textId="77777777" w:rsidTr="00E46535">
        <w:trPr>
          <w:trHeight w:val="510"/>
          <w:jc w:val="center"/>
        </w:trPr>
        <w:tc>
          <w:tcPr>
            <w:tcW w:w="3251" w:type="dxa"/>
            <w:vAlign w:val="center"/>
            <w:hideMark/>
          </w:tcPr>
          <w:p w14:paraId="5E71C34B"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Nacionālais līdzfinansējums ES fondu izdevumiem, milj. </w:t>
            </w:r>
            <w:r w:rsidRPr="006F6679">
              <w:rPr>
                <w:rFonts w:eastAsia="Times New Roman" w:cs="Times New Roman"/>
                <w:i/>
                <w:iCs/>
                <w:color w:val="000000"/>
                <w:sz w:val="18"/>
                <w:szCs w:val="18"/>
              </w:rPr>
              <w:t>euro</w:t>
            </w:r>
          </w:p>
        </w:tc>
        <w:tc>
          <w:tcPr>
            <w:tcW w:w="1134" w:type="dxa"/>
            <w:vAlign w:val="center"/>
            <w:hideMark/>
          </w:tcPr>
          <w:p w14:paraId="4D5DFF18"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(8)</w:t>
            </w:r>
          </w:p>
        </w:tc>
        <w:tc>
          <w:tcPr>
            <w:tcW w:w="921" w:type="dxa"/>
            <w:vAlign w:val="center"/>
            <w:hideMark/>
          </w:tcPr>
          <w:p w14:paraId="2A10164F"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46349F54"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6BD1300E"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532D816C"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154</w:t>
            </w:r>
          </w:p>
        </w:tc>
        <w:tc>
          <w:tcPr>
            <w:tcW w:w="921" w:type="dxa"/>
            <w:noWrap/>
            <w:vAlign w:val="center"/>
            <w:hideMark/>
          </w:tcPr>
          <w:p w14:paraId="13CADB49"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134</w:t>
            </w:r>
          </w:p>
        </w:tc>
        <w:tc>
          <w:tcPr>
            <w:tcW w:w="922" w:type="dxa"/>
            <w:vAlign w:val="center"/>
            <w:hideMark/>
          </w:tcPr>
          <w:p w14:paraId="684B4B32"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105</w:t>
            </w:r>
          </w:p>
        </w:tc>
      </w:tr>
      <w:tr w:rsidR="00B65051" w:rsidRPr="00825D14" w14:paraId="795AF94C" w14:textId="77777777" w:rsidTr="00E46535">
        <w:trPr>
          <w:trHeight w:val="510"/>
          <w:jc w:val="center"/>
        </w:trPr>
        <w:tc>
          <w:tcPr>
            <w:tcW w:w="3251" w:type="dxa"/>
            <w:vAlign w:val="center"/>
            <w:hideMark/>
          </w:tcPr>
          <w:p w14:paraId="679E74C5"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Pieļaujamie vispārējās valdības izdevumi, milj. </w:t>
            </w:r>
            <w:r w:rsidRPr="006F6679">
              <w:rPr>
                <w:rFonts w:eastAsia="Times New Roman" w:cs="Times New Roman"/>
                <w:i/>
                <w:iCs/>
                <w:color w:val="000000"/>
                <w:sz w:val="18"/>
                <w:szCs w:val="18"/>
              </w:rPr>
              <w:t>euro</w:t>
            </w:r>
          </w:p>
        </w:tc>
        <w:tc>
          <w:tcPr>
            <w:tcW w:w="1134" w:type="dxa"/>
            <w:vAlign w:val="center"/>
            <w:hideMark/>
          </w:tcPr>
          <w:p w14:paraId="0843C75A"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(9)=(4)+(5)+(6)+(7)+</w:t>
            </w:r>
          </w:p>
          <w:p w14:paraId="44F2A413" w14:textId="57202BF9"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(8)</w:t>
            </w:r>
          </w:p>
        </w:tc>
        <w:tc>
          <w:tcPr>
            <w:tcW w:w="921" w:type="dxa"/>
            <w:vAlign w:val="center"/>
            <w:hideMark/>
          </w:tcPr>
          <w:p w14:paraId="2B8D4612"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65C5D9DB"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7243A509"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281F3B7D" w14:textId="00F23B92"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21</w:t>
            </w:r>
            <w:r w:rsidR="005B6D25" w:rsidRPr="006F6679">
              <w:rPr>
                <w:rFonts w:eastAsia="Times New Roman" w:cs="Times New Roman"/>
                <w:color w:val="000000"/>
                <w:sz w:val="18"/>
                <w:szCs w:val="18"/>
              </w:rPr>
              <w:t xml:space="preserve"> </w:t>
            </w:r>
            <w:r w:rsidRPr="006F6679">
              <w:rPr>
                <w:rFonts w:eastAsia="Times New Roman" w:cs="Times New Roman"/>
                <w:color w:val="000000"/>
                <w:sz w:val="18"/>
                <w:szCs w:val="18"/>
              </w:rPr>
              <w:t>116</w:t>
            </w:r>
          </w:p>
        </w:tc>
        <w:tc>
          <w:tcPr>
            <w:tcW w:w="921" w:type="dxa"/>
            <w:noWrap/>
            <w:vAlign w:val="center"/>
            <w:hideMark/>
          </w:tcPr>
          <w:p w14:paraId="5139EF91" w14:textId="5E545821"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21</w:t>
            </w:r>
            <w:r w:rsidR="005B6D25" w:rsidRPr="006F6679">
              <w:rPr>
                <w:rFonts w:eastAsia="Times New Roman" w:cs="Times New Roman"/>
                <w:color w:val="000000"/>
                <w:sz w:val="18"/>
                <w:szCs w:val="18"/>
              </w:rPr>
              <w:t xml:space="preserve"> </w:t>
            </w:r>
            <w:r w:rsidRPr="006F6679">
              <w:rPr>
                <w:rFonts w:eastAsia="Times New Roman" w:cs="Times New Roman"/>
                <w:color w:val="000000"/>
                <w:sz w:val="18"/>
                <w:szCs w:val="18"/>
              </w:rPr>
              <w:t>569</w:t>
            </w:r>
          </w:p>
        </w:tc>
        <w:tc>
          <w:tcPr>
            <w:tcW w:w="922" w:type="dxa"/>
            <w:vAlign w:val="center"/>
            <w:hideMark/>
          </w:tcPr>
          <w:p w14:paraId="36A8809E" w14:textId="29665F45"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21</w:t>
            </w:r>
            <w:r w:rsidR="005B6D25" w:rsidRPr="006F6679">
              <w:rPr>
                <w:rFonts w:eastAsia="Times New Roman" w:cs="Times New Roman"/>
                <w:color w:val="000000"/>
                <w:sz w:val="18"/>
                <w:szCs w:val="18"/>
              </w:rPr>
              <w:t xml:space="preserve"> </w:t>
            </w:r>
            <w:r w:rsidRPr="006F6679">
              <w:rPr>
                <w:rFonts w:eastAsia="Times New Roman" w:cs="Times New Roman"/>
                <w:color w:val="000000"/>
                <w:sz w:val="18"/>
                <w:szCs w:val="18"/>
              </w:rPr>
              <w:t>942</w:t>
            </w:r>
          </w:p>
        </w:tc>
      </w:tr>
      <w:tr w:rsidR="00B65051" w:rsidRPr="00825D14" w14:paraId="408F44C7" w14:textId="77777777" w:rsidTr="00E46535">
        <w:trPr>
          <w:trHeight w:val="320"/>
          <w:jc w:val="center"/>
        </w:trPr>
        <w:tc>
          <w:tcPr>
            <w:tcW w:w="3251" w:type="dxa"/>
            <w:vAlign w:val="center"/>
            <w:hideMark/>
          </w:tcPr>
          <w:p w14:paraId="321AD8E3"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Vispārējās valdības ieņēmumi, milj. </w:t>
            </w:r>
            <w:r w:rsidRPr="006F6679">
              <w:rPr>
                <w:rFonts w:eastAsia="Times New Roman" w:cs="Times New Roman"/>
                <w:i/>
                <w:iCs/>
                <w:color w:val="000000"/>
                <w:sz w:val="18"/>
                <w:szCs w:val="18"/>
              </w:rPr>
              <w:t>euro</w:t>
            </w:r>
          </w:p>
        </w:tc>
        <w:tc>
          <w:tcPr>
            <w:tcW w:w="1134" w:type="dxa"/>
            <w:vAlign w:val="center"/>
            <w:hideMark/>
          </w:tcPr>
          <w:p w14:paraId="4AFF551B"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(10)</w:t>
            </w:r>
          </w:p>
        </w:tc>
        <w:tc>
          <w:tcPr>
            <w:tcW w:w="921" w:type="dxa"/>
            <w:vAlign w:val="center"/>
            <w:hideMark/>
          </w:tcPr>
          <w:p w14:paraId="4070C214"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40D247DE"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5E1BD7E1"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6D35B079"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19 135</w:t>
            </w:r>
          </w:p>
        </w:tc>
        <w:tc>
          <w:tcPr>
            <w:tcW w:w="921" w:type="dxa"/>
            <w:noWrap/>
            <w:vAlign w:val="center"/>
            <w:hideMark/>
          </w:tcPr>
          <w:p w14:paraId="3FBFF4B6"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19 511</w:t>
            </w:r>
          </w:p>
        </w:tc>
        <w:tc>
          <w:tcPr>
            <w:tcW w:w="922" w:type="dxa"/>
            <w:vAlign w:val="center"/>
            <w:hideMark/>
          </w:tcPr>
          <w:p w14:paraId="421BD38B"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20 063</w:t>
            </w:r>
          </w:p>
        </w:tc>
      </w:tr>
      <w:tr w:rsidR="00B65051" w:rsidRPr="00825D14" w14:paraId="739ECD82" w14:textId="77777777" w:rsidTr="00E46535">
        <w:trPr>
          <w:trHeight w:val="320"/>
          <w:jc w:val="center"/>
        </w:trPr>
        <w:tc>
          <w:tcPr>
            <w:tcW w:w="3251" w:type="dxa"/>
            <w:vAlign w:val="center"/>
            <w:hideMark/>
          </w:tcPr>
          <w:p w14:paraId="534E527F"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Pieļaujamā vispārējās valdības bilance, milj. </w:t>
            </w:r>
            <w:r w:rsidRPr="006F6679">
              <w:rPr>
                <w:rFonts w:eastAsia="Times New Roman" w:cs="Times New Roman"/>
                <w:i/>
                <w:iCs/>
                <w:color w:val="000000"/>
                <w:sz w:val="18"/>
                <w:szCs w:val="18"/>
              </w:rPr>
              <w:t>euro</w:t>
            </w:r>
          </w:p>
        </w:tc>
        <w:tc>
          <w:tcPr>
            <w:tcW w:w="1134" w:type="dxa"/>
            <w:vAlign w:val="center"/>
            <w:hideMark/>
          </w:tcPr>
          <w:p w14:paraId="7EBFA18F"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(11)=(10)-(9)</w:t>
            </w:r>
          </w:p>
        </w:tc>
        <w:tc>
          <w:tcPr>
            <w:tcW w:w="921" w:type="dxa"/>
            <w:vAlign w:val="center"/>
            <w:hideMark/>
          </w:tcPr>
          <w:p w14:paraId="18A5D979"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2D94A770"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3AE83B2B"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7A32C565" w14:textId="756FF97A"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-1 981</w:t>
            </w:r>
          </w:p>
        </w:tc>
        <w:tc>
          <w:tcPr>
            <w:tcW w:w="921" w:type="dxa"/>
            <w:noWrap/>
            <w:vAlign w:val="center"/>
            <w:hideMark/>
          </w:tcPr>
          <w:p w14:paraId="08CBBFA9" w14:textId="63C2A1A6"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-2 058</w:t>
            </w:r>
          </w:p>
        </w:tc>
        <w:tc>
          <w:tcPr>
            <w:tcW w:w="922" w:type="dxa"/>
            <w:vAlign w:val="center"/>
            <w:hideMark/>
          </w:tcPr>
          <w:p w14:paraId="0B847590" w14:textId="3CC03F89"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-1 879</w:t>
            </w:r>
          </w:p>
        </w:tc>
      </w:tr>
      <w:tr w:rsidR="00B65051" w:rsidRPr="0096078F" w14:paraId="40D4258D" w14:textId="77777777" w:rsidTr="00E46535">
        <w:trPr>
          <w:trHeight w:val="320"/>
          <w:jc w:val="center"/>
        </w:trPr>
        <w:tc>
          <w:tcPr>
            <w:tcW w:w="3251" w:type="dxa"/>
            <w:vAlign w:val="center"/>
            <w:hideMark/>
          </w:tcPr>
          <w:p w14:paraId="2E3ED6E9"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Pieļaujamā vispārējās valdības bilance, % no IKP</w:t>
            </w:r>
          </w:p>
        </w:tc>
        <w:tc>
          <w:tcPr>
            <w:tcW w:w="1134" w:type="dxa"/>
            <w:vAlign w:val="center"/>
            <w:hideMark/>
          </w:tcPr>
          <w:p w14:paraId="3BC764AA"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(12)</w:t>
            </w:r>
          </w:p>
        </w:tc>
        <w:tc>
          <w:tcPr>
            <w:tcW w:w="921" w:type="dxa"/>
            <w:vAlign w:val="center"/>
            <w:hideMark/>
          </w:tcPr>
          <w:p w14:paraId="6B6D9430"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65DAEBBF"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1A92F766"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1329C4F2" w14:textId="5AF3A952"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-4,5</w:t>
            </w:r>
            <w:r w:rsidR="005B6D25" w:rsidRPr="006F6679">
              <w:rPr>
                <w:rFonts w:eastAsia="Times New Roman" w:cs="Times New Roman"/>
                <w:color w:val="000000"/>
                <w:sz w:val="18"/>
                <w:szCs w:val="18"/>
              </w:rPr>
              <w:t>1</w:t>
            </w:r>
          </w:p>
        </w:tc>
        <w:tc>
          <w:tcPr>
            <w:tcW w:w="921" w:type="dxa"/>
            <w:noWrap/>
            <w:vAlign w:val="center"/>
            <w:hideMark/>
          </w:tcPr>
          <w:p w14:paraId="447536EE" w14:textId="4AEAB954"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-4,47</w:t>
            </w:r>
          </w:p>
        </w:tc>
        <w:tc>
          <w:tcPr>
            <w:tcW w:w="922" w:type="dxa"/>
            <w:vAlign w:val="center"/>
            <w:hideMark/>
          </w:tcPr>
          <w:p w14:paraId="5FC91915" w14:textId="15821B9A"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-3,90</w:t>
            </w:r>
          </w:p>
        </w:tc>
      </w:tr>
      <w:tr w:rsidR="00B65051" w:rsidRPr="0096078F" w14:paraId="1304198F" w14:textId="77777777" w:rsidTr="00E46535">
        <w:trPr>
          <w:trHeight w:val="320"/>
          <w:jc w:val="center"/>
        </w:trPr>
        <w:tc>
          <w:tcPr>
            <w:tcW w:w="3251" w:type="dxa"/>
            <w:vAlign w:val="center"/>
            <w:hideMark/>
          </w:tcPr>
          <w:p w14:paraId="25B173C8" w14:textId="77777777" w:rsidR="00B65051" w:rsidRPr="006F6679" w:rsidRDefault="00B65051" w:rsidP="00B65051">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Bilances cikliskā komponente, % no IKP</w:t>
            </w:r>
          </w:p>
        </w:tc>
        <w:tc>
          <w:tcPr>
            <w:tcW w:w="1134" w:type="dxa"/>
            <w:vAlign w:val="center"/>
            <w:hideMark/>
          </w:tcPr>
          <w:p w14:paraId="23B3862A" w14:textId="77777777" w:rsidR="00B65051" w:rsidRPr="006F6679" w:rsidRDefault="00B65051" w:rsidP="00B65051">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(13)</w:t>
            </w:r>
          </w:p>
        </w:tc>
        <w:tc>
          <w:tcPr>
            <w:tcW w:w="921" w:type="dxa"/>
            <w:vAlign w:val="center"/>
            <w:hideMark/>
          </w:tcPr>
          <w:p w14:paraId="392ED02D" w14:textId="77777777" w:rsidR="00B65051" w:rsidRPr="006F6679" w:rsidRDefault="00B65051" w:rsidP="00B65051">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53F51CCC" w14:textId="77777777" w:rsidR="00B65051" w:rsidRPr="006F6679" w:rsidRDefault="00B65051" w:rsidP="00B65051">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7D5E9EC3" w14:textId="77777777" w:rsidR="00B65051" w:rsidRPr="006F6679" w:rsidRDefault="00B65051" w:rsidP="00B65051">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31FDAB2F" w14:textId="0BBCB862" w:rsidR="00B65051" w:rsidRPr="006F6679" w:rsidRDefault="00B65051" w:rsidP="00B65051">
            <w:pPr>
              <w:spacing w:after="0"/>
              <w:ind w:firstLine="0"/>
              <w:jc w:val="center"/>
              <w:rPr>
                <w:rFonts w:eastAsia="Times New Roman" w:cs="Times New Roman"/>
                <w:color w:val="000000"/>
                <w:sz w:val="18"/>
                <w:szCs w:val="18"/>
              </w:rPr>
            </w:pPr>
            <w:r w:rsidRPr="006F6679">
              <w:rPr>
                <w:rFonts w:cs="Times New Roman"/>
                <w:color w:val="000000" w:themeColor="text1"/>
                <w:sz w:val="18"/>
                <w:szCs w:val="18"/>
              </w:rPr>
              <w:t>-0,33</w:t>
            </w:r>
          </w:p>
        </w:tc>
        <w:tc>
          <w:tcPr>
            <w:tcW w:w="921" w:type="dxa"/>
            <w:noWrap/>
            <w:vAlign w:val="center"/>
            <w:hideMark/>
          </w:tcPr>
          <w:p w14:paraId="6B9CE5CA" w14:textId="560FD314" w:rsidR="00B65051" w:rsidRPr="006F6679" w:rsidRDefault="00B65051" w:rsidP="00B65051">
            <w:pPr>
              <w:spacing w:after="0"/>
              <w:ind w:firstLine="0"/>
              <w:jc w:val="center"/>
              <w:rPr>
                <w:rFonts w:eastAsia="Times New Roman" w:cs="Times New Roman"/>
                <w:color w:val="000000"/>
                <w:sz w:val="18"/>
                <w:szCs w:val="18"/>
              </w:rPr>
            </w:pPr>
            <w:r w:rsidRPr="006F6679">
              <w:rPr>
                <w:rFonts w:cs="Times New Roman"/>
                <w:color w:val="000000" w:themeColor="text1"/>
                <w:sz w:val="18"/>
                <w:szCs w:val="18"/>
              </w:rPr>
              <w:t>-0,18</w:t>
            </w:r>
          </w:p>
        </w:tc>
        <w:tc>
          <w:tcPr>
            <w:tcW w:w="922" w:type="dxa"/>
            <w:vAlign w:val="center"/>
            <w:hideMark/>
          </w:tcPr>
          <w:p w14:paraId="7D286DAA" w14:textId="7795A4FA" w:rsidR="00B65051" w:rsidRPr="006F6679" w:rsidRDefault="00B65051" w:rsidP="00B65051">
            <w:pPr>
              <w:spacing w:after="0"/>
              <w:ind w:firstLine="0"/>
              <w:jc w:val="center"/>
              <w:rPr>
                <w:rFonts w:eastAsia="Times New Roman" w:cs="Times New Roman"/>
                <w:color w:val="000000"/>
                <w:sz w:val="18"/>
                <w:szCs w:val="18"/>
              </w:rPr>
            </w:pPr>
            <w:r w:rsidRPr="006F6679">
              <w:rPr>
                <w:rFonts w:cs="Times New Roman"/>
                <w:color w:val="000000" w:themeColor="text1"/>
                <w:sz w:val="18"/>
                <w:szCs w:val="18"/>
              </w:rPr>
              <w:t>-0,08</w:t>
            </w:r>
          </w:p>
        </w:tc>
      </w:tr>
      <w:tr w:rsidR="00B65051" w:rsidRPr="0096078F" w14:paraId="20A726A2" w14:textId="77777777" w:rsidTr="00E46535">
        <w:trPr>
          <w:trHeight w:val="320"/>
          <w:jc w:val="center"/>
        </w:trPr>
        <w:tc>
          <w:tcPr>
            <w:tcW w:w="3251" w:type="dxa"/>
            <w:vAlign w:val="center"/>
            <w:hideMark/>
          </w:tcPr>
          <w:p w14:paraId="1F552DBC" w14:textId="77777777" w:rsidR="00B65051" w:rsidRPr="006F6679" w:rsidRDefault="00B65051" w:rsidP="00B65051">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Vienreizējie pasākumi, % no IKP</w:t>
            </w:r>
          </w:p>
        </w:tc>
        <w:tc>
          <w:tcPr>
            <w:tcW w:w="1134" w:type="dxa"/>
            <w:vAlign w:val="center"/>
            <w:hideMark/>
          </w:tcPr>
          <w:p w14:paraId="21C85446" w14:textId="77777777" w:rsidR="00B65051" w:rsidRPr="006F6679" w:rsidRDefault="00B65051" w:rsidP="00B65051">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(14)</w:t>
            </w:r>
          </w:p>
        </w:tc>
        <w:tc>
          <w:tcPr>
            <w:tcW w:w="921" w:type="dxa"/>
            <w:vAlign w:val="center"/>
            <w:hideMark/>
          </w:tcPr>
          <w:p w14:paraId="1D55C624" w14:textId="77777777" w:rsidR="00B65051" w:rsidRPr="006F6679" w:rsidRDefault="00B65051" w:rsidP="00B65051">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7E9F1C34" w14:textId="77777777" w:rsidR="00B65051" w:rsidRPr="006F6679" w:rsidRDefault="00B65051" w:rsidP="00B65051">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390A01E2" w14:textId="77777777" w:rsidR="00B65051" w:rsidRPr="006F6679" w:rsidRDefault="00B65051" w:rsidP="00B65051">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4FF712D8" w14:textId="35E0A871" w:rsidR="00B65051" w:rsidRPr="006F6679" w:rsidRDefault="00B65051" w:rsidP="00B65051">
            <w:pPr>
              <w:spacing w:after="0"/>
              <w:ind w:firstLine="0"/>
              <w:jc w:val="center"/>
              <w:rPr>
                <w:rFonts w:eastAsia="Times New Roman" w:cs="Times New Roman"/>
                <w:color w:val="000000"/>
                <w:sz w:val="18"/>
                <w:szCs w:val="18"/>
              </w:rPr>
            </w:pPr>
            <w:r w:rsidRPr="006F6679">
              <w:rPr>
                <w:rFonts w:cs="Times New Roman"/>
                <w:color w:val="000000"/>
                <w:sz w:val="18"/>
                <w:szCs w:val="18"/>
              </w:rPr>
              <w:t>-1,64</w:t>
            </w:r>
          </w:p>
        </w:tc>
        <w:tc>
          <w:tcPr>
            <w:tcW w:w="921" w:type="dxa"/>
            <w:noWrap/>
            <w:vAlign w:val="center"/>
            <w:hideMark/>
          </w:tcPr>
          <w:p w14:paraId="549AB6D8" w14:textId="62E8A351" w:rsidR="00B65051" w:rsidRPr="006F6679" w:rsidRDefault="00B65051" w:rsidP="00B65051">
            <w:pPr>
              <w:spacing w:after="0"/>
              <w:ind w:firstLine="0"/>
              <w:jc w:val="center"/>
              <w:rPr>
                <w:rFonts w:eastAsia="Times New Roman" w:cs="Times New Roman"/>
                <w:color w:val="000000"/>
                <w:sz w:val="18"/>
                <w:szCs w:val="18"/>
              </w:rPr>
            </w:pPr>
            <w:r w:rsidRPr="006F6679">
              <w:rPr>
                <w:rFonts w:cs="Times New Roman"/>
                <w:color w:val="000000"/>
                <w:sz w:val="18"/>
                <w:szCs w:val="18"/>
              </w:rPr>
              <w:t>-1,69</w:t>
            </w:r>
          </w:p>
        </w:tc>
        <w:tc>
          <w:tcPr>
            <w:tcW w:w="922" w:type="dxa"/>
            <w:vAlign w:val="center"/>
            <w:hideMark/>
          </w:tcPr>
          <w:p w14:paraId="4E655628" w14:textId="30CBAE73" w:rsidR="00B65051" w:rsidRPr="006F6679" w:rsidRDefault="00B65051" w:rsidP="00B65051">
            <w:pPr>
              <w:spacing w:after="0"/>
              <w:ind w:firstLine="0"/>
              <w:jc w:val="center"/>
              <w:rPr>
                <w:rFonts w:eastAsia="Times New Roman" w:cs="Times New Roman"/>
                <w:color w:val="000000"/>
                <w:sz w:val="18"/>
                <w:szCs w:val="18"/>
              </w:rPr>
            </w:pPr>
            <w:r w:rsidRPr="006F6679">
              <w:rPr>
                <w:rFonts w:cs="Times New Roman"/>
                <w:color w:val="000000"/>
                <w:sz w:val="18"/>
                <w:szCs w:val="18"/>
              </w:rPr>
              <w:t>-1,59</w:t>
            </w:r>
          </w:p>
        </w:tc>
      </w:tr>
      <w:tr w:rsidR="00B65051" w:rsidRPr="0096078F" w14:paraId="7B2ED001" w14:textId="77777777" w:rsidTr="00E46535">
        <w:trPr>
          <w:trHeight w:val="540"/>
          <w:jc w:val="center"/>
        </w:trPr>
        <w:tc>
          <w:tcPr>
            <w:tcW w:w="3251" w:type="dxa"/>
            <w:vAlign w:val="bottom"/>
            <w:hideMark/>
          </w:tcPr>
          <w:p w14:paraId="4781D01F" w14:textId="77777777" w:rsidR="00B65051" w:rsidRPr="006F6679" w:rsidRDefault="00B65051"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Valsts izņēmuma klauzulas fiskālā ietekme, % no IKP</w:t>
            </w:r>
          </w:p>
        </w:tc>
        <w:tc>
          <w:tcPr>
            <w:tcW w:w="1134" w:type="dxa"/>
            <w:vAlign w:val="center"/>
            <w:hideMark/>
          </w:tcPr>
          <w:p w14:paraId="5A1A02BC"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(15)</w:t>
            </w:r>
          </w:p>
        </w:tc>
        <w:tc>
          <w:tcPr>
            <w:tcW w:w="921" w:type="dxa"/>
            <w:vAlign w:val="center"/>
            <w:hideMark/>
          </w:tcPr>
          <w:p w14:paraId="32E7DF75"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04745A55"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7EBA25A6"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4643490A"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0,24</w:t>
            </w:r>
          </w:p>
        </w:tc>
        <w:tc>
          <w:tcPr>
            <w:tcW w:w="921" w:type="dxa"/>
            <w:shd w:val="clear" w:color="000000" w:fill="FFFFFF"/>
            <w:noWrap/>
            <w:vAlign w:val="center"/>
            <w:hideMark/>
          </w:tcPr>
          <w:p w14:paraId="1E55E8AA"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0,97</w:t>
            </w:r>
          </w:p>
        </w:tc>
        <w:tc>
          <w:tcPr>
            <w:tcW w:w="922" w:type="dxa"/>
            <w:shd w:val="clear" w:color="000000" w:fill="FFFFFF"/>
            <w:noWrap/>
            <w:vAlign w:val="center"/>
            <w:hideMark/>
          </w:tcPr>
          <w:p w14:paraId="60CB880A"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0,87</w:t>
            </w:r>
          </w:p>
        </w:tc>
      </w:tr>
      <w:tr w:rsidR="00B65051" w:rsidRPr="0096078F" w14:paraId="1F5698FD" w14:textId="77777777" w:rsidTr="00E46535">
        <w:trPr>
          <w:trHeight w:val="510"/>
          <w:jc w:val="center"/>
        </w:trPr>
        <w:tc>
          <w:tcPr>
            <w:tcW w:w="3251" w:type="dxa"/>
            <w:shd w:val="clear" w:color="000000" w:fill="BDD6EE"/>
            <w:vAlign w:val="center"/>
            <w:hideMark/>
          </w:tcPr>
          <w:p w14:paraId="4DEEB78A" w14:textId="77777777" w:rsidR="00B65051" w:rsidRPr="006F6679" w:rsidRDefault="00B65051" w:rsidP="006D484A">
            <w:pPr>
              <w:spacing w:after="0"/>
              <w:ind w:firstLine="0"/>
              <w:jc w:val="left"/>
              <w:rPr>
                <w:rFonts w:eastAsia="Times New Roman" w:cs="Times New Roman"/>
                <w:b/>
                <w:bCs/>
                <w:color w:val="000000"/>
                <w:sz w:val="18"/>
                <w:szCs w:val="18"/>
              </w:rPr>
            </w:pPr>
            <w:r w:rsidRPr="006F6679">
              <w:rPr>
                <w:rFonts w:eastAsia="Times New Roman" w:cs="Times New Roman"/>
                <w:b/>
                <w:bCs/>
                <w:color w:val="000000"/>
                <w:sz w:val="18"/>
                <w:szCs w:val="18"/>
              </w:rPr>
              <w:t>Vispārējās valdības strukturālās bilances mērķi, % no IKP</w:t>
            </w:r>
          </w:p>
        </w:tc>
        <w:tc>
          <w:tcPr>
            <w:tcW w:w="1134" w:type="dxa"/>
            <w:shd w:val="clear" w:color="000000" w:fill="BDD6EE"/>
            <w:vAlign w:val="center"/>
            <w:hideMark/>
          </w:tcPr>
          <w:p w14:paraId="5A0408AA"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(16)=(12)-(13)-(16)-(17)</w:t>
            </w:r>
          </w:p>
        </w:tc>
        <w:tc>
          <w:tcPr>
            <w:tcW w:w="921" w:type="dxa"/>
            <w:shd w:val="clear" w:color="000000" w:fill="BDD6EE"/>
            <w:vAlign w:val="center"/>
            <w:hideMark/>
          </w:tcPr>
          <w:p w14:paraId="67CD524C"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shd w:val="clear" w:color="000000" w:fill="BDD6EE"/>
            <w:vAlign w:val="center"/>
            <w:hideMark/>
          </w:tcPr>
          <w:p w14:paraId="4ADB2711"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shd w:val="clear" w:color="000000" w:fill="BDD6EE"/>
            <w:vAlign w:val="center"/>
            <w:hideMark/>
          </w:tcPr>
          <w:p w14:paraId="5476A1DF" w14:textId="77777777" w:rsidR="00B65051" w:rsidRPr="006F6679" w:rsidRDefault="00B65051"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shd w:val="clear" w:color="000000" w:fill="BDD6EE"/>
            <w:noWrap/>
            <w:vAlign w:val="center"/>
            <w:hideMark/>
          </w:tcPr>
          <w:p w14:paraId="662CDB06" w14:textId="3811B872" w:rsidR="00B65051" w:rsidRPr="006F6679" w:rsidRDefault="00B65051"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w:t>
            </w:r>
            <w:r w:rsidR="005B6D25" w:rsidRPr="006F6679">
              <w:rPr>
                <w:rFonts w:eastAsia="Times New Roman" w:cs="Times New Roman"/>
                <w:b/>
                <w:bCs/>
                <w:color w:val="000000"/>
                <w:sz w:val="18"/>
                <w:szCs w:val="18"/>
              </w:rPr>
              <w:t>,</w:t>
            </w:r>
            <w:r w:rsidRPr="006F6679">
              <w:rPr>
                <w:rFonts w:eastAsia="Times New Roman" w:cs="Times New Roman"/>
                <w:b/>
                <w:bCs/>
                <w:color w:val="000000"/>
                <w:sz w:val="18"/>
                <w:szCs w:val="18"/>
              </w:rPr>
              <w:t>79</w:t>
            </w:r>
          </w:p>
        </w:tc>
        <w:tc>
          <w:tcPr>
            <w:tcW w:w="921" w:type="dxa"/>
            <w:shd w:val="clear" w:color="000000" w:fill="BDD6EE"/>
            <w:noWrap/>
            <w:vAlign w:val="center"/>
            <w:hideMark/>
          </w:tcPr>
          <w:p w14:paraId="61DB6E69" w14:textId="61AD1F79" w:rsidR="00B65051" w:rsidRPr="006F6679" w:rsidRDefault="00B65051"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-3,57</w:t>
            </w:r>
          </w:p>
        </w:tc>
        <w:tc>
          <w:tcPr>
            <w:tcW w:w="922" w:type="dxa"/>
            <w:shd w:val="clear" w:color="000000" w:fill="BDD6EE"/>
            <w:vAlign w:val="center"/>
            <w:hideMark/>
          </w:tcPr>
          <w:p w14:paraId="3A27AE4D" w14:textId="5E4BE11D" w:rsidR="00B65051" w:rsidRPr="006F6679" w:rsidRDefault="00B65051"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-3,</w:t>
            </w:r>
            <w:r w:rsidR="005B6D25" w:rsidRPr="006F6679">
              <w:rPr>
                <w:rFonts w:eastAsia="Times New Roman" w:cs="Times New Roman"/>
                <w:b/>
                <w:bCs/>
                <w:color w:val="000000"/>
                <w:sz w:val="18"/>
                <w:szCs w:val="18"/>
              </w:rPr>
              <w:t>09</w:t>
            </w:r>
          </w:p>
        </w:tc>
      </w:tr>
    </w:tbl>
    <w:p w14:paraId="27F0279E" w14:textId="77777777" w:rsidR="00347B1A" w:rsidRPr="00D8017D" w:rsidRDefault="00347B1A" w:rsidP="006E534E">
      <w:pPr>
        <w:widowControl w:val="0"/>
        <w:spacing w:after="0"/>
        <w:ind w:firstLine="0"/>
        <w:rPr>
          <w:rFonts w:eastAsia="Times New Roman" w:cs="Times New Roman"/>
          <w:b/>
          <w:i/>
          <w:iCs/>
          <w:szCs w:val="24"/>
        </w:rPr>
      </w:pPr>
    </w:p>
    <w:p w14:paraId="7C093591" w14:textId="6D668F6C" w:rsidR="00825D14" w:rsidRPr="006D484A" w:rsidRDefault="00825D14" w:rsidP="00CF43D4">
      <w:pPr>
        <w:widowControl w:val="0"/>
        <w:spacing w:after="0"/>
        <w:rPr>
          <w:rFonts w:eastAsia="Times New Roman"/>
        </w:rPr>
      </w:pPr>
      <w:r>
        <w:rPr>
          <w:rFonts w:eastAsia="Times New Roman"/>
        </w:rPr>
        <w:t xml:space="preserve">Aprēķinātais izdevumu apjoms un bilance attiecas uz gadījumu, kad tiek pilnībā izmantots atļautais izdevumu pieaugums. Tomēr, tā kā ir aktivizēta valsts izņēmuma klauzula, vispārējās valdības strukturālās bilances mērķis tiek samazināts par attiecīgajā gadā izmantotās valsts izņēmuma klauzulas apjomu.  </w:t>
      </w:r>
    </w:p>
    <w:p w14:paraId="12AF3D48" w14:textId="77777777" w:rsidR="00825D14" w:rsidRDefault="00825D14" w:rsidP="00CF43D4">
      <w:pPr>
        <w:widowControl w:val="0"/>
        <w:spacing w:after="0"/>
        <w:rPr>
          <w:rFonts w:eastAsia="Times New Roman" w:cs="Times New Roman"/>
          <w:b/>
          <w:szCs w:val="24"/>
        </w:rPr>
      </w:pPr>
    </w:p>
    <w:p w14:paraId="5FA6165A" w14:textId="6D73E89A" w:rsidR="00347B1A" w:rsidRPr="00D8017D" w:rsidRDefault="00347B1A" w:rsidP="00CF43D4">
      <w:pPr>
        <w:widowControl w:val="0"/>
        <w:rPr>
          <w:rFonts w:eastAsia="Times New Roman" w:cs="Times New Roman"/>
          <w:b/>
          <w:szCs w:val="24"/>
        </w:rPr>
      </w:pPr>
      <w:r w:rsidRPr="00D8017D">
        <w:rPr>
          <w:rFonts w:eastAsia="Times New Roman" w:cs="Times New Roman"/>
          <w:b/>
          <w:szCs w:val="24"/>
        </w:rPr>
        <w:t>Nominālās bilances nosacījums</w:t>
      </w:r>
    </w:p>
    <w:p w14:paraId="3F7374E5" w14:textId="5F4797EE" w:rsidR="00106477" w:rsidRPr="00D8017D" w:rsidRDefault="00347B1A" w:rsidP="00FA244E">
      <w:pPr>
        <w:rPr>
          <w:szCs w:val="20"/>
        </w:rPr>
      </w:pPr>
      <w:r w:rsidRPr="00D8017D">
        <w:rPr>
          <w:szCs w:val="20"/>
        </w:rPr>
        <w:t xml:space="preserve">Atbilstoši Līgumam par </w:t>
      </w:r>
      <w:r w:rsidR="00376254">
        <w:rPr>
          <w:szCs w:val="20"/>
        </w:rPr>
        <w:t>ES</w:t>
      </w:r>
      <w:r w:rsidRPr="00D8017D">
        <w:rPr>
          <w:szCs w:val="20"/>
        </w:rPr>
        <w:t xml:space="preserve"> darbību (turpmāk – LESD) vispārējās valdības deficīta atsauces vērtība ir 3% no IKP (skat. </w:t>
      </w:r>
      <w:r w:rsidR="008675CC">
        <w:rPr>
          <w:szCs w:val="20"/>
        </w:rPr>
        <w:t>2.</w:t>
      </w:r>
      <w:r w:rsidR="005B6D25">
        <w:rPr>
          <w:szCs w:val="20"/>
        </w:rPr>
        <w:t>6</w:t>
      </w:r>
      <w:r w:rsidRPr="00D8017D">
        <w:rPr>
          <w:szCs w:val="20"/>
        </w:rPr>
        <w:t>. tabulu). Attiecīgi deficīta atsauces vērtības pārsniegšana uzliek pienākumu EK sagatavot ziņojumu atbilstoši LESD 126. panta 3. punktam, kurā EK secina, ka vispārējās valdības budžeta deficīts pārsniedz LESD 12. protokolā noteiktas atsauces vērtības, un rekomendē vai nerekomendē ES Padomei uzsākt pret valsti Pārmērīga budžeta deficīta procedūru, tomēr jāņem vērā regulējums, kas ir spēkā va</w:t>
      </w:r>
      <w:r w:rsidR="006E4E33">
        <w:rPr>
          <w:szCs w:val="20"/>
        </w:rPr>
        <w:t>l</w:t>
      </w:r>
      <w:r w:rsidRPr="00D8017D">
        <w:rPr>
          <w:szCs w:val="20"/>
        </w:rPr>
        <w:t>sts izņēmuma klauzulas darbības laikā un attiecīgi jāņem vērā valsts izņēmuma klauzulas fiskālā ietekme.</w:t>
      </w:r>
    </w:p>
    <w:p w14:paraId="78852CEA" w14:textId="0BA9771F" w:rsidR="009178AB" w:rsidRPr="00D8017D" w:rsidRDefault="008675CC" w:rsidP="009178AB">
      <w:pPr>
        <w:widowControl w:val="0"/>
        <w:jc w:val="right"/>
        <w:rPr>
          <w:rFonts w:eastAsia="Times New Roman" w:cs="Times New Roman"/>
          <w:bCs/>
          <w:i/>
          <w:iCs/>
          <w:szCs w:val="28"/>
        </w:rPr>
      </w:pPr>
      <w:r w:rsidRPr="008675CC">
        <w:rPr>
          <w:rFonts w:cs="Times New Roman"/>
          <w:b/>
          <w:bCs/>
          <w:i/>
          <w:iCs/>
          <w:szCs w:val="24"/>
        </w:rPr>
        <w:t>2.</w:t>
      </w:r>
      <w:r w:rsidR="00B248BA">
        <w:rPr>
          <w:rFonts w:cs="Times New Roman"/>
          <w:b/>
          <w:bCs/>
          <w:i/>
          <w:iCs/>
          <w:szCs w:val="24"/>
        </w:rPr>
        <w:t>6</w:t>
      </w:r>
      <w:r w:rsidR="009178AB" w:rsidRPr="008675CC">
        <w:rPr>
          <w:rFonts w:cs="Times New Roman"/>
          <w:b/>
          <w:bCs/>
          <w:i/>
          <w:iCs/>
          <w:szCs w:val="24"/>
        </w:rPr>
        <w:t xml:space="preserve">. </w:t>
      </w:r>
      <w:r w:rsidR="009178AB" w:rsidRPr="008675CC">
        <w:rPr>
          <w:rFonts w:eastAsia="Times New Roman" w:cs="Times New Roman"/>
          <w:b/>
          <w:bCs/>
          <w:i/>
          <w:iCs/>
          <w:szCs w:val="24"/>
        </w:rPr>
        <w:t>tabula.</w:t>
      </w:r>
      <w:r w:rsidR="009178AB" w:rsidRPr="00D8017D">
        <w:rPr>
          <w:rFonts w:eastAsia="Times New Roman" w:cs="Times New Roman"/>
          <w:b/>
          <w:i/>
          <w:iCs/>
          <w:szCs w:val="24"/>
        </w:rPr>
        <w:t xml:space="preserve"> </w:t>
      </w:r>
      <w:r w:rsidR="009178AB" w:rsidRPr="00D8017D">
        <w:rPr>
          <w:rFonts w:eastAsia="Times New Roman" w:cs="Times New Roman"/>
          <w:b/>
          <w:i/>
          <w:iCs/>
        </w:rPr>
        <w:t>V</w:t>
      </w:r>
      <w:r w:rsidR="009178AB" w:rsidRPr="00D8017D">
        <w:rPr>
          <w:rFonts w:eastAsia="Times New Roman" w:cs="Times New Roman"/>
          <w:b/>
          <w:i/>
          <w:iCs/>
          <w:szCs w:val="24"/>
        </w:rPr>
        <w:t>ispārējās valdības strukturālās bilances mērķi,</w:t>
      </w:r>
      <w:r w:rsidR="009178AB" w:rsidRPr="00D8017D">
        <w:rPr>
          <w:rFonts w:eastAsia="Times New Roman" w:cs="Times New Roman"/>
          <w:b/>
          <w:i/>
          <w:iCs/>
        </w:rPr>
        <w:t xml:space="preserve"> </w:t>
      </w:r>
      <w:r w:rsidR="009178AB" w:rsidRPr="00D8017D">
        <w:rPr>
          <w:rFonts w:eastAsia="Times New Roman" w:cs="Times New Roman"/>
          <w:b/>
          <w:i/>
          <w:iCs/>
          <w:szCs w:val="24"/>
        </w:rPr>
        <w:t>balstoties uz nominālās bilances</w:t>
      </w:r>
      <w:r w:rsidR="009178AB" w:rsidRPr="00D8017D">
        <w:rPr>
          <w:rFonts w:eastAsia="Times New Roman" w:cs="Times New Roman"/>
          <w:b/>
          <w:i/>
          <w:iCs/>
        </w:rPr>
        <w:t xml:space="preserve"> nosacījumu</w:t>
      </w:r>
    </w:p>
    <w:tbl>
      <w:tblPr>
        <w:tblW w:w="7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2"/>
        <w:gridCol w:w="1134"/>
        <w:gridCol w:w="850"/>
        <w:gridCol w:w="851"/>
        <w:gridCol w:w="992"/>
      </w:tblGrid>
      <w:tr w:rsidR="009178AB" w:rsidRPr="00D8017D" w14:paraId="7FDECE31" w14:textId="77777777" w:rsidTr="00FA244E">
        <w:trPr>
          <w:trHeight w:val="20"/>
          <w:tblHeader/>
          <w:jc w:val="center"/>
        </w:trPr>
        <w:tc>
          <w:tcPr>
            <w:tcW w:w="4112" w:type="dxa"/>
            <w:shd w:val="clear" w:color="auto" w:fill="9CC2E5" w:themeFill="accent1" w:themeFillTint="99"/>
            <w:noWrap/>
            <w:vAlign w:val="bottom"/>
            <w:hideMark/>
          </w:tcPr>
          <w:p w14:paraId="2818FA2E" w14:textId="77777777" w:rsidR="009178AB" w:rsidRPr="00D8017D" w:rsidRDefault="009178AB" w:rsidP="00713CED">
            <w:pPr>
              <w:spacing w:before="60"/>
              <w:ind w:firstLine="0"/>
              <w:jc w:val="left"/>
              <w:rPr>
                <w:rFonts w:eastAsia="Times New Roman" w:cs="Times New Roman"/>
                <w:color w:val="000000" w:themeColor="text1"/>
                <w:sz w:val="20"/>
                <w:szCs w:val="20"/>
              </w:rPr>
            </w:pPr>
          </w:p>
        </w:tc>
        <w:tc>
          <w:tcPr>
            <w:tcW w:w="1134" w:type="dxa"/>
            <w:tcBorders>
              <w:bottom w:val="single" w:sz="4" w:space="0" w:color="auto"/>
            </w:tcBorders>
            <w:shd w:val="clear" w:color="auto" w:fill="9CC2E5" w:themeFill="accent1" w:themeFillTint="99"/>
          </w:tcPr>
          <w:p w14:paraId="61428336" w14:textId="77777777" w:rsidR="009178AB" w:rsidRPr="00D8017D" w:rsidRDefault="009178AB" w:rsidP="00713CED">
            <w:pPr>
              <w:spacing w:before="60"/>
              <w:ind w:firstLine="0"/>
              <w:jc w:val="center"/>
              <w:rPr>
                <w:rFonts w:eastAsia="Times New Roman" w:cs="Times New Roman"/>
                <w:color w:val="000000" w:themeColor="text1"/>
                <w:sz w:val="20"/>
                <w:szCs w:val="20"/>
              </w:rPr>
            </w:pPr>
          </w:p>
        </w:tc>
        <w:tc>
          <w:tcPr>
            <w:tcW w:w="850" w:type="dxa"/>
            <w:tcBorders>
              <w:bottom w:val="single" w:sz="4" w:space="0" w:color="auto"/>
            </w:tcBorders>
            <w:shd w:val="clear" w:color="auto" w:fill="9CC2E5" w:themeFill="accent1" w:themeFillTint="99"/>
            <w:noWrap/>
            <w:vAlign w:val="center"/>
            <w:hideMark/>
          </w:tcPr>
          <w:p w14:paraId="4FB099EA" w14:textId="77777777" w:rsidR="009178AB" w:rsidRPr="00D8017D" w:rsidRDefault="009178AB" w:rsidP="00713CED">
            <w:pPr>
              <w:spacing w:before="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2026</w:t>
            </w:r>
          </w:p>
        </w:tc>
        <w:tc>
          <w:tcPr>
            <w:tcW w:w="851" w:type="dxa"/>
            <w:tcBorders>
              <w:bottom w:val="single" w:sz="4" w:space="0" w:color="auto"/>
            </w:tcBorders>
            <w:shd w:val="clear" w:color="auto" w:fill="9CC2E5" w:themeFill="accent1" w:themeFillTint="99"/>
            <w:noWrap/>
            <w:vAlign w:val="center"/>
            <w:hideMark/>
          </w:tcPr>
          <w:p w14:paraId="450D840B" w14:textId="77777777" w:rsidR="009178AB" w:rsidRPr="00D8017D" w:rsidRDefault="009178AB" w:rsidP="00713CED">
            <w:pPr>
              <w:spacing w:before="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2027</w:t>
            </w:r>
          </w:p>
        </w:tc>
        <w:tc>
          <w:tcPr>
            <w:tcW w:w="992" w:type="dxa"/>
            <w:tcBorders>
              <w:bottom w:val="single" w:sz="4" w:space="0" w:color="auto"/>
            </w:tcBorders>
            <w:shd w:val="clear" w:color="auto" w:fill="9CC2E5" w:themeFill="accent1" w:themeFillTint="99"/>
            <w:vAlign w:val="center"/>
          </w:tcPr>
          <w:p w14:paraId="328F7243" w14:textId="77777777" w:rsidR="009178AB" w:rsidRPr="00D8017D" w:rsidRDefault="009178AB" w:rsidP="00713CED">
            <w:pPr>
              <w:spacing w:before="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2028</w:t>
            </w:r>
          </w:p>
        </w:tc>
      </w:tr>
      <w:tr w:rsidR="009178AB" w:rsidRPr="00D8017D" w14:paraId="495C62C9" w14:textId="77777777" w:rsidTr="00FA244E">
        <w:trPr>
          <w:trHeight w:val="20"/>
          <w:jc w:val="center"/>
        </w:trPr>
        <w:tc>
          <w:tcPr>
            <w:tcW w:w="4112" w:type="dxa"/>
            <w:noWrap/>
            <w:vAlign w:val="center"/>
            <w:hideMark/>
          </w:tcPr>
          <w:p w14:paraId="21991A86" w14:textId="77777777" w:rsidR="009178AB" w:rsidRPr="00D8017D" w:rsidRDefault="009178AB" w:rsidP="00713CED">
            <w:pPr>
              <w:spacing w:before="60" w:after="60"/>
              <w:ind w:firstLine="0"/>
              <w:jc w:val="left"/>
              <w:rPr>
                <w:rFonts w:eastAsia="Times New Roman" w:cs="Times New Roman"/>
                <w:color w:val="000000" w:themeColor="text1"/>
                <w:sz w:val="20"/>
                <w:szCs w:val="20"/>
              </w:rPr>
            </w:pPr>
            <w:r w:rsidRPr="00D8017D">
              <w:rPr>
                <w:rFonts w:eastAsia="Times New Roman" w:cs="Times New Roman"/>
                <w:color w:val="000000" w:themeColor="text1"/>
                <w:sz w:val="20"/>
                <w:szCs w:val="20"/>
              </w:rPr>
              <w:t xml:space="preserve">LESD pieļaujamā nominālā bilance, </w:t>
            </w:r>
          </w:p>
          <w:p w14:paraId="099B4FBD" w14:textId="77777777" w:rsidR="009178AB" w:rsidRPr="00D8017D" w:rsidRDefault="009178AB" w:rsidP="00713CED">
            <w:pPr>
              <w:spacing w:before="60" w:after="60"/>
              <w:ind w:firstLine="0"/>
              <w:jc w:val="left"/>
              <w:rPr>
                <w:rFonts w:eastAsia="Times New Roman" w:cs="Times New Roman"/>
                <w:color w:val="000000" w:themeColor="text1"/>
                <w:sz w:val="20"/>
                <w:szCs w:val="20"/>
              </w:rPr>
            </w:pPr>
            <w:r w:rsidRPr="00D8017D">
              <w:rPr>
                <w:rFonts w:eastAsia="Times New Roman" w:cs="Times New Roman"/>
                <w:color w:val="000000" w:themeColor="text1"/>
                <w:sz w:val="20"/>
                <w:szCs w:val="20"/>
              </w:rPr>
              <w:t>% no IKP</w:t>
            </w:r>
          </w:p>
        </w:tc>
        <w:tc>
          <w:tcPr>
            <w:tcW w:w="1134" w:type="dxa"/>
            <w:vAlign w:val="center"/>
          </w:tcPr>
          <w:p w14:paraId="264EBCF6" w14:textId="77777777" w:rsidR="009178AB" w:rsidRPr="00D8017D" w:rsidRDefault="009178AB" w:rsidP="00713CED">
            <w:pPr>
              <w:spacing w:before="60" w:after="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(1)</w:t>
            </w:r>
          </w:p>
        </w:tc>
        <w:tc>
          <w:tcPr>
            <w:tcW w:w="850" w:type="dxa"/>
            <w:noWrap/>
            <w:vAlign w:val="center"/>
          </w:tcPr>
          <w:p w14:paraId="35B3DECB" w14:textId="729A97BD" w:rsidR="009178AB" w:rsidRPr="00D8017D" w:rsidRDefault="009178AB" w:rsidP="00713CED">
            <w:pPr>
              <w:spacing w:before="60" w:after="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-3,0</w:t>
            </w:r>
            <w:r w:rsidR="002A0A69">
              <w:rPr>
                <w:rFonts w:eastAsia="Times New Roman" w:cs="Times New Roman"/>
                <w:b/>
                <w:bCs/>
                <w:color w:val="000000" w:themeColor="text1"/>
                <w:sz w:val="20"/>
                <w:szCs w:val="20"/>
              </w:rPr>
              <w:t>0</w:t>
            </w:r>
          </w:p>
        </w:tc>
        <w:tc>
          <w:tcPr>
            <w:tcW w:w="851" w:type="dxa"/>
            <w:noWrap/>
            <w:vAlign w:val="center"/>
          </w:tcPr>
          <w:p w14:paraId="5076D8C7" w14:textId="6AA6CF15" w:rsidR="009178AB" w:rsidRPr="00D8017D" w:rsidRDefault="009178AB" w:rsidP="00713CED">
            <w:pPr>
              <w:spacing w:before="60" w:after="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-3,0</w:t>
            </w:r>
            <w:r w:rsidR="002A0A69">
              <w:rPr>
                <w:rFonts w:eastAsia="Times New Roman" w:cs="Times New Roman"/>
                <w:b/>
                <w:bCs/>
                <w:color w:val="000000" w:themeColor="text1"/>
                <w:sz w:val="20"/>
                <w:szCs w:val="20"/>
              </w:rPr>
              <w:t>0</w:t>
            </w:r>
          </w:p>
        </w:tc>
        <w:tc>
          <w:tcPr>
            <w:tcW w:w="992" w:type="dxa"/>
            <w:vAlign w:val="center"/>
          </w:tcPr>
          <w:p w14:paraId="7A672B9F" w14:textId="2A43C87B" w:rsidR="009178AB" w:rsidRPr="00D8017D" w:rsidRDefault="009178AB" w:rsidP="00713CED">
            <w:pPr>
              <w:spacing w:before="60" w:after="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-3,0</w:t>
            </w:r>
            <w:r w:rsidR="002A0A69">
              <w:rPr>
                <w:rFonts w:eastAsia="Times New Roman" w:cs="Times New Roman"/>
                <w:b/>
                <w:bCs/>
                <w:color w:val="000000" w:themeColor="text1"/>
                <w:sz w:val="20"/>
                <w:szCs w:val="20"/>
              </w:rPr>
              <w:t>0</w:t>
            </w:r>
          </w:p>
        </w:tc>
      </w:tr>
      <w:tr w:rsidR="00C5074D" w:rsidRPr="00D8017D" w14:paraId="078419E8" w14:textId="77777777" w:rsidTr="00FA244E">
        <w:trPr>
          <w:trHeight w:val="20"/>
          <w:jc w:val="center"/>
        </w:trPr>
        <w:tc>
          <w:tcPr>
            <w:tcW w:w="4112" w:type="dxa"/>
            <w:noWrap/>
            <w:vAlign w:val="center"/>
          </w:tcPr>
          <w:p w14:paraId="78469447" w14:textId="6D0E27DC" w:rsidR="00C5074D" w:rsidRPr="00D8017D" w:rsidRDefault="00C5074D" w:rsidP="00C5074D">
            <w:pPr>
              <w:spacing w:before="60" w:after="60"/>
              <w:ind w:firstLine="0"/>
              <w:jc w:val="left"/>
              <w:rPr>
                <w:rFonts w:eastAsia="Times New Roman" w:cs="Times New Roman"/>
                <w:b/>
                <w:bCs/>
                <w:color w:val="000000" w:themeColor="text1"/>
                <w:sz w:val="20"/>
                <w:szCs w:val="20"/>
              </w:rPr>
            </w:pPr>
            <w:r w:rsidRPr="00D8017D">
              <w:rPr>
                <w:rFonts w:eastAsia="Times New Roman" w:cs="Times New Roman"/>
                <w:sz w:val="20"/>
                <w:szCs w:val="20"/>
              </w:rPr>
              <w:t>Valsts izņēmuma klauzulas fiskālā ietekme, % no IKP</w:t>
            </w:r>
          </w:p>
        </w:tc>
        <w:tc>
          <w:tcPr>
            <w:tcW w:w="1134" w:type="dxa"/>
            <w:vAlign w:val="center"/>
          </w:tcPr>
          <w:p w14:paraId="46B37123" w14:textId="77777777" w:rsidR="00C5074D" w:rsidRPr="006F6679" w:rsidRDefault="00C5074D" w:rsidP="00C5074D">
            <w:pPr>
              <w:spacing w:before="60" w:after="60"/>
              <w:ind w:firstLine="0"/>
              <w:jc w:val="center"/>
              <w:rPr>
                <w:rFonts w:eastAsia="Times New Roman" w:cs="Times New Roman"/>
                <w:color w:val="000000" w:themeColor="text1"/>
                <w:sz w:val="20"/>
                <w:szCs w:val="20"/>
              </w:rPr>
            </w:pPr>
            <w:r w:rsidRPr="006F6679">
              <w:rPr>
                <w:rFonts w:eastAsia="Times New Roman" w:cs="Times New Roman"/>
                <w:color w:val="000000" w:themeColor="text1"/>
                <w:sz w:val="20"/>
                <w:szCs w:val="20"/>
              </w:rPr>
              <w:t>(2)</w:t>
            </w:r>
          </w:p>
        </w:tc>
        <w:tc>
          <w:tcPr>
            <w:tcW w:w="850" w:type="dxa"/>
            <w:noWrap/>
            <w:vAlign w:val="center"/>
          </w:tcPr>
          <w:p w14:paraId="6D08239A" w14:textId="2E7D5503" w:rsidR="00C5074D" w:rsidRPr="00D8017D" w:rsidRDefault="00C5074D" w:rsidP="00C5074D">
            <w:pPr>
              <w:spacing w:before="60" w:after="60"/>
              <w:ind w:firstLine="0"/>
              <w:jc w:val="center"/>
              <w:rPr>
                <w:rFonts w:eastAsia="Times New Roman" w:cs="Times New Roman"/>
                <w:b/>
                <w:bCs/>
                <w:color w:val="000000" w:themeColor="text1"/>
                <w:sz w:val="20"/>
                <w:szCs w:val="20"/>
              </w:rPr>
            </w:pPr>
            <w:r w:rsidRPr="00F66F8E">
              <w:rPr>
                <w:rFonts w:eastAsia="Times New Roman" w:cs="Times New Roman"/>
                <w:color w:val="000000"/>
                <w:sz w:val="19"/>
                <w:szCs w:val="19"/>
              </w:rPr>
              <w:t>0,2</w:t>
            </w:r>
            <w:r w:rsidR="002A0A69">
              <w:rPr>
                <w:rFonts w:eastAsia="Times New Roman" w:cs="Times New Roman"/>
                <w:color w:val="000000"/>
                <w:sz w:val="19"/>
                <w:szCs w:val="19"/>
              </w:rPr>
              <w:t>4</w:t>
            </w:r>
          </w:p>
        </w:tc>
        <w:tc>
          <w:tcPr>
            <w:tcW w:w="851" w:type="dxa"/>
            <w:noWrap/>
            <w:vAlign w:val="center"/>
          </w:tcPr>
          <w:p w14:paraId="6C4ACD9E" w14:textId="0B32E329" w:rsidR="00C5074D" w:rsidRPr="00D8017D" w:rsidRDefault="00C5074D" w:rsidP="00C5074D">
            <w:pPr>
              <w:spacing w:before="60" w:after="60"/>
              <w:ind w:firstLine="0"/>
              <w:jc w:val="center"/>
              <w:rPr>
                <w:rFonts w:eastAsia="Times New Roman" w:cs="Times New Roman"/>
                <w:b/>
                <w:bCs/>
                <w:color w:val="000000" w:themeColor="text1"/>
                <w:sz w:val="20"/>
                <w:szCs w:val="20"/>
              </w:rPr>
            </w:pPr>
            <w:r w:rsidRPr="00F66F8E">
              <w:rPr>
                <w:rFonts w:eastAsia="Times New Roman" w:cs="Times New Roman"/>
                <w:color w:val="000000"/>
                <w:sz w:val="19"/>
                <w:szCs w:val="19"/>
              </w:rPr>
              <w:t>0,97</w:t>
            </w:r>
          </w:p>
        </w:tc>
        <w:tc>
          <w:tcPr>
            <w:tcW w:w="992" w:type="dxa"/>
            <w:vAlign w:val="center"/>
          </w:tcPr>
          <w:p w14:paraId="0CBF1E36" w14:textId="0AD623DD" w:rsidR="00C5074D" w:rsidRPr="00D8017D" w:rsidRDefault="00C5074D" w:rsidP="00C5074D">
            <w:pPr>
              <w:spacing w:before="60" w:after="60"/>
              <w:ind w:firstLine="0"/>
              <w:jc w:val="center"/>
              <w:rPr>
                <w:rFonts w:eastAsia="Times New Roman" w:cs="Times New Roman"/>
                <w:b/>
                <w:bCs/>
                <w:color w:val="000000" w:themeColor="text1"/>
                <w:sz w:val="20"/>
                <w:szCs w:val="20"/>
              </w:rPr>
            </w:pPr>
            <w:r w:rsidRPr="00F66F8E">
              <w:rPr>
                <w:rFonts w:eastAsia="Times New Roman" w:cs="Times New Roman"/>
                <w:color w:val="000000"/>
                <w:sz w:val="19"/>
                <w:szCs w:val="19"/>
              </w:rPr>
              <w:t>0,8</w:t>
            </w:r>
            <w:r w:rsidR="002A0A69">
              <w:rPr>
                <w:rFonts w:eastAsia="Times New Roman" w:cs="Times New Roman"/>
                <w:color w:val="000000"/>
                <w:sz w:val="19"/>
                <w:szCs w:val="19"/>
              </w:rPr>
              <w:t>7</w:t>
            </w:r>
          </w:p>
        </w:tc>
      </w:tr>
      <w:tr w:rsidR="009178AB" w:rsidRPr="00D8017D" w14:paraId="75CC739F" w14:textId="77777777" w:rsidTr="00FA244E">
        <w:trPr>
          <w:trHeight w:val="20"/>
          <w:jc w:val="center"/>
        </w:trPr>
        <w:tc>
          <w:tcPr>
            <w:tcW w:w="4112" w:type="dxa"/>
            <w:shd w:val="clear" w:color="auto" w:fill="BDD6EE" w:themeFill="accent1" w:themeFillTint="66"/>
            <w:noWrap/>
            <w:vAlign w:val="center"/>
          </w:tcPr>
          <w:p w14:paraId="71E29FC9" w14:textId="77777777" w:rsidR="009178AB" w:rsidRPr="00D8017D" w:rsidRDefault="009178AB" w:rsidP="00713CED">
            <w:pPr>
              <w:spacing w:before="60" w:after="60"/>
              <w:ind w:firstLine="0"/>
              <w:jc w:val="left"/>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 xml:space="preserve">Vispārējās valdības budžeta nominālās bilances mērķis, </w:t>
            </w:r>
          </w:p>
          <w:p w14:paraId="1E18DF4D" w14:textId="77777777" w:rsidR="009178AB" w:rsidRPr="00D8017D" w:rsidRDefault="009178AB" w:rsidP="00713CED">
            <w:pPr>
              <w:spacing w:before="60" w:after="60"/>
              <w:ind w:firstLine="0"/>
              <w:jc w:val="left"/>
              <w:rPr>
                <w:rFonts w:eastAsia="Times New Roman" w:cs="Times New Roman"/>
                <w:b/>
                <w:bCs/>
                <w:sz w:val="20"/>
                <w:szCs w:val="20"/>
              </w:rPr>
            </w:pPr>
            <w:r w:rsidRPr="00D8017D">
              <w:rPr>
                <w:rFonts w:eastAsia="Times New Roman" w:cs="Times New Roman"/>
                <w:b/>
                <w:bCs/>
                <w:color w:val="000000" w:themeColor="text1"/>
                <w:sz w:val="20"/>
                <w:szCs w:val="20"/>
              </w:rPr>
              <w:t>% no IKP</w:t>
            </w:r>
          </w:p>
        </w:tc>
        <w:tc>
          <w:tcPr>
            <w:tcW w:w="1134" w:type="dxa"/>
            <w:shd w:val="clear" w:color="auto" w:fill="BDD6EE" w:themeFill="accent1" w:themeFillTint="66"/>
            <w:vAlign w:val="center"/>
          </w:tcPr>
          <w:p w14:paraId="3B3B5B6C" w14:textId="77777777" w:rsidR="009178AB" w:rsidRPr="00D8017D" w:rsidRDefault="009178AB" w:rsidP="00713CED">
            <w:pPr>
              <w:spacing w:before="60" w:after="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(3)=(1)-(2)</w:t>
            </w:r>
          </w:p>
        </w:tc>
        <w:tc>
          <w:tcPr>
            <w:tcW w:w="850" w:type="dxa"/>
            <w:shd w:val="clear" w:color="auto" w:fill="BDD6EE" w:themeFill="accent1" w:themeFillTint="66"/>
            <w:noWrap/>
            <w:vAlign w:val="center"/>
          </w:tcPr>
          <w:p w14:paraId="6F2F1EE4" w14:textId="1C090460" w:rsidR="009178AB" w:rsidRPr="00D8017D" w:rsidRDefault="009178AB" w:rsidP="00713CED">
            <w:pPr>
              <w:spacing w:before="60" w:after="60"/>
              <w:ind w:firstLine="0"/>
              <w:jc w:val="center"/>
              <w:rPr>
                <w:rFonts w:eastAsia="Times New Roman" w:cs="Times New Roman"/>
                <w:b/>
                <w:bCs/>
                <w:sz w:val="20"/>
                <w:szCs w:val="20"/>
              </w:rPr>
            </w:pPr>
            <w:r w:rsidRPr="00D8017D">
              <w:rPr>
                <w:rFonts w:eastAsia="Times New Roman" w:cs="Times New Roman"/>
                <w:b/>
                <w:bCs/>
                <w:sz w:val="20"/>
                <w:szCs w:val="20"/>
              </w:rPr>
              <w:t>-3,24</w:t>
            </w:r>
          </w:p>
        </w:tc>
        <w:tc>
          <w:tcPr>
            <w:tcW w:w="851" w:type="dxa"/>
            <w:shd w:val="clear" w:color="auto" w:fill="BDD6EE" w:themeFill="accent1" w:themeFillTint="66"/>
            <w:noWrap/>
            <w:vAlign w:val="center"/>
          </w:tcPr>
          <w:p w14:paraId="7DC0F6CD" w14:textId="2B9FD61C" w:rsidR="009178AB" w:rsidRPr="00D8017D" w:rsidRDefault="009178AB" w:rsidP="00713CED">
            <w:pPr>
              <w:spacing w:before="60" w:after="60"/>
              <w:ind w:firstLine="0"/>
              <w:jc w:val="center"/>
              <w:rPr>
                <w:rFonts w:eastAsia="Times New Roman" w:cs="Times New Roman"/>
                <w:b/>
                <w:bCs/>
                <w:sz w:val="20"/>
                <w:szCs w:val="20"/>
              </w:rPr>
            </w:pPr>
            <w:r w:rsidRPr="00D8017D">
              <w:rPr>
                <w:rFonts w:eastAsia="Times New Roman" w:cs="Times New Roman"/>
                <w:b/>
                <w:bCs/>
                <w:sz w:val="20"/>
                <w:szCs w:val="20"/>
              </w:rPr>
              <w:t>-3,97</w:t>
            </w:r>
          </w:p>
        </w:tc>
        <w:tc>
          <w:tcPr>
            <w:tcW w:w="992" w:type="dxa"/>
            <w:shd w:val="clear" w:color="auto" w:fill="BDD6EE" w:themeFill="accent1" w:themeFillTint="66"/>
            <w:vAlign w:val="center"/>
          </w:tcPr>
          <w:p w14:paraId="6EC91EEA" w14:textId="4F3A9377" w:rsidR="009178AB" w:rsidRPr="00D8017D" w:rsidRDefault="009178AB" w:rsidP="00713CED">
            <w:pPr>
              <w:spacing w:before="60" w:after="60"/>
              <w:ind w:firstLine="0"/>
              <w:jc w:val="center"/>
              <w:rPr>
                <w:rFonts w:eastAsia="Times New Roman" w:cs="Times New Roman"/>
                <w:b/>
                <w:bCs/>
                <w:sz w:val="20"/>
                <w:szCs w:val="20"/>
              </w:rPr>
            </w:pPr>
            <w:r w:rsidRPr="00D8017D">
              <w:rPr>
                <w:rFonts w:eastAsia="Times New Roman" w:cs="Times New Roman"/>
                <w:b/>
                <w:bCs/>
                <w:sz w:val="20"/>
                <w:szCs w:val="20"/>
              </w:rPr>
              <w:t>-3,8</w:t>
            </w:r>
            <w:r w:rsidR="00483B1A">
              <w:rPr>
                <w:rFonts w:eastAsia="Times New Roman" w:cs="Times New Roman"/>
                <w:b/>
                <w:bCs/>
                <w:sz w:val="20"/>
                <w:szCs w:val="20"/>
              </w:rPr>
              <w:t>7</w:t>
            </w:r>
          </w:p>
        </w:tc>
      </w:tr>
      <w:tr w:rsidR="009178AB" w:rsidRPr="00D8017D" w14:paraId="6162B2E7" w14:textId="77777777" w:rsidTr="00FA244E">
        <w:trPr>
          <w:trHeight w:val="20"/>
          <w:jc w:val="center"/>
        </w:trPr>
        <w:tc>
          <w:tcPr>
            <w:tcW w:w="4112" w:type="dxa"/>
            <w:noWrap/>
            <w:vAlign w:val="center"/>
          </w:tcPr>
          <w:p w14:paraId="425CB7D0" w14:textId="77777777" w:rsidR="009178AB" w:rsidRPr="00D8017D" w:rsidRDefault="009178AB" w:rsidP="00713CED">
            <w:pPr>
              <w:spacing w:before="60" w:after="60"/>
              <w:ind w:firstLine="0"/>
              <w:jc w:val="left"/>
              <w:rPr>
                <w:rFonts w:eastAsia="Times New Roman" w:cs="Times New Roman"/>
                <w:color w:val="000000" w:themeColor="text1"/>
                <w:sz w:val="20"/>
                <w:szCs w:val="20"/>
              </w:rPr>
            </w:pPr>
            <w:r w:rsidRPr="00D8017D">
              <w:rPr>
                <w:rFonts w:eastAsia="Times New Roman" w:cs="Times New Roman"/>
                <w:color w:val="000000" w:themeColor="text1"/>
                <w:sz w:val="20"/>
                <w:szCs w:val="20"/>
              </w:rPr>
              <w:lastRenderedPageBreak/>
              <w:t xml:space="preserve">Bilances cikliskā komponente, </w:t>
            </w:r>
          </w:p>
          <w:p w14:paraId="7A046D97" w14:textId="77777777" w:rsidR="009178AB" w:rsidRPr="00D8017D" w:rsidRDefault="009178AB" w:rsidP="00713CED">
            <w:pPr>
              <w:spacing w:before="60" w:after="60"/>
              <w:ind w:firstLine="0"/>
              <w:jc w:val="left"/>
              <w:rPr>
                <w:rFonts w:eastAsia="Times New Roman" w:cs="Times New Roman"/>
                <w:color w:val="000000" w:themeColor="text1"/>
                <w:sz w:val="20"/>
                <w:szCs w:val="20"/>
              </w:rPr>
            </w:pPr>
            <w:r w:rsidRPr="00D8017D">
              <w:rPr>
                <w:rFonts w:eastAsia="Times New Roman" w:cs="Times New Roman"/>
                <w:color w:val="000000" w:themeColor="text1"/>
                <w:sz w:val="20"/>
                <w:szCs w:val="20"/>
              </w:rPr>
              <w:t>% no IKP</w:t>
            </w:r>
          </w:p>
        </w:tc>
        <w:tc>
          <w:tcPr>
            <w:tcW w:w="1134" w:type="dxa"/>
            <w:vAlign w:val="center"/>
          </w:tcPr>
          <w:p w14:paraId="16ED418E" w14:textId="56C34959" w:rsidR="009178AB" w:rsidRPr="00D8017D" w:rsidRDefault="009178AB" w:rsidP="00713CED">
            <w:pPr>
              <w:spacing w:before="60" w:after="60"/>
              <w:ind w:firstLine="0"/>
              <w:jc w:val="center"/>
              <w:rPr>
                <w:rFonts w:cs="Times New Roman"/>
                <w:color w:val="000000" w:themeColor="text1"/>
                <w:sz w:val="20"/>
                <w:szCs w:val="20"/>
              </w:rPr>
            </w:pPr>
            <w:r w:rsidRPr="00D8017D">
              <w:rPr>
                <w:rFonts w:cs="Times New Roman"/>
                <w:color w:val="000000" w:themeColor="text1"/>
                <w:sz w:val="20"/>
                <w:szCs w:val="20"/>
              </w:rPr>
              <w:t>(</w:t>
            </w:r>
            <w:r w:rsidR="00D23B0A">
              <w:rPr>
                <w:rFonts w:cs="Times New Roman"/>
                <w:color w:val="000000" w:themeColor="text1"/>
                <w:sz w:val="20"/>
                <w:szCs w:val="20"/>
              </w:rPr>
              <w:t>4</w:t>
            </w:r>
            <w:r w:rsidRPr="00D8017D">
              <w:rPr>
                <w:rFonts w:cs="Times New Roman"/>
                <w:color w:val="000000" w:themeColor="text1"/>
                <w:sz w:val="20"/>
                <w:szCs w:val="20"/>
              </w:rPr>
              <w:t>)</w:t>
            </w:r>
          </w:p>
        </w:tc>
        <w:tc>
          <w:tcPr>
            <w:tcW w:w="850" w:type="dxa"/>
            <w:tcBorders>
              <w:top w:val="single" w:sz="4" w:space="0" w:color="auto"/>
              <w:left w:val="nil"/>
              <w:bottom w:val="single" w:sz="4" w:space="0" w:color="auto"/>
              <w:right w:val="single" w:sz="4" w:space="0" w:color="auto"/>
            </w:tcBorders>
            <w:noWrap/>
            <w:vAlign w:val="center"/>
          </w:tcPr>
          <w:p w14:paraId="26F89644" w14:textId="05D7549E" w:rsidR="009178AB" w:rsidRPr="00D8017D" w:rsidRDefault="009178AB" w:rsidP="00713CED">
            <w:pPr>
              <w:spacing w:before="60" w:after="60"/>
              <w:ind w:firstLine="0"/>
              <w:jc w:val="center"/>
              <w:rPr>
                <w:rFonts w:cs="Times New Roman"/>
                <w:color w:val="000000" w:themeColor="text1"/>
                <w:sz w:val="20"/>
                <w:szCs w:val="20"/>
              </w:rPr>
            </w:pPr>
            <w:r w:rsidRPr="00D8017D">
              <w:rPr>
                <w:rFonts w:cs="Times New Roman"/>
                <w:color w:val="000000" w:themeColor="text1"/>
                <w:sz w:val="20"/>
                <w:szCs w:val="20"/>
              </w:rPr>
              <w:t>-0,3</w:t>
            </w:r>
            <w:r w:rsidR="00483B1A">
              <w:rPr>
                <w:rFonts w:cs="Times New Roman"/>
                <w:color w:val="000000" w:themeColor="text1"/>
                <w:sz w:val="20"/>
                <w:szCs w:val="20"/>
              </w:rPr>
              <w:t>3</w:t>
            </w:r>
          </w:p>
        </w:tc>
        <w:tc>
          <w:tcPr>
            <w:tcW w:w="851" w:type="dxa"/>
            <w:tcBorders>
              <w:top w:val="single" w:sz="4" w:space="0" w:color="auto"/>
              <w:left w:val="single" w:sz="4" w:space="0" w:color="auto"/>
              <w:bottom w:val="single" w:sz="4" w:space="0" w:color="auto"/>
              <w:right w:val="single" w:sz="4" w:space="0" w:color="auto"/>
            </w:tcBorders>
            <w:noWrap/>
            <w:vAlign w:val="center"/>
          </w:tcPr>
          <w:p w14:paraId="29A97297" w14:textId="013A309F" w:rsidR="009178AB" w:rsidRPr="00D8017D" w:rsidRDefault="009178AB" w:rsidP="00713CED">
            <w:pPr>
              <w:spacing w:before="60" w:after="60"/>
              <w:ind w:firstLine="0"/>
              <w:jc w:val="center"/>
              <w:rPr>
                <w:rFonts w:cs="Times New Roman"/>
                <w:color w:val="000000" w:themeColor="text1"/>
                <w:sz w:val="20"/>
                <w:szCs w:val="20"/>
              </w:rPr>
            </w:pPr>
            <w:r w:rsidRPr="00D8017D">
              <w:rPr>
                <w:rFonts w:cs="Times New Roman"/>
                <w:color w:val="000000" w:themeColor="text1"/>
                <w:sz w:val="20"/>
                <w:szCs w:val="20"/>
              </w:rPr>
              <w:t>-0,</w:t>
            </w:r>
            <w:r w:rsidR="00483B1A">
              <w:rPr>
                <w:rFonts w:cs="Times New Roman"/>
                <w:color w:val="000000" w:themeColor="text1"/>
                <w:sz w:val="20"/>
                <w:szCs w:val="20"/>
              </w:rPr>
              <w:t>18</w:t>
            </w:r>
          </w:p>
        </w:tc>
        <w:tc>
          <w:tcPr>
            <w:tcW w:w="992" w:type="dxa"/>
            <w:tcBorders>
              <w:top w:val="single" w:sz="4" w:space="0" w:color="auto"/>
              <w:left w:val="single" w:sz="4" w:space="0" w:color="auto"/>
              <w:bottom w:val="single" w:sz="4" w:space="0" w:color="auto"/>
              <w:right w:val="single" w:sz="4" w:space="0" w:color="auto"/>
            </w:tcBorders>
            <w:vAlign w:val="center"/>
          </w:tcPr>
          <w:p w14:paraId="649DD40F" w14:textId="228143A1" w:rsidR="009178AB" w:rsidRPr="00D8017D" w:rsidRDefault="009178AB" w:rsidP="00713CED">
            <w:pPr>
              <w:spacing w:before="60" w:after="60"/>
              <w:ind w:firstLine="0"/>
              <w:jc w:val="center"/>
              <w:rPr>
                <w:rFonts w:cs="Times New Roman"/>
                <w:color w:val="000000" w:themeColor="text1"/>
                <w:sz w:val="20"/>
                <w:szCs w:val="20"/>
              </w:rPr>
            </w:pPr>
            <w:r w:rsidRPr="00D8017D">
              <w:rPr>
                <w:rFonts w:cs="Times New Roman"/>
                <w:color w:val="000000" w:themeColor="text1"/>
                <w:sz w:val="20"/>
                <w:szCs w:val="20"/>
              </w:rPr>
              <w:t>-0,</w:t>
            </w:r>
            <w:r w:rsidR="00483B1A">
              <w:rPr>
                <w:rFonts w:cs="Times New Roman"/>
                <w:color w:val="000000" w:themeColor="text1"/>
                <w:sz w:val="20"/>
                <w:szCs w:val="20"/>
              </w:rPr>
              <w:t>08</w:t>
            </w:r>
          </w:p>
        </w:tc>
      </w:tr>
      <w:tr w:rsidR="009178AB" w:rsidRPr="00D8017D" w14:paraId="718B5E0C" w14:textId="77777777" w:rsidTr="00FA244E">
        <w:trPr>
          <w:trHeight w:val="20"/>
          <w:jc w:val="center"/>
        </w:trPr>
        <w:tc>
          <w:tcPr>
            <w:tcW w:w="4112" w:type="dxa"/>
            <w:noWrap/>
            <w:vAlign w:val="center"/>
          </w:tcPr>
          <w:p w14:paraId="22763611" w14:textId="77777777" w:rsidR="009178AB" w:rsidRPr="00D8017D" w:rsidRDefault="009178AB" w:rsidP="00713CED">
            <w:pPr>
              <w:spacing w:before="60" w:after="60"/>
              <w:ind w:firstLine="0"/>
              <w:jc w:val="left"/>
              <w:rPr>
                <w:rFonts w:eastAsia="Times New Roman" w:cs="Times New Roman"/>
                <w:color w:val="000000" w:themeColor="text1"/>
                <w:sz w:val="20"/>
                <w:szCs w:val="20"/>
              </w:rPr>
            </w:pPr>
            <w:r w:rsidRPr="00D8017D">
              <w:rPr>
                <w:rFonts w:eastAsia="Times New Roman" w:cs="Times New Roman"/>
                <w:color w:val="000000" w:themeColor="text1"/>
                <w:sz w:val="20"/>
                <w:szCs w:val="20"/>
              </w:rPr>
              <w:t>Vienreizējie pasākumi, % no IKP</w:t>
            </w:r>
          </w:p>
        </w:tc>
        <w:tc>
          <w:tcPr>
            <w:tcW w:w="1134" w:type="dxa"/>
            <w:vAlign w:val="center"/>
          </w:tcPr>
          <w:p w14:paraId="2C04DE1A" w14:textId="1050D8A4" w:rsidR="009178AB" w:rsidRPr="00D8017D" w:rsidRDefault="009178AB" w:rsidP="00713CED">
            <w:pPr>
              <w:spacing w:before="60" w:after="60"/>
              <w:ind w:firstLine="0"/>
              <w:jc w:val="center"/>
              <w:rPr>
                <w:rFonts w:cs="Times New Roman"/>
                <w:color w:val="000000" w:themeColor="text1"/>
                <w:sz w:val="20"/>
                <w:szCs w:val="20"/>
              </w:rPr>
            </w:pPr>
            <w:r w:rsidRPr="00D8017D">
              <w:rPr>
                <w:rFonts w:cs="Times New Roman"/>
                <w:color w:val="000000" w:themeColor="text1"/>
                <w:sz w:val="20"/>
                <w:szCs w:val="20"/>
              </w:rPr>
              <w:t>(</w:t>
            </w:r>
            <w:r w:rsidR="00D23B0A">
              <w:rPr>
                <w:rFonts w:cs="Times New Roman"/>
                <w:color w:val="000000" w:themeColor="text1"/>
                <w:sz w:val="20"/>
                <w:szCs w:val="20"/>
              </w:rPr>
              <w:t>5</w:t>
            </w:r>
            <w:r w:rsidRPr="00D8017D">
              <w:rPr>
                <w:rFonts w:cs="Times New Roman"/>
                <w:color w:val="000000" w:themeColor="text1"/>
                <w:sz w:val="20"/>
                <w:szCs w:val="20"/>
              </w:rPr>
              <w:t>)</w:t>
            </w:r>
          </w:p>
        </w:tc>
        <w:tc>
          <w:tcPr>
            <w:tcW w:w="850" w:type="dxa"/>
            <w:tcBorders>
              <w:top w:val="single" w:sz="4" w:space="0" w:color="auto"/>
              <w:left w:val="nil"/>
              <w:bottom w:val="single" w:sz="4" w:space="0" w:color="auto"/>
              <w:right w:val="single" w:sz="4" w:space="0" w:color="auto"/>
            </w:tcBorders>
            <w:noWrap/>
            <w:vAlign w:val="center"/>
          </w:tcPr>
          <w:p w14:paraId="51C96090" w14:textId="39D43FBE" w:rsidR="009178AB" w:rsidRPr="00D8017D" w:rsidRDefault="009178AB" w:rsidP="00713CED">
            <w:pPr>
              <w:spacing w:before="60" w:after="60"/>
              <w:ind w:firstLine="0"/>
              <w:jc w:val="center"/>
              <w:rPr>
                <w:rFonts w:cs="Times New Roman"/>
                <w:color w:val="000000" w:themeColor="text1"/>
                <w:sz w:val="20"/>
                <w:szCs w:val="20"/>
              </w:rPr>
            </w:pPr>
            <w:r w:rsidRPr="00D8017D">
              <w:rPr>
                <w:rFonts w:eastAsia="Times New Roman" w:cs="Times New Roman"/>
                <w:sz w:val="20"/>
                <w:szCs w:val="20"/>
              </w:rPr>
              <w:t>-1,6</w:t>
            </w:r>
            <w:r w:rsidR="00DD635D">
              <w:rPr>
                <w:rFonts w:eastAsia="Times New Roman" w:cs="Times New Roman"/>
                <w:sz w:val="20"/>
                <w:szCs w:val="20"/>
              </w:rPr>
              <w:t>4</w:t>
            </w:r>
          </w:p>
        </w:tc>
        <w:tc>
          <w:tcPr>
            <w:tcW w:w="851" w:type="dxa"/>
            <w:tcBorders>
              <w:top w:val="single" w:sz="4" w:space="0" w:color="auto"/>
              <w:left w:val="single" w:sz="4" w:space="0" w:color="auto"/>
              <w:bottom w:val="single" w:sz="4" w:space="0" w:color="auto"/>
              <w:right w:val="single" w:sz="4" w:space="0" w:color="auto"/>
            </w:tcBorders>
            <w:noWrap/>
            <w:vAlign w:val="center"/>
          </w:tcPr>
          <w:p w14:paraId="358A5B57" w14:textId="1B3BC040" w:rsidR="009178AB" w:rsidRPr="00D8017D" w:rsidRDefault="009178AB" w:rsidP="00713CED">
            <w:pPr>
              <w:spacing w:before="60" w:after="60"/>
              <w:ind w:firstLine="0"/>
              <w:jc w:val="center"/>
              <w:rPr>
                <w:rFonts w:cs="Times New Roman"/>
                <w:color w:val="000000" w:themeColor="text1"/>
                <w:sz w:val="20"/>
                <w:szCs w:val="20"/>
              </w:rPr>
            </w:pPr>
            <w:r w:rsidRPr="00D8017D">
              <w:rPr>
                <w:rFonts w:eastAsia="Times New Roman" w:cs="Times New Roman"/>
                <w:sz w:val="20"/>
                <w:szCs w:val="20"/>
              </w:rPr>
              <w:t>-1,</w:t>
            </w:r>
            <w:r w:rsidR="00DD635D">
              <w:rPr>
                <w:rFonts w:eastAsia="Times New Roman" w:cs="Times New Roman"/>
                <w:sz w:val="20"/>
                <w:szCs w:val="20"/>
              </w:rPr>
              <w:t>69</w:t>
            </w:r>
          </w:p>
        </w:tc>
        <w:tc>
          <w:tcPr>
            <w:tcW w:w="992" w:type="dxa"/>
            <w:tcBorders>
              <w:top w:val="single" w:sz="4" w:space="0" w:color="auto"/>
              <w:left w:val="single" w:sz="4" w:space="0" w:color="auto"/>
              <w:bottom w:val="single" w:sz="4" w:space="0" w:color="auto"/>
              <w:right w:val="single" w:sz="4" w:space="0" w:color="auto"/>
            </w:tcBorders>
            <w:vAlign w:val="center"/>
          </w:tcPr>
          <w:p w14:paraId="17DEE915" w14:textId="34AF1AF2" w:rsidR="009178AB" w:rsidRPr="00D8017D" w:rsidRDefault="009178AB" w:rsidP="00713CED">
            <w:pPr>
              <w:spacing w:before="60" w:after="60"/>
              <w:ind w:firstLine="0"/>
              <w:jc w:val="center"/>
              <w:rPr>
                <w:rFonts w:cs="Times New Roman"/>
                <w:color w:val="000000" w:themeColor="text1"/>
                <w:sz w:val="20"/>
                <w:szCs w:val="20"/>
              </w:rPr>
            </w:pPr>
            <w:r w:rsidRPr="00D8017D">
              <w:rPr>
                <w:rFonts w:eastAsia="Times New Roman" w:cs="Times New Roman"/>
                <w:sz w:val="20"/>
                <w:szCs w:val="20"/>
              </w:rPr>
              <w:t>-1,</w:t>
            </w:r>
            <w:r w:rsidR="00DD635D">
              <w:rPr>
                <w:rFonts w:eastAsia="Times New Roman" w:cs="Times New Roman"/>
                <w:sz w:val="20"/>
                <w:szCs w:val="20"/>
              </w:rPr>
              <w:t>59</w:t>
            </w:r>
          </w:p>
        </w:tc>
      </w:tr>
      <w:tr w:rsidR="009178AB" w:rsidRPr="00D8017D" w14:paraId="0FEC1BDB" w14:textId="77777777" w:rsidTr="00FA244E">
        <w:trPr>
          <w:trHeight w:val="20"/>
          <w:jc w:val="center"/>
        </w:trPr>
        <w:tc>
          <w:tcPr>
            <w:tcW w:w="4112" w:type="dxa"/>
            <w:shd w:val="clear" w:color="auto" w:fill="BDD6EE" w:themeFill="accent1" w:themeFillTint="66"/>
            <w:noWrap/>
            <w:vAlign w:val="center"/>
          </w:tcPr>
          <w:p w14:paraId="4B9AF2B8" w14:textId="279E043D" w:rsidR="009178AB" w:rsidRPr="00D8017D" w:rsidRDefault="009178AB" w:rsidP="00713CED">
            <w:pPr>
              <w:spacing w:before="60" w:after="60"/>
              <w:ind w:firstLine="0"/>
              <w:jc w:val="left"/>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Vispārējās valdības budžeta strukturālās bilances mērķis, % no IKP</w:t>
            </w:r>
          </w:p>
        </w:tc>
        <w:tc>
          <w:tcPr>
            <w:tcW w:w="1134" w:type="dxa"/>
            <w:tcBorders>
              <w:top w:val="single" w:sz="4" w:space="0" w:color="auto"/>
              <w:bottom w:val="single" w:sz="4" w:space="0" w:color="auto"/>
              <w:right w:val="single" w:sz="4" w:space="0" w:color="auto"/>
            </w:tcBorders>
            <w:shd w:val="clear" w:color="auto" w:fill="BDD6EE" w:themeFill="accent1" w:themeFillTint="66"/>
            <w:vAlign w:val="center"/>
          </w:tcPr>
          <w:p w14:paraId="125E551D" w14:textId="10D41264" w:rsidR="009178AB" w:rsidRPr="00D8017D" w:rsidRDefault="009178AB" w:rsidP="00713CED">
            <w:pPr>
              <w:spacing w:before="60" w:after="60"/>
              <w:ind w:firstLine="0"/>
              <w:jc w:val="center"/>
              <w:rPr>
                <w:rFonts w:cs="Times New Roman"/>
                <w:b/>
                <w:bCs/>
                <w:color w:val="000000" w:themeColor="text1"/>
                <w:sz w:val="20"/>
                <w:szCs w:val="20"/>
              </w:rPr>
            </w:pPr>
            <w:r w:rsidRPr="00D8017D">
              <w:rPr>
                <w:rFonts w:cs="Times New Roman"/>
                <w:b/>
                <w:bCs/>
                <w:color w:val="000000" w:themeColor="text1"/>
                <w:sz w:val="20"/>
                <w:szCs w:val="20"/>
              </w:rPr>
              <w:t>(</w:t>
            </w:r>
            <w:r w:rsidR="00D23B0A">
              <w:rPr>
                <w:rFonts w:cs="Times New Roman"/>
                <w:b/>
                <w:bCs/>
                <w:color w:val="000000" w:themeColor="text1"/>
                <w:sz w:val="20"/>
                <w:szCs w:val="20"/>
              </w:rPr>
              <w:t>6</w:t>
            </w:r>
            <w:r w:rsidRPr="00D8017D">
              <w:rPr>
                <w:rFonts w:cs="Times New Roman"/>
                <w:b/>
                <w:bCs/>
                <w:color w:val="000000" w:themeColor="text1"/>
                <w:sz w:val="20"/>
                <w:szCs w:val="20"/>
              </w:rPr>
              <w:t>)=(</w:t>
            </w:r>
            <w:r w:rsidR="00D23B0A">
              <w:rPr>
                <w:rFonts w:cs="Times New Roman"/>
                <w:b/>
                <w:bCs/>
                <w:color w:val="000000" w:themeColor="text1"/>
                <w:sz w:val="20"/>
                <w:szCs w:val="20"/>
              </w:rPr>
              <w:t>3</w:t>
            </w:r>
            <w:r w:rsidRPr="00D8017D">
              <w:rPr>
                <w:rFonts w:cs="Times New Roman"/>
                <w:b/>
                <w:bCs/>
                <w:color w:val="000000" w:themeColor="text1"/>
                <w:sz w:val="20"/>
                <w:szCs w:val="20"/>
              </w:rPr>
              <w:t>)-(</w:t>
            </w:r>
            <w:r w:rsidR="00D23B0A">
              <w:rPr>
                <w:rFonts w:cs="Times New Roman"/>
                <w:b/>
                <w:bCs/>
                <w:color w:val="000000" w:themeColor="text1"/>
                <w:sz w:val="20"/>
                <w:szCs w:val="20"/>
              </w:rPr>
              <w:t>4</w:t>
            </w:r>
            <w:r w:rsidRPr="00D8017D">
              <w:rPr>
                <w:rFonts w:cs="Times New Roman"/>
                <w:b/>
                <w:bCs/>
                <w:color w:val="000000" w:themeColor="text1"/>
                <w:sz w:val="20"/>
                <w:szCs w:val="20"/>
              </w:rPr>
              <w:t>)-(</w:t>
            </w:r>
            <w:r w:rsidR="00D23B0A">
              <w:rPr>
                <w:rFonts w:cs="Times New Roman"/>
                <w:b/>
                <w:bCs/>
                <w:color w:val="000000" w:themeColor="text1"/>
                <w:sz w:val="20"/>
                <w:szCs w:val="20"/>
              </w:rPr>
              <w:t>5</w:t>
            </w:r>
            <w:r w:rsidRPr="00D8017D">
              <w:rPr>
                <w:rFonts w:cs="Times New Roman"/>
                <w:b/>
                <w:bCs/>
                <w:color w:val="000000" w:themeColor="text1"/>
                <w:sz w:val="20"/>
                <w:szCs w:val="20"/>
              </w:rPr>
              <w:t>)</w:t>
            </w:r>
          </w:p>
        </w:tc>
        <w:tc>
          <w:tcPr>
            <w:tcW w:w="850"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47F3EBF6" w14:textId="06A779FC" w:rsidR="009178AB" w:rsidRPr="00D8017D" w:rsidRDefault="009178AB" w:rsidP="00713CED">
            <w:pPr>
              <w:spacing w:before="60" w:after="60"/>
              <w:ind w:firstLine="0"/>
              <w:jc w:val="center"/>
              <w:rPr>
                <w:rFonts w:cs="Times New Roman"/>
                <w:b/>
                <w:bCs/>
                <w:color w:val="000000" w:themeColor="text1"/>
                <w:sz w:val="20"/>
                <w:szCs w:val="20"/>
              </w:rPr>
            </w:pPr>
            <w:r w:rsidRPr="00D8017D">
              <w:rPr>
                <w:rFonts w:cs="Times New Roman"/>
                <w:b/>
                <w:bCs/>
                <w:color w:val="000000" w:themeColor="text1"/>
                <w:sz w:val="20"/>
                <w:szCs w:val="20"/>
              </w:rPr>
              <w:t>-1,28</w:t>
            </w:r>
          </w:p>
        </w:tc>
        <w:tc>
          <w:tcPr>
            <w:tcW w:w="851"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73B01F92" w14:textId="0DA77798" w:rsidR="009178AB" w:rsidRPr="00D8017D" w:rsidRDefault="009178AB" w:rsidP="00713CED">
            <w:pPr>
              <w:spacing w:before="60" w:after="60"/>
              <w:ind w:firstLine="0"/>
              <w:jc w:val="center"/>
              <w:rPr>
                <w:rFonts w:cs="Times New Roman"/>
                <w:b/>
                <w:bCs/>
                <w:color w:val="000000" w:themeColor="text1"/>
                <w:sz w:val="20"/>
                <w:szCs w:val="20"/>
              </w:rPr>
            </w:pPr>
            <w:r w:rsidRPr="00D8017D">
              <w:rPr>
                <w:rFonts w:cs="Times New Roman"/>
                <w:b/>
                <w:bCs/>
                <w:color w:val="000000" w:themeColor="text1"/>
                <w:sz w:val="20"/>
                <w:szCs w:val="20"/>
              </w:rPr>
              <w:t>-2,</w:t>
            </w:r>
            <w:r w:rsidR="00DD635D">
              <w:rPr>
                <w:rFonts w:cs="Times New Roman"/>
                <w:b/>
                <w:bCs/>
                <w:color w:val="000000" w:themeColor="text1"/>
                <w:sz w:val="20"/>
                <w:szCs w:val="20"/>
              </w:rPr>
              <w:t>10</w:t>
            </w:r>
          </w:p>
        </w:tc>
        <w:tc>
          <w:tcPr>
            <w:tcW w:w="99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6B810C3" w14:textId="291C6379" w:rsidR="009178AB" w:rsidRPr="00D8017D" w:rsidRDefault="009178AB" w:rsidP="00713CED">
            <w:pPr>
              <w:spacing w:before="60" w:after="60"/>
              <w:ind w:firstLine="0"/>
              <w:jc w:val="center"/>
              <w:rPr>
                <w:rFonts w:cs="Times New Roman"/>
                <w:b/>
                <w:bCs/>
                <w:color w:val="000000" w:themeColor="text1"/>
                <w:sz w:val="20"/>
                <w:szCs w:val="20"/>
              </w:rPr>
            </w:pPr>
            <w:r w:rsidRPr="00D8017D">
              <w:rPr>
                <w:rFonts w:cs="Times New Roman"/>
                <w:b/>
                <w:bCs/>
                <w:color w:val="000000" w:themeColor="text1"/>
                <w:sz w:val="20"/>
                <w:szCs w:val="20"/>
              </w:rPr>
              <w:t>-2,19</w:t>
            </w:r>
          </w:p>
        </w:tc>
      </w:tr>
    </w:tbl>
    <w:bookmarkEnd w:id="45"/>
    <w:p w14:paraId="2C02FF55" w14:textId="77777777" w:rsidR="009178AB" w:rsidRPr="00D8017D" w:rsidRDefault="00CB177C" w:rsidP="00CF43D4">
      <w:pPr>
        <w:widowControl w:val="0"/>
        <w:spacing w:before="240"/>
        <w:rPr>
          <w:rFonts w:eastAsia="Times New Roman" w:cs="Times New Roman"/>
          <w:b/>
          <w:szCs w:val="24"/>
        </w:rPr>
      </w:pPr>
      <w:r w:rsidRPr="00D8017D">
        <w:rPr>
          <w:rFonts w:cs="Times New Roman"/>
          <w:b/>
          <w:bCs/>
          <w:szCs w:val="24"/>
        </w:rPr>
        <w:t>Strukturālās bilances mērķi</w:t>
      </w:r>
      <w:bookmarkStart w:id="46" w:name="_Hlk174011522"/>
      <w:r w:rsidR="009178AB" w:rsidRPr="00D8017D">
        <w:rPr>
          <w:rFonts w:eastAsia="Times New Roman" w:cs="Times New Roman"/>
          <w:b/>
          <w:szCs w:val="24"/>
        </w:rPr>
        <w:t>, ievērojot visus fiskālos nosacījumus</w:t>
      </w:r>
    </w:p>
    <w:p w14:paraId="78DD2633" w14:textId="4D64EA0A" w:rsidR="009178AB" w:rsidRPr="00D8017D" w:rsidRDefault="009178AB" w:rsidP="009178AB">
      <w:pPr>
        <w:rPr>
          <w:szCs w:val="20"/>
        </w:rPr>
      </w:pPr>
      <w:r w:rsidRPr="00D8017D">
        <w:rPr>
          <w:szCs w:val="20"/>
        </w:rPr>
        <w:t xml:space="preserve">Latvijas fiskālā politika tiek veidota tā, lai izpildītu visus fiskālos nosacījumus. Lai noteiktu fiskālo telpu, tiek noteikti vispārējās valdības strukturālās bilances mērķi katram ietvara gadam (tiek identificēta noteicošā strukturālā bilance). Šādā veidā nosakot pieejamo fiskālo telpu, tiek izpildīti visi fiskālie nosacījumi (skat. </w:t>
      </w:r>
      <w:r w:rsidR="008675CC">
        <w:rPr>
          <w:szCs w:val="20"/>
        </w:rPr>
        <w:t>2.</w:t>
      </w:r>
      <w:r w:rsidR="00F3710B">
        <w:rPr>
          <w:szCs w:val="20"/>
        </w:rPr>
        <w:t>7</w:t>
      </w:r>
      <w:r w:rsidRPr="00D8017D">
        <w:rPr>
          <w:szCs w:val="20"/>
        </w:rPr>
        <w:t>. tabulu).</w:t>
      </w:r>
    </w:p>
    <w:p w14:paraId="18FA44D6" w14:textId="0FA67FE6" w:rsidR="00D96F93" w:rsidRPr="00D8017D" w:rsidRDefault="008675CC" w:rsidP="008349F0">
      <w:pPr>
        <w:ind w:left="3685" w:firstLine="0"/>
        <w:jc w:val="right"/>
        <w:rPr>
          <w:rFonts w:cs="Times New Roman"/>
          <w:b/>
          <w:bCs/>
          <w:i/>
          <w:iCs/>
          <w:szCs w:val="24"/>
        </w:rPr>
      </w:pPr>
      <w:r>
        <w:rPr>
          <w:rFonts w:cs="Times New Roman"/>
          <w:b/>
          <w:bCs/>
          <w:i/>
          <w:iCs/>
          <w:szCs w:val="24"/>
        </w:rPr>
        <w:t>2.</w:t>
      </w:r>
      <w:r w:rsidR="00B248BA">
        <w:rPr>
          <w:rFonts w:cs="Times New Roman"/>
          <w:b/>
          <w:bCs/>
          <w:i/>
          <w:iCs/>
          <w:szCs w:val="24"/>
        </w:rPr>
        <w:t>7</w:t>
      </w:r>
      <w:r w:rsidR="005C63FF" w:rsidRPr="00D8017D">
        <w:rPr>
          <w:rFonts w:cs="Times New Roman"/>
          <w:b/>
          <w:bCs/>
          <w:i/>
          <w:iCs/>
          <w:szCs w:val="24"/>
        </w:rPr>
        <w:t>.</w:t>
      </w:r>
      <w:r w:rsidR="00D50DB0" w:rsidRPr="00D8017D">
        <w:rPr>
          <w:rFonts w:cs="Times New Roman"/>
          <w:b/>
          <w:bCs/>
          <w:i/>
          <w:iCs/>
          <w:szCs w:val="24"/>
        </w:rPr>
        <w:t xml:space="preserve"> </w:t>
      </w:r>
      <w:r w:rsidR="00D96F93" w:rsidRPr="00D8017D">
        <w:rPr>
          <w:rFonts w:cs="Times New Roman"/>
          <w:b/>
          <w:bCs/>
          <w:i/>
          <w:iCs/>
          <w:szCs w:val="24"/>
        </w:rPr>
        <w:t xml:space="preserve">tabula. </w:t>
      </w:r>
      <w:r w:rsidR="009178AB" w:rsidRPr="00D8017D">
        <w:rPr>
          <w:rFonts w:cs="Times New Roman"/>
          <w:b/>
          <w:bCs/>
          <w:i/>
          <w:iCs/>
          <w:szCs w:val="24"/>
        </w:rPr>
        <w:t>Noteicošais</w:t>
      </w:r>
      <w:r w:rsidR="00D96F93" w:rsidRPr="00D8017D">
        <w:rPr>
          <w:rFonts w:cs="Times New Roman"/>
          <w:b/>
          <w:bCs/>
          <w:i/>
          <w:iCs/>
          <w:szCs w:val="24"/>
        </w:rPr>
        <w:t xml:space="preserve"> fiskālais nosacījums</w:t>
      </w:r>
    </w:p>
    <w:tbl>
      <w:tblPr>
        <w:tblW w:w="8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2"/>
        <w:gridCol w:w="1947"/>
        <w:gridCol w:w="1068"/>
        <w:gridCol w:w="1068"/>
        <w:gridCol w:w="1069"/>
      </w:tblGrid>
      <w:tr w:rsidR="00825D14" w:rsidRPr="00D8017D" w14:paraId="7F9F8860" w14:textId="77777777" w:rsidTr="00106477">
        <w:trPr>
          <w:trHeight w:val="20"/>
          <w:tblHeader/>
          <w:jc w:val="center"/>
        </w:trPr>
        <w:tc>
          <w:tcPr>
            <w:tcW w:w="3362" w:type="dxa"/>
            <w:shd w:val="clear" w:color="auto" w:fill="9CC2E5" w:themeFill="accent1" w:themeFillTint="99"/>
            <w:vAlign w:val="bottom"/>
            <w:hideMark/>
          </w:tcPr>
          <w:p w14:paraId="75F817F9" w14:textId="77777777" w:rsidR="00825D14" w:rsidRPr="00D8017D" w:rsidRDefault="00825D14" w:rsidP="008349F0">
            <w:pPr>
              <w:spacing w:before="60" w:after="0"/>
              <w:ind w:firstLine="0"/>
              <w:jc w:val="left"/>
              <w:rPr>
                <w:rFonts w:eastAsia="Times New Roman" w:cs="Times New Roman"/>
                <w:color w:val="000000"/>
                <w:sz w:val="18"/>
                <w:szCs w:val="18"/>
              </w:rPr>
            </w:pPr>
            <w:r w:rsidRPr="00D8017D">
              <w:rPr>
                <w:rFonts w:eastAsia="Times New Roman" w:cs="Times New Roman"/>
                <w:color w:val="000000"/>
                <w:sz w:val="18"/>
                <w:szCs w:val="18"/>
              </w:rPr>
              <w:t> </w:t>
            </w:r>
          </w:p>
        </w:tc>
        <w:tc>
          <w:tcPr>
            <w:tcW w:w="1947" w:type="dxa"/>
            <w:shd w:val="clear" w:color="auto" w:fill="9CC2E5" w:themeFill="accent1" w:themeFillTint="99"/>
          </w:tcPr>
          <w:p w14:paraId="47A5EB9E" w14:textId="77777777" w:rsidR="00825D14" w:rsidRPr="00D8017D" w:rsidRDefault="00825D14" w:rsidP="008349F0">
            <w:pPr>
              <w:spacing w:before="60" w:after="0"/>
              <w:ind w:firstLine="0"/>
              <w:jc w:val="center"/>
              <w:rPr>
                <w:rFonts w:eastAsia="Times New Roman" w:cs="Times New Roman"/>
                <w:b/>
                <w:bCs/>
                <w:color w:val="000000"/>
                <w:sz w:val="18"/>
                <w:szCs w:val="18"/>
              </w:rPr>
            </w:pPr>
          </w:p>
        </w:tc>
        <w:tc>
          <w:tcPr>
            <w:tcW w:w="1068" w:type="dxa"/>
            <w:shd w:val="clear" w:color="auto" w:fill="9CC2E5" w:themeFill="accent1" w:themeFillTint="99"/>
            <w:noWrap/>
            <w:vAlign w:val="center"/>
            <w:hideMark/>
          </w:tcPr>
          <w:p w14:paraId="65490D31" w14:textId="3C709F8E" w:rsidR="00825D14" w:rsidRPr="00D8017D" w:rsidRDefault="00825D14" w:rsidP="008349F0">
            <w:pPr>
              <w:spacing w:before="60" w:after="0"/>
              <w:ind w:firstLine="0"/>
              <w:jc w:val="center"/>
              <w:rPr>
                <w:rFonts w:eastAsia="Times New Roman" w:cs="Times New Roman"/>
                <w:b/>
                <w:bCs/>
                <w:color w:val="000000"/>
                <w:sz w:val="18"/>
                <w:szCs w:val="18"/>
              </w:rPr>
            </w:pPr>
            <w:r w:rsidRPr="00D8017D">
              <w:rPr>
                <w:rFonts w:eastAsia="Times New Roman" w:cs="Times New Roman"/>
                <w:b/>
                <w:bCs/>
                <w:color w:val="000000"/>
                <w:sz w:val="18"/>
                <w:szCs w:val="18"/>
              </w:rPr>
              <w:t>2026</w:t>
            </w:r>
          </w:p>
        </w:tc>
        <w:tc>
          <w:tcPr>
            <w:tcW w:w="1068" w:type="dxa"/>
            <w:shd w:val="clear" w:color="auto" w:fill="9CC2E5" w:themeFill="accent1" w:themeFillTint="99"/>
            <w:noWrap/>
            <w:vAlign w:val="center"/>
            <w:hideMark/>
          </w:tcPr>
          <w:p w14:paraId="3E8C0517" w14:textId="746BA83B" w:rsidR="00825D14" w:rsidRPr="00D8017D" w:rsidRDefault="00825D14" w:rsidP="008349F0">
            <w:pPr>
              <w:spacing w:before="60" w:after="0"/>
              <w:ind w:firstLine="0"/>
              <w:jc w:val="center"/>
              <w:rPr>
                <w:rFonts w:eastAsia="Times New Roman" w:cs="Times New Roman"/>
                <w:b/>
                <w:bCs/>
                <w:color w:val="000000"/>
                <w:sz w:val="18"/>
                <w:szCs w:val="18"/>
              </w:rPr>
            </w:pPr>
            <w:r w:rsidRPr="00D8017D">
              <w:rPr>
                <w:rFonts w:eastAsia="Times New Roman" w:cs="Times New Roman"/>
                <w:b/>
                <w:bCs/>
                <w:color w:val="000000"/>
                <w:sz w:val="18"/>
                <w:szCs w:val="18"/>
              </w:rPr>
              <w:t>2027</w:t>
            </w:r>
          </w:p>
        </w:tc>
        <w:tc>
          <w:tcPr>
            <w:tcW w:w="1069" w:type="dxa"/>
            <w:shd w:val="clear" w:color="auto" w:fill="9CC2E5" w:themeFill="accent1" w:themeFillTint="99"/>
            <w:vAlign w:val="center"/>
          </w:tcPr>
          <w:p w14:paraId="1CAC199A" w14:textId="67295473" w:rsidR="00825D14" w:rsidRPr="00D8017D" w:rsidRDefault="00825D14" w:rsidP="008349F0">
            <w:pPr>
              <w:spacing w:before="60" w:after="0"/>
              <w:ind w:firstLine="0"/>
              <w:jc w:val="center"/>
              <w:rPr>
                <w:rFonts w:eastAsia="Times New Roman" w:cs="Times New Roman"/>
                <w:b/>
                <w:bCs/>
                <w:color w:val="000000"/>
                <w:sz w:val="18"/>
                <w:szCs w:val="18"/>
              </w:rPr>
            </w:pPr>
            <w:r w:rsidRPr="00D8017D">
              <w:rPr>
                <w:rFonts w:eastAsia="Times New Roman" w:cs="Times New Roman"/>
                <w:b/>
                <w:bCs/>
                <w:color w:val="000000"/>
                <w:sz w:val="18"/>
                <w:szCs w:val="18"/>
              </w:rPr>
              <w:t>2028</w:t>
            </w:r>
          </w:p>
        </w:tc>
      </w:tr>
      <w:tr w:rsidR="00825D14" w:rsidRPr="00825D14" w14:paraId="75868FAC" w14:textId="77777777" w:rsidTr="00825D14">
        <w:trPr>
          <w:trHeight w:val="20"/>
          <w:jc w:val="center"/>
        </w:trPr>
        <w:tc>
          <w:tcPr>
            <w:tcW w:w="3362" w:type="dxa"/>
            <w:vAlign w:val="center"/>
          </w:tcPr>
          <w:p w14:paraId="263FD3D9" w14:textId="0E02AA56" w:rsidR="00825D14" w:rsidRPr="005B6D25" w:rsidRDefault="00825D14" w:rsidP="00825D14">
            <w:pPr>
              <w:spacing w:before="60" w:after="0"/>
              <w:ind w:firstLine="0"/>
              <w:jc w:val="left"/>
              <w:rPr>
                <w:rFonts w:eastAsia="Times New Roman" w:cs="Times New Roman"/>
                <w:color w:val="000000"/>
                <w:sz w:val="20"/>
                <w:szCs w:val="20"/>
              </w:rPr>
            </w:pPr>
            <w:r w:rsidRPr="005B6D25">
              <w:rPr>
                <w:rFonts w:eastAsia="Times New Roman" w:cs="Times New Roman"/>
                <w:color w:val="000000"/>
                <w:sz w:val="20"/>
                <w:szCs w:val="20"/>
              </w:rPr>
              <w:t>FDL strukturālās bilances nosacījums, % no IKP</w:t>
            </w:r>
          </w:p>
        </w:tc>
        <w:tc>
          <w:tcPr>
            <w:tcW w:w="1947" w:type="dxa"/>
            <w:vAlign w:val="center"/>
          </w:tcPr>
          <w:p w14:paraId="797414F5" w14:textId="2025CAC1" w:rsidR="00825D14" w:rsidRPr="006F6679" w:rsidRDefault="00825D14" w:rsidP="00825D14">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(1)</w:t>
            </w:r>
          </w:p>
        </w:tc>
        <w:tc>
          <w:tcPr>
            <w:tcW w:w="1068" w:type="dxa"/>
            <w:noWrap/>
            <w:vAlign w:val="center"/>
          </w:tcPr>
          <w:p w14:paraId="44F328C9" w14:textId="64DFFFA4" w:rsidR="00825D14" w:rsidRPr="005B6D25" w:rsidRDefault="00825D14" w:rsidP="00825D14">
            <w:pPr>
              <w:spacing w:before="60" w:after="0"/>
              <w:ind w:firstLine="0"/>
              <w:jc w:val="center"/>
              <w:rPr>
                <w:rFonts w:eastAsia="Times New Roman" w:cs="Times New Roman"/>
                <w:b/>
                <w:bCs/>
                <w:color w:val="000000"/>
                <w:sz w:val="20"/>
                <w:szCs w:val="20"/>
              </w:rPr>
            </w:pPr>
            <w:r w:rsidRPr="005B6D25">
              <w:rPr>
                <w:rFonts w:eastAsia="Times New Roman" w:cs="Times New Roman"/>
                <w:color w:val="000000"/>
                <w:sz w:val="20"/>
                <w:szCs w:val="20"/>
              </w:rPr>
              <w:t>-1,24</w:t>
            </w:r>
          </w:p>
        </w:tc>
        <w:tc>
          <w:tcPr>
            <w:tcW w:w="1068" w:type="dxa"/>
            <w:noWrap/>
            <w:vAlign w:val="center"/>
          </w:tcPr>
          <w:p w14:paraId="3F707ADD" w14:textId="005F12E5" w:rsidR="00825D14" w:rsidRPr="005B6D25" w:rsidRDefault="00825D14" w:rsidP="00825D14">
            <w:pPr>
              <w:spacing w:before="60" w:after="0"/>
              <w:ind w:firstLine="0"/>
              <w:jc w:val="center"/>
              <w:rPr>
                <w:rFonts w:eastAsia="Times New Roman" w:cs="Times New Roman"/>
                <w:b/>
                <w:bCs/>
                <w:color w:val="000000"/>
                <w:sz w:val="20"/>
                <w:szCs w:val="20"/>
              </w:rPr>
            </w:pPr>
            <w:r w:rsidRPr="005B6D25">
              <w:rPr>
                <w:rFonts w:eastAsia="Times New Roman" w:cs="Times New Roman"/>
                <w:color w:val="000000"/>
                <w:sz w:val="20"/>
                <w:szCs w:val="20"/>
              </w:rPr>
              <w:t>-1,97</w:t>
            </w:r>
          </w:p>
        </w:tc>
        <w:tc>
          <w:tcPr>
            <w:tcW w:w="1069" w:type="dxa"/>
            <w:vAlign w:val="center"/>
          </w:tcPr>
          <w:p w14:paraId="592653F0" w14:textId="5A648646" w:rsidR="00825D14" w:rsidRPr="005B6D25" w:rsidRDefault="00825D14" w:rsidP="00825D14">
            <w:pPr>
              <w:spacing w:before="60" w:after="0"/>
              <w:ind w:firstLine="0"/>
              <w:jc w:val="center"/>
              <w:rPr>
                <w:rFonts w:eastAsia="Times New Roman" w:cs="Times New Roman"/>
                <w:b/>
                <w:bCs/>
                <w:color w:val="000000"/>
                <w:sz w:val="20"/>
                <w:szCs w:val="20"/>
              </w:rPr>
            </w:pPr>
            <w:r w:rsidRPr="005B6D25">
              <w:rPr>
                <w:rFonts w:eastAsia="Times New Roman" w:cs="Times New Roman"/>
                <w:color w:val="000000"/>
                <w:sz w:val="20"/>
                <w:szCs w:val="20"/>
              </w:rPr>
              <w:t>-1,87</w:t>
            </w:r>
          </w:p>
        </w:tc>
      </w:tr>
      <w:tr w:rsidR="00825D14" w:rsidRPr="00825D14" w14:paraId="7B136B7C" w14:textId="77777777" w:rsidTr="00825D14">
        <w:trPr>
          <w:trHeight w:val="20"/>
          <w:jc w:val="center"/>
        </w:trPr>
        <w:tc>
          <w:tcPr>
            <w:tcW w:w="3362" w:type="dxa"/>
            <w:vAlign w:val="center"/>
          </w:tcPr>
          <w:p w14:paraId="4642B8CA" w14:textId="65F3F9FE" w:rsidR="00825D14" w:rsidRPr="005B6D25" w:rsidRDefault="00825D14" w:rsidP="00825D14">
            <w:pPr>
              <w:spacing w:before="60" w:after="0"/>
              <w:ind w:firstLine="0"/>
              <w:jc w:val="left"/>
              <w:rPr>
                <w:rFonts w:eastAsia="Times New Roman" w:cs="Times New Roman"/>
                <w:color w:val="000000"/>
                <w:sz w:val="20"/>
                <w:szCs w:val="20"/>
              </w:rPr>
            </w:pPr>
            <w:r w:rsidRPr="005B6D25">
              <w:rPr>
                <w:rFonts w:eastAsia="Times New Roman" w:cs="Times New Roman"/>
                <w:color w:val="000000"/>
                <w:sz w:val="20"/>
                <w:szCs w:val="20"/>
              </w:rPr>
              <w:t>ES strukturālās primārās bilances nosacījums, % no IKP</w:t>
            </w:r>
          </w:p>
        </w:tc>
        <w:tc>
          <w:tcPr>
            <w:tcW w:w="1947" w:type="dxa"/>
            <w:vAlign w:val="center"/>
          </w:tcPr>
          <w:p w14:paraId="561C6A1C" w14:textId="15E38AC5" w:rsidR="00825D14" w:rsidRPr="006F6679" w:rsidRDefault="00825D14" w:rsidP="00825D14">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(2)</w:t>
            </w:r>
          </w:p>
        </w:tc>
        <w:tc>
          <w:tcPr>
            <w:tcW w:w="1068" w:type="dxa"/>
            <w:noWrap/>
            <w:vAlign w:val="center"/>
          </w:tcPr>
          <w:p w14:paraId="1255313F" w14:textId="554F6D66" w:rsidR="00825D14" w:rsidRPr="005B6D25" w:rsidRDefault="00825D14" w:rsidP="00825D14">
            <w:pPr>
              <w:spacing w:before="60" w:after="0"/>
              <w:ind w:firstLine="0"/>
              <w:jc w:val="center"/>
              <w:rPr>
                <w:rFonts w:eastAsia="Times New Roman" w:cs="Times New Roman"/>
                <w:b/>
                <w:bCs/>
                <w:color w:val="000000"/>
                <w:sz w:val="20"/>
                <w:szCs w:val="20"/>
              </w:rPr>
            </w:pPr>
            <w:r w:rsidRPr="005B6D25">
              <w:rPr>
                <w:rFonts w:eastAsia="Times New Roman" w:cs="Times New Roman"/>
                <w:color w:val="000000"/>
                <w:sz w:val="20"/>
                <w:szCs w:val="20"/>
              </w:rPr>
              <w:t>-1,38</w:t>
            </w:r>
          </w:p>
        </w:tc>
        <w:tc>
          <w:tcPr>
            <w:tcW w:w="1068" w:type="dxa"/>
            <w:noWrap/>
            <w:vAlign w:val="center"/>
          </w:tcPr>
          <w:p w14:paraId="694F037E" w14:textId="6324C6FB" w:rsidR="00825D14" w:rsidRPr="005B6D25" w:rsidRDefault="00825D14" w:rsidP="00825D14">
            <w:pPr>
              <w:spacing w:before="60" w:after="0"/>
              <w:ind w:firstLine="0"/>
              <w:jc w:val="center"/>
              <w:rPr>
                <w:rFonts w:eastAsia="Times New Roman" w:cs="Times New Roman"/>
                <w:b/>
                <w:bCs/>
                <w:color w:val="000000"/>
                <w:sz w:val="20"/>
                <w:szCs w:val="20"/>
              </w:rPr>
            </w:pPr>
            <w:r w:rsidRPr="005B6D25">
              <w:rPr>
                <w:rFonts w:eastAsia="Times New Roman" w:cs="Times New Roman"/>
                <w:color w:val="000000"/>
                <w:sz w:val="20"/>
                <w:szCs w:val="20"/>
              </w:rPr>
              <w:t>-2,14</w:t>
            </w:r>
          </w:p>
        </w:tc>
        <w:tc>
          <w:tcPr>
            <w:tcW w:w="1069" w:type="dxa"/>
            <w:vAlign w:val="center"/>
          </w:tcPr>
          <w:p w14:paraId="1745EF2A" w14:textId="14F27EBA" w:rsidR="00825D14" w:rsidRPr="005B6D25" w:rsidRDefault="00825D14" w:rsidP="00825D14">
            <w:pPr>
              <w:spacing w:before="60" w:after="0"/>
              <w:ind w:firstLine="0"/>
              <w:jc w:val="center"/>
              <w:rPr>
                <w:rFonts w:eastAsia="Times New Roman" w:cs="Times New Roman"/>
                <w:b/>
                <w:bCs/>
                <w:color w:val="000000"/>
                <w:sz w:val="20"/>
                <w:szCs w:val="20"/>
              </w:rPr>
            </w:pPr>
            <w:r w:rsidRPr="005B6D25">
              <w:rPr>
                <w:rFonts w:eastAsia="Times New Roman" w:cs="Times New Roman"/>
                <w:color w:val="000000"/>
                <w:sz w:val="20"/>
                <w:szCs w:val="20"/>
              </w:rPr>
              <w:t>-2,11</w:t>
            </w:r>
          </w:p>
        </w:tc>
      </w:tr>
      <w:tr w:rsidR="00825D14" w:rsidRPr="00825D14" w14:paraId="1D46CE63" w14:textId="77777777" w:rsidTr="00825D14">
        <w:trPr>
          <w:trHeight w:val="20"/>
          <w:jc w:val="center"/>
        </w:trPr>
        <w:tc>
          <w:tcPr>
            <w:tcW w:w="3362" w:type="dxa"/>
            <w:vAlign w:val="center"/>
          </w:tcPr>
          <w:p w14:paraId="75B028D4" w14:textId="04BB3C55" w:rsidR="00825D14" w:rsidRPr="006F6679" w:rsidRDefault="00825D14" w:rsidP="00825D14">
            <w:pPr>
              <w:spacing w:before="60" w:after="0"/>
              <w:ind w:firstLine="0"/>
              <w:jc w:val="left"/>
              <w:rPr>
                <w:rFonts w:cs="Times New Roman"/>
                <w:sz w:val="20"/>
                <w:szCs w:val="20"/>
              </w:rPr>
            </w:pPr>
            <w:r w:rsidRPr="006F6679">
              <w:rPr>
                <w:rFonts w:eastAsia="Times New Roman" w:cs="Times New Roman"/>
                <w:color w:val="000000"/>
                <w:sz w:val="20"/>
                <w:szCs w:val="20"/>
              </w:rPr>
              <w:t>ES izdevumu pieauguma nosacījums, % no IKP</w:t>
            </w:r>
          </w:p>
        </w:tc>
        <w:tc>
          <w:tcPr>
            <w:tcW w:w="1947" w:type="dxa"/>
            <w:vAlign w:val="center"/>
          </w:tcPr>
          <w:p w14:paraId="250AD597" w14:textId="7A8D2D14" w:rsidR="00825D14" w:rsidRPr="006F6679" w:rsidRDefault="00825D14" w:rsidP="00825D14">
            <w:pPr>
              <w:spacing w:before="60" w:after="0"/>
              <w:ind w:firstLine="0"/>
              <w:jc w:val="center"/>
              <w:rPr>
                <w:rFonts w:cs="Times New Roman"/>
                <w:sz w:val="20"/>
                <w:szCs w:val="20"/>
              </w:rPr>
            </w:pPr>
            <w:r w:rsidRPr="006F6679">
              <w:rPr>
                <w:rFonts w:eastAsia="Times New Roman" w:cs="Times New Roman"/>
                <w:color w:val="000000"/>
                <w:sz w:val="20"/>
                <w:szCs w:val="20"/>
              </w:rPr>
              <w:t>(3)</w:t>
            </w:r>
          </w:p>
        </w:tc>
        <w:tc>
          <w:tcPr>
            <w:tcW w:w="1068" w:type="dxa"/>
            <w:noWrap/>
            <w:vAlign w:val="center"/>
          </w:tcPr>
          <w:p w14:paraId="021B36D2" w14:textId="39230A0D" w:rsidR="00825D14" w:rsidRPr="006F6679" w:rsidRDefault="00825D14" w:rsidP="00825D14">
            <w:pPr>
              <w:spacing w:before="60" w:after="0"/>
              <w:ind w:firstLine="0"/>
              <w:jc w:val="center"/>
              <w:rPr>
                <w:rFonts w:cs="Times New Roman"/>
                <w:sz w:val="20"/>
                <w:szCs w:val="20"/>
              </w:rPr>
            </w:pPr>
            <w:r w:rsidRPr="006F6679">
              <w:rPr>
                <w:rFonts w:eastAsia="Times New Roman" w:cs="Times New Roman"/>
                <w:color w:val="000000"/>
                <w:sz w:val="20"/>
                <w:szCs w:val="20"/>
              </w:rPr>
              <w:t>-2,79</w:t>
            </w:r>
          </w:p>
        </w:tc>
        <w:tc>
          <w:tcPr>
            <w:tcW w:w="1068" w:type="dxa"/>
            <w:noWrap/>
            <w:vAlign w:val="center"/>
          </w:tcPr>
          <w:p w14:paraId="6912B5AF" w14:textId="5004AAA9" w:rsidR="00825D14" w:rsidRPr="006F6679" w:rsidRDefault="00825D14" w:rsidP="00825D14">
            <w:pPr>
              <w:spacing w:before="60" w:after="0"/>
              <w:ind w:firstLine="0"/>
              <w:jc w:val="center"/>
              <w:rPr>
                <w:rFonts w:cs="Times New Roman"/>
                <w:sz w:val="20"/>
                <w:szCs w:val="20"/>
              </w:rPr>
            </w:pPr>
            <w:r w:rsidRPr="006F6679">
              <w:rPr>
                <w:rFonts w:eastAsia="Times New Roman" w:cs="Times New Roman"/>
                <w:color w:val="000000"/>
                <w:sz w:val="20"/>
                <w:szCs w:val="20"/>
              </w:rPr>
              <w:t>-3,57</w:t>
            </w:r>
          </w:p>
        </w:tc>
        <w:tc>
          <w:tcPr>
            <w:tcW w:w="1069" w:type="dxa"/>
            <w:vAlign w:val="center"/>
          </w:tcPr>
          <w:p w14:paraId="0DD0D88A" w14:textId="7BFB08A1" w:rsidR="00825D14" w:rsidRPr="005B6D25" w:rsidRDefault="00825D14" w:rsidP="00825D14">
            <w:pPr>
              <w:spacing w:before="60" w:after="0"/>
              <w:ind w:firstLine="0"/>
              <w:jc w:val="center"/>
              <w:rPr>
                <w:rFonts w:cs="Times New Roman"/>
                <w:sz w:val="20"/>
                <w:szCs w:val="20"/>
              </w:rPr>
            </w:pPr>
            <w:r w:rsidRPr="006F6679">
              <w:rPr>
                <w:rFonts w:eastAsia="Times New Roman" w:cs="Times New Roman"/>
                <w:color w:val="000000"/>
                <w:sz w:val="20"/>
                <w:szCs w:val="20"/>
              </w:rPr>
              <w:t>-3,</w:t>
            </w:r>
            <w:r w:rsidR="005B6D25" w:rsidRPr="006F6679">
              <w:rPr>
                <w:rFonts w:eastAsia="Times New Roman" w:cs="Times New Roman"/>
                <w:color w:val="000000"/>
                <w:sz w:val="20"/>
                <w:szCs w:val="20"/>
              </w:rPr>
              <w:t>09</w:t>
            </w:r>
          </w:p>
        </w:tc>
      </w:tr>
      <w:tr w:rsidR="00825D14" w:rsidRPr="00825D14" w14:paraId="7957EF5B" w14:textId="77777777" w:rsidTr="00825D14">
        <w:trPr>
          <w:trHeight w:val="20"/>
          <w:jc w:val="center"/>
        </w:trPr>
        <w:tc>
          <w:tcPr>
            <w:tcW w:w="3362" w:type="dxa"/>
            <w:vAlign w:val="center"/>
          </w:tcPr>
          <w:p w14:paraId="3D657077" w14:textId="70438F11" w:rsidR="00825D14" w:rsidRPr="005B6D25" w:rsidRDefault="00825D14" w:rsidP="00825D14">
            <w:pPr>
              <w:spacing w:before="60" w:after="0"/>
              <w:ind w:firstLine="0"/>
              <w:jc w:val="left"/>
              <w:rPr>
                <w:rFonts w:cs="Times New Roman"/>
                <w:sz w:val="20"/>
                <w:szCs w:val="20"/>
              </w:rPr>
            </w:pPr>
            <w:r w:rsidRPr="005B6D25">
              <w:rPr>
                <w:rFonts w:eastAsia="Times New Roman" w:cs="Times New Roman"/>
                <w:color w:val="000000"/>
                <w:sz w:val="20"/>
                <w:szCs w:val="20"/>
              </w:rPr>
              <w:t>Nominālās bilances nosacījums, % no IKP</w:t>
            </w:r>
          </w:p>
        </w:tc>
        <w:tc>
          <w:tcPr>
            <w:tcW w:w="1947" w:type="dxa"/>
            <w:vAlign w:val="center"/>
          </w:tcPr>
          <w:p w14:paraId="3922E1C5" w14:textId="6D4C51CC" w:rsidR="00825D14" w:rsidRPr="006F6679" w:rsidRDefault="00825D14" w:rsidP="00825D14">
            <w:pPr>
              <w:spacing w:before="60" w:after="0"/>
              <w:ind w:firstLine="0"/>
              <w:jc w:val="center"/>
              <w:rPr>
                <w:rFonts w:cs="Times New Roman"/>
                <w:sz w:val="20"/>
                <w:szCs w:val="20"/>
              </w:rPr>
            </w:pPr>
            <w:r w:rsidRPr="006F6679">
              <w:rPr>
                <w:rFonts w:eastAsia="Times New Roman" w:cs="Times New Roman"/>
                <w:color w:val="000000"/>
                <w:sz w:val="20"/>
                <w:szCs w:val="20"/>
              </w:rPr>
              <w:t>(4)</w:t>
            </w:r>
          </w:p>
        </w:tc>
        <w:tc>
          <w:tcPr>
            <w:tcW w:w="1068" w:type="dxa"/>
            <w:noWrap/>
            <w:vAlign w:val="center"/>
          </w:tcPr>
          <w:p w14:paraId="77986822" w14:textId="23EAF918" w:rsidR="00825D14" w:rsidRPr="005B6D25" w:rsidRDefault="00825D14" w:rsidP="00825D14">
            <w:pPr>
              <w:spacing w:before="60" w:after="0"/>
              <w:ind w:firstLine="0"/>
              <w:jc w:val="center"/>
              <w:rPr>
                <w:rFonts w:cs="Times New Roman"/>
                <w:sz w:val="20"/>
                <w:szCs w:val="20"/>
              </w:rPr>
            </w:pPr>
            <w:r w:rsidRPr="005B6D25">
              <w:rPr>
                <w:rFonts w:eastAsia="Times New Roman" w:cs="Times New Roman"/>
                <w:color w:val="000000" w:themeColor="text1"/>
                <w:sz w:val="20"/>
                <w:szCs w:val="20"/>
              </w:rPr>
              <w:t>-1,28</w:t>
            </w:r>
          </w:p>
        </w:tc>
        <w:tc>
          <w:tcPr>
            <w:tcW w:w="1068" w:type="dxa"/>
            <w:noWrap/>
            <w:vAlign w:val="center"/>
          </w:tcPr>
          <w:p w14:paraId="2CDFD790" w14:textId="0862DC79" w:rsidR="00825D14" w:rsidRPr="005B6D25" w:rsidRDefault="00825D14" w:rsidP="00825D14">
            <w:pPr>
              <w:spacing w:before="60" w:after="0"/>
              <w:ind w:firstLine="0"/>
              <w:jc w:val="center"/>
              <w:rPr>
                <w:rFonts w:cs="Times New Roman"/>
                <w:sz w:val="20"/>
                <w:szCs w:val="20"/>
              </w:rPr>
            </w:pPr>
            <w:r w:rsidRPr="005B6D25">
              <w:rPr>
                <w:rFonts w:eastAsia="Times New Roman" w:cs="Times New Roman"/>
                <w:color w:val="000000" w:themeColor="text1"/>
                <w:sz w:val="20"/>
                <w:szCs w:val="20"/>
              </w:rPr>
              <w:t>-2,10</w:t>
            </w:r>
          </w:p>
        </w:tc>
        <w:tc>
          <w:tcPr>
            <w:tcW w:w="1069" w:type="dxa"/>
            <w:vAlign w:val="center"/>
          </w:tcPr>
          <w:p w14:paraId="225D88DB" w14:textId="53B0BDC3" w:rsidR="00825D14" w:rsidRPr="005B6D25" w:rsidRDefault="00825D14" w:rsidP="00825D14">
            <w:pPr>
              <w:spacing w:before="60" w:after="0"/>
              <w:ind w:firstLine="0"/>
              <w:jc w:val="center"/>
              <w:rPr>
                <w:rFonts w:cs="Times New Roman"/>
                <w:sz w:val="20"/>
                <w:szCs w:val="20"/>
              </w:rPr>
            </w:pPr>
            <w:r w:rsidRPr="005B6D25">
              <w:rPr>
                <w:rFonts w:eastAsia="Times New Roman" w:cs="Times New Roman"/>
                <w:color w:val="000000" w:themeColor="text1"/>
                <w:sz w:val="20"/>
                <w:szCs w:val="20"/>
              </w:rPr>
              <w:t>-2,19</w:t>
            </w:r>
          </w:p>
        </w:tc>
      </w:tr>
      <w:tr w:rsidR="00825D14" w:rsidRPr="00825D14" w14:paraId="6EC0C949" w14:textId="77777777" w:rsidTr="00106477">
        <w:trPr>
          <w:trHeight w:val="20"/>
          <w:jc w:val="center"/>
        </w:trPr>
        <w:tc>
          <w:tcPr>
            <w:tcW w:w="3362" w:type="dxa"/>
            <w:shd w:val="clear" w:color="auto" w:fill="9CC2E5" w:themeFill="accent1" w:themeFillTint="99"/>
            <w:vAlign w:val="center"/>
          </w:tcPr>
          <w:p w14:paraId="54454A8F" w14:textId="77777777" w:rsidR="00825D14" w:rsidRPr="005B6D25" w:rsidRDefault="00825D14" w:rsidP="00825D14">
            <w:pPr>
              <w:spacing w:before="60" w:after="60"/>
              <w:ind w:firstLine="0"/>
              <w:jc w:val="left"/>
              <w:rPr>
                <w:rFonts w:eastAsia="Times New Roman" w:cs="Times New Roman"/>
                <w:b/>
                <w:bCs/>
                <w:color w:val="000000" w:themeColor="text1"/>
                <w:sz w:val="20"/>
                <w:szCs w:val="20"/>
              </w:rPr>
            </w:pPr>
            <w:r w:rsidRPr="005B6D25">
              <w:rPr>
                <w:rFonts w:eastAsia="Times New Roman" w:cs="Times New Roman"/>
                <w:b/>
                <w:bCs/>
                <w:color w:val="000000" w:themeColor="text1"/>
                <w:sz w:val="20"/>
                <w:szCs w:val="20"/>
              </w:rPr>
              <w:t xml:space="preserve">Vispārējās valdības budžeta strukturālās bilances mērķis, </w:t>
            </w:r>
          </w:p>
          <w:p w14:paraId="4738BE68" w14:textId="014A3D46" w:rsidR="00825D14" w:rsidRPr="005B6D25" w:rsidRDefault="00825D14" w:rsidP="00825D14">
            <w:pPr>
              <w:spacing w:before="60" w:after="0"/>
              <w:ind w:firstLine="0"/>
              <w:jc w:val="left"/>
              <w:rPr>
                <w:rFonts w:eastAsia="Times New Roman" w:cs="Times New Roman"/>
                <w:b/>
                <w:bCs/>
                <w:color w:val="000000"/>
                <w:sz w:val="20"/>
                <w:szCs w:val="20"/>
              </w:rPr>
            </w:pPr>
            <w:r w:rsidRPr="005B6D25">
              <w:rPr>
                <w:rFonts w:eastAsia="Times New Roman" w:cs="Times New Roman"/>
                <w:b/>
                <w:bCs/>
                <w:color w:val="000000" w:themeColor="text1"/>
                <w:sz w:val="20"/>
                <w:szCs w:val="20"/>
              </w:rPr>
              <w:t>% no IKP</w:t>
            </w:r>
          </w:p>
        </w:tc>
        <w:tc>
          <w:tcPr>
            <w:tcW w:w="1947" w:type="dxa"/>
            <w:shd w:val="clear" w:color="auto" w:fill="9CC2E5" w:themeFill="accent1" w:themeFillTint="99"/>
            <w:vAlign w:val="center"/>
          </w:tcPr>
          <w:p w14:paraId="66ED838E" w14:textId="41D0256F" w:rsidR="00825D14" w:rsidRPr="006F6679" w:rsidRDefault="00825D14" w:rsidP="00825D14">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(5)=max((1);(2);(3);(4))</w:t>
            </w:r>
          </w:p>
        </w:tc>
        <w:tc>
          <w:tcPr>
            <w:tcW w:w="1068" w:type="dxa"/>
            <w:shd w:val="clear" w:color="auto" w:fill="9CC2E5" w:themeFill="accent1" w:themeFillTint="99"/>
            <w:noWrap/>
            <w:vAlign w:val="center"/>
          </w:tcPr>
          <w:p w14:paraId="40DCCE61" w14:textId="6938E85E" w:rsidR="00825D14" w:rsidRPr="005B6D25" w:rsidRDefault="00825D14" w:rsidP="00825D14">
            <w:pPr>
              <w:spacing w:before="60" w:after="0"/>
              <w:ind w:firstLine="0"/>
              <w:jc w:val="center"/>
              <w:rPr>
                <w:rFonts w:eastAsia="Times New Roman" w:cs="Times New Roman"/>
                <w:b/>
                <w:bCs/>
                <w:color w:val="000000" w:themeColor="text1"/>
                <w:sz w:val="20"/>
                <w:szCs w:val="20"/>
              </w:rPr>
            </w:pPr>
            <w:r w:rsidRPr="005B6D25">
              <w:rPr>
                <w:rFonts w:eastAsia="Times New Roman" w:cs="Times New Roman"/>
                <w:b/>
                <w:bCs/>
                <w:color w:val="000000"/>
                <w:sz w:val="20"/>
                <w:szCs w:val="20"/>
              </w:rPr>
              <w:t>-1,24</w:t>
            </w:r>
          </w:p>
        </w:tc>
        <w:tc>
          <w:tcPr>
            <w:tcW w:w="1068" w:type="dxa"/>
            <w:shd w:val="clear" w:color="auto" w:fill="9CC2E5" w:themeFill="accent1" w:themeFillTint="99"/>
            <w:noWrap/>
            <w:vAlign w:val="center"/>
          </w:tcPr>
          <w:p w14:paraId="71E63960" w14:textId="47373E35" w:rsidR="00825D14" w:rsidRPr="005B6D25" w:rsidRDefault="00825D14" w:rsidP="00825D14">
            <w:pPr>
              <w:spacing w:before="60" w:after="0"/>
              <w:ind w:firstLine="0"/>
              <w:jc w:val="center"/>
              <w:rPr>
                <w:rFonts w:eastAsia="Times New Roman" w:cs="Times New Roman"/>
                <w:b/>
                <w:bCs/>
                <w:color w:val="000000" w:themeColor="text1"/>
                <w:sz w:val="20"/>
                <w:szCs w:val="20"/>
              </w:rPr>
            </w:pPr>
            <w:r w:rsidRPr="005B6D25">
              <w:rPr>
                <w:rFonts w:eastAsia="Times New Roman" w:cs="Times New Roman"/>
                <w:b/>
                <w:bCs/>
                <w:color w:val="000000"/>
                <w:sz w:val="20"/>
                <w:szCs w:val="20"/>
              </w:rPr>
              <w:t>-1,97</w:t>
            </w:r>
          </w:p>
        </w:tc>
        <w:tc>
          <w:tcPr>
            <w:tcW w:w="1069" w:type="dxa"/>
            <w:shd w:val="clear" w:color="auto" w:fill="9CC2E5" w:themeFill="accent1" w:themeFillTint="99"/>
            <w:vAlign w:val="center"/>
          </w:tcPr>
          <w:p w14:paraId="2834056C" w14:textId="2D5A4BD9" w:rsidR="00825D14" w:rsidRPr="005B6D25" w:rsidRDefault="00825D14" w:rsidP="00825D14">
            <w:pPr>
              <w:spacing w:before="60" w:after="0"/>
              <w:ind w:firstLine="0"/>
              <w:jc w:val="center"/>
              <w:rPr>
                <w:rFonts w:eastAsia="Times New Roman" w:cs="Times New Roman"/>
                <w:b/>
                <w:bCs/>
                <w:color w:val="000000" w:themeColor="text1"/>
                <w:sz w:val="20"/>
                <w:szCs w:val="20"/>
              </w:rPr>
            </w:pPr>
            <w:r w:rsidRPr="005B6D25">
              <w:rPr>
                <w:rFonts w:eastAsia="Times New Roman" w:cs="Times New Roman"/>
                <w:b/>
                <w:bCs/>
                <w:color w:val="000000"/>
                <w:sz w:val="20"/>
                <w:szCs w:val="20"/>
              </w:rPr>
              <w:t>-1,87</w:t>
            </w:r>
          </w:p>
        </w:tc>
      </w:tr>
    </w:tbl>
    <w:p w14:paraId="64F02068" w14:textId="77777777" w:rsidR="004522B7" w:rsidRPr="00D8017D" w:rsidRDefault="004522B7" w:rsidP="008349F0">
      <w:pPr>
        <w:spacing w:after="0"/>
        <w:ind w:firstLine="0"/>
        <w:rPr>
          <w:rFonts w:cs="Times New Roman"/>
          <w:szCs w:val="24"/>
          <w:highlight w:val="lightGray"/>
        </w:rPr>
      </w:pPr>
    </w:p>
    <w:bookmarkEnd w:id="46"/>
    <w:p w14:paraId="05708FD2" w14:textId="53F99D38" w:rsidR="009178AB" w:rsidRPr="00D8017D" w:rsidRDefault="009178AB" w:rsidP="009178AB">
      <w:pPr>
        <w:rPr>
          <w:rFonts w:eastAsia="Times New Roman" w:cs="Times New Roman"/>
          <w:bCs/>
        </w:rPr>
      </w:pPr>
      <w:r w:rsidRPr="00D8017D">
        <w:rPr>
          <w:rFonts w:cs="Times New Roman"/>
          <w:szCs w:val="24"/>
        </w:rPr>
        <w:t>Ņemot vērā</w:t>
      </w:r>
      <w:r w:rsidRPr="00201C33">
        <w:rPr>
          <w:rFonts w:cs="Times New Roman"/>
          <w:szCs w:val="24"/>
        </w:rPr>
        <w:t xml:space="preserve"> </w:t>
      </w:r>
      <w:r w:rsidR="00201C33" w:rsidRPr="00201C33">
        <w:rPr>
          <w:rFonts w:cs="Times New Roman"/>
          <w:szCs w:val="24"/>
        </w:rPr>
        <w:t>2.</w:t>
      </w:r>
      <w:r w:rsidR="00B248BA">
        <w:rPr>
          <w:rFonts w:cs="Times New Roman"/>
          <w:szCs w:val="24"/>
        </w:rPr>
        <w:t>7</w:t>
      </w:r>
      <w:r w:rsidRPr="00201C33">
        <w:rPr>
          <w:rFonts w:cs="Times New Roman"/>
          <w:szCs w:val="24"/>
        </w:rPr>
        <w:t>.</w:t>
      </w:r>
      <w:r w:rsidRPr="00D8017D">
        <w:rPr>
          <w:rFonts w:cs="Times New Roman"/>
          <w:szCs w:val="24"/>
        </w:rPr>
        <w:t xml:space="preserve"> tabulā norādīto, </w:t>
      </w:r>
      <w:r w:rsidRPr="00D8017D">
        <w:rPr>
          <w:rFonts w:eastAsia="Times New Roman" w:cs="Times New Roman"/>
          <w:b/>
        </w:rPr>
        <w:t xml:space="preserve">vispārējās valdības budžeta </w:t>
      </w:r>
      <w:r w:rsidRPr="00D8017D">
        <w:rPr>
          <w:rFonts w:cs="Times New Roman"/>
          <w:b/>
          <w:bCs/>
          <w:szCs w:val="24"/>
        </w:rPr>
        <w:t xml:space="preserve">strukturālās bilances mērķis, kas izpilda visus četrus nosacījumus, </w:t>
      </w:r>
      <w:r w:rsidRPr="00D8017D">
        <w:rPr>
          <w:rFonts w:eastAsia="Times New Roman" w:cs="Times New Roman"/>
          <w:bCs/>
        </w:rPr>
        <w:t>2026.-2028. gadam tiek noteikts:</w:t>
      </w:r>
      <w:r w:rsidR="00201C33">
        <w:rPr>
          <w:rFonts w:eastAsia="Times New Roman" w:cs="Times New Roman"/>
          <w:bCs/>
        </w:rPr>
        <w:t xml:space="preserve"> </w:t>
      </w:r>
      <w:r w:rsidRPr="00D8017D">
        <w:rPr>
          <w:rFonts w:eastAsia="Times New Roman" w:cs="Times New Roman"/>
          <w:bCs/>
        </w:rPr>
        <w:t>-</w:t>
      </w:r>
      <w:r w:rsidRPr="00D8017D">
        <w:rPr>
          <w:rFonts w:eastAsia="Times New Roman" w:cs="Times New Roman"/>
          <w:b/>
        </w:rPr>
        <w:t>1,24% no IKP 2026. gadam</w:t>
      </w:r>
      <w:r w:rsidRPr="00D8017D">
        <w:rPr>
          <w:rFonts w:eastAsia="Times New Roman" w:cs="Times New Roman"/>
          <w:bCs/>
        </w:rPr>
        <w:t xml:space="preserve">, </w:t>
      </w:r>
      <w:r w:rsidRPr="00D8017D">
        <w:rPr>
          <w:rFonts w:eastAsia="Times New Roman" w:cs="Times New Roman"/>
          <w:b/>
        </w:rPr>
        <w:t>-1,97% no IKP 2027. gadam</w:t>
      </w:r>
      <w:r w:rsidRPr="00D8017D">
        <w:rPr>
          <w:rFonts w:eastAsia="Times New Roman" w:cs="Times New Roman"/>
          <w:bCs/>
        </w:rPr>
        <w:t xml:space="preserve"> un </w:t>
      </w:r>
      <w:r w:rsidRPr="00D8017D">
        <w:rPr>
          <w:rFonts w:eastAsia="Times New Roman" w:cs="Times New Roman"/>
          <w:b/>
        </w:rPr>
        <w:t>-1,8</w:t>
      </w:r>
      <w:r w:rsidR="00DD635D">
        <w:rPr>
          <w:rFonts w:eastAsia="Times New Roman" w:cs="Times New Roman"/>
          <w:b/>
        </w:rPr>
        <w:t>7</w:t>
      </w:r>
      <w:r w:rsidRPr="00D8017D">
        <w:rPr>
          <w:rFonts w:eastAsia="Times New Roman" w:cs="Times New Roman"/>
          <w:b/>
        </w:rPr>
        <w:t>% no IKP 2028. gadam</w:t>
      </w:r>
      <w:r w:rsidRPr="00D8017D">
        <w:rPr>
          <w:rFonts w:eastAsia="Times New Roman" w:cs="Times New Roman"/>
          <w:bCs/>
        </w:rPr>
        <w:t xml:space="preserve">. </w:t>
      </w:r>
    </w:p>
    <w:p w14:paraId="4A4A1A1E" w14:textId="2CA7225F" w:rsidR="009178AB" w:rsidRPr="00D8017D" w:rsidRDefault="009178AB" w:rsidP="009178AB">
      <w:pPr>
        <w:rPr>
          <w:rFonts w:eastAsia="Times New Roman" w:cs="Times New Roman"/>
          <w:bCs/>
        </w:rPr>
      </w:pPr>
      <w:r w:rsidRPr="00D8017D">
        <w:rPr>
          <w:rFonts w:eastAsia="Times New Roman" w:cs="Times New Roman"/>
          <w:bCs/>
        </w:rPr>
        <w:t>Strukturālās bilances mērķim atbilstošais valsts finansēto neto primāro izdevumu pieaugums 2026. gadā ir 4,420%, 2027. gadā 4,970% un 2028. gadā 3,948%.</w:t>
      </w:r>
    </w:p>
    <w:p w14:paraId="5852653E" w14:textId="77777777" w:rsidR="00FE7F4C" w:rsidRPr="00D8017D" w:rsidRDefault="00FE7F4C" w:rsidP="008349F0">
      <w:pPr>
        <w:spacing w:after="0"/>
        <w:rPr>
          <w:rFonts w:eastAsia="Times New Roman" w:cs="Times New Roman"/>
          <w:bCs/>
        </w:rPr>
      </w:pPr>
    </w:p>
    <w:p w14:paraId="374B8B90" w14:textId="53CBC681" w:rsidR="006C7A9B" w:rsidRPr="00D8017D" w:rsidRDefault="006C7A9B" w:rsidP="008349F0">
      <w:pPr>
        <w:widowControl w:val="0"/>
        <w:ind w:firstLine="0"/>
        <w:jc w:val="center"/>
        <w:rPr>
          <w:rFonts w:cs="Times New Roman"/>
          <w:b/>
          <w:sz w:val="28"/>
          <w:szCs w:val="28"/>
        </w:rPr>
      </w:pPr>
      <w:r w:rsidRPr="00D8017D">
        <w:rPr>
          <w:rFonts w:cs="Times New Roman"/>
          <w:b/>
          <w:sz w:val="28"/>
          <w:szCs w:val="28"/>
        </w:rPr>
        <w:t>Fiskālās telpas aprēķins</w:t>
      </w:r>
    </w:p>
    <w:p w14:paraId="200B68DA" w14:textId="16C8B944" w:rsidR="00EC6FE1" w:rsidRDefault="00B248BA" w:rsidP="00CF43D4">
      <w:pPr>
        <w:spacing w:after="0"/>
        <w:rPr>
          <w:szCs w:val="20"/>
        </w:rPr>
      </w:pPr>
      <w:r>
        <w:rPr>
          <w:szCs w:val="20"/>
        </w:rPr>
        <w:t xml:space="preserve">Lai noteiktu fiskālo telpu, nepieciešams aprēķināt vispārējās valdības </w:t>
      </w:r>
      <w:r w:rsidR="00106477">
        <w:rPr>
          <w:szCs w:val="20"/>
        </w:rPr>
        <w:t xml:space="preserve">budžeta </w:t>
      </w:r>
      <w:r>
        <w:rPr>
          <w:szCs w:val="20"/>
        </w:rPr>
        <w:t xml:space="preserve">strukturālo bilanci pie nemainīgas politikas. </w:t>
      </w:r>
    </w:p>
    <w:p w14:paraId="1857E7A9" w14:textId="77777777" w:rsidR="00106477" w:rsidRPr="00C603FF" w:rsidRDefault="00106477" w:rsidP="00106477">
      <w:pPr>
        <w:spacing w:after="0"/>
        <w:ind w:firstLine="0"/>
        <w:jc w:val="right"/>
        <w:rPr>
          <w:b/>
          <w:bCs/>
          <w:i/>
          <w:iCs/>
          <w:szCs w:val="20"/>
        </w:rPr>
      </w:pPr>
      <w:r w:rsidRPr="00C603FF">
        <w:rPr>
          <w:rFonts w:eastAsia="Calibri"/>
          <w:b/>
          <w:bCs/>
          <w:i/>
          <w:iCs/>
          <w:szCs w:val="20"/>
        </w:rPr>
        <w:t>2.8. tabula. V</w:t>
      </w:r>
      <w:r w:rsidRPr="00C603FF">
        <w:rPr>
          <w:b/>
          <w:bCs/>
          <w:i/>
          <w:iCs/>
          <w:szCs w:val="20"/>
        </w:rPr>
        <w:t xml:space="preserve">ispārējās valdības budžeta strukturālā </w:t>
      </w:r>
    </w:p>
    <w:p w14:paraId="645CDAF4" w14:textId="15254A74" w:rsidR="00106477" w:rsidRPr="00C603FF" w:rsidRDefault="00106477" w:rsidP="00C603FF">
      <w:pPr>
        <w:ind w:firstLine="0"/>
        <w:jc w:val="right"/>
        <w:rPr>
          <w:rFonts w:eastAsia="Calibri"/>
          <w:b/>
          <w:bCs/>
          <w:i/>
          <w:iCs/>
          <w:szCs w:val="20"/>
        </w:rPr>
      </w:pPr>
      <w:r w:rsidRPr="00C603FF">
        <w:rPr>
          <w:b/>
          <w:bCs/>
          <w:i/>
          <w:iCs/>
          <w:szCs w:val="20"/>
        </w:rPr>
        <w:t>bilance pie nemainīgas politikas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3"/>
        <w:gridCol w:w="1484"/>
        <w:gridCol w:w="1109"/>
        <w:gridCol w:w="1275"/>
        <w:gridCol w:w="955"/>
      </w:tblGrid>
      <w:tr w:rsidR="00EC6FE1" w:rsidRPr="00D8017D" w14:paraId="276A9D43" w14:textId="77777777" w:rsidTr="00CF43D4">
        <w:trPr>
          <w:cantSplit/>
          <w:trHeight w:val="20"/>
          <w:tblHeader/>
          <w:jc w:val="center"/>
        </w:trPr>
        <w:tc>
          <w:tcPr>
            <w:tcW w:w="3883" w:type="dxa"/>
            <w:shd w:val="clear" w:color="auto" w:fill="BDD6EE" w:themeFill="accent1" w:themeFillTint="66"/>
            <w:vAlign w:val="center"/>
            <w:hideMark/>
          </w:tcPr>
          <w:p w14:paraId="60AA88E5" w14:textId="77777777" w:rsidR="00EC6FE1" w:rsidRPr="006F6679" w:rsidRDefault="00EC6FE1" w:rsidP="00106477">
            <w:pPr>
              <w:spacing w:before="60" w:after="0"/>
              <w:ind w:firstLine="0"/>
              <w:jc w:val="left"/>
              <w:rPr>
                <w:rFonts w:eastAsia="Times New Roman" w:cs="Times New Roman"/>
                <w:color w:val="000000"/>
                <w:sz w:val="20"/>
                <w:szCs w:val="20"/>
                <w:highlight w:val="lightGray"/>
              </w:rPr>
            </w:pPr>
            <w:r w:rsidRPr="00CF43D4">
              <w:rPr>
                <w:rFonts w:eastAsia="Times New Roman" w:cs="Times New Roman"/>
                <w:color w:val="000000"/>
                <w:sz w:val="20"/>
                <w:szCs w:val="20"/>
              </w:rPr>
              <w:t> </w:t>
            </w:r>
          </w:p>
        </w:tc>
        <w:tc>
          <w:tcPr>
            <w:tcW w:w="1484" w:type="dxa"/>
            <w:shd w:val="clear" w:color="auto" w:fill="BDD6EE" w:themeFill="accent1" w:themeFillTint="66"/>
            <w:noWrap/>
            <w:vAlign w:val="bottom"/>
            <w:hideMark/>
          </w:tcPr>
          <w:p w14:paraId="0952A1A5" w14:textId="7D0E159C" w:rsidR="00EC6FE1" w:rsidRPr="006F6679" w:rsidRDefault="00EC6FE1" w:rsidP="00EC6FE1">
            <w:pPr>
              <w:spacing w:before="60" w:after="0"/>
              <w:ind w:firstLine="0"/>
              <w:jc w:val="center"/>
              <w:rPr>
                <w:rFonts w:eastAsia="Times New Roman" w:cs="Times New Roman"/>
                <w:color w:val="000000"/>
                <w:sz w:val="20"/>
                <w:szCs w:val="20"/>
                <w:highlight w:val="lightGray"/>
              </w:rPr>
            </w:pPr>
          </w:p>
        </w:tc>
        <w:tc>
          <w:tcPr>
            <w:tcW w:w="1109" w:type="dxa"/>
            <w:shd w:val="clear" w:color="auto" w:fill="BDD6EE" w:themeFill="accent1" w:themeFillTint="66"/>
            <w:noWrap/>
            <w:vAlign w:val="center"/>
            <w:hideMark/>
          </w:tcPr>
          <w:p w14:paraId="420FF25C" w14:textId="77777777" w:rsidR="00EC6FE1" w:rsidRPr="006F6679" w:rsidRDefault="00EC6FE1" w:rsidP="006D484A">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2026</w:t>
            </w:r>
          </w:p>
        </w:tc>
        <w:tc>
          <w:tcPr>
            <w:tcW w:w="1275" w:type="dxa"/>
            <w:shd w:val="clear" w:color="auto" w:fill="BDD6EE" w:themeFill="accent1" w:themeFillTint="66"/>
            <w:noWrap/>
            <w:vAlign w:val="center"/>
            <w:hideMark/>
          </w:tcPr>
          <w:p w14:paraId="78D18ED5" w14:textId="77777777" w:rsidR="00EC6FE1" w:rsidRPr="006F6679" w:rsidRDefault="00EC6FE1" w:rsidP="006D484A">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2027</w:t>
            </w:r>
          </w:p>
        </w:tc>
        <w:tc>
          <w:tcPr>
            <w:tcW w:w="955" w:type="dxa"/>
            <w:shd w:val="clear" w:color="auto" w:fill="BDD6EE" w:themeFill="accent1" w:themeFillTint="66"/>
            <w:vAlign w:val="center"/>
          </w:tcPr>
          <w:p w14:paraId="1A61724C" w14:textId="77777777" w:rsidR="00EC6FE1" w:rsidRPr="006F6679" w:rsidRDefault="00EC6FE1" w:rsidP="006D484A">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2028</w:t>
            </w:r>
          </w:p>
        </w:tc>
      </w:tr>
      <w:tr w:rsidR="00106477" w:rsidRPr="00B248BA" w14:paraId="6D03BD78" w14:textId="77777777" w:rsidTr="00CF43D4">
        <w:trPr>
          <w:cantSplit/>
          <w:trHeight w:val="20"/>
          <w:jc w:val="center"/>
        </w:trPr>
        <w:tc>
          <w:tcPr>
            <w:tcW w:w="3883" w:type="dxa"/>
            <w:vAlign w:val="center"/>
          </w:tcPr>
          <w:p w14:paraId="401FCA0A" w14:textId="77777777" w:rsidR="00106477" w:rsidRPr="006F6679" w:rsidRDefault="00106477" w:rsidP="00106477">
            <w:pPr>
              <w:spacing w:before="60" w:after="0"/>
              <w:ind w:firstLine="0"/>
              <w:jc w:val="left"/>
              <w:rPr>
                <w:rFonts w:eastAsia="Times New Roman" w:cs="Times New Roman"/>
                <w:color w:val="000000"/>
                <w:sz w:val="20"/>
                <w:szCs w:val="20"/>
              </w:rPr>
            </w:pPr>
            <w:r w:rsidRPr="006F6679">
              <w:rPr>
                <w:rFonts w:eastAsia="Times New Roman" w:cs="Times New Roman"/>
                <w:color w:val="000000"/>
                <w:sz w:val="20"/>
                <w:szCs w:val="20"/>
              </w:rPr>
              <w:t xml:space="preserve">IKP faktiskajās cenās, milj. </w:t>
            </w:r>
            <w:r w:rsidRPr="006F6679">
              <w:rPr>
                <w:rFonts w:eastAsia="Times New Roman" w:cs="Times New Roman"/>
                <w:i/>
                <w:iCs/>
                <w:color w:val="000000"/>
                <w:sz w:val="20"/>
                <w:szCs w:val="20"/>
              </w:rPr>
              <w:t>euro</w:t>
            </w:r>
          </w:p>
        </w:tc>
        <w:tc>
          <w:tcPr>
            <w:tcW w:w="1484" w:type="dxa"/>
            <w:noWrap/>
            <w:vAlign w:val="center"/>
          </w:tcPr>
          <w:p w14:paraId="1E96AC0A" w14:textId="77777777"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color w:val="000000"/>
                <w:sz w:val="20"/>
                <w:szCs w:val="20"/>
              </w:rPr>
              <w:t>(1)</w:t>
            </w:r>
          </w:p>
        </w:tc>
        <w:tc>
          <w:tcPr>
            <w:tcW w:w="1109" w:type="dxa"/>
            <w:noWrap/>
            <w:vAlign w:val="center"/>
          </w:tcPr>
          <w:p w14:paraId="1552BD46" w14:textId="242A6D10"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43 953</w:t>
            </w:r>
          </w:p>
        </w:tc>
        <w:tc>
          <w:tcPr>
            <w:tcW w:w="1275" w:type="dxa"/>
            <w:noWrap/>
            <w:vAlign w:val="center"/>
          </w:tcPr>
          <w:p w14:paraId="2233DE67" w14:textId="0AA6B238"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46 026</w:t>
            </w:r>
          </w:p>
        </w:tc>
        <w:tc>
          <w:tcPr>
            <w:tcW w:w="955" w:type="dxa"/>
            <w:vAlign w:val="center"/>
          </w:tcPr>
          <w:p w14:paraId="3AE7E332" w14:textId="380FB2AF"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48 154</w:t>
            </w:r>
          </w:p>
        </w:tc>
      </w:tr>
      <w:tr w:rsidR="00106477" w:rsidRPr="00B248BA" w14:paraId="3FF06B33" w14:textId="77777777" w:rsidTr="00CF43D4">
        <w:trPr>
          <w:cantSplit/>
          <w:trHeight w:val="20"/>
          <w:jc w:val="center"/>
        </w:trPr>
        <w:tc>
          <w:tcPr>
            <w:tcW w:w="3883" w:type="dxa"/>
            <w:vAlign w:val="center"/>
          </w:tcPr>
          <w:p w14:paraId="4388894C" w14:textId="77777777" w:rsidR="00106477" w:rsidRPr="006F6679" w:rsidRDefault="00106477" w:rsidP="00106477">
            <w:pPr>
              <w:spacing w:before="60" w:after="0"/>
              <w:ind w:firstLine="0"/>
              <w:jc w:val="left"/>
              <w:rPr>
                <w:rFonts w:eastAsia="Times New Roman" w:cs="Times New Roman"/>
                <w:color w:val="000000"/>
                <w:sz w:val="20"/>
                <w:szCs w:val="20"/>
              </w:rPr>
            </w:pPr>
            <w:r w:rsidRPr="006F6679">
              <w:rPr>
                <w:rFonts w:eastAsia="Times New Roman" w:cs="Times New Roman"/>
                <w:color w:val="000000"/>
                <w:sz w:val="20"/>
                <w:szCs w:val="20"/>
              </w:rPr>
              <w:t xml:space="preserve">Vispārējās valdības budžeta ieņēmumi, milj. </w:t>
            </w:r>
            <w:r w:rsidRPr="006F6679">
              <w:rPr>
                <w:rFonts w:eastAsia="Times New Roman" w:cs="Times New Roman"/>
                <w:i/>
                <w:iCs/>
                <w:color w:val="000000"/>
                <w:sz w:val="20"/>
                <w:szCs w:val="20"/>
              </w:rPr>
              <w:t>euro</w:t>
            </w:r>
          </w:p>
        </w:tc>
        <w:tc>
          <w:tcPr>
            <w:tcW w:w="1484" w:type="dxa"/>
            <w:noWrap/>
            <w:vAlign w:val="center"/>
          </w:tcPr>
          <w:p w14:paraId="6808073E" w14:textId="77777777"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color w:val="000000"/>
                <w:sz w:val="20"/>
                <w:szCs w:val="20"/>
              </w:rPr>
              <w:t>(2)</w:t>
            </w:r>
          </w:p>
        </w:tc>
        <w:tc>
          <w:tcPr>
            <w:tcW w:w="1109" w:type="dxa"/>
            <w:noWrap/>
            <w:vAlign w:val="center"/>
          </w:tcPr>
          <w:p w14:paraId="170ABF2D" w14:textId="44B99C8B"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19 135</w:t>
            </w:r>
          </w:p>
        </w:tc>
        <w:tc>
          <w:tcPr>
            <w:tcW w:w="1275" w:type="dxa"/>
            <w:noWrap/>
            <w:vAlign w:val="center"/>
          </w:tcPr>
          <w:p w14:paraId="1254D92C" w14:textId="1FB762BB"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19 511</w:t>
            </w:r>
          </w:p>
        </w:tc>
        <w:tc>
          <w:tcPr>
            <w:tcW w:w="955" w:type="dxa"/>
            <w:vAlign w:val="center"/>
          </w:tcPr>
          <w:p w14:paraId="5C1C2CD2" w14:textId="5953586E"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20 063</w:t>
            </w:r>
          </w:p>
        </w:tc>
      </w:tr>
      <w:tr w:rsidR="00106477" w:rsidRPr="00D8017D" w14:paraId="185DB58D" w14:textId="77777777" w:rsidTr="00CF43D4">
        <w:trPr>
          <w:cantSplit/>
          <w:trHeight w:val="20"/>
          <w:jc w:val="center"/>
        </w:trPr>
        <w:tc>
          <w:tcPr>
            <w:tcW w:w="3883" w:type="dxa"/>
            <w:vAlign w:val="center"/>
          </w:tcPr>
          <w:p w14:paraId="054D677C" w14:textId="77777777" w:rsidR="00106477" w:rsidRPr="006F6679" w:rsidRDefault="00106477" w:rsidP="00106477">
            <w:pPr>
              <w:spacing w:before="60" w:after="0"/>
              <w:ind w:firstLine="0"/>
              <w:jc w:val="left"/>
              <w:rPr>
                <w:rFonts w:eastAsia="Times New Roman" w:cs="Times New Roman"/>
                <w:color w:val="000000"/>
                <w:sz w:val="20"/>
                <w:szCs w:val="20"/>
              </w:rPr>
            </w:pPr>
            <w:r w:rsidRPr="006F6679">
              <w:rPr>
                <w:rFonts w:eastAsia="Times New Roman" w:cs="Times New Roman"/>
                <w:color w:val="000000"/>
                <w:sz w:val="20"/>
                <w:szCs w:val="20"/>
              </w:rPr>
              <w:t xml:space="preserve">Vispārējās valdības budžeta izdevumi, milj. </w:t>
            </w:r>
            <w:r w:rsidRPr="006F6679">
              <w:rPr>
                <w:rFonts w:eastAsia="Times New Roman" w:cs="Times New Roman"/>
                <w:i/>
                <w:iCs/>
                <w:color w:val="000000"/>
                <w:sz w:val="20"/>
                <w:szCs w:val="20"/>
              </w:rPr>
              <w:t>euro</w:t>
            </w:r>
          </w:p>
        </w:tc>
        <w:tc>
          <w:tcPr>
            <w:tcW w:w="1484" w:type="dxa"/>
            <w:noWrap/>
            <w:vAlign w:val="center"/>
          </w:tcPr>
          <w:p w14:paraId="0587BF5D" w14:textId="77777777"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color w:val="000000"/>
                <w:sz w:val="20"/>
                <w:szCs w:val="20"/>
              </w:rPr>
              <w:t>(3)</w:t>
            </w:r>
          </w:p>
        </w:tc>
        <w:tc>
          <w:tcPr>
            <w:tcW w:w="1109" w:type="dxa"/>
            <w:noWrap/>
            <w:vAlign w:val="center"/>
          </w:tcPr>
          <w:p w14:paraId="43C518EB" w14:textId="4CE1AE4D"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20 461</w:t>
            </w:r>
          </w:p>
        </w:tc>
        <w:tc>
          <w:tcPr>
            <w:tcW w:w="1275" w:type="dxa"/>
            <w:noWrap/>
            <w:vAlign w:val="center"/>
          </w:tcPr>
          <w:p w14:paraId="7B59C9CE" w14:textId="08E89625"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21 376</w:t>
            </w:r>
          </w:p>
        </w:tc>
        <w:tc>
          <w:tcPr>
            <w:tcW w:w="955" w:type="dxa"/>
            <w:vAlign w:val="center"/>
          </w:tcPr>
          <w:p w14:paraId="3E9FED41" w14:textId="5DD4B892"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21 864</w:t>
            </w:r>
          </w:p>
        </w:tc>
      </w:tr>
      <w:tr w:rsidR="00106477" w:rsidRPr="00D8017D" w14:paraId="7A1E8E13" w14:textId="77777777" w:rsidTr="00CF43D4">
        <w:trPr>
          <w:cantSplit/>
          <w:trHeight w:val="20"/>
          <w:jc w:val="center"/>
        </w:trPr>
        <w:tc>
          <w:tcPr>
            <w:tcW w:w="3883" w:type="dxa"/>
            <w:vAlign w:val="center"/>
          </w:tcPr>
          <w:p w14:paraId="5E0A9B04" w14:textId="77777777" w:rsidR="00106477" w:rsidRPr="006F6679" w:rsidRDefault="00106477" w:rsidP="00106477">
            <w:pPr>
              <w:spacing w:before="60" w:after="0"/>
              <w:ind w:firstLine="0"/>
              <w:jc w:val="left"/>
              <w:rPr>
                <w:rFonts w:eastAsia="Times New Roman" w:cs="Times New Roman"/>
                <w:color w:val="000000"/>
                <w:sz w:val="20"/>
                <w:szCs w:val="20"/>
              </w:rPr>
            </w:pPr>
            <w:r w:rsidRPr="006F6679">
              <w:rPr>
                <w:rFonts w:eastAsia="Times New Roman" w:cs="Times New Roman"/>
                <w:color w:val="000000"/>
                <w:sz w:val="20"/>
                <w:szCs w:val="20"/>
              </w:rPr>
              <w:t xml:space="preserve">Vispārējās valdības budžeta nominālā bilance, milj. </w:t>
            </w:r>
            <w:r w:rsidRPr="006F6679">
              <w:rPr>
                <w:rFonts w:eastAsia="Times New Roman" w:cs="Times New Roman"/>
                <w:i/>
                <w:iCs/>
                <w:color w:val="000000"/>
                <w:sz w:val="20"/>
                <w:szCs w:val="20"/>
              </w:rPr>
              <w:t>euro</w:t>
            </w:r>
          </w:p>
        </w:tc>
        <w:tc>
          <w:tcPr>
            <w:tcW w:w="1484" w:type="dxa"/>
            <w:noWrap/>
            <w:vAlign w:val="center"/>
          </w:tcPr>
          <w:p w14:paraId="57E9DC84" w14:textId="70BF94CC"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color w:val="000000"/>
                <w:sz w:val="20"/>
                <w:szCs w:val="20"/>
              </w:rPr>
              <w:t>(4)=(2)-(3)</w:t>
            </w:r>
          </w:p>
        </w:tc>
        <w:tc>
          <w:tcPr>
            <w:tcW w:w="1109" w:type="dxa"/>
            <w:noWrap/>
            <w:vAlign w:val="center"/>
          </w:tcPr>
          <w:p w14:paraId="41BD9BA7" w14:textId="71AC32CE"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-1 326</w:t>
            </w:r>
          </w:p>
        </w:tc>
        <w:tc>
          <w:tcPr>
            <w:tcW w:w="1275" w:type="dxa"/>
            <w:noWrap/>
            <w:vAlign w:val="center"/>
          </w:tcPr>
          <w:p w14:paraId="22093E7F" w14:textId="7625EA8A"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-1 864</w:t>
            </w:r>
          </w:p>
        </w:tc>
        <w:tc>
          <w:tcPr>
            <w:tcW w:w="955" w:type="dxa"/>
            <w:vAlign w:val="center"/>
          </w:tcPr>
          <w:p w14:paraId="57AF4608" w14:textId="27A3AAF1"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-1 800</w:t>
            </w:r>
          </w:p>
        </w:tc>
      </w:tr>
      <w:tr w:rsidR="00106477" w:rsidRPr="00D8017D" w14:paraId="7FE9AAC4" w14:textId="77777777" w:rsidTr="00CF43D4">
        <w:trPr>
          <w:cantSplit/>
          <w:trHeight w:val="20"/>
          <w:jc w:val="center"/>
        </w:trPr>
        <w:tc>
          <w:tcPr>
            <w:tcW w:w="3883" w:type="dxa"/>
            <w:vAlign w:val="center"/>
          </w:tcPr>
          <w:p w14:paraId="013D61B2" w14:textId="77777777" w:rsidR="00106477" w:rsidRPr="006F6679" w:rsidRDefault="00106477" w:rsidP="00106477">
            <w:pPr>
              <w:spacing w:before="60" w:after="0"/>
              <w:ind w:firstLine="0"/>
              <w:jc w:val="left"/>
              <w:rPr>
                <w:rFonts w:eastAsia="Times New Roman" w:cs="Times New Roman"/>
                <w:color w:val="000000"/>
                <w:sz w:val="20"/>
                <w:szCs w:val="20"/>
              </w:rPr>
            </w:pPr>
            <w:r w:rsidRPr="006F6679">
              <w:rPr>
                <w:rFonts w:eastAsia="Times New Roman" w:cs="Times New Roman"/>
                <w:color w:val="000000"/>
                <w:sz w:val="20"/>
                <w:szCs w:val="20"/>
              </w:rPr>
              <w:lastRenderedPageBreak/>
              <w:t>Vispārējās valdības budžeta nominālās bilances prognoze pie nemainīgas politikas, % no IKP</w:t>
            </w:r>
          </w:p>
        </w:tc>
        <w:tc>
          <w:tcPr>
            <w:tcW w:w="1484" w:type="dxa"/>
            <w:noWrap/>
            <w:vAlign w:val="center"/>
          </w:tcPr>
          <w:p w14:paraId="2AD9A7A2" w14:textId="11F4F7FB"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color w:val="000000"/>
                <w:sz w:val="20"/>
                <w:szCs w:val="20"/>
              </w:rPr>
              <w:t>(5)=(4)/(1)*100</w:t>
            </w:r>
          </w:p>
        </w:tc>
        <w:tc>
          <w:tcPr>
            <w:tcW w:w="1109" w:type="dxa"/>
            <w:noWrap/>
            <w:vAlign w:val="center"/>
          </w:tcPr>
          <w:p w14:paraId="7B00ADA4" w14:textId="219A45FE"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-3,02</w:t>
            </w:r>
          </w:p>
        </w:tc>
        <w:tc>
          <w:tcPr>
            <w:tcW w:w="1275" w:type="dxa"/>
            <w:noWrap/>
            <w:vAlign w:val="center"/>
          </w:tcPr>
          <w:p w14:paraId="64127655" w14:textId="49A30425"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-4,05</w:t>
            </w:r>
          </w:p>
        </w:tc>
        <w:tc>
          <w:tcPr>
            <w:tcW w:w="955" w:type="dxa"/>
            <w:vAlign w:val="center"/>
          </w:tcPr>
          <w:p w14:paraId="335285F4" w14:textId="50B6C7D9"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-3,74</w:t>
            </w:r>
          </w:p>
        </w:tc>
      </w:tr>
      <w:tr w:rsidR="00106477" w:rsidRPr="00D8017D" w14:paraId="4C6EBC2F" w14:textId="77777777" w:rsidTr="00CF43D4">
        <w:trPr>
          <w:cantSplit/>
          <w:trHeight w:val="20"/>
          <w:jc w:val="center"/>
        </w:trPr>
        <w:tc>
          <w:tcPr>
            <w:tcW w:w="3883" w:type="dxa"/>
            <w:vAlign w:val="center"/>
          </w:tcPr>
          <w:p w14:paraId="42492C32" w14:textId="2927069A" w:rsidR="00106477" w:rsidRPr="006F6679" w:rsidRDefault="008D6AC4" w:rsidP="00106477">
            <w:pPr>
              <w:spacing w:before="60" w:after="0"/>
              <w:ind w:firstLine="0"/>
              <w:jc w:val="left"/>
              <w:rPr>
                <w:rFonts w:eastAsia="Times New Roman" w:cs="Times New Roman"/>
                <w:color w:val="000000"/>
                <w:sz w:val="20"/>
                <w:szCs w:val="20"/>
              </w:rPr>
            </w:pPr>
            <w:r w:rsidRPr="00D8017D">
              <w:rPr>
                <w:rFonts w:eastAsia="Times New Roman" w:cs="Times New Roman"/>
                <w:color w:val="000000" w:themeColor="text1"/>
                <w:sz w:val="20"/>
                <w:szCs w:val="20"/>
              </w:rPr>
              <w:t>Vienreizējie pasākumi, % no IKP</w:t>
            </w:r>
          </w:p>
        </w:tc>
        <w:tc>
          <w:tcPr>
            <w:tcW w:w="1484" w:type="dxa"/>
            <w:noWrap/>
            <w:vAlign w:val="center"/>
          </w:tcPr>
          <w:p w14:paraId="0C3151E9" w14:textId="77777777"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color w:val="000000"/>
                <w:sz w:val="20"/>
                <w:szCs w:val="20"/>
              </w:rPr>
              <w:t>(6)</w:t>
            </w:r>
          </w:p>
        </w:tc>
        <w:tc>
          <w:tcPr>
            <w:tcW w:w="1109" w:type="dxa"/>
            <w:noWrap/>
            <w:vAlign w:val="center"/>
          </w:tcPr>
          <w:p w14:paraId="5B1FFFA8" w14:textId="00A3F5EB"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-1,64</w:t>
            </w:r>
          </w:p>
        </w:tc>
        <w:tc>
          <w:tcPr>
            <w:tcW w:w="1275" w:type="dxa"/>
            <w:noWrap/>
            <w:vAlign w:val="center"/>
          </w:tcPr>
          <w:p w14:paraId="759FA9B8" w14:textId="6FC57750"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-1,69</w:t>
            </w:r>
          </w:p>
        </w:tc>
        <w:tc>
          <w:tcPr>
            <w:tcW w:w="955" w:type="dxa"/>
            <w:vAlign w:val="center"/>
          </w:tcPr>
          <w:p w14:paraId="093EE1F2" w14:textId="7B6C3842"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-1,59</w:t>
            </w:r>
          </w:p>
        </w:tc>
      </w:tr>
      <w:tr w:rsidR="00106477" w:rsidRPr="00D8017D" w14:paraId="7D95F612" w14:textId="77777777" w:rsidTr="00CF43D4">
        <w:trPr>
          <w:cantSplit/>
          <w:trHeight w:val="20"/>
          <w:jc w:val="center"/>
        </w:trPr>
        <w:tc>
          <w:tcPr>
            <w:tcW w:w="3883" w:type="dxa"/>
            <w:vAlign w:val="center"/>
          </w:tcPr>
          <w:p w14:paraId="4F36248D" w14:textId="77777777" w:rsidR="00106477" w:rsidRPr="006F6679" w:rsidRDefault="00106477" w:rsidP="00106477">
            <w:pPr>
              <w:spacing w:before="60" w:after="0"/>
              <w:ind w:firstLine="0"/>
              <w:jc w:val="left"/>
              <w:rPr>
                <w:rFonts w:eastAsia="Times New Roman" w:cs="Times New Roman"/>
                <w:color w:val="000000"/>
                <w:sz w:val="20"/>
                <w:szCs w:val="20"/>
              </w:rPr>
            </w:pPr>
            <w:r w:rsidRPr="006F6679">
              <w:rPr>
                <w:rFonts w:eastAsia="Times New Roman" w:cs="Times New Roman"/>
                <w:color w:val="000000"/>
                <w:sz w:val="20"/>
                <w:szCs w:val="20"/>
              </w:rPr>
              <w:t>Bilances cikliskā komponente, % no IKP</w:t>
            </w:r>
          </w:p>
        </w:tc>
        <w:tc>
          <w:tcPr>
            <w:tcW w:w="1484" w:type="dxa"/>
            <w:noWrap/>
            <w:vAlign w:val="center"/>
          </w:tcPr>
          <w:p w14:paraId="6B250804" w14:textId="77777777"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color w:val="000000"/>
                <w:sz w:val="20"/>
                <w:szCs w:val="20"/>
              </w:rPr>
              <w:t>(7)</w:t>
            </w:r>
          </w:p>
        </w:tc>
        <w:tc>
          <w:tcPr>
            <w:tcW w:w="1109" w:type="dxa"/>
            <w:noWrap/>
            <w:vAlign w:val="center"/>
          </w:tcPr>
          <w:p w14:paraId="06B176A5" w14:textId="6BD4B651"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-0,33</w:t>
            </w:r>
          </w:p>
        </w:tc>
        <w:tc>
          <w:tcPr>
            <w:tcW w:w="1275" w:type="dxa"/>
            <w:noWrap/>
            <w:vAlign w:val="center"/>
          </w:tcPr>
          <w:p w14:paraId="61214EB6" w14:textId="2BA05456"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-0,18</w:t>
            </w:r>
          </w:p>
        </w:tc>
        <w:tc>
          <w:tcPr>
            <w:tcW w:w="955" w:type="dxa"/>
            <w:vAlign w:val="center"/>
          </w:tcPr>
          <w:p w14:paraId="55D593DA" w14:textId="0E4F8BF9"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-0,08</w:t>
            </w:r>
          </w:p>
        </w:tc>
      </w:tr>
      <w:tr w:rsidR="00106477" w:rsidRPr="00D8017D" w14:paraId="056AF86A" w14:textId="77777777" w:rsidTr="00CF43D4">
        <w:trPr>
          <w:cantSplit/>
          <w:trHeight w:val="20"/>
          <w:jc w:val="center"/>
        </w:trPr>
        <w:tc>
          <w:tcPr>
            <w:tcW w:w="3883" w:type="dxa"/>
            <w:vAlign w:val="center"/>
          </w:tcPr>
          <w:p w14:paraId="672FA9EE" w14:textId="2537E953" w:rsidR="00106477" w:rsidRPr="006F6679" w:rsidRDefault="00106477" w:rsidP="00106477">
            <w:pPr>
              <w:spacing w:before="60" w:after="0"/>
              <w:ind w:firstLine="0"/>
              <w:jc w:val="left"/>
              <w:rPr>
                <w:rFonts w:eastAsia="Times New Roman" w:cs="Times New Roman"/>
                <w:color w:val="000000"/>
                <w:sz w:val="20"/>
                <w:szCs w:val="20"/>
              </w:rPr>
            </w:pPr>
            <w:r w:rsidRPr="006F6679">
              <w:rPr>
                <w:rFonts w:eastAsia="Times New Roman" w:cs="Times New Roman"/>
                <w:color w:val="000000"/>
                <w:sz w:val="20"/>
                <w:szCs w:val="20"/>
              </w:rPr>
              <w:t>Vispārējās valdības budžeta strukturālās bilances prognozes nemainīgas politikas scenārijā, % no IKP</w:t>
            </w:r>
          </w:p>
        </w:tc>
        <w:tc>
          <w:tcPr>
            <w:tcW w:w="1484" w:type="dxa"/>
            <w:noWrap/>
            <w:vAlign w:val="center"/>
          </w:tcPr>
          <w:p w14:paraId="2A9708C5" w14:textId="3EC030C7"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color w:val="000000"/>
                <w:sz w:val="20"/>
                <w:szCs w:val="20"/>
              </w:rPr>
              <w:t>(8)=(5)-(6)-(7)</w:t>
            </w:r>
          </w:p>
        </w:tc>
        <w:tc>
          <w:tcPr>
            <w:tcW w:w="1109" w:type="dxa"/>
            <w:noWrap/>
            <w:vAlign w:val="center"/>
          </w:tcPr>
          <w:p w14:paraId="7F384A53" w14:textId="11D893E8"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-1,05</w:t>
            </w:r>
          </w:p>
        </w:tc>
        <w:tc>
          <w:tcPr>
            <w:tcW w:w="1275" w:type="dxa"/>
            <w:noWrap/>
            <w:vAlign w:val="center"/>
          </w:tcPr>
          <w:p w14:paraId="2D884D69" w14:textId="1E1FCD92"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-2,18</w:t>
            </w:r>
          </w:p>
        </w:tc>
        <w:tc>
          <w:tcPr>
            <w:tcW w:w="955" w:type="dxa"/>
            <w:vAlign w:val="center"/>
          </w:tcPr>
          <w:p w14:paraId="610E8757" w14:textId="2E666234" w:rsidR="00106477" w:rsidRPr="006F6679" w:rsidRDefault="00106477" w:rsidP="00106477">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-2,07</w:t>
            </w:r>
          </w:p>
        </w:tc>
      </w:tr>
    </w:tbl>
    <w:p w14:paraId="6723BA2F" w14:textId="77777777" w:rsidR="00EC6FE1" w:rsidRDefault="00EC6FE1" w:rsidP="008349F0">
      <w:pPr>
        <w:rPr>
          <w:szCs w:val="20"/>
        </w:rPr>
      </w:pPr>
    </w:p>
    <w:p w14:paraId="29192920" w14:textId="70C24025" w:rsidR="00CB177C" w:rsidRPr="00D8017D" w:rsidRDefault="00CB177C" w:rsidP="008349F0">
      <w:pPr>
        <w:rPr>
          <w:szCs w:val="20"/>
        </w:rPr>
      </w:pPr>
      <w:r w:rsidRPr="00D8017D">
        <w:rPr>
          <w:szCs w:val="20"/>
        </w:rPr>
        <w:t>Ņemot vērā iepriekš definētos fiskālos nosacījumus un iepriekš norādītos strukturālās bilances mērķus, noteikta fiskālā telpa 202</w:t>
      </w:r>
      <w:r w:rsidR="009178AB" w:rsidRPr="00D8017D">
        <w:rPr>
          <w:szCs w:val="20"/>
        </w:rPr>
        <w:t>6</w:t>
      </w:r>
      <w:r w:rsidRPr="00D8017D">
        <w:rPr>
          <w:szCs w:val="20"/>
        </w:rPr>
        <w:t>., 202</w:t>
      </w:r>
      <w:r w:rsidR="009178AB" w:rsidRPr="00D8017D">
        <w:rPr>
          <w:szCs w:val="20"/>
        </w:rPr>
        <w:t>7</w:t>
      </w:r>
      <w:r w:rsidRPr="00D8017D">
        <w:rPr>
          <w:szCs w:val="20"/>
        </w:rPr>
        <w:t>. un 2028. gadam.</w:t>
      </w:r>
    </w:p>
    <w:p w14:paraId="454B7F26" w14:textId="2CB492FB" w:rsidR="00CB177C" w:rsidRPr="00D8017D" w:rsidRDefault="008675CC" w:rsidP="008349F0">
      <w:pPr>
        <w:ind w:firstLine="0"/>
        <w:jc w:val="right"/>
        <w:rPr>
          <w:rFonts w:eastAsia="Calibri"/>
          <w:b/>
          <w:bCs/>
          <w:i/>
          <w:iCs/>
          <w:szCs w:val="20"/>
        </w:rPr>
      </w:pPr>
      <w:r>
        <w:rPr>
          <w:rFonts w:eastAsia="Calibri"/>
          <w:b/>
          <w:bCs/>
          <w:i/>
          <w:iCs/>
          <w:szCs w:val="20"/>
        </w:rPr>
        <w:t>2.</w:t>
      </w:r>
      <w:r w:rsidR="00106477">
        <w:rPr>
          <w:rFonts w:eastAsia="Calibri"/>
          <w:b/>
          <w:bCs/>
          <w:i/>
          <w:iCs/>
          <w:szCs w:val="20"/>
        </w:rPr>
        <w:t>9</w:t>
      </w:r>
      <w:r w:rsidR="00CB177C" w:rsidRPr="00D8017D">
        <w:rPr>
          <w:rFonts w:eastAsia="Calibri"/>
          <w:b/>
          <w:bCs/>
          <w:i/>
          <w:iCs/>
          <w:szCs w:val="20"/>
        </w:rPr>
        <w:t>. tabula. Fiskālā telpa</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6"/>
        <w:gridCol w:w="1443"/>
        <w:gridCol w:w="1109"/>
        <w:gridCol w:w="1275"/>
        <w:gridCol w:w="961"/>
      </w:tblGrid>
      <w:tr w:rsidR="00106477" w:rsidRPr="00D8017D" w14:paraId="3208FEF0" w14:textId="77777777" w:rsidTr="006D484A">
        <w:trPr>
          <w:trHeight w:val="20"/>
          <w:tblHeader/>
          <w:jc w:val="center"/>
        </w:trPr>
        <w:tc>
          <w:tcPr>
            <w:tcW w:w="3346" w:type="dxa"/>
            <w:shd w:val="clear" w:color="auto" w:fill="BDD6EE" w:themeFill="accent1" w:themeFillTint="66"/>
            <w:vAlign w:val="bottom"/>
            <w:hideMark/>
          </w:tcPr>
          <w:p w14:paraId="55FDC078" w14:textId="77777777" w:rsidR="00106477" w:rsidRPr="006F6679" w:rsidRDefault="00106477" w:rsidP="006D484A">
            <w:pPr>
              <w:spacing w:before="60" w:after="0"/>
              <w:ind w:firstLine="0"/>
              <w:jc w:val="left"/>
              <w:rPr>
                <w:rFonts w:eastAsia="Times New Roman" w:cs="Times New Roman"/>
                <w:color w:val="000000"/>
                <w:sz w:val="20"/>
                <w:szCs w:val="20"/>
                <w:highlight w:val="lightGray"/>
              </w:rPr>
            </w:pPr>
            <w:r w:rsidRPr="006F6679">
              <w:rPr>
                <w:rFonts w:eastAsia="Times New Roman" w:cs="Times New Roman"/>
                <w:color w:val="000000"/>
                <w:sz w:val="20"/>
                <w:szCs w:val="20"/>
                <w:highlight w:val="lightGray"/>
              </w:rPr>
              <w:t> </w:t>
            </w:r>
          </w:p>
        </w:tc>
        <w:tc>
          <w:tcPr>
            <w:tcW w:w="1443" w:type="dxa"/>
            <w:shd w:val="clear" w:color="auto" w:fill="BDD6EE" w:themeFill="accent1" w:themeFillTint="66"/>
            <w:noWrap/>
            <w:vAlign w:val="bottom"/>
            <w:hideMark/>
          </w:tcPr>
          <w:p w14:paraId="02CDAA6B" w14:textId="77777777" w:rsidR="00106477" w:rsidRPr="006F6679" w:rsidRDefault="00106477" w:rsidP="006D484A">
            <w:pPr>
              <w:spacing w:before="60" w:after="0"/>
              <w:ind w:firstLine="0"/>
              <w:jc w:val="center"/>
              <w:rPr>
                <w:rFonts w:eastAsia="Times New Roman" w:cs="Times New Roman"/>
                <w:color w:val="000000"/>
                <w:sz w:val="20"/>
                <w:szCs w:val="20"/>
                <w:highlight w:val="lightGray"/>
              </w:rPr>
            </w:pPr>
          </w:p>
        </w:tc>
        <w:tc>
          <w:tcPr>
            <w:tcW w:w="1109" w:type="dxa"/>
            <w:shd w:val="clear" w:color="auto" w:fill="BDD6EE" w:themeFill="accent1" w:themeFillTint="66"/>
            <w:noWrap/>
            <w:vAlign w:val="center"/>
            <w:hideMark/>
          </w:tcPr>
          <w:p w14:paraId="270F70C9" w14:textId="77777777" w:rsidR="00106477" w:rsidRPr="006F6679" w:rsidRDefault="00106477" w:rsidP="006D484A">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2026</w:t>
            </w:r>
          </w:p>
        </w:tc>
        <w:tc>
          <w:tcPr>
            <w:tcW w:w="1275" w:type="dxa"/>
            <w:shd w:val="clear" w:color="auto" w:fill="BDD6EE" w:themeFill="accent1" w:themeFillTint="66"/>
            <w:noWrap/>
            <w:vAlign w:val="center"/>
            <w:hideMark/>
          </w:tcPr>
          <w:p w14:paraId="1666A56B" w14:textId="77777777" w:rsidR="00106477" w:rsidRPr="006F6679" w:rsidRDefault="00106477" w:rsidP="006D484A">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2027</w:t>
            </w:r>
          </w:p>
        </w:tc>
        <w:tc>
          <w:tcPr>
            <w:tcW w:w="961" w:type="dxa"/>
            <w:shd w:val="clear" w:color="auto" w:fill="BDD6EE" w:themeFill="accent1" w:themeFillTint="66"/>
            <w:vAlign w:val="center"/>
          </w:tcPr>
          <w:p w14:paraId="7AE4AE8B" w14:textId="77777777" w:rsidR="00106477" w:rsidRPr="006F6679" w:rsidRDefault="00106477" w:rsidP="006D484A">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2028</w:t>
            </w:r>
          </w:p>
        </w:tc>
      </w:tr>
      <w:tr w:rsidR="00B248BA" w:rsidRPr="00D8017D" w14:paraId="6482138E" w14:textId="77777777" w:rsidTr="009178AB">
        <w:trPr>
          <w:trHeight w:val="20"/>
          <w:jc w:val="center"/>
        </w:trPr>
        <w:tc>
          <w:tcPr>
            <w:tcW w:w="3346" w:type="dxa"/>
            <w:vAlign w:val="center"/>
          </w:tcPr>
          <w:p w14:paraId="045F9BC2" w14:textId="1B33276E" w:rsidR="00B248BA" w:rsidRPr="006F6679" w:rsidRDefault="00B248BA" w:rsidP="00B248BA">
            <w:pPr>
              <w:spacing w:before="60" w:after="0"/>
              <w:ind w:firstLine="0"/>
              <w:jc w:val="left"/>
              <w:rPr>
                <w:rFonts w:eastAsia="Times New Roman" w:cs="Times New Roman"/>
                <w:color w:val="000000"/>
                <w:sz w:val="20"/>
                <w:szCs w:val="20"/>
                <w:highlight w:val="lightGray"/>
              </w:rPr>
            </w:pPr>
            <w:r w:rsidRPr="006F6679">
              <w:rPr>
                <w:rFonts w:eastAsia="Times New Roman" w:cs="Times New Roman"/>
                <w:color w:val="000000"/>
                <w:sz w:val="20"/>
                <w:szCs w:val="20"/>
              </w:rPr>
              <w:t>Vispārējās valdības budžeta strukturālās bilances prognozes nemainīgas politikas scenārijā, % no IKP</w:t>
            </w:r>
          </w:p>
        </w:tc>
        <w:tc>
          <w:tcPr>
            <w:tcW w:w="1443" w:type="dxa"/>
            <w:noWrap/>
            <w:vAlign w:val="center"/>
          </w:tcPr>
          <w:p w14:paraId="62E716D3" w14:textId="147C6288"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sidDel="006970FF">
              <w:rPr>
                <w:rFonts w:eastAsia="Times New Roman" w:cs="Times New Roman"/>
                <w:color w:val="000000"/>
                <w:sz w:val="20"/>
                <w:szCs w:val="20"/>
              </w:rPr>
              <w:t xml:space="preserve"> </w:t>
            </w:r>
            <w:r w:rsidRPr="008D6AC4">
              <w:rPr>
                <w:rFonts w:eastAsia="Times New Roman" w:cs="Times New Roman"/>
                <w:color w:val="000000"/>
                <w:sz w:val="20"/>
                <w:szCs w:val="20"/>
              </w:rPr>
              <w:t>(1)</w:t>
            </w:r>
          </w:p>
        </w:tc>
        <w:tc>
          <w:tcPr>
            <w:tcW w:w="1109" w:type="dxa"/>
            <w:noWrap/>
            <w:vAlign w:val="center"/>
          </w:tcPr>
          <w:p w14:paraId="56638314" w14:textId="2259F067"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cs="Times New Roman"/>
                <w:color w:val="000000" w:themeColor="text1"/>
                <w:sz w:val="20"/>
                <w:szCs w:val="20"/>
              </w:rPr>
              <w:t>-1,05</w:t>
            </w:r>
          </w:p>
        </w:tc>
        <w:tc>
          <w:tcPr>
            <w:tcW w:w="1275" w:type="dxa"/>
            <w:noWrap/>
            <w:vAlign w:val="center"/>
          </w:tcPr>
          <w:p w14:paraId="42A87BB8" w14:textId="24246634"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cs="Times New Roman"/>
                <w:color w:val="000000" w:themeColor="text1"/>
                <w:sz w:val="20"/>
                <w:szCs w:val="20"/>
              </w:rPr>
              <w:t>-2,18</w:t>
            </w:r>
          </w:p>
        </w:tc>
        <w:tc>
          <w:tcPr>
            <w:tcW w:w="961" w:type="dxa"/>
            <w:vAlign w:val="center"/>
          </w:tcPr>
          <w:p w14:paraId="549F196F" w14:textId="69526955"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cs="Times New Roman"/>
                <w:color w:val="000000" w:themeColor="text1"/>
                <w:sz w:val="20"/>
                <w:szCs w:val="20"/>
              </w:rPr>
              <w:t>-2,07</w:t>
            </w:r>
          </w:p>
        </w:tc>
      </w:tr>
      <w:tr w:rsidR="00B248BA" w:rsidRPr="00D8017D" w14:paraId="379839C2" w14:textId="77777777" w:rsidTr="009178AB">
        <w:trPr>
          <w:trHeight w:val="20"/>
          <w:jc w:val="center"/>
        </w:trPr>
        <w:tc>
          <w:tcPr>
            <w:tcW w:w="3346" w:type="dxa"/>
            <w:vAlign w:val="center"/>
          </w:tcPr>
          <w:p w14:paraId="6D351802" w14:textId="341826FE" w:rsidR="00B248BA" w:rsidRPr="006F6679" w:rsidRDefault="00B248BA" w:rsidP="00B248BA">
            <w:pPr>
              <w:spacing w:before="60" w:after="0"/>
              <w:ind w:firstLine="0"/>
              <w:jc w:val="left"/>
              <w:rPr>
                <w:rFonts w:eastAsia="Times New Roman" w:cs="Times New Roman"/>
                <w:color w:val="000000"/>
                <w:sz w:val="20"/>
                <w:szCs w:val="20"/>
                <w:highlight w:val="lightGray"/>
              </w:rPr>
            </w:pPr>
            <w:r w:rsidRPr="006F6679">
              <w:rPr>
                <w:rFonts w:eastAsia="Times New Roman" w:cs="Times New Roman"/>
                <w:color w:val="000000"/>
                <w:sz w:val="20"/>
                <w:szCs w:val="20"/>
              </w:rPr>
              <w:t>Vispārējās valdības budžeta strukturālās bilances mērķis saskaņā ar visiem fiskālajiem nosacījumiem, % no IKP</w:t>
            </w:r>
          </w:p>
        </w:tc>
        <w:tc>
          <w:tcPr>
            <w:tcW w:w="1443" w:type="dxa"/>
            <w:noWrap/>
            <w:vAlign w:val="center"/>
          </w:tcPr>
          <w:p w14:paraId="28E6F45F" w14:textId="1D9CA0E3"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(2)</w:t>
            </w:r>
          </w:p>
        </w:tc>
        <w:tc>
          <w:tcPr>
            <w:tcW w:w="1109" w:type="dxa"/>
            <w:noWrap/>
            <w:vAlign w:val="center"/>
          </w:tcPr>
          <w:p w14:paraId="3F39ACDD" w14:textId="76EAD038"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-1,24</w:t>
            </w:r>
          </w:p>
        </w:tc>
        <w:tc>
          <w:tcPr>
            <w:tcW w:w="1275" w:type="dxa"/>
            <w:noWrap/>
            <w:vAlign w:val="center"/>
          </w:tcPr>
          <w:p w14:paraId="22A977A6" w14:textId="16E50195"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-1,97</w:t>
            </w:r>
          </w:p>
        </w:tc>
        <w:tc>
          <w:tcPr>
            <w:tcW w:w="961" w:type="dxa"/>
            <w:vAlign w:val="center"/>
          </w:tcPr>
          <w:p w14:paraId="5A5FDB38" w14:textId="7C0329F4"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-1,87</w:t>
            </w:r>
          </w:p>
        </w:tc>
      </w:tr>
      <w:tr w:rsidR="00B248BA" w:rsidRPr="00D8017D" w14:paraId="72D16310" w14:textId="77777777" w:rsidTr="009178AB">
        <w:trPr>
          <w:trHeight w:val="20"/>
          <w:jc w:val="center"/>
        </w:trPr>
        <w:tc>
          <w:tcPr>
            <w:tcW w:w="3346" w:type="dxa"/>
            <w:vAlign w:val="center"/>
          </w:tcPr>
          <w:p w14:paraId="65EC872A" w14:textId="1EB57CFD" w:rsidR="00B248BA" w:rsidRPr="006F6679" w:rsidRDefault="00B248BA" w:rsidP="00B248BA">
            <w:pPr>
              <w:spacing w:before="60" w:after="0"/>
              <w:ind w:firstLine="0"/>
              <w:jc w:val="left"/>
              <w:rPr>
                <w:rFonts w:eastAsia="Times New Roman" w:cs="Times New Roman"/>
                <w:color w:val="000000"/>
                <w:sz w:val="20"/>
                <w:szCs w:val="20"/>
                <w:highlight w:val="lightGray"/>
              </w:rPr>
            </w:pPr>
            <w:r w:rsidRPr="006F6679">
              <w:rPr>
                <w:rFonts w:eastAsia="Times New Roman" w:cs="Times New Roman"/>
                <w:color w:val="000000"/>
                <w:sz w:val="20"/>
                <w:szCs w:val="20"/>
              </w:rPr>
              <w:t>Fiskālā nodrošinājuma rezerve, % no IKP</w:t>
            </w:r>
          </w:p>
        </w:tc>
        <w:tc>
          <w:tcPr>
            <w:tcW w:w="1443" w:type="dxa"/>
            <w:noWrap/>
            <w:vAlign w:val="center"/>
          </w:tcPr>
          <w:p w14:paraId="3E0A3F3C" w14:textId="3388AEEF"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(3)</w:t>
            </w:r>
          </w:p>
        </w:tc>
        <w:tc>
          <w:tcPr>
            <w:tcW w:w="1109" w:type="dxa"/>
            <w:noWrap/>
            <w:vAlign w:val="center"/>
          </w:tcPr>
          <w:p w14:paraId="2A28A6A2" w14:textId="7285EA77"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0,10</w:t>
            </w:r>
          </w:p>
        </w:tc>
        <w:tc>
          <w:tcPr>
            <w:tcW w:w="1275" w:type="dxa"/>
            <w:noWrap/>
            <w:vAlign w:val="center"/>
          </w:tcPr>
          <w:p w14:paraId="748D536A" w14:textId="7BD72717"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0,10</w:t>
            </w:r>
          </w:p>
        </w:tc>
        <w:tc>
          <w:tcPr>
            <w:tcW w:w="961" w:type="dxa"/>
            <w:vAlign w:val="center"/>
          </w:tcPr>
          <w:p w14:paraId="6CC5FD0B" w14:textId="68AFC7D3"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0,10</w:t>
            </w:r>
          </w:p>
        </w:tc>
      </w:tr>
      <w:tr w:rsidR="00B248BA" w:rsidRPr="00D8017D" w14:paraId="674AF4C4" w14:textId="77777777" w:rsidTr="009178AB">
        <w:trPr>
          <w:trHeight w:val="20"/>
          <w:jc w:val="center"/>
        </w:trPr>
        <w:tc>
          <w:tcPr>
            <w:tcW w:w="3346" w:type="dxa"/>
            <w:vAlign w:val="center"/>
          </w:tcPr>
          <w:p w14:paraId="65D25D8A" w14:textId="3F6BAED4" w:rsidR="00B248BA" w:rsidRPr="006F6679" w:rsidRDefault="00B248BA" w:rsidP="00B248BA">
            <w:pPr>
              <w:spacing w:before="60" w:after="0"/>
              <w:ind w:firstLine="0"/>
              <w:jc w:val="left"/>
              <w:rPr>
                <w:rFonts w:eastAsia="Times New Roman" w:cs="Times New Roman"/>
                <w:color w:val="000000"/>
                <w:sz w:val="20"/>
                <w:szCs w:val="20"/>
                <w:highlight w:val="lightGray"/>
              </w:rPr>
            </w:pPr>
            <w:r w:rsidRPr="006F6679">
              <w:rPr>
                <w:rFonts w:eastAsia="Times New Roman" w:cs="Times New Roman"/>
                <w:color w:val="000000"/>
                <w:sz w:val="20"/>
                <w:szCs w:val="20"/>
              </w:rPr>
              <w:t xml:space="preserve">IKP prognoze, milj. </w:t>
            </w:r>
            <w:r w:rsidRPr="006F6679">
              <w:rPr>
                <w:rFonts w:eastAsia="Times New Roman" w:cs="Times New Roman"/>
                <w:i/>
                <w:iCs/>
                <w:color w:val="000000"/>
                <w:sz w:val="20"/>
                <w:szCs w:val="20"/>
              </w:rPr>
              <w:t>euro</w:t>
            </w:r>
          </w:p>
        </w:tc>
        <w:tc>
          <w:tcPr>
            <w:tcW w:w="1443" w:type="dxa"/>
            <w:noWrap/>
            <w:vAlign w:val="center"/>
          </w:tcPr>
          <w:p w14:paraId="1809C66B" w14:textId="211ED0BC"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(4)</w:t>
            </w:r>
          </w:p>
        </w:tc>
        <w:tc>
          <w:tcPr>
            <w:tcW w:w="1109" w:type="dxa"/>
            <w:noWrap/>
            <w:vAlign w:val="center"/>
          </w:tcPr>
          <w:p w14:paraId="4A0DC46C" w14:textId="363A8E58"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43 953</w:t>
            </w:r>
          </w:p>
        </w:tc>
        <w:tc>
          <w:tcPr>
            <w:tcW w:w="1275" w:type="dxa"/>
            <w:noWrap/>
            <w:vAlign w:val="center"/>
          </w:tcPr>
          <w:p w14:paraId="0D353D00" w14:textId="7F739BD5"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46 026</w:t>
            </w:r>
          </w:p>
        </w:tc>
        <w:tc>
          <w:tcPr>
            <w:tcW w:w="961" w:type="dxa"/>
            <w:vAlign w:val="center"/>
          </w:tcPr>
          <w:p w14:paraId="4E71F3B4" w14:textId="112E40BB" w:rsidR="00B248BA" w:rsidRPr="006F6679" w:rsidRDefault="00B248BA" w:rsidP="00B248BA">
            <w:pPr>
              <w:spacing w:before="60" w:after="0"/>
              <w:ind w:firstLine="0"/>
              <w:jc w:val="center"/>
              <w:rPr>
                <w:rFonts w:eastAsia="Times New Roman" w:cs="Times New Roman"/>
                <w:color w:val="000000"/>
                <w:sz w:val="20"/>
                <w:szCs w:val="20"/>
                <w:highlight w:val="lightGray"/>
              </w:rPr>
            </w:pPr>
            <w:r w:rsidRPr="008D6AC4">
              <w:rPr>
                <w:rFonts w:eastAsia="Times New Roman" w:cs="Times New Roman"/>
                <w:color w:val="000000"/>
                <w:sz w:val="20"/>
                <w:szCs w:val="20"/>
              </w:rPr>
              <w:t>48 154</w:t>
            </w:r>
          </w:p>
        </w:tc>
      </w:tr>
      <w:tr w:rsidR="00B248BA" w:rsidRPr="00D8017D" w14:paraId="4472ABA4" w14:textId="77777777" w:rsidTr="009178AB">
        <w:trPr>
          <w:trHeight w:val="20"/>
          <w:jc w:val="center"/>
        </w:trPr>
        <w:tc>
          <w:tcPr>
            <w:tcW w:w="3346" w:type="dxa"/>
            <w:shd w:val="clear" w:color="auto" w:fill="BDD6EE" w:themeFill="accent1" w:themeFillTint="66"/>
            <w:vAlign w:val="center"/>
          </w:tcPr>
          <w:p w14:paraId="5260573E" w14:textId="65120392" w:rsidR="00B248BA" w:rsidRPr="006F6679" w:rsidRDefault="00B248BA" w:rsidP="00B248BA">
            <w:pPr>
              <w:spacing w:before="60" w:after="0"/>
              <w:ind w:firstLine="0"/>
              <w:jc w:val="left"/>
              <w:rPr>
                <w:rFonts w:eastAsia="Times New Roman" w:cs="Times New Roman"/>
                <w:b/>
                <w:bCs/>
                <w:color w:val="000000"/>
                <w:sz w:val="20"/>
                <w:szCs w:val="20"/>
                <w:highlight w:val="lightGray"/>
              </w:rPr>
            </w:pPr>
            <w:r w:rsidRPr="006F6679">
              <w:rPr>
                <w:rFonts w:eastAsia="Times New Roman" w:cs="Times New Roman"/>
                <w:b/>
                <w:bCs/>
                <w:color w:val="000000"/>
                <w:sz w:val="20"/>
                <w:szCs w:val="20"/>
              </w:rPr>
              <w:t>Fiskālā telpa, % no IKP</w:t>
            </w:r>
          </w:p>
        </w:tc>
        <w:tc>
          <w:tcPr>
            <w:tcW w:w="1443" w:type="dxa"/>
            <w:shd w:val="clear" w:color="auto" w:fill="BDD6EE" w:themeFill="accent1" w:themeFillTint="66"/>
            <w:noWrap/>
            <w:vAlign w:val="center"/>
          </w:tcPr>
          <w:p w14:paraId="54FFCFB2" w14:textId="03E8A939" w:rsidR="00B248BA" w:rsidRPr="006F6679" w:rsidRDefault="00B248BA" w:rsidP="00B248BA">
            <w:pPr>
              <w:spacing w:before="60" w:after="0"/>
              <w:ind w:firstLine="0"/>
              <w:jc w:val="center"/>
              <w:rPr>
                <w:rFonts w:eastAsia="Times New Roman" w:cs="Times New Roman"/>
                <w:b/>
                <w:bCs/>
                <w:color w:val="000000"/>
                <w:sz w:val="20"/>
                <w:szCs w:val="20"/>
                <w:highlight w:val="lightGray"/>
              </w:rPr>
            </w:pPr>
            <w:r w:rsidRPr="008D6AC4">
              <w:rPr>
                <w:rFonts w:eastAsia="Times New Roman" w:cs="Times New Roman"/>
                <w:b/>
                <w:bCs/>
                <w:color w:val="000000"/>
                <w:sz w:val="20"/>
                <w:szCs w:val="20"/>
              </w:rPr>
              <w:t>(5)=(1)-(2)-(3)</w:t>
            </w:r>
          </w:p>
        </w:tc>
        <w:tc>
          <w:tcPr>
            <w:tcW w:w="1109" w:type="dxa"/>
            <w:shd w:val="clear" w:color="auto" w:fill="BDD6EE" w:themeFill="accent1" w:themeFillTint="66"/>
            <w:noWrap/>
            <w:vAlign w:val="center"/>
          </w:tcPr>
          <w:p w14:paraId="74CFC843" w14:textId="069F11AE" w:rsidR="00B248BA" w:rsidRPr="006F6679" w:rsidRDefault="00B248BA" w:rsidP="00B248BA">
            <w:pPr>
              <w:spacing w:before="60" w:after="0"/>
              <w:ind w:firstLine="0"/>
              <w:jc w:val="center"/>
              <w:rPr>
                <w:rFonts w:eastAsia="Times New Roman" w:cs="Times New Roman"/>
                <w:b/>
                <w:bCs/>
                <w:color w:val="000000"/>
                <w:sz w:val="20"/>
                <w:szCs w:val="20"/>
                <w:highlight w:val="lightGray"/>
              </w:rPr>
            </w:pPr>
            <w:r w:rsidRPr="008D6AC4">
              <w:rPr>
                <w:rFonts w:eastAsia="Times New Roman" w:cs="Times New Roman"/>
                <w:b/>
                <w:bCs/>
                <w:color w:val="00B050"/>
                <w:sz w:val="20"/>
                <w:szCs w:val="20"/>
              </w:rPr>
              <w:t>0,09</w:t>
            </w:r>
          </w:p>
        </w:tc>
        <w:tc>
          <w:tcPr>
            <w:tcW w:w="1275" w:type="dxa"/>
            <w:shd w:val="clear" w:color="auto" w:fill="BDD6EE" w:themeFill="accent1" w:themeFillTint="66"/>
            <w:noWrap/>
            <w:vAlign w:val="center"/>
          </w:tcPr>
          <w:p w14:paraId="6242A20E" w14:textId="0C9F26C4" w:rsidR="00B248BA" w:rsidRPr="006F6679" w:rsidRDefault="00B248BA" w:rsidP="00B248BA">
            <w:pPr>
              <w:spacing w:before="60" w:after="0"/>
              <w:ind w:firstLine="0"/>
              <w:jc w:val="center"/>
              <w:rPr>
                <w:rFonts w:eastAsia="Times New Roman" w:cs="Times New Roman"/>
                <w:b/>
                <w:bCs/>
                <w:color w:val="000000"/>
                <w:sz w:val="20"/>
                <w:szCs w:val="20"/>
                <w:highlight w:val="lightGray"/>
              </w:rPr>
            </w:pPr>
            <w:r w:rsidRPr="008D6AC4">
              <w:rPr>
                <w:rFonts w:eastAsia="Times New Roman" w:cs="Times New Roman"/>
                <w:b/>
                <w:bCs/>
                <w:color w:val="EE0000"/>
                <w:sz w:val="20"/>
                <w:szCs w:val="20"/>
              </w:rPr>
              <w:t>-0,30</w:t>
            </w:r>
          </w:p>
        </w:tc>
        <w:tc>
          <w:tcPr>
            <w:tcW w:w="961" w:type="dxa"/>
            <w:shd w:val="clear" w:color="auto" w:fill="BDD6EE" w:themeFill="accent1" w:themeFillTint="66"/>
            <w:vAlign w:val="center"/>
          </w:tcPr>
          <w:p w14:paraId="314FECB2" w14:textId="7B0FBA04" w:rsidR="00B248BA" w:rsidRPr="006F6679" w:rsidRDefault="00B248BA" w:rsidP="00B248BA">
            <w:pPr>
              <w:spacing w:before="60" w:after="0"/>
              <w:ind w:firstLine="0"/>
              <w:jc w:val="center"/>
              <w:rPr>
                <w:rFonts w:eastAsia="Times New Roman" w:cs="Times New Roman"/>
                <w:b/>
                <w:bCs/>
                <w:color w:val="000000"/>
                <w:sz w:val="20"/>
                <w:szCs w:val="20"/>
                <w:highlight w:val="lightGray"/>
              </w:rPr>
            </w:pPr>
            <w:r w:rsidRPr="008D6AC4">
              <w:rPr>
                <w:rFonts w:eastAsia="Times New Roman" w:cs="Times New Roman"/>
                <w:b/>
                <w:bCs/>
                <w:color w:val="EE0000"/>
                <w:sz w:val="20"/>
                <w:szCs w:val="20"/>
              </w:rPr>
              <w:t>-0,30</w:t>
            </w:r>
          </w:p>
        </w:tc>
      </w:tr>
      <w:tr w:rsidR="00B248BA" w:rsidRPr="00D8017D" w14:paraId="37E307C5" w14:textId="77777777" w:rsidTr="009178AB">
        <w:trPr>
          <w:trHeight w:val="20"/>
          <w:jc w:val="center"/>
        </w:trPr>
        <w:tc>
          <w:tcPr>
            <w:tcW w:w="3346" w:type="dxa"/>
            <w:shd w:val="clear" w:color="auto" w:fill="BDD6EE" w:themeFill="accent1" w:themeFillTint="66"/>
            <w:vAlign w:val="center"/>
          </w:tcPr>
          <w:p w14:paraId="7E2F88BE" w14:textId="7543E01A" w:rsidR="00B248BA" w:rsidRPr="006F6679" w:rsidRDefault="00B248BA" w:rsidP="00B248BA">
            <w:pPr>
              <w:spacing w:before="60" w:after="0"/>
              <w:ind w:firstLine="0"/>
              <w:jc w:val="left"/>
              <w:rPr>
                <w:rFonts w:eastAsia="Times New Roman" w:cs="Times New Roman"/>
                <w:b/>
                <w:bCs/>
                <w:color w:val="000000"/>
                <w:sz w:val="20"/>
                <w:szCs w:val="20"/>
                <w:highlight w:val="lightGray"/>
              </w:rPr>
            </w:pPr>
            <w:r w:rsidRPr="006F6679">
              <w:rPr>
                <w:rFonts w:eastAsia="Times New Roman" w:cs="Times New Roman"/>
                <w:b/>
                <w:bCs/>
                <w:color w:val="000000"/>
                <w:sz w:val="20"/>
                <w:szCs w:val="20"/>
              </w:rPr>
              <w:t xml:space="preserve">Fiskālā telpa, milj. </w:t>
            </w:r>
            <w:r w:rsidRPr="006F6679">
              <w:rPr>
                <w:rFonts w:eastAsia="Times New Roman" w:cs="Times New Roman"/>
                <w:b/>
                <w:bCs/>
                <w:i/>
                <w:iCs/>
                <w:color w:val="000000"/>
                <w:sz w:val="20"/>
                <w:szCs w:val="20"/>
              </w:rPr>
              <w:t>euro</w:t>
            </w:r>
          </w:p>
        </w:tc>
        <w:tc>
          <w:tcPr>
            <w:tcW w:w="1443" w:type="dxa"/>
            <w:shd w:val="clear" w:color="auto" w:fill="BDD6EE" w:themeFill="accent1" w:themeFillTint="66"/>
            <w:noWrap/>
            <w:vAlign w:val="center"/>
          </w:tcPr>
          <w:p w14:paraId="009DDCE2" w14:textId="418A1C1F" w:rsidR="00B248BA" w:rsidRPr="006F6679" w:rsidRDefault="00B248BA" w:rsidP="00B248BA">
            <w:pPr>
              <w:spacing w:before="60" w:after="0"/>
              <w:ind w:firstLine="0"/>
              <w:jc w:val="center"/>
              <w:rPr>
                <w:rFonts w:eastAsia="Times New Roman" w:cs="Times New Roman"/>
                <w:b/>
                <w:bCs/>
                <w:color w:val="000000"/>
                <w:sz w:val="20"/>
                <w:szCs w:val="20"/>
                <w:highlight w:val="lightGray"/>
              </w:rPr>
            </w:pPr>
            <w:r w:rsidRPr="008D6AC4">
              <w:rPr>
                <w:rFonts w:eastAsia="Times New Roman" w:cs="Times New Roman"/>
                <w:b/>
                <w:bCs/>
                <w:color w:val="000000"/>
                <w:sz w:val="20"/>
                <w:szCs w:val="20"/>
              </w:rPr>
              <w:t>(6)=(5)*(4)</w:t>
            </w:r>
          </w:p>
        </w:tc>
        <w:tc>
          <w:tcPr>
            <w:tcW w:w="1109" w:type="dxa"/>
            <w:shd w:val="clear" w:color="auto" w:fill="BDD6EE" w:themeFill="accent1" w:themeFillTint="66"/>
            <w:noWrap/>
            <w:vAlign w:val="center"/>
          </w:tcPr>
          <w:p w14:paraId="432F8751" w14:textId="5B13E296" w:rsidR="00B248BA" w:rsidRPr="006F6679" w:rsidRDefault="00B248BA" w:rsidP="00B248BA">
            <w:pPr>
              <w:spacing w:before="60" w:after="0"/>
              <w:ind w:firstLine="0"/>
              <w:jc w:val="center"/>
              <w:rPr>
                <w:rFonts w:eastAsia="Times New Roman" w:cs="Times New Roman"/>
                <w:b/>
                <w:bCs/>
                <w:color w:val="000000"/>
                <w:sz w:val="20"/>
                <w:szCs w:val="20"/>
                <w:highlight w:val="lightGray"/>
              </w:rPr>
            </w:pPr>
            <w:r w:rsidRPr="008D6AC4">
              <w:rPr>
                <w:rFonts w:eastAsia="Times New Roman" w:cs="Times New Roman"/>
                <w:b/>
                <w:bCs/>
                <w:color w:val="00B050"/>
                <w:sz w:val="20"/>
                <w:szCs w:val="20"/>
              </w:rPr>
              <w:t>39,7</w:t>
            </w:r>
          </w:p>
        </w:tc>
        <w:tc>
          <w:tcPr>
            <w:tcW w:w="1275" w:type="dxa"/>
            <w:shd w:val="clear" w:color="auto" w:fill="BDD6EE" w:themeFill="accent1" w:themeFillTint="66"/>
            <w:noWrap/>
            <w:vAlign w:val="center"/>
          </w:tcPr>
          <w:p w14:paraId="116717A1" w14:textId="084731BB" w:rsidR="00B248BA" w:rsidRPr="006F6679" w:rsidRDefault="00B248BA" w:rsidP="00B248BA">
            <w:pPr>
              <w:spacing w:before="60" w:after="0"/>
              <w:ind w:firstLine="0"/>
              <w:jc w:val="center"/>
              <w:rPr>
                <w:rFonts w:eastAsia="Times New Roman" w:cs="Times New Roman"/>
                <w:b/>
                <w:bCs/>
                <w:color w:val="000000"/>
                <w:sz w:val="20"/>
                <w:szCs w:val="20"/>
                <w:highlight w:val="lightGray"/>
              </w:rPr>
            </w:pPr>
            <w:r w:rsidRPr="008D6AC4">
              <w:rPr>
                <w:rFonts w:eastAsia="Times New Roman" w:cs="Times New Roman"/>
                <w:b/>
                <w:bCs/>
                <w:color w:val="EE0000"/>
                <w:sz w:val="20"/>
                <w:szCs w:val="20"/>
              </w:rPr>
              <w:t>-140,1</w:t>
            </w:r>
          </w:p>
        </w:tc>
        <w:tc>
          <w:tcPr>
            <w:tcW w:w="961" w:type="dxa"/>
            <w:shd w:val="clear" w:color="auto" w:fill="BDD6EE" w:themeFill="accent1" w:themeFillTint="66"/>
            <w:vAlign w:val="center"/>
          </w:tcPr>
          <w:p w14:paraId="3B023B54" w14:textId="211FEAF3" w:rsidR="00B248BA" w:rsidRPr="006F6679" w:rsidRDefault="00B248BA" w:rsidP="00B248BA">
            <w:pPr>
              <w:spacing w:before="60" w:after="0"/>
              <w:ind w:firstLine="0"/>
              <w:jc w:val="center"/>
              <w:rPr>
                <w:rFonts w:eastAsia="Times New Roman" w:cs="Times New Roman"/>
                <w:b/>
                <w:bCs/>
                <w:color w:val="000000"/>
                <w:sz w:val="20"/>
                <w:szCs w:val="20"/>
                <w:highlight w:val="lightGray"/>
              </w:rPr>
            </w:pPr>
            <w:r w:rsidRPr="008D6AC4">
              <w:rPr>
                <w:rFonts w:eastAsia="Times New Roman" w:cs="Times New Roman"/>
                <w:b/>
                <w:bCs/>
                <w:color w:val="EE0000"/>
                <w:sz w:val="20"/>
                <w:szCs w:val="20"/>
              </w:rPr>
              <w:t>-144,4</w:t>
            </w:r>
          </w:p>
        </w:tc>
      </w:tr>
    </w:tbl>
    <w:p w14:paraId="7EA61BC5" w14:textId="77777777" w:rsidR="006C7A9B" w:rsidRPr="00D8017D" w:rsidRDefault="006C7A9B" w:rsidP="008349F0">
      <w:pPr>
        <w:spacing w:after="0"/>
        <w:rPr>
          <w:szCs w:val="20"/>
          <w:highlight w:val="lightGray"/>
        </w:rPr>
      </w:pPr>
    </w:p>
    <w:p w14:paraId="71533BED" w14:textId="50B1DF75" w:rsidR="009178AB" w:rsidRPr="00D8017D" w:rsidRDefault="009178AB" w:rsidP="009178AB">
      <w:pPr>
        <w:rPr>
          <w:szCs w:val="20"/>
        </w:rPr>
      </w:pPr>
      <w:r w:rsidRPr="00D8017D">
        <w:rPr>
          <w:szCs w:val="20"/>
        </w:rPr>
        <w:t xml:space="preserve">2026. gadā fiskālās telpas apjoms ir pozitīvs 39,7 milj. </w:t>
      </w:r>
      <w:r w:rsidRPr="00D8017D">
        <w:rPr>
          <w:i/>
          <w:iCs/>
          <w:szCs w:val="20"/>
        </w:rPr>
        <w:t>euro</w:t>
      </w:r>
      <w:r w:rsidRPr="00D8017D">
        <w:rPr>
          <w:szCs w:val="20"/>
        </w:rPr>
        <w:t xml:space="preserve">, bet negatīvs gan 2027. gadā 140,1 milj. </w:t>
      </w:r>
      <w:r w:rsidRPr="00D8017D">
        <w:rPr>
          <w:i/>
          <w:iCs/>
          <w:szCs w:val="20"/>
        </w:rPr>
        <w:t>euro</w:t>
      </w:r>
      <w:r w:rsidRPr="00D8017D">
        <w:rPr>
          <w:szCs w:val="20"/>
        </w:rPr>
        <w:t xml:space="preserve">, gan 2028. gadā 144,4 milj. </w:t>
      </w:r>
      <w:r w:rsidRPr="00D8017D">
        <w:rPr>
          <w:i/>
          <w:iCs/>
          <w:szCs w:val="20"/>
        </w:rPr>
        <w:t xml:space="preserve">euro </w:t>
      </w:r>
      <w:r w:rsidRPr="00D8017D">
        <w:rPr>
          <w:szCs w:val="20"/>
        </w:rPr>
        <w:t xml:space="preserve">(skat. </w:t>
      </w:r>
      <w:r w:rsidR="008675CC">
        <w:rPr>
          <w:szCs w:val="20"/>
        </w:rPr>
        <w:t>2.</w:t>
      </w:r>
      <w:r w:rsidR="00106477">
        <w:rPr>
          <w:szCs w:val="20"/>
        </w:rPr>
        <w:t>9</w:t>
      </w:r>
      <w:r w:rsidRPr="00D8017D">
        <w:rPr>
          <w:szCs w:val="20"/>
        </w:rPr>
        <w:t xml:space="preserve">. tabulu). </w:t>
      </w:r>
    </w:p>
    <w:p w14:paraId="768D48B6" w14:textId="77777777" w:rsidR="006C7A9B" w:rsidRPr="00D8017D" w:rsidRDefault="006C7A9B" w:rsidP="00CF43D4">
      <w:pPr>
        <w:spacing w:after="0"/>
        <w:rPr>
          <w:szCs w:val="20"/>
          <w:highlight w:val="lightGray"/>
        </w:rPr>
      </w:pPr>
    </w:p>
    <w:p w14:paraId="6BEA429C" w14:textId="29135CA6" w:rsidR="004522B7" w:rsidRPr="00D8017D" w:rsidRDefault="00D96F93" w:rsidP="008349F0">
      <w:pPr>
        <w:rPr>
          <w:rFonts w:eastAsia="Calibri" w:cs="Times New Roman"/>
          <w:b/>
          <w:bCs/>
          <w:color w:val="000000" w:themeColor="text1"/>
          <w:sz w:val="28"/>
          <w:szCs w:val="28"/>
        </w:rPr>
      </w:pPr>
      <w:r w:rsidRPr="00D8017D">
        <w:rPr>
          <w:rFonts w:eastAsia="Calibri" w:cs="Times New Roman"/>
          <w:b/>
          <w:bCs/>
          <w:color w:val="000000" w:themeColor="text1"/>
          <w:sz w:val="28"/>
          <w:szCs w:val="28"/>
        </w:rPr>
        <w:t>Jauno politikas pasākumu ietekme uz fiskālajiem nosacījumiem</w:t>
      </w:r>
    </w:p>
    <w:p w14:paraId="571E5B72" w14:textId="6A66DFFB" w:rsidR="005C45C7" w:rsidRPr="00D8017D" w:rsidRDefault="005C28D7" w:rsidP="008349F0">
      <w:pPr>
        <w:rPr>
          <w:szCs w:val="20"/>
        </w:rPr>
      </w:pPr>
      <w:r w:rsidRPr="00D8017D">
        <w:rPr>
          <w:bCs/>
          <w:szCs w:val="20"/>
        </w:rPr>
        <w:t>Likumprojekta “Par valsts budžetu 202</w:t>
      </w:r>
      <w:r w:rsidR="006E4BA0" w:rsidRPr="00D8017D">
        <w:rPr>
          <w:bCs/>
          <w:szCs w:val="20"/>
        </w:rPr>
        <w:t>6</w:t>
      </w:r>
      <w:r w:rsidRPr="00D8017D">
        <w:rPr>
          <w:bCs/>
          <w:szCs w:val="20"/>
        </w:rPr>
        <w:t>. gadam un budžeta ietvaru 202</w:t>
      </w:r>
      <w:r w:rsidR="006E4BA0" w:rsidRPr="00D8017D">
        <w:rPr>
          <w:bCs/>
          <w:szCs w:val="20"/>
        </w:rPr>
        <w:t>6</w:t>
      </w:r>
      <w:r w:rsidRPr="00D8017D">
        <w:rPr>
          <w:bCs/>
          <w:szCs w:val="20"/>
        </w:rPr>
        <w:t>., 202</w:t>
      </w:r>
      <w:r w:rsidR="006E4BA0" w:rsidRPr="00D8017D">
        <w:rPr>
          <w:bCs/>
          <w:szCs w:val="20"/>
        </w:rPr>
        <w:t>7</w:t>
      </w:r>
      <w:r w:rsidRPr="00D8017D">
        <w:rPr>
          <w:bCs/>
          <w:szCs w:val="20"/>
        </w:rPr>
        <w:t>. un 202</w:t>
      </w:r>
      <w:r w:rsidR="006E4BA0" w:rsidRPr="00D8017D">
        <w:rPr>
          <w:bCs/>
          <w:szCs w:val="20"/>
        </w:rPr>
        <w:t>8</w:t>
      </w:r>
      <w:r w:rsidRPr="00D8017D">
        <w:rPr>
          <w:bCs/>
          <w:szCs w:val="20"/>
        </w:rPr>
        <w:t>. gadam</w:t>
      </w:r>
      <w:r w:rsidR="00C218BD" w:rsidRPr="00D8017D">
        <w:rPr>
          <w:bCs/>
          <w:szCs w:val="20"/>
        </w:rPr>
        <w:t>”</w:t>
      </w:r>
      <w:r w:rsidRPr="00D8017D">
        <w:rPr>
          <w:bCs/>
          <w:szCs w:val="20"/>
        </w:rPr>
        <w:t xml:space="preserve"> </w:t>
      </w:r>
      <w:r w:rsidR="005C45C7" w:rsidRPr="00D8017D">
        <w:rPr>
          <w:szCs w:val="20"/>
        </w:rPr>
        <w:t>sagatavošanas procesā f</w:t>
      </w:r>
      <w:r w:rsidR="00D96F93" w:rsidRPr="00D8017D">
        <w:rPr>
          <w:szCs w:val="20"/>
        </w:rPr>
        <w:t>iskālās telpas paplašināšan</w:t>
      </w:r>
      <w:r w:rsidR="005C45C7" w:rsidRPr="00D8017D">
        <w:rPr>
          <w:szCs w:val="20"/>
        </w:rPr>
        <w:t>a</w:t>
      </w:r>
      <w:r w:rsidR="00D96F93" w:rsidRPr="00D8017D">
        <w:rPr>
          <w:szCs w:val="20"/>
        </w:rPr>
        <w:t xml:space="preserve"> un aizp</w:t>
      </w:r>
      <w:r w:rsidR="0014609F" w:rsidRPr="00D8017D">
        <w:rPr>
          <w:szCs w:val="20"/>
        </w:rPr>
        <w:t>i</w:t>
      </w:r>
      <w:r w:rsidR="00D96F93" w:rsidRPr="00D8017D">
        <w:rPr>
          <w:szCs w:val="20"/>
        </w:rPr>
        <w:t>ldīšan</w:t>
      </w:r>
      <w:r w:rsidR="005C45C7" w:rsidRPr="00D8017D">
        <w:rPr>
          <w:szCs w:val="20"/>
        </w:rPr>
        <w:t>a notiek ar jauniem politikas pasākumiem, kā arī tiek pieņemti lēmum</w:t>
      </w:r>
      <w:r w:rsidR="00F12B31" w:rsidRPr="00D8017D">
        <w:rPr>
          <w:szCs w:val="20"/>
        </w:rPr>
        <w:t>i</w:t>
      </w:r>
      <w:r w:rsidR="005C45C7" w:rsidRPr="00D8017D">
        <w:rPr>
          <w:szCs w:val="20"/>
        </w:rPr>
        <w:t xml:space="preserve"> par jauniem fiskāli neitrāliem pasākumiem. Visus šos pasākumus var iedalīt </w:t>
      </w:r>
      <w:r w:rsidR="00281F7D" w:rsidRPr="00D8017D">
        <w:rPr>
          <w:szCs w:val="20"/>
        </w:rPr>
        <w:t>6</w:t>
      </w:r>
      <w:r w:rsidR="005C45C7" w:rsidRPr="00D8017D">
        <w:rPr>
          <w:szCs w:val="20"/>
        </w:rPr>
        <w:t xml:space="preserve"> kategorijās:</w:t>
      </w:r>
    </w:p>
    <w:p w14:paraId="05248468" w14:textId="2E7EE91F" w:rsidR="005C45C7" w:rsidRPr="00D8017D" w:rsidRDefault="00DA725D" w:rsidP="003160BE">
      <w:pPr>
        <w:pStyle w:val="ListParagraph"/>
        <w:numPr>
          <w:ilvl w:val="0"/>
          <w:numId w:val="13"/>
        </w:numPr>
        <w:rPr>
          <w:szCs w:val="20"/>
        </w:rPr>
      </w:pPr>
      <w:r w:rsidRPr="00D8017D">
        <w:rPr>
          <w:szCs w:val="20"/>
        </w:rPr>
        <w:t>i</w:t>
      </w:r>
      <w:r w:rsidR="005C45C7" w:rsidRPr="00D8017D">
        <w:rPr>
          <w:szCs w:val="20"/>
        </w:rPr>
        <w:t>zdevumus palielinoši pasākumi;</w:t>
      </w:r>
    </w:p>
    <w:p w14:paraId="7C203E9F" w14:textId="63106830" w:rsidR="005C45C7" w:rsidRPr="00D8017D" w:rsidRDefault="00DA725D" w:rsidP="003160BE">
      <w:pPr>
        <w:pStyle w:val="ListParagraph"/>
        <w:numPr>
          <w:ilvl w:val="0"/>
          <w:numId w:val="13"/>
        </w:numPr>
        <w:rPr>
          <w:szCs w:val="20"/>
        </w:rPr>
      </w:pPr>
      <w:r w:rsidRPr="00D8017D">
        <w:rPr>
          <w:szCs w:val="20"/>
        </w:rPr>
        <w:t>d</w:t>
      </w:r>
      <w:r w:rsidR="005C45C7" w:rsidRPr="00D8017D">
        <w:rPr>
          <w:szCs w:val="20"/>
        </w:rPr>
        <w:t>iskrecionāri ieņēmumu pasākumi;</w:t>
      </w:r>
    </w:p>
    <w:p w14:paraId="7F03F80F" w14:textId="4928812A" w:rsidR="005C45C7" w:rsidRPr="00D8017D" w:rsidRDefault="00DA725D" w:rsidP="003160BE">
      <w:pPr>
        <w:pStyle w:val="ListParagraph"/>
        <w:numPr>
          <w:ilvl w:val="0"/>
          <w:numId w:val="13"/>
        </w:numPr>
        <w:rPr>
          <w:szCs w:val="20"/>
        </w:rPr>
      </w:pPr>
      <w:r w:rsidRPr="00D8017D">
        <w:rPr>
          <w:szCs w:val="20"/>
        </w:rPr>
        <w:t>n</w:t>
      </w:r>
      <w:r w:rsidR="005C45C7" w:rsidRPr="00D8017D">
        <w:rPr>
          <w:szCs w:val="20"/>
        </w:rPr>
        <w:t>ediskrecionāri ieņēmumu pasākumi;</w:t>
      </w:r>
    </w:p>
    <w:p w14:paraId="2ECBD4F1" w14:textId="247455E5" w:rsidR="005C45C7" w:rsidRPr="00D8017D" w:rsidRDefault="00DA725D" w:rsidP="003160BE">
      <w:pPr>
        <w:pStyle w:val="ListParagraph"/>
        <w:numPr>
          <w:ilvl w:val="0"/>
          <w:numId w:val="13"/>
        </w:numPr>
        <w:rPr>
          <w:szCs w:val="20"/>
        </w:rPr>
      </w:pPr>
      <w:r w:rsidRPr="00D8017D">
        <w:rPr>
          <w:szCs w:val="20"/>
        </w:rPr>
        <w:t>f</w:t>
      </w:r>
      <w:r w:rsidR="005C45C7" w:rsidRPr="00D8017D">
        <w:rPr>
          <w:szCs w:val="20"/>
        </w:rPr>
        <w:t>iskāli neitrāli pasākumi, kas apvieno izdevumu palielinošus pasākumus ar diskrecionāriem ieņēmumus palielinošiem pasākumiem;</w:t>
      </w:r>
    </w:p>
    <w:p w14:paraId="2B160972" w14:textId="3F3755A4" w:rsidR="00D96F93" w:rsidRPr="00D8017D" w:rsidRDefault="00DA725D" w:rsidP="003160BE">
      <w:pPr>
        <w:pStyle w:val="ListParagraph"/>
        <w:numPr>
          <w:ilvl w:val="0"/>
          <w:numId w:val="13"/>
        </w:numPr>
        <w:rPr>
          <w:szCs w:val="20"/>
        </w:rPr>
      </w:pPr>
      <w:r w:rsidRPr="00D8017D">
        <w:rPr>
          <w:szCs w:val="20"/>
        </w:rPr>
        <w:t>f</w:t>
      </w:r>
      <w:r w:rsidR="005C45C7" w:rsidRPr="00D8017D">
        <w:rPr>
          <w:szCs w:val="20"/>
        </w:rPr>
        <w:t>iskāli neitrāli pasākumi, kas apvieno izdevumu palielinošus pasākumus ar nediskrecionāriem ieņēmumus palielinošiem pasākumiem;</w:t>
      </w:r>
      <w:r w:rsidR="00D96F93" w:rsidRPr="00D8017D">
        <w:rPr>
          <w:szCs w:val="20"/>
        </w:rPr>
        <w:t xml:space="preserve"> </w:t>
      </w:r>
    </w:p>
    <w:p w14:paraId="632D7A6B" w14:textId="1E3A07C5" w:rsidR="00281F7D" w:rsidRPr="00D8017D" w:rsidRDefault="00DA725D" w:rsidP="003160BE">
      <w:pPr>
        <w:pStyle w:val="ListParagraph"/>
        <w:numPr>
          <w:ilvl w:val="0"/>
          <w:numId w:val="13"/>
        </w:numPr>
        <w:rPr>
          <w:szCs w:val="20"/>
        </w:rPr>
      </w:pPr>
      <w:r w:rsidRPr="00D8017D">
        <w:rPr>
          <w:szCs w:val="20"/>
        </w:rPr>
        <w:t>f</w:t>
      </w:r>
      <w:r w:rsidR="00281F7D" w:rsidRPr="00D8017D">
        <w:rPr>
          <w:szCs w:val="20"/>
        </w:rPr>
        <w:t>iskāli neitrāli pasākumi, kas apvieno izdevumus palielinošu pasākum</w:t>
      </w:r>
      <w:r w:rsidR="00C218BD" w:rsidRPr="00D8017D">
        <w:rPr>
          <w:szCs w:val="20"/>
        </w:rPr>
        <w:t>u</w:t>
      </w:r>
      <w:r w:rsidR="00281F7D" w:rsidRPr="00D8017D">
        <w:rPr>
          <w:szCs w:val="20"/>
        </w:rPr>
        <w:t xml:space="preserve"> ar citu izdevumus samazinošu pasākumu.</w:t>
      </w:r>
    </w:p>
    <w:p w14:paraId="79AA70B4" w14:textId="3DC81365" w:rsidR="005244B9" w:rsidRPr="00D8017D" w:rsidRDefault="00281F7D" w:rsidP="008349F0">
      <w:pPr>
        <w:rPr>
          <w:szCs w:val="20"/>
        </w:rPr>
      </w:pPr>
      <w:r w:rsidRPr="00D8017D">
        <w:rPr>
          <w:szCs w:val="20"/>
        </w:rPr>
        <w:t>Ja 1.</w:t>
      </w:r>
      <w:r w:rsidR="00DA725D" w:rsidRPr="00D8017D">
        <w:rPr>
          <w:szCs w:val="20"/>
        </w:rPr>
        <w:t xml:space="preserve">, </w:t>
      </w:r>
      <w:r w:rsidRPr="00D8017D">
        <w:rPr>
          <w:szCs w:val="20"/>
        </w:rPr>
        <w:t>2</w:t>
      </w:r>
      <w:r w:rsidR="00DA725D" w:rsidRPr="00D8017D">
        <w:rPr>
          <w:szCs w:val="20"/>
        </w:rPr>
        <w:t xml:space="preserve">., </w:t>
      </w:r>
      <w:r w:rsidRPr="00D8017D">
        <w:rPr>
          <w:szCs w:val="20"/>
        </w:rPr>
        <w:t xml:space="preserve">4. un 6. pasākums vienādā mērā ietekmē visus 3 fiskālos nosacījumus, t. i. – tos pieņemot, fiskālā telpa tiek palielināta </w:t>
      </w:r>
      <w:r w:rsidR="00DA725D" w:rsidRPr="00D8017D">
        <w:rPr>
          <w:szCs w:val="20"/>
        </w:rPr>
        <w:t xml:space="preserve">un </w:t>
      </w:r>
      <w:r w:rsidRPr="00D8017D">
        <w:rPr>
          <w:szCs w:val="20"/>
        </w:rPr>
        <w:t xml:space="preserve">samazināta par attiecīgā pasākuma fiskālo vērtību </w:t>
      </w:r>
      <w:r w:rsidRPr="00D8017D">
        <w:rPr>
          <w:szCs w:val="20"/>
        </w:rPr>
        <w:lastRenderedPageBreak/>
        <w:t xml:space="preserve">(ieņēmumi, izdevumi pēc </w:t>
      </w:r>
      <w:r w:rsidR="003F3631" w:rsidRPr="00D8017D">
        <w:rPr>
          <w:szCs w:val="20"/>
        </w:rPr>
        <w:t>EKS</w:t>
      </w:r>
      <w:r w:rsidRPr="00D8017D">
        <w:rPr>
          <w:szCs w:val="20"/>
        </w:rPr>
        <w:t xml:space="preserve"> </w:t>
      </w:r>
      <w:r w:rsidR="00FD1578" w:rsidRPr="00D8017D">
        <w:rPr>
          <w:szCs w:val="20"/>
        </w:rPr>
        <w:t>metodoloģijas</w:t>
      </w:r>
      <w:r w:rsidRPr="00D8017D">
        <w:rPr>
          <w:szCs w:val="20"/>
        </w:rPr>
        <w:t xml:space="preserve">), 3. un 5. pasākums atšķirīgi ietekmē bilances nosacījumus un </w:t>
      </w:r>
      <w:r w:rsidR="004B105E" w:rsidRPr="00D8017D">
        <w:rPr>
          <w:szCs w:val="20"/>
        </w:rPr>
        <w:t xml:space="preserve">ES </w:t>
      </w:r>
      <w:r w:rsidRPr="00D8017D">
        <w:rPr>
          <w:szCs w:val="20"/>
        </w:rPr>
        <w:t xml:space="preserve">izdevumu pieauguma nosacījumu. Ja tiek pieņemts lēmums par </w:t>
      </w:r>
      <w:r w:rsidR="00C10618" w:rsidRPr="00D8017D">
        <w:rPr>
          <w:szCs w:val="20"/>
        </w:rPr>
        <w:t>ne</w:t>
      </w:r>
      <w:r w:rsidRPr="00D8017D">
        <w:rPr>
          <w:szCs w:val="20"/>
        </w:rPr>
        <w:t xml:space="preserve">diskrecionāru ieņēmumu pasākumu, tas palielina </w:t>
      </w:r>
      <w:r w:rsidR="00FD1578" w:rsidRPr="00D8017D">
        <w:rPr>
          <w:szCs w:val="20"/>
        </w:rPr>
        <w:t>ieņēmumus</w:t>
      </w:r>
      <w:r w:rsidRPr="00D8017D">
        <w:rPr>
          <w:szCs w:val="20"/>
        </w:rPr>
        <w:t xml:space="preserve"> un </w:t>
      </w:r>
      <w:r w:rsidR="00841639" w:rsidRPr="00D8017D">
        <w:rPr>
          <w:szCs w:val="20"/>
        </w:rPr>
        <w:t xml:space="preserve">ietekmē </w:t>
      </w:r>
      <w:r w:rsidRPr="00D8017D">
        <w:rPr>
          <w:szCs w:val="20"/>
        </w:rPr>
        <w:t xml:space="preserve">bilanci, tomēr tas </w:t>
      </w:r>
      <w:r w:rsidR="00841639" w:rsidRPr="00D8017D">
        <w:rPr>
          <w:szCs w:val="20"/>
        </w:rPr>
        <w:t xml:space="preserve">neietekmē </w:t>
      </w:r>
      <w:r w:rsidRPr="00D8017D">
        <w:rPr>
          <w:szCs w:val="20"/>
        </w:rPr>
        <w:t xml:space="preserve">izdevumu pieauguma nosacījumu, jo izdevumus var kāpināt tikai tad, ja kāpums tiek finansēts ar diskrecionāru ieņēmumu pasākumu. Šāda pasākuma rezultātā var mainīties </w:t>
      </w:r>
      <w:r w:rsidR="00EE46B6" w:rsidRPr="00D8017D">
        <w:rPr>
          <w:szCs w:val="20"/>
        </w:rPr>
        <w:t>dominējošais fiskālais nosacījums – bilance uzlabojas un fiskālo telpu var sākt ierobežot izdevumu pieauguma nosacījums, kas paliek nemainīgs. Tas nozīmē, ka vairs nav spēkā pieņēmums, ka ja tiek atbalstīts jauns nediskrecionārs ieņēmumus palielinoš</w:t>
      </w:r>
      <w:r w:rsidR="009B09D8" w:rsidRPr="00D8017D">
        <w:rPr>
          <w:szCs w:val="20"/>
        </w:rPr>
        <w:t>s</w:t>
      </w:r>
      <w:r w:rsidR="00EE46B6" w:rsidRPr="00D8017D">
        <w:rPr>
          <w:szCs w:val="20"/>
        </w:rPr>
        <w:t xml:space="preserve"> pasākums, piemēram, par 50 </w:t>
      </w:r>
      <w:r w:rsidR="004B105E" w:rsidRPr="00D8017D">
        <w:rPr>
          <w:szCs w:val="20"/>
        </w:rPr>
        <w:t xml:space="preserve">milj. </w:t>
      </w:r>
      <w:r w:rsidR="004B105E" w:rsidRPr="00D8017D">
        <w:rPr>
          <w:i/>
          <w:iCs/>
          <w:szCs w:val="20"/>
        </w:rPr>
        <w:t>euro</w:t>
      </w:r>
      <w:r w:rsidR="00EE46B6" w:rsidRPr="00D8017D">
        <w:rPr>
          <w:szCs w:val="20"/>
        </w:rPr>
        <w:t>, tad fiskālā telpa arī palielin</w:t>
      </w:r>
      <w:r w:rsidR="009B09D8" w:rsidRPr="00D8017D">
        <w:rPr>
          <w:szCs w:val="20"/>
        </w:rPr>
        <w:t>ā</w:t>
      </w:r>
      <w:r w:rsidR="00EE46B6" w:rsidRPr="00D8017D">
        <w:rPr>
          <w:szCs w:val="20"/>
        </w:rPr>
        <w:t xml:space="preserve">s par 50 </w:t>
      </w:r>
      <w:r w:rsidR="004B105E" w:rsidRPr="00D8017D">
        <w:rPr>
          <w:szCs w:val="20"/>
        </w:rPr>
        <w:t xml:space="preserve">milj. </w:t>
      </w:r>
      <w:r w:rsidR="004B105E" w:rsidRPr="00D8017D">
        <w:rPr>
          <w:i/>
          <w:iCs/>
          <w:szCs w:val="20"/>
        </w:rPr>
        <w:t>euro</w:t>
      </w:r>
      <w:r w:rsidR="00EE46B6" w:rsidRPr="00D8017D">
        <w:rPr>
          <w:szCs w:val="20"/>
        </w:rPr>
        <w:t xml:space="preserve"> – un to attiecīgi var izmantot kāda cita jauna pasākuma finansēšanai. Patiesībā var gadīties tā, ka daļa no šī pasākuma palielina fiskālo telpu (līdz apmēram, kad mainās dominējošais fiskālais nosacījums)</w:t>
      </w:r>
      <w:r w:rsidR="009B09D8" w:rsidRPr="00D8017D">
        <w:rPr>
          <w:szCs w:val="20"/>
        </w:rPr>
        <w:t>,</w:t>
      </w:r>
      <w:r w:rsidR="00EE46B6" w:rsidRPr="00D8017D">
        <w:rPr>
          <w:szCs w:val="20"/>
        </w:rPr>
        <w:t xml:space="preserve"> bet pārējā daļa fiskālo telpu nepalielina. Piemēram, nediskrecionāra 50 </w:t>
      </w:r>
      <w:r w:rsidR="004B105E" w:rsidRPr="00D8017D">
        <w:rPr>
          <w:szCs w:val="20"/>
        </w:rPr>
        <w:t xml:space="preserve">milj. </w:t>
      </w:r>
      <w:r w:rsidR="004B105E" w:rsidRPr="00D8017D">
        <w:rPr>
          <w:i/>
          <w:iCs/>
          <w:szCs w:val="20"/>
        </w:rPr>
        <w:t>euro</w:t>
      </w:r>
      <w:r w:rsidR="00FD1578" w:rsidRPr="00D8017D">
        <w:rPr>
          <w:i/>
          <w:iCs/>
          <w:szCs w:val="20"/>
        </w:rPr>
        <w:t xml:space="preserve"> </w:t>
      </w:r>
      <w:r w:rsidR="00EE46B6" w:rsidRPr="00D8017D">
        <w:rPr>
          <w:szCs w:val="20"/>
        </w:rPr>
        <w:t>ieņēmumus palielin</w:t>
      </w:r>
      <w:r w:rsidR="005244B9" w:rsidRPr="00D8017D">
        <w:rPr>
          <w:szCs w:val="20"/>
        </w:rPr>
        <w:t>o</w:t>
      </w:r>
      <w:r w:rsidR="00EE46B6" w:rsidRPr="00D8017D">
        <w:rPr>
          <w:szCs w:val="20"/>
        </w:rPr>
        <w:t>ša pasākuma ietekme uz fiskālo</w:t>
      </w:r>
      <w:r w:rsidR="005244B9" w:rsidRPr="00D8017D">
        <w:rPr>
          <w:szCs w:val="20"/>
        </w:rPr>
        <w:t xml:space="preserve"> telpu ir 40 </w:t>
      </w:r>
      <w:r w:rsidR="004B105E" w:rsidRPr="00D8017D">
        <w:rPr>
          <w:szCs w:val="20"/>
        </w:rPr>
        <w:t xml:space="preserve">milj. </w:t>
      </w:r>
      <w:r w:rsidR="004B105E" w:rsidRPr="00D8017D">
        <w:rPr>
          <w:i/>
          <w:iCs/>
          <w:szCs w:val="20"/>
        </w:rPr>
        <w:t>euro</w:t>
      </w:r>
      <w:r w:rsidR="005244B9" w:rsidRPr="00D8017D">
        <w:rPr>
          <w:szCs w:val="20"/>
        </w:rPr>
        <w:t xml:space="preserve">. Augstāk minētais attiecas arī uz 5. kategorijas pasākumu, kas var nebūt fiskāli neitrāls un </w:t>
      </w:r>
      <w:r w:rsidR="004B105E" w:rsidRPr="00D8017D">
        <w:rPr>
          <w:szCs w:val="20"/>
        </w:rPr>
        <w:t xml:space="preserve">negatīvi </w:t>
      </w:r>
      <w:r w:rsidR="005244B9" w:rsidRPr="00D8017D">
        <w:rPr>
          <w:szCs w:val="20"/>
        </w:rPr>
        <w:t>ietekmēt fiskālo telpu va</w:t>
      </w:r>
      <w:r w:rsidR="004B105E" w:rsidRPr="00D8017D">
        <w:rPr>
          <w:szCs w:val="20"/>
        </w:rPr>
        <w:t>i</w:t>
      </w:r>
      <w:r w:rsidR="005244B9" w:rsidRPr="00D8017D">
        <w:rPr>
          <w:szCs w:val="20"/>
        </w:rPr>
        <w:t xml:space="preserve"> nu </w:t>
      </w:r>
      <w:r w:rsidR="004B105E" w:rsidRPr="00D8017D">
        <w:rPr>
          <w:szCs w:val="20"/>
        </w:rPr>
        <w:t xml:space="preserve">pasākuma </w:t>
      </w:r>
      <w:r w:rsidR="005244B9" w:rsidRPr="00D8017D">
        <w:rPr>
          <w:szCs w:val="20"/>
        </w:rPr>
        <w:t>pilnā fiskālajā vērtībā, vai samazināt</w:t>
      </w:r>
      <w:r w:rsidR="004B105E" w:rsidRPr="00D8017D">
        <w:rPr>
          <w:szCs w:val="20"/>
        </w:rPr>
        <w:t>ā</w:t>
      </w:r>
      <w:r w:rsidR="005244B9" w:rsidRPr="00D8017D">
        <w:rPr>
          <w:szCs w:val="20"/>
        </w:rPr>
        <w:t xml:space="preserve"> vērtībā.</w:t>
      </w:r>
    </w:p>
    <w:p w14:paraId="614D4719" w14:textId="63AA12B5" w:rsidR="005244B9" w:rsidRPr="00D8017D" w:rsidRDefault="005244B9" w:rsidP="008349F0">
      <w:pPr>
        <w:rPr>
          <w:szCs w:val="20"/>
        </w:rPr>
      </w:pPr>
      <w:r w:rsidRPr="00D8017D">
        <w:rPr>
          <w:szCs w:val="20"/>
        </w:rPr>
        <w:t>Līdz ar to jaunais ES fiskālais regulējums rad</w:t>
      </w:r>
      <w:r w:rsidR="006E4BA0" w:rsidRPr="00D8017D">
        <w:rPr>
          <w:szCs w:val="20"/>
        </w:rPr>
        <w:t>īja</w:t>
      </w:r>
      <w:r w:rsidRPr="00D8017D">
        <w:rPr>
          <w:szCs w:val="20"/>
        </w:rPr>
        <w:t xml:space="preserve"> samērā kompleksu jauno p</w:t>
      </w:r>
      <w:r w:rsidR="004B105E" w:rsidRPr="00D8017D">
        <w:rPr>
          <w:szCs w:val="20"/>
        </w:rPr>
        <w:t>o</w:t>
      </w:r>
      <w:r w:rsidRPr="00D8017D">
        <w:rPr>
          <w:szCs w:val="20"/>
        </w:rPr>
        <w:t>litikas pasākumu efektu uz fiskālajiem nosacījumiem un fiskālo telpu.</w:t>
      </w:r>
    </w:p>
    <w:p w14:paraId="74CA4A0F" w14:textId="4A68FC8D" w:rsidR="005244B9" w:rsidRPr="00D8017D" w:rsidRDefault="005244B9" w:rsidP="008349F0">
      <w:pPr>
        <w:rPr>
          <w:szCs w:val="20"/>
        </w:rPr>
      </w:pPr>
      <w:r w:rsidRPr="00D8017D">
        <w:rPr>
          <w:szCs w:val="20"/>
        </w:rPr>
        <w:t>Ņemot vērā visus MK apstiprinātos jaunos pasākumus, fiskālie nosacījumi nosaka atšķirīgu strukt</w:t>
      </w:r>
      <w:r w:rsidR="00FD1578" w:rsidRPr="00D8017D">
        <w:rPr>
          <w:szCs w:val="20"/>
        </w:rPr>
        <w:t>u</w:t>
      </w:r>
      <w:r w:rsidRPr="00D8017D">
        <w:rPr>
          <w:szCs w:val="20"/>
        </w:rPr>
        <w:t>rālo bilanci</w:t>
      </w:r>
      <w:r w:rsidR="002B6BF3" w:rsidRPr="00D8017D">
        <w:rPr>
          <w:szCs w:val="20"/>
        </w:rPr>
        <w:t xml:space="preserve"> </w:t>
      </w:r>
      <w:r w:rsidR="009049ED">
        <w:rPr>
          <w:szCs w:val="20"/>
        </w:rPr>
        <w:t xml:space="preserve">FDL strukturālās bilances nosacījumam, </w:t>
      </w:r>
      <w:r w:rsidR="002B6BF3" w:rsidRPr="00D8017D">
        <w:rPr>
          <w:szCs w:val="20"/>
        </w:rPr>
        <w:t>ES strukturālās primārās bilances un</w:t>
      </w:r>
      <w:r w:rsidR="005F203B" w:rsidRPr="00D8017D">
        <w:rPr>
          <w:szCs w:val="20"/>
        </w:rPr>
        <w:t xml:space="preserve"> </w:t>
      </w:r>
      <w:r w:rsidR="002B6BF3" w:rsidRPr="00D8017D">
        <w:rPr>
          <w:szCs w:val="20"/>
        </w:rPr>
        <w:t xml:space="preserve">ES </w:t>
      </w:r>
      <w:r w:rsidR="005F203B" w:rsidRPr="00D8017D">
        <w:rPr>
          <w:szCs w:val="20"/>
        </w:rPr>
        <w:t>izdevumu pieauguma nosacījumam</w:t>
      </w:r>
      <w:r w:rsidR="002B6BF3" w:rsidRPr="00D8017D">
        <w:rPr>
          <w:szCs w:val="20"/>
        </w:rPr>
        <w:t>.</w:t>
      </w:r>
    </w:p>
    <w:p w14:paraId="3C135B8C" w14:textId="47CDE67D" w:rsidR="005F203B" w:rsidRPr="00CF43D4" w:rsidRDefault="007B5DD9" w:rsidP="00CF43D4">
      <w:pPr>
        <w:spacing w:after="0"/>
        <w:rPr>
          <w:rFonts w:eastAsia="Times New Roman" w:cs="Times New Roman"/>
        </w:rPr>
      </w:pPr>
      <w:r w:rsidRPr="0093771C">
        <w:rPr>
          <w:rFonts w:eastAsia="Times New Roman" w:cs="Times New Roman"/>
          <w:bCs/>
        </w:rPr>
        <w:t xml:space="preserve">Nosakot vispārējās valdības strukturālās bilances mērķi, tiek ņemta vērā valsts izņēmuma klauzulas attiecīgā gada fiskālā ietekme, kas ir aktualizēta, </w:t>
      </w:r>
      <w:r>
        <w:rPr>
          <w:rFonts w:eastAsia="Times New Roman" w:cs="Times New Roman"/>
          <w:bCs/>
        </w:rPr>
        <w:t>ievērojot</w:t>
      </w:r>
      <w:r w:rsidRPr="0093771C">
        <w:rPr>
          <w:rFonts w:eastAsia="Times New Roman" w:cs="Times New Roman"/>
          <w:bCs/>
        </w:rPr>
        <w:t xml:space="preserve"> </w:t>
      </w:r>
      <w:r w:rsidRPr="0093771C">
        <w:rPr>
          <w:bCs/>
        </w:rPr>
        <w:t>MK</w:t>
      </w:r>
      <w:r w:rsidRPr="00D8017D">
        <w:t xml:space="preserve"> 2025. gada 23. septembra sēdē izskatīt</w:t>
      </w:r>
      <w:r>
        <w:t>o</w:t>
      </w:r>
      <w:r w:rsidRPr="00D8017D">
        <w:t xml:space="preserve"> informatīv</w:t>
      </w:r>
      <w:r>
        <w:t>o</w:t>
      </w:r>
      <w:r w:rsidRPr="00D8017D">
        <w:t xml:space="preserve"> ziņojum</w:t>
      </w:r>
      <w:r>
        <w:t>u</w:t>
      </w:r>
      <w:r w:rsidRPr="00D8017D">
        <w:t xml:space="preserve"> </w:t>
      </w:r>
      <w:r>
        <w:t>“</w:t>
      </w:r>
      <w:r w:rsidRPr="00D8017D">
        <w:t>Par papildu nepieciešamajiem pasākumiem kaujas spēju palielināšanai, kas atbilst valsts izņēmuma klauzulas nosacījumiem” (25-TA-1795) (prot. Nr. 39 52.</w:t>
      </w:r>
      <w:r w:rsidRPr="00D8017D">
        <w:rPr>
          <w:rFonts w:cs="Times New Roman"/>
          <w:szCs w:val="24"/>
        </w:rPr>
        <w:t xml:space="preserve"> §</w:t>
      </w:r>
      <w:r w:rsidRPr="00D8017D">
        <w:t>)</w:t>
      </w:r>
      <w:r w:rsidR="00DE1FA4" w:rsidRPr="006F6679">
        <w:rPr>
          <w:rFonts w:eastAsia="Times New Roman" w:cs="Times New Roman"/>
        </w:rPr>
        <w:t>.</w:t>
      </w:r>
    </w:p>
    <w:p w14:paraId="4DABEA71" w14:textId="1979B478" w:rsidR="005F203B" w:rsidRPr="009049ED" w:rsidRDefault="00CF48B6" w:rsidP="008349F0">
      <w:pPr>
        <w:pStyle w:val="ListParagraph"/>
        <w:widowControl w:val="0"/>
        <w:ind w:left="0"/>
        <w:contextualSpacing w:val="0"/>
        <w:jc w:val="right"/>
        <w:rPr>
          <w:rFonts w:eastAsia="Times New Roman" w:cs="Times New Roman"/>
          <w:bCs/>
          <w:i/>
          <w:iCs/>
          <w:szCs w:val="28"/>
          <w:lang w:eastAsia="en-US"/>
        </w:rPr>
      </w:pPr>
      <w:r w:rsidRPr="006F6679">
        <w:rPr>
          <w:rFonts w:eastAsia="Times New Roman" w:cs="Times New Roman"/>
          <w:b/>
          <w:i/>
          <w:iCs/>
          <w:szCs w:val="24"/>
          <w:lang w:eastAsia="en-US"/>
        </w:rPr>
        <w:t>2.</w:t>
      </w:r>
      <w:r w:rsidR="007A1AB1" w:rsidRPr="006F6679">
        <w:rPr>
          <w:rFonts w:eastAsia="Times New Roman" w:cs="Times New Roman"/>
          <w:b/>
          <w:i/>
          <w:iCs/>
          <w:szCs w:val="24"/>
          <w:lang w:eastAsia="en-US"/>
        </w:rPr>
        <w:t>10</w:t>
      </w:r>
      <w:r w:rsidRPr="006F6679">
        <w:rPr>
          <w:rFonts w:eastAsia="Times New Roman" w:cs="Times New Roman"/>
          <w:b/>
          <w:i/>
          <w:iCs/>
          <w:szCs w:val="24"/>
          <w:lang w:eastAsia="en-US"/>
        </w:rPr>
        <w:t>.</w:t>
      </w:r>
      <w:r w:rsidR="005F203B" w:rsidRPr="006F6679">
        <w:rPr>
          <w:rFonts w:eastAsia="Times New Roman" w:cs="Times New Roman"/>
          <w:b/>
          <w:i/>
          <w:iCs/>
          <w:szCs w:val="24"/>
          <w:lang w:eastAsia="en-US"/>
        </w:rPr>
        <w:t xml:space="preserve"> tabula</w:t>
      </w:r>
      <w:r w:rsidR="00DE1FA4">
        <w:rPr>
          <w:rFonts w:eastAsia="Times New Roman" w:cs="Times New Roman"/>
          <w:b/>
          <w:i/>
          <w:iCs/>
          <w:szCs w:val="24"/>
          <w:lang w:eastAsia="en-US"/>
        </w:rPr>
        <w:t>.</w:t>
      </w:r>
      <w:r w:rsidR="005F203B" w:rsidRPr="009049ED">
        <w:rPr>
          <w:rFonts w:eastAsia="Times New Roman" w:cs="Times New Roman"/>
          <w:b/>
          <w:i/>
          <w:iCs/>
          <w:szCs w:val="24"/>
          <w:lang w:eastAsia="en-US"/>
        </w:rPr>
        <w:t xml:space="preserve"> </w:t>
      </w:r>
      <w:r w:rsidR="005C40D0" w:rsidRPr="009049ED">
        <w:rPr>
          <w:rFonts w:eastAsia="Times New Roman" w:cs="Times New Roman"/>
          <w:b/>
          <w:i/>
          <w:iCs/>
        </w:rPr>
        <w:t>Vispārējās valdības strukturālās bilances mērķi, balstoties uz FDL strukturālās bilances nosacījumu</w:t>
      </w:r>
    </w:p>
    <w:tbl>
      <w:tblPr>
        <w:tblW w:w="6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309"/>
        <w:gridCol w:w="737"/>
        <w:gridCol w:w="737"/>
        <w:gridCol w:w="737"/>
      </w:tblGrid>
      <w:tr w:rsidR="00D64419" w:rsidRPr="00106477" w14:paraId="3627C9CE" w14:textId="77777777" w:rsidTr="000B253D">
        <w:trPr>
          <w:trHeight w:val="20"/>
          <w:tblHeader/>
          <w:jc w:val="center"/>
        </w:trPr>
        <w:tc>
          <w:tcPr>
            <w:tcW w:w="3114" w:type="dxa"/>
            <w:shd w:val="clear" w:color="auto" w:fill="BDD6EE" w:themeFill="accent1" w:themeFillTint="66"/>
            <w:noWrap/>
            <w:vAlign w:val="center"/>
            <w:hideMark/>
          </w:tcPr>
          <w:p w14:paraId="574DD00F" w14:textId="77777777" w:rsidR="00D64419" w:rsidRPr="006F6679" w:rsidRDefault="00D64419" w:rsidP="00106477">
            <w:pPr>
              <w:spacing w:before="60" w:after="0"/>
              <w:ind w:firstLine="0"/>
              <w:jc w:val="left"/>
              <w:rPr>
                <w:rFonts w:eastAsia="Times New Roman" w:cs="Times New Roman"/>
                <w:color w:val="000000"/>
                <w:sz w:val="20"/>
                <w:szCs w:val="20"/>
              </w:rPr>
            </w:pPr>
            <w:r w:rsidRPr="006F6679">
              <w:rPr>
                <w:rFonts w:eastAsia="Times New Roman" w:cs="Times New Roman"/>
                <w:color w:val="000000"/>
                <w:sz w:val="20"/>
                <w:szCs w:val="20"/>
              </w:rPr>
              <w:t> </w:t>
            </w:r>
          </w:p>
        </w:tc>
        <w:tc>
          <w:tcPr>
            <w:tcW w:w="1309" w:type="dxa"/>
            <w:shd w:val="clear" w:color="auto" w:fill="BDD6EE" w:themeFill="accent1" w:themeFillTint="66"/>
          </w:tcPr>
          <w:p w14:paraId="1A7C8543" w14:textId="77777777" w:rsidR="00D64419" w:rsidRPr="006F6679" w:rsidRDefault="00D64419" w:rsidP="008349F0">
            <w:pPr>
              <w:spacing w:before="60" w:after="0"/>
              <w:ind w:firstLine="0"/>
              <w:jc w:val="center"/>
              <w:rPr>
                <w:rFonts w:eastAsia="Times New Roman" w:cs="Times New Roman"/>
                <w:b/>
                <w:bCs/>
                <w:color w:val="000000"/>
                <w:sz w:val="20"/>
                <w:szCs w:val="20"/>
              </w:rPr>
            </w:pPr>
          </w:p>
        </w:tc>
        <w:tc>
          <w:tcPr>
            <w:tcW w:w="737" w:type="dxa"/>
            <w:shd w:val="clear" w:color="auto" w:fill="BDD6EE" w:themeFill="accent1" w:themeFillTint="66"/>
            <w:noWrap/>
            <w:vAlign w:val="center"/>
            <w:hideMark/>
          </w:tcPr>
          <w:p w14:paraId="2B52BB4D" w14:textId="3D7DB459" w:rsidR="00D64419" w:rsidRPr="006F6679" w:rsidRDefault="00D64419" w:rsidP="008349F0">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2026</w:t>
            </w:r>
          </w:p>
        </w:tc>
        <w:tc>
          <w:tcPr>
            <w:tcW w:w="737" w:type="dxa"/>
            <w:shd w:val="clear" w:color="auto" w:fill="BDD6EE" w:themeFill="accent1" w:themeFillTint="66"/>
            <w:vAlign w:val="center"/>
          </w:tcPr>
          <w:p w14:paraId="1FE842A1" w14:textId="77777777" w:rsidR="00D64419" w:rsidRPr="006F6679" w:rsidRDefault="00D64419" w:rsidP="008349F0">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2027</w:t>
            </w:r>
          </w:p>
        </w:tc>
        <w:tc>
          <w:tcPr>
            <w:tcW w:w="737" w:type="dxa"/>
            <w:shd w:val="clear" w:color="auto" w:fill="BDD6EE" w:themeFill="accent1" w:themeFillTint="66"/>
            <w:noWrap/>
            <w:vAlign w:val="center"/>
            <w:hideMark/>
          </w:tcPr>
          <w:p w14:paraId="2C50E32C" w14:textId="77777777" w:rsidR="00D64419" w:rsidRPr="006F6679" w:rsidRDefault="00D64419" w:rsidP="008349F0">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2028</w:t>
            </w:r>
          </w:p>
        </w:tc>
      </w:tr>
      <w:tr w:rsidR="00D64419" w:rsidRPr="00106477" w14:paraId="13721957" w14:textId="77777777" w:rsidTr="00106477">
        <w:trPr>
          <w:trHeight w:val="20"/>
          <w:jc w:val="center"/>
        </w:trPr>
        <w:tc>
          <w:tcPr>
            <w:tcW w:w="3114" w:type="dxa"/>
            <w:noWrap/>
            <w:vAlign w:val="center"/>
            <w:hideMark/>
          </w:tcPr>
          <w:p w14:paraId="4B753F38" w14:textId="2BD1195F" w:rsidR="00D64419" w:rsidRPr="006F6679" w:rsidRDefault="00106477" w:rsidP="00106477">
            <w:pPr>
              <w:spacing w:before="60" w:after="0"/>
              <w:ind w:firstLine="0"/>
              <w:jc w:val="left"/>
              <w:rPr>
                <w:rFonts w:eastAsia="Times New Roman" w:cs="Times New Roman"/>
                <w:b/>
                <w:bCs/>
                <w:color w:val="000000"/>
                <w:sz w:val="20"/>
                <w:szCs w:val="20"/>
              </w:rPr>
            </w:pPr>
            <w:r w:rsidRPr="006F6679">
              <w:rPr>
                <w:rFonts w:eastAsia="Times New Roman" w:cs="Times New Roman"/>
                <w:b/>
                <w:bCs/>
                <w:color w:val="000000"/>
                <w:sz w:val="20"/>
                <w:szCs w:val="20"/>
              </w:rPr>
              <w:t>FDL 10. panta nosacījums</w:t>
            </w:r>
            <w:r w:rsidR="00D64419" w:rsidRPr="006F6679">
              <w:rPr>
                <w:rFonts w:eastAsia="Times New Roman" w:cs="Times New Roman"/>
                <w:b/>
                <w:bCs/>
                <w:color w:val="000000"/>
                <w:sz w:val="20"/>
                <w:szCs w:val="20"/>
              </w:rPr>
              <w:t>, % no IKP</w:t>
            </w:r>
          </w:p>
        </w:tc>
        <w:tc>
          <w:tcPr>
            <w:tcW w:w="1309" w:type="dxa"/>
            <w:vAlign w:val="center"/>
          </w:tcPr>
          <w:p w14:paraId="4B210F2E" w14:textId="3420DFEF" w:rsidR="00D64419" w:rsidRPr="006F6679" w:rsidRDefault="00D64419" w:rsidP="00106477">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(1)</w:t>
            </w:r>
          </w:p>
        </w:tc>
        <w:tc>
          <w:tcPr>
            <w:tcW w:w="737" w:type="dxa"/>
            <w:noWrap/>
            <w:vAlign w:val="center"/>
          </w:tcPr>
          <w:p w14:paraId="343BEB1B" w14:textId="2A04DD4B" w:rsidR="00D64419" w:rsidRPr="006F6679" w:rsidRDefault="00D64419" w:rsidP="00106477">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-1,</w:t>
            </w:r>
            <w:r w:rsidR="00106477" w:rsidRPr="006F6679">
              <w:rPr>
                <w:rFonts w:eastAsia="Times New Roman" w:cs="Times New Roman"/>
                <w:b/>
                <w:bCs/>
                <w:color w:val="000000"/>
                <w:sz w:val="20"/>
                <w:szCs w:val="20"/>
              </w:rPr>
              <w:t>00</w:t>
            </w:r>
          </w:p>
        </w:tc>
        <w:tc>
          <w:tcPr>
            <w:tcW w:w="737" w:type="dxa"/>
            <w:vAlign w:val="center"/>
          </w:tcPr>
          <w:p w14:paraId="79B72B52" w14:textId="4B53EEDA" w:rsidR="00D64419" w:rsidRPr="006F6679" w:rsidRDefault="00D64419" w:rsidP="00106477">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-1,</w:t>
            </w:r>
            <w:r w:rsidR="00106477" w:rsidRPr="006F6679">
              <w:rPr>
                <w:rFonts w:eastAsia="Times New Roman" w:cs="Times New Roman"/>
                <w:b/>
                <w:bCs/>
                <w:color w:val="000000"/>
                <w:sz w:val="20"/>
                <w:szCs w:val="20"/>
              </w:rPr>
              <w:t>00</w:t>
            </w:r>
          </w:p>
        </w:tc>
        <w:tc>
          <w:tcPr>
            <w:tcW w:w="737" w:type="dxa"/>
            <w:noWrap/>
            <w:vAlign w:val="center"/>
          </w:tcPr>
          <w:p w14:paraId="0305E014" w14:textId="6098D114" w:rsidR="00D64419" w:rsidRPr="006F6679" w:rsidRDefault="00D64419" w:rsidP="00106477">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-1,</w:t>
            </w:r>
            <w:r w:rsidR="00106477" w:rsidRPr="006F6679">
              <w:rPr>
                <w:rFonts w:eastAsia="Times New Roman" w:cs="Times New Roman"/>
                <w:b/>
                <w:bCs/>
                <w:color w:val="000000"/>
                <w:sz w:val="20"/>
                <w:szCs w:val="20"/>
              </w:rPr>
              <w:t>00</w:t>
            </w:r>
          </w:p>
        </w:tc>
      </w:tr>
      <w:tr w:rsidR="00106477" w:rsidRPr="00106477" w14:paraId="3FDEE942" w14:textId="77777777" w:rsidTr="00106477">
        <w:trPr>
          <w:trHeight w:val="20"/>
          <w:jc w:val="center"/>
        </w:trPr>
        <w:tc>
          <w:tcPr>
            <w:tcW w:w="3114" w:type="dxa"/>
            <w:noWrap/>
            <w:vAlign w:val="center"/>
          </w:tcPr>
          <w:p w14:paraId="31BBE07B" w14:textId="1B19B7D1" w:rsidR="00106477" w:rsidRPr="006F6679" w:rsidRDefault="00106477" w:rsidP="00106477">
            <w:pPr>
              <w:spacing w:before="60" w:after="0"/>
              <w:ind w:firstLine="0"/>
              <w:jc w:val="left"/>
              <w:rPr>
                <w:rFonts w:eastAsia="Times New Roman" w:cs="Times New Roman"/>
                <w:color w:val="000000"/>
                <w:sz w:val="20"/>
                <w:szCs w:val="20"/>
              </w:rPr>
            </w:pPr>
            <w:r w:rsidRPr="006F6679">
              <w:rPr>
                <w:rFonts w:eastAsia="Times New Roman" w:cs="Times New Roman"/>
                <w:color w:val="000000"/>
                <w:sz w:val="20"/>
                <w:szCs w:val="20"/>
              </w:rPr>
              <w:t>Valsts izņēmuma klauzulas fiskālā ietekme, % no IKP</w:t>
            </w:r>
          </w:p>
        </w:tc>
        <w:tc>
          <w:tcPr>
            <w:tcW w:w="1309" w:type="dxa"/>
            <w:vAlign w:val="center"/>
          </w:tcPr>
          <w:p w14:paraId="741F9030" w14:textId="095D822F"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color w:val="000000"/>
                <w:sz w:val="20"/>
                <w:szCs w:val="20"/>
              </w:rPr>
              <w:t>(2)</w:t>
            </w:r>
          </w:p>
        </w:tc>
        <w:tc>
          <w:tcPr>
            <w:tcW w:w="737" w:type="dxa"/>
            <w:noWrap/>
            <w:vAlign w:val="center"/>
          </w:tcPr>
          <w:p w14:paraId="0F9FA9A6" w14:textId="42E1FF6E"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sz w:val="20"/>
                <w:szCs w:val="20"/>
              </w:rPr>
              <w:t>0,48</w:t>
            </w:r>
          </w:p>
        </w:tc>
        <w:tc>
          <w:tcPr>
            <w:tcW w:w="737" w:type="dxa"/>
            <w:vAlign w:val="center"/>
          </w:tcPr>
          <w:p w14:paraId="7B3C0C69" w14:textId="6DB83B8C"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sz w:val="20"/>
                <w:szCs w:val="20"/>
              </w:rPr>
              <w:t>1,10</w:t>
            </w:r>
          </w:p>
        </w:tc>
        <w:tc>
          <w:tcPr>
            <w:tcW w:w="737" w:type="dxa"/>
            <w:noWrap/>
            <w:vAlign w:val="center"/>
          </w:tcPr>
          <w:p w14:paraId="49B50072" w14:textId="2D1019E4" w:rsidR="00106477" w:rsidRPr="006F6679" w:rsidRDefault="00106477" w:rsidP="00106477">
            <w:pPr>
              <w:spacing w:before="60" w:after="0"/>
              <w:ind w:firstLine="0"/>
              <w:jc w:val="center"/>
              <w:rPr>
                <w:rFonts w:eastAsia="Times New Roman" w:cs="Times New Roman"/>
                <w:color w:val="000000"/>
                <w:sz w:val="20"/>
                <w:szCs w:val="20"/>
              </w:rPr>
            </w:pPr>
            <w:r w:rsidRPr="006F6679">
              <w:rPr>
                <w:rFonts w:eastAsia="Times New Roman" w:cs="Times New Roman"/>
                <w:sz w:val="20"/>
                <w:szCs w:val="20"/>
              </w:rPr>
              <w:t>1,00</w:t>
            </w:r>
          </w:p>
        </w:tc>
      </w:tr>
      <w:tr w:rsidR="00D64419" w:rsidRPr="00106477" w14:paraId="44BC8789" w14:textId="77777777" w:rsidTr="000B253D">
        <w:trPr>
          <w:trHeight w:val="20"/>
          <w:jc w:val="center"/>
        </w:trPr>
        <w:tc>
          <w:tcPr>
            <w:tcW w:w="3114" w:type="dxa"/>
            <w:shd w:val="clear" w:color="auto" w:fill="BDD6EE" w:themeFill="accent1" w:themeFillTint="66"/>
            <w:noWrap/>
            <w:vAlign w:val="center"/>
          </w:tcPr>
          <w:p w14:paraId="4514B057" w14:textId="573298D3" w:rsidR="00D64419" w:rsidRPr="006F6679" w:rsidRDefault="00D64419" w:rsidP="00106477">
            <w:pPr>
              <w:spacing w:before="60" w:after="0"/>
              <w:ind w:firstLine="0"/>
              <w:jc w:val="left"/>
              <w:rPr>
                <w:rFonts w:eastAsia="Times New Roman" w:cs="Times New Roman"/>
                <w:b/>
                <w:bCs/>
                <w:color w:val="000000"/>
                <w:sz w:val="20"/>
                <w:szCs w:val="20"/>
              </w:rPr>
            </w:pPr>
            <w:r w:rsidRPr="006F6679">
              <w:rPr>
                <w:rFonts w:eastAsia="Times New Roman" w:cs="Times New Roman"/>
                <w:b/>
                <w:bCs/>
                <w:color w:val="000000"/>
                <w:sz w:val="20"/>
                <w:szCs w:val="20"/>
              </w:rPr>
              <w:t>Vispārējās valdības strukturālās bilances prognoze un mērķi, % no IKP</w:t>
            </w:r>
          </w:p>
        </w:tc>
        <w:tc>
          <w:tcPr>
            <w:tcW w:w="1309" w:type="dxa"/>
            <w:shd w:val="clear" w:color="auto" w:fill="BDD6EE" w:themeFill="accent1" w:themeFillTint="66"/>
            <w:vAlign w:val="center"/>
          </w:tcPr>
          <w:p w14:paraId="581BE1E1" w14:textId="4B1DCC11" w:rsidR="00D64419" w:rsidRPr="006F6679" w:rsidRDefault="00D64419" w:rsidP="00106477">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(3</w:t>
            </w:r>
            <w:r w:rsidRPr="000B253D">
              <w:rPr>
                <w:rFonts w:eastAsia="Times New Roman" w:cs="Times New Roman"/>
                <w:b/>
                <w:bCs/>
                <w:color w:val="000000"/>
                <w:sz w:val="20"/>
                <w:szCs w:val="20"/>
                <w:shd w:val="clear" w:color="auto" w:fill="BDD6EE" w:themeFill="accent1" w:themeFillTint="66"/>
              </w:rPr>
              <w:t>)=(1)</w:t>
            </w:r>
            <w:r w:rsidR="00EC24AD" w:rsidRPr="000B253D">
              <w:rPr>
                <w:rFonts w:eastAsia="Times New Roman" w:cs="Times New Roman"/>
                <w:b/>
                <w:bCs/>
                <w:color w:val="000000"/>
                <w:sz w:val="20"/>
                <w:szCs w:val="20"/>
                <w:shd w:val="clear" w:color="auto" w:fill="BDD6EE" w:themeFill="accent1" w:themeFillTint="66"/>
              </w:rPr>
              <w:t>-</w:t>
            </w:r>
            <w:r w:rsidRPr="000B253D">
              <w:rPr>
                <w:rFonts w:eastAsia="Times New Roman" w:cs="Times New Roman"/>
                <w:b/>
                <w:bCs/>
                <w:color w:val="000000"/>
                <w:sz w:val="20"/>
                <w:szCs w:val="20"/>
                <w:shd w:val="clear" w:color="auto" w:fill="BDD6EE" w:themeFill="accent1" w:themeFillTint="66"/>
              </w:rPr>
              <w:t>(</w:t>
            </w:r>
            <w:r w:rsidRPr="006F6679">
              <w:rPr>
                <w:rFonts w:eastAsia="Times New Roman" w:cs="Times New Roman"/>
                <w:b/>
                <w:bCs/>
                <w:color w:val="000000"/>
                <w:sz w:val="20"/>
                <w:szCs w:val="20"/>
              </w:rPr>
              <w:t>2)</w:t>
            </w:r>
          </w:p>
        </w:tc>
        <w:tc>
          <w:tcPr>
            <w:tcW w:w="737" w:type="dxa"/>
            <w:shd w:val="clear" w:color="auto" w:fill="BDD6EE" w:themeFill="accent1" w:themeFillTint="66"/>
            <w:noWrap/>
            <w:vAlign w:val="center"/>
          </w:tcPr>
          <w:p w14:paraId="45BDCB94" w14:textId="09143F64" w:rsidR="00D64419" w:rsidRPr="006F6679" w:rsidRDefault="00D64419" w:rsidP="00106477">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-1,4</w:t>
            </w:r>
            <w:r w:rsidR="00DD635D" w:rsidRPr="006F6679">
              <w:rPr>
                <w:rFonts w:eastAsia="Times New Roman" w:cs="Times New Roman"/>
                <w:b/>
                <w:bCs/>
                <w:color w:val="000000"/>
                <w:sz w:val="20"/>
                <w:szCs w:val="20"/>
              </w:rPr>
              <w:t>8</w:t>
            </w:r>
          </w:p>
        </w:tc>
        <w:tc>
          <w:tcPr>
            <w:tcW w:w="737" w:type="dxa"/>
            <w:shd w:val="clear" w:color="auto" w:fill="BDD6EE" w:themeFill="accent1" w:themeFillTint="66"/>
            <w:vAlign w:val="center"/>
          </w:tcPr>
          <w:p w14:paraId="1D37BBAB" w14:textId="3DD87D52" w:rsidR="00D64419" w:rsidRPr="006F6679" w:rsidRDefault="00D64419" w:rsidP="00106477">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-2,10</w:t>
            </w:r>
          </w:p>
        </w:tc>
        <w:tc>
          <w:tcPr>
            <w:tcW w:w="737" w:type="dxa"/>
            <w:shd w:val="clear" w:color="auto" w:fill="BDD6EE" w:themeFill="accent1" w:themeFillTint="66"/>
            <w:noWrap/>
            <w:vAlign w:val="center"/>
          </w:tcPr>
          <w:p w14:paraId="7E274CDC" w14:textId="16EA8F06" w:rsidR="00D64419" w:rsidRPr="006F6679" w:rsidRDefault="00D64419" w:rsidP="00106477">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w:t>
            </w:r>
            <w:r w:rsidR="00DD635D" w:rsidRPr="006F6679">
              <w:rPr>
                <w:rFonts w:eastAsia="Times New Roman" w:cs="Times New Roman"/>
                <w:b/>
                <w:bCs/>
                <w:color w:val="000000"/>
                <w:sz w:val="20"/>
                <w:szCs w:val="20"/>
              </w:rPr>
              <w:t>2,00</w:t>
            </w:r>
          </w:p>
        </w:tc>
      </w:tr>
    </w:tbl>
    <w:p w14:paraId="54583605" w14:textId="77777777" w:rsidR="00C96F90" w:rsidRDefault="00C96F90" w:rsidP="00CF43D4">
      <w:pPr>
        <w:widowControl w:val="0"/>
        <w:ind w:firstLine="0"/>
        <w:rPr>
          <w:b/>
          <w:bCs/>
          <w:i/>
          <w:iCs/>
          <w:szCs w:val="20"/>
        </w:rPr>
      </w:pPr>
    </w:p>
    <w:p w14:paraId="3D672F34" w14:textId="5D1045F2" w:rsidR="005F203B" w:rsidRPr="00D8017D" w:rsidRDefault="00CF48B6" w:rsidP="008349F0">
      <w:pPr>
        <w:widowControl w:val="0"/>
        <w:jc w:val="right"/>
        <w:rPr>
          <w:rFonts w:eastAsia="Times New Roman" w:cs="Times New Roman"/>
          <w:b/>
          <w:i/>
          <w:iCs/>
          <w:szCs w:val="24"/>
        </w:rPr>
      </w:pPr>
      <w:r w:rsidRPr="006F6679">
        <w:rPr>
          <w:b/>
          <w:bCs/>
          <w:i/>
          <w:iCs/>
          <w:szCs w:val="20"/>
        </w:rPr>
        <w:t>2.</w:t>
      </w:r>
      <w:r w:rsidR="007A1AB1" w:rsidRPr="006F6679">
        <w:rPr>
          <w:b/>
          <w:bCs/>
          <w:i/>
          <w:iCs/>
          <w:szCs w:val="20"/>
        </w:rPr>
        <w:t>11</w:t>
      </w:r>
      <w:r w:rsidRPr="006F6679">
        <w:rPr>
          <w:b/>
          <w:bCs/>
          <w:i/>
          <w:iCs/>
          <w:szCs w:val="20"/>
        </w:rPr>
        <w:t>.</w:t>
      </w:r>
      <w:r w:rsidR="00B53441" w:rsidRPr="006F6679">
        <w:rPr>
          <w:b/>
          <w:bCs/>
          <w:i/>
          <w:iCs/>
          <w:szCs w:val="20"/>
        </w:rPr>
        <w:t xml:space="preserve"> tabula</w:t>
      </w:r>
      <w:r w:rsidR="00DE1FA4">
        <w:rPr>
          <w:b/>
          <w:bCs/>
          <w:i/>
          <w:iCs/>
          <w:szCs w:val="20"/>
        </w:rPr>
        <w:t>.</w:t>
      </w:r>
      <w:r w:rsidR="00EE46B6" w:rsidRPr="007B5DD9">
        <w:rPr>
          <w:b/>
          <w:bCs/>
          <w:i/>
          <w:iCs/>
          <w:szCs w:val="20"/>
        </w:rPr>
        <w:t xml:space="preserve"> </w:t>
      </w:r>
      <w:r w:rsidR="005C40D0" w:rsidRPr="007B5DD9">
        <w:rPr>
          <w:rFonts w:eastAsia="Times New Roman" w:cs="Times New Roman"/>
          <w:b/>
          <w:i/>
          <w:iCs/>
          <w:szCs w:val="24"/>
        </w:rPr>
        <w:t>Vispārējās valdības strukturālās bilances mērķi, balstoties uz ES</w:t>
      </w:r>
      <w:r w:rsidR="005C40D0" w:rsidRPr="00D8017D">
        <w:rPr>
          <w:rFonts w:eastAsia="Times New Roman" w:cs="Times New Roman"/>
          <w:b/>
          <w:i/>
          <w:iCs/>
          <w:szCs w:val="24"/>
        </w:rPr>
        <w:t xml:space="preserve"> strukturālās primārās bilances nosacījumu</w:t>
      </w:r>
    </w:p>
    <w:tbl>
      <w:tblPr>
        <w:tblW w:w="6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1271"/>
        <w:gridCol w:w="851"/>
        <w:gridCol w:w="850"/>
        <w:gridCol w:w="884"/>
      </w:tblGrid>
      <w:tr w:rsidR="005C40D0" w:rsidRPr="00D8017D" w14:paraId="49CDB23E" w14:textId="77777777" w:rsidTr="009427E1">
        <w:trPr>
          <w:trHeight w:val="20"/>
          <w:tblHeader/>
          <w:jc w:val="center"/>
        </w:trPr>
        <w:tc>
          <w:tcPr>
            <w:tcW w:w="2693" w:type="dxa"/>
            <w:shd w:val="clear" w:color="auto" w:fill="BDD6EE" w:themeFill="accent1" w:themeFillTint="66"/>
            <w:noWrap/>
            <w:vAlign w:val="bottom"/>
            <w:hideMark/>
          </w:tcPr>
          <w:p w14:paraId="3F189E3F" w14:textId="77777777" w:rsidR="005C40D0" w:rsidRPr="00D8017D" w:rsidRDefault="005C40D0" w:rsidP="00ED6B2C">
            <w:pPr>
              <w:spacing w:before="60" w:after="0"/>
              <w:ind w:firstLine="0"/>
              <w:jc w:val="left"/>
              <w:rPr>
                <w:rFonts w:eastAsia="Times New Roman" w:cs="Times New Roman"/>
                <w:color w:val="000000"/>
                <w:sz w:val="18"/>
                <w:szCs w:val="18"/>
                <w:highlight w:val="lightGray"/>
              </w:rPr>
            </w:pPr>
            <w:r w:rsidRPr="00D8017D">
              <w:rPr>
                <w:rFonts w:eastAsia="Times New Roman" w:cs="Times New Roman"/>
                <w:color w:val="000000"/>
                <w:sz w:val="20"/>
                <w:szCs w:val="20"/>
              </w:rPr>
              <w:t> </w:t>
            </w:r>
          </w:p>
        </w:tc>
        <w:tc>
          <w:tcPr>
            <w:tcW w:w="1271" w:type="dxa"/>
            <w:shd w:val="clear" w:color="auto" w:fill="BDD6EE" w:themeFill="accent1" w:themeFillTint="66"/>
          </w:tcPr>
          <w:p w14:paraId="2E7BB992" w14:textId="77777777" w:rsidR="005C40D0" w:rsidRPr="00D8017D" w:rsidRDefault="005C40D0" w:rsidP="00ED6B2C">
            <w:pPr>
              <w:spacing w:before="60" w:after="0"/>
              <w:ind w:firstLine="0"/>
              <w:jc w:val="center"/>
              <w:rPr>
                <w:rFonts w:eastAsia="Times New Roman" w:cs="Times New Roman"/>
                <w:color w:val="000000"/>
                <w:sz w:val="18"/>
                <w:szCs w:val="18"/>
                <w:highlight w:val="lightGray"/>
              </w:rPr>
            </w:pPr>
          </w:p>
        </w:tc>
        <w:tc>
          <w:tcPr>
            <w:tcW w:w="851" w:type="dxa"/>
            <w:shd w:val="clear" w:color="auto" w:fill="BDD6EE" w:themeFill="accent1" w:themeFillTint="66"/>
            <w:noWrap/>
            <w:vAlign w:val="center"/>
            <w:hideMark/>
          </w:tcPr>
          <w:p w14:paraId="5B8AD1FB" w14:textId="77777777" w:rsidR="005C40D0" w:rsidRPr="00D8017D" w:rsidRDefault="005C40D0" w:rsidP="00ED6B2C">
            <w:pPr>
              <w:spacing w:before="60" w:after="0"/>
              <w:ind w:firstLine="0"/>
              <w:jc w:val="center"/>
              <w:rPr>
                <w:rFonts w:eastAsia="Times New Roman" w:cs="Times New Roman"/>
                <w:b/>
                <w:bCs/>
                <w:color w:val="000000"/>
                <w:sz w:val="18"/>
                <w:szCs w:val="18"/>
                <w:highlight w:val="lightGray"/>
              </w:rPr>
            </w:pPr>
            <w:r w:rsidRPr="00D8017D">
              <w:rPr>
                <w:rFonts w:eastAsia="Times New Roman" w:cs="Times New Roman"/>
                <w:b/>
                <w:bCs/>
                <w:color w:val="000000"/>
                <w:sz w:val="20"/>
                <w:szCs w:val="20"/>
              </w:rPr>
              <w:t>2026</w:t>
            </w:r>
          </w:p>
        </w:tc>
        <w:tc>
          <w:tcPr>
            <w:tcW w:w="850" w:type="dxa"/>
            <w:shd w:val="clear" w:color="auto" w:fill="BDD6EE" w:themeFill="accent1" w:themeFillTint="66"/>
            <w:noWrap/>
            <w:vAlign w:val="center"/>
            <w:hideMark/>
          </w:tcPr>
          <w:p w14:paraId="77A67002" w14:textId="77777777" w:rsidR="005C40D0" w:rsidRPr="00D8017D" w:rsidRDefault="005C40D0" w:rsidP="00ED6B2C">
            <w:pPr>
              <w:spacing w:before="60" w:after="0"/>
              <w:ind w:firstLine="0"/>
              <w:jc w:val="center"/>
              <w:rPr>
                <w:rFonts w:eastAsia="Times New Roman" w:cs="Times New Roman"/>
                <w:b/>
                <w:bCs/>
                <w:color w:val="000000"/>
                <w:sz w:val="18"/>
                <w:szCs w:val="18"/>
                <w:highlight w:val="lightGray"/>
              </w:rPr>
            </w:pPr>
            <w:r w:rsidRPr="00D8017D">
              <w:rPr>
                <w:rFonts w:eastAsia="Times New Roman" w:cs="Times New Roman"/>
                <w:b/>
                <w:bCs/>
                <w:color w:val="000000"/>
                <w:sz w:val="20"/>
                <w:szCs w:val="20"/>
              </w:rPr>
              <w:t>2027</w:t>
            </w:r>
          </w:p>
        </w:tc>
        <w:tc>
          <w:tcPr>
            <w:tcW w:w="884" w:type="dxa"/>
            <w:shd w:val="clear" w:color="auto" w:fill="BDD6EE" w:themeFill="accent1" w:themeFillTint="66"/>
            <w:noWrap/>
            <w:vAlign w:val="center"/>
            <w:hideMark/>
          </w:tcPr>
          <w:p w14:paraId="4723F729" w14:textId="77777777" w:rsidR="005C40D0" w:rsidRPr="00D8017D" w:rsidRDefault="005C40D0" w:rsidP="00ED6B2C">
            <w:pPr>
              <w:spacing w:before="60" w:after="0"/>
              <w:ind w:firstLine="0"/>
              <w:jc w:val="center"/>
              <w:rPr>
                <w:rFonts w:eastAsia="Times New Roman" w:cs="Times New Roman"/>
                <w:b/>
                <w:bCs/>
                <w:color w:val="000000"/>
                <w:sz w:val="18"/>
                <w:szCs w:val="18"/>
                <w:highlight w:val="lightGray"/>
              </w:rPr>
            </w:pPr>
            <w:r w:rsidRPr="00D8017D">
              <w:rPr>
                <w:rFonts w:eastAsia="Times New Roman" w:cs="Times New Roman"/>
                <w:b/>
                <w:bCs/>
                <w:color w:val="000000"/>
                <w:sz w:val="20"/>
                <w:szCs w:val="20"/>
              </w:rPr>
              <w:t>2028</w:t>
            </w:r>
          </w:p>
        </w:tc>
      </w:tr>
      <w:tr w:rsidR="005C40D0" w:rsidRPr="00C41F23" w14:paraId="45B02C5D" w14:textId="77777777" w:rsidTr="007B5DD9">
        <w:trPr>
          <w:trHeight w:val="20"/>
          <w:jc w:val="center"/>
        </w:trPr>
        <w:tc>
          <w:tcPr>
            <w:tcW w:w="2693" w:type="dxa"/>
            <w:noWrap/>
            <w:vAlign w:val="center"/>
          </w:tcPr>
          <w:p w14:paraId="733BBFE6" w14:textId="77777777" w:rsidR="005C40D0" w:rsidRPr="00C41F23" w:rsidRDefault="005C40D0" w:rsidP="00ED6B2C">
            <w:pPr>
              <w:spacing w:before="60" w:after="0"/>
              <w:ind w:firstLine="0"/>
              <w:jc w:val="left"/>
              <w:rPr>
                <w:rFonts w:eastAsia="Times New Roman" w:cs="Times New Roman"/>
                <w:b/>
                <w:bCs/>
                <w:color w:val="000000"/>
                <w:sz w:val="18"/>
                <w:szCs w:val="18"/>
              </w:rPr>
            </w:pPr>
            <w:r w:rsidRPr="00C41F23">
              <w:rPr>
                <w:rFonts w:eastAsia="Times New Roman" w:cs="Times New Roman"/>
                <w:b/>
                <w:bCs/>
                <w:sz w:val="20"/>
                <w:szCs w:val="20"/>
              </w:rPr>
              <w:t>Strukturālās primārās bilances mērķis, % no IKP</w:t>
            </w:r>
          </w:p>
        </w:tc>
        <w:tc>
          <w:tcPr>
            <w:tcW w:w="1271" w:type="dxa"/>
            <w:vAlign w:val="center"/>
          </w:tcPr>
          <w:p w14:paraId="563DD06A" w14:textId="77777777" w:rsidR="005C40D0" w:rsidRPr="00C41F23" w:rsidRDefault="005C40D0" w:rsidP="00ED6B2C">
            <w:pPr>
              <w:spacing w:before="60" w:after="0"/>
              <w:ind w:firstLine="0"/>
              <w:jc w:val="center"/>
              <w:rPr>
                <w:rFonts w:eastAsia="Times New Roman" w:cs="Times New Roman"/>
                <w:b/>
                <w:bCs/>
                <w:color w:val="000000"/>
                <w:sz w:val="18"/>
                <w:szCs w:val="18"/>
              </w:rPr>
            </w:pPr>
            <w:r w:rsidRPr="00C41F23">
              <w:rPr>
                <w:rFonts w:eastAsia="Times New Roman" w:cs="Times New Roman"/>
                <w:b/>
                <w:bCs/>
                <w:sz w:val="20"/>
                <w:szCs w:val="20"/>
              </w:rPr>
              <w:t>(1)</w:t>
            </w:r>
          </w:p>
        </w:tc>
        <w:tc>
          <w:tcPr>
            <w:tcW w:w="851" w:type="dxa"/>
            <w:noWrap/>
            <w:vAlign w:val="center"/>
          </w:tcPr>
          <w:p w14:paraId="1C716813" w14:textId="5EE53712" w:rsidR="005C40D0" w:rsidRPr="00C41F23" w:rsidRDefault="005C40D0" w:rsidP="00ED6B2C">
            <w:pPr>
              <w:spacing w:before="60" w:after="0"/>
              <w:ind w:firstLine="0"/>
              <w:jc w:val="center"/>
              <w:rPr>
                <w:rFonts w:eastAsia="Times New Roman" w:cs="Times New Roman"/>
                <w:b/>
                <w:bCs/>
                <w:color w:val="000000"/>
                <w:sz w:val="18"/>
                <w:szCs w:val="18"/>
              </w:rPr>
            </w:pPr>
            <w:r w:rsidRPr="00C41F23">
              <w:rPr>
                <w:rFonts w:cs="Times New Roman"/>
                <w:b/>
                <w:bCs/>
                <w:sz w:val="20"/>
                <w:szCs w:val="20"/>
              </w:rPr>
              <w:t>-1,32</w:t>
            </w:r>
          </w:p>
        </w:tc>
        <w:tc>
          <w:tcPr>
            <w:tcW w:w="850" w:type="dxa"/>
            <w:noWrap/>
            <w:vAlign w:val="center"/>
            <w:hideMark/>
          </w:tcPr>
          <w:p w14:paraId="45B25427" w14:textId="106E3982" w:rsidR="005C40D0" w:rsidRPr="00C41F23" w:rsidRDefault="005C40D0" w:rsidP="00ED6B2C">
            <w:pPr>
              <w:spacing w:before="60" w:after="0"/>
              <w:ind w:firstLine="0"/>
              <w:jc w:val="center"/>
              <w:rPr>
                <w:rFonts w:eastAsia="Times New Roman" w:cs="Times New Roman"/>
                <w:b/>
                <w:bCs/>
                <w:color w:val="000000"/>
                <w:sz w:val="18"/>
                <w:szCs w:val="18"/>
              </w:rPr>
            </w:pPr>
            <w:r w:rsidRPr="00C41F23">
              <w:rPr>
                <w:rFonts w:cs="Times New Roman"/>
                <w:b/>
                <w:bCs/>
                <w:sz w:val="20"/>
                <w:szCs w:val="20"/>
              </w:rPr>
              <w:t>-1,30</w:t>
            </w:r>
          </w:p>
        </w:tc>
        <w:tc>
          <w:tcPr>
            <w:tcW w:w="884" w:type="dxa"/>
            <w:noWrap/>
            <w:vAlign w:val="center"/>
            <w:hideMark/>
          </w:tcPr>
          <w:p w14:paraId="65533F4C" w14:textId="73D3ABB3" w:rsidR="005C40D0" w:rsidRPr="00C41F23" w:rsidRDefault="005C40D0" w:rsidP="00ED6B2C">
            <w:pPr>
              <w:spacing w:before="60" w:after="0"/>
              <w:ind w:firstLine="0"/>
              <w:jc w:val="center"/>
              <w:rPr>
                <w:rFonts w:eastAsia="Times New Roman" w:cs="Times New Roman"/>
                <w:b/>
                <w:bCs/>
                <w:color w:val="000000"/>
                <w:sz w:val="18"/>
                <w:szCs w:val="18"/>
              </w:rPr>
            </w:pPr>
            <w:r w:rsidRPr="00C41F23">
              <w:rPr>
                <w:rFonts w:cs="Times New Roman"/>
                <w:b/>
                <w:bCs/>
                <w:sz w:val="20"/>
                <w:szCs w:val="20"/>
              </w:rPr>
              <w:t>-1,2</w:t>
            </w:r>
            <w:r w:rsidR="00DD635D">
              <w:rPr>
                <w:rFonts w:cs="Times New Roman"/>
                <w:b/>
                <w:bCs/>
                <w:sz w:val="20"/>
                <w:szCs w:val="20"/>
              </w:rPr>
              <w:t>6</w:t>
            </w:r>
          </w:p>
        </w:tc>
      </w:tr>
      <w:tr w:rsidR="005C40D0" w:rsidRPr="00D8017D" w14:paraId="060BBBC8" w14:textId="77777777" w:rsidTr="00ED6B2C">
        <w:trPr>
          <w:trHeight w:val="20"/>
          <w:jc w:val="center"/>
        </w:trPr>
        <w:tc>
          <w:tcPr>
            <w:tcW w:w="2693" w:type="dxa"/>
            <w:noWrap/>
            <w:vAlign w:val="center"/>
          </w:tcPr>
          <w:p w14:paraId="12A2B8E4" w14:textId="77777777" w:rsidR="005C40D0" w:rsidRPr="007B5DD9" w:rsidRDefault="005C40D0" w:rsidP="00ED6B2C">
            <w:pPr>
              <w:spacing w:before="60" w:after="0"/>
              <w:ind w:firstLine="0"/>
              <w:jc w:val="left"/>
              <w:rPr>
                <w:rFonts w:eastAsia="Times New Roman" w:cs="Times New Roman"/>
                <w:color w:val="000000"/>
                <w:sz w:val="18"/>
                <w:szCs w:val="18"/>
              </w:rPr>
            </w:pPr>
            <w:r w:rsidRPr="007B5DD9">
              <w:rPr>
                <w:rFonts w:eastAsia="Times New Roman" w:cs="Times New Roman"/>
                <w:sz w:val="20"/>
                <w:szCs w:val="20"/>
              </w:rPr>
              <w:t>Vispārējās valdības procentu izdevumi, % no IKP</w:t>
            </w:r>
          </w:p>
        </w:tc>
        <w:tc>
          <w:tcPr>
            <w:tcW w:w="1271" w:type="dxa"/>
            <w:vAlign w:val="center"/>
          </w:tcPr>
          <w:p w14:paraId="079BB2C9" w14:textId="77777777" w:rsidR="005C40D0" w:rsidRPr="007B5DD9" w:rsidRDefault="005C40D0" w:rsidP="00ED6B2C">
            <w:pPr>
              <w:spacing w:before="60" w:after="0"/>
              <w:ind w:firstLine="0"/>
              <w:jc w:val="center"/>
              <w:rPr>
                <w:rFonts w:eastAsia="Times New Roman" w:cs="Times New Roman"/>
                <w:color w:val="000000"/>
                <w:sz w:val="18"/>
                <w:szCs w:val="18"/>
              </w:rPr>
            </w:pPr>
            <w:r w:rsidRPr="007B5DD9">
              <w:rPr>
                <w:rFonts w:eastAsia="Times New Roman" w:cs="Times New Roman"/>
                <w:sz w:val="20"/>
                <w:szCs w:val="20"/>
              </w:rPr>
              <w:t>(2)</w:t>
            </w:r>
          </w:p>
        </w:tc>
        <w:tc>
          <w:tcPr>
            <w:tcW w:w="851" w:type="dxa"/>
            <w:noWrap/>
            <w:vAlign w:val="center"/>
          </w:tcPr>
          <w:p w14:paraId="7B268615" w14:textId="7B28B693" w:rsidR="005C40D0" w:rsidRPr="007B5DD9" w:rsidRDefault="005C40D0" w:rsidP="00ED6B2C">
            <w:pPr>
              <w:spacing w:before="60" w:after="0"/>
              <w:ind w:firstLine="0"/>
              <w:jc w:val="center"/>
              <w:rPr>
                <w:rFonts w:eastAsia="Times New Roman" w:cs="Times New Roman"/>
                <w:color w:val="000000"/>
                <w:sz w:val="18"/>
                <w:szCs w:val="18"/>
              </w:rPr>
            </w:pPr>
            <w:r w:rsidRPr="007B5DD9">
              <w:rPr>
                <w:sz w:val="20"/>
                <w:szCs w:val="20"/>
              </w:rPr>
              <w:t>1,4</w:t>
            </w:r>
            <w:r w:rsidR="002E61A5">
              <w:rPr>
                <w:sz w:val="20"/>
                <w:szCs w:val="20"/>
              </w:rPr>
              <w:t>0</w:t>
            </w:r>
          </w:p>
        </w:tc>
        <w:tc>
          <w:tcPr>
            <w:tcW w:w="850" w:type="dxa"/>
            <w:shd w:val="clear" w:color="auto" w:fill="FFFFFF" w:themeFill="background1"/>
            <w:noWrap/>
            <w:vAlign w:val="center"/>
            <w:hideMark/>
          </w:tcPr>
          <w:p w14:paraId="0FF2D542" w14:textId="3D3CEB30" w:rsidR="005C40D0" w:rsidRPr="007B5DD9" w:rsidRDefault="005C40D0" w:rsidP="00ED6B2C">
            <w:pPr>
              <w:spacing w:before="60" w:after="0"/>
              <w:ind w:firstLine="0"/>
              <w:jc w:val="center"/>
              <w:rPr>
                <w:rFonts w:eastAsia="Times New Roman" w:cs="Times New Roman"/>
                <w:color w:val="000000"/>
                <w:sz w:val="18"/>
                <w:szCs w:val="18"/>
              </w:rPr>
            </w:pPr>
            <w:r w:rsidRPr="007B5DD9">
              <w:rPr>
                <w:sz w:val="20"/>
                <w:szCs w:val="20"/>
              </w:rPr>
              <w:t>1,</w:t>
            </w:r>
            <w:r w:rsidR="007B5DD9" w:rsidRPr="007B5DD9">
              <w:rPr>
                <w:sz w:val="20"/>
                <w:szCs w:val="20"/>
              </w:rPr>
              <w:t>5</w:t>
            </w:r>
            <w:r w:rsidR="002E61A5">
              <w:rPr>
                <w:sz w:val="20"/>
                <w:szCs w:val="20"/>
              </w:rPr>
              <w:t>2</w:t>
            </w:r>
          </w:p>
        </w:tc>
        <w:tc>
          <w:tcPr>
            <w:tcW w:w="884" w:type="dxa"/>
            <w:shd w:val="clear" w:color="auto" w:fill="FFFFFF" w:themeFill="background1"/>
            <w:noWrap/>
            <w:vAlign w:val="center"/>
            <w:hideMark/>
          </w:tcPr>
          <w:p w14:paraId="71EC01BE" w14:textId="7D93E021" w:rsidR="005C40D0" w:rsidRPr="007B5DD9" w:rsidRDefault="005C40D0" w:rsidP="00ED6B2C">
            <w:pPr>
              <w:spacing w:before="60" w:after="0"/>
              <w:ind w:firstLine="0"/>
              <w:jc w:val="center"/>
              <w:rPr>
                <w:rFonts w:eastAsia="Times New Roman" w:cs="Times New Roman"/>
                <w:color w:val="000000"/>
                <w:sz w:val="18"/>
                <w:szCs w:val="18"/>
              </w:rPr>
            </w:pPr>
            <w:r w:rsidRPr="007B5DD9">
              <w:rPr>
                <w:sz w:val="20"/>
                <w:szCs w:val="20"/>
              </w:rPr>
              <w:t>1,</w:t>
            </w:r>
            <w:r w:rsidR="007B5DD9" w:rsidRPr="007B5DD9">
              <w:rPr>
                <w:sz w:val="20"/>
                <w:szCs w:val="20"/>
              </w:rPr>
              <w:t>5</w:t>
            </w:r>
            <w:r w:rsidR="002E61A5">
              <w:rPr>
                <w:sz w:val="20"/>
                <w:szCs w:val="20"/>
              </w:rPr>
              <w:t>3</w:t>
            </w:r>
          </w:p>
        </w:tc>
      </w:tr>
      <w:tr w:rsidR="002E61A5" w:rsidRPr="00D8017D" w14:paraId="3E5BA333" w14:textId="77777777" w:rsidTr="00ED6B2C">
        <w:trPr>
          <w:trHeight w:val="20"/>
          <w:jc w:val="center"/>
        </w:trPr>
        <w:tc>
          <w:tcPr>
            <w:tcW w:w="2693" w:type="dxa"/>
            <w:noWrap/>
            <w:vAlign w:val="center"/>
          </w:tcPr>
          <w:p w14:paraId="0B2F8E8C" w14:textId="77777777" w:rsidR="002E61A5" w:rsidRPr="00D8017D" w:rsidRDefault="002E61A5" w:rsidP="002E61A5">
            <w:pPr>
              <w:spacing w:before="60" w:after="0"/>
              <w:ind w:firstLine="0"/>
              <w:jc w:val="left"/>
              <w:rPr>
                <w:rFonts w:eastAsia="Times New Roman" w:cs="Times New Roman"/>
                <w:color w:val="000000"/>
                <w:sz w:val="18"/>
                <w:szCs w:val="18"/>
                <w:highlight w:val="lightGray"/>
              </w:rPr>
            </w:pPr>
            <w:r w:rsidRPr="00D8017D">
              <w:rPr>
                <w:rFonts w:eastAsia="Times New Roman" w:cs="Times New Roman"/>
                <w:sz w:val="20"/>
                <w:szCs w:val="20"/>
              </w:rPr>
              <w:t>Vienreizējie pasākumi, % no IKP</w:t>
            </w:r>
          </w:p>
        </w:tc>
        <w:tc>
          <w:tcPr>
            <w:tcW w:w="1271" w:type="dxa"/>
            <w:vAlign w:val="center"/>
          </w:tcPr>
          <w:p w14:paraId="3A7C4EC0" w14:textId="77777777" w:rsidR="002E61A5" w:rsidRPr="00D8017D" w:rsidRDefault="002E61A5" w:rsidP="002E61A5">
            <w:pPr>
              <w:spacing w:before="60" w:after="0"/>
              <w:ind w:firstLine="0"/>
              <w:jc w:val="center"/>
              <w:rPr>
                <w:rFonts w:eastAsia="Times New Roman" w:cs="Times New Roman"/>
                <w:color w:val="000000"/>
                <w:sz w:val="18"/>
                <w:szCs w:val="18"/>
                <w:highlight w:val="lightGray"/>
              </w:rPr>
            </w:pPr>
            <w:r w:rsidRPr="00D8017D">
              <w:rPr>
                <w:rFonts w:eastAsia="Times New Roman" w:cs="Times New Roman"/>
                <w:sz w:val="20"/>
                <w:szCs w:val="20"/>
              </w:rPr>
              <w:t>(3)</w:t>
            </w:r>
          </w:p>
        </w:tc>
        <w:tc>
          <w:tcPr>
            <w:tcW w:w="851" w:type="dxa"/>
            <w:noWrap/>
            <w:vAlign w:val="center"/>
          </w:tcPr>
          <w:p w14:paraId="4DE5F6F0" w14:textId="29F58A02" w:rsidR="002E61A5" w:rsidRPr="007B5DD9" w:rsidRDefault="002E61A5" w:rsidP="002E61A5">
            <w:pPr>
              <w:spacing w:before="60" w:after="0"/>
              <w:ind w:firstLine="0"/>
              <w:jc w:val="center"/>
              <w:rPr>
                <w:rFonts w:eastAsia="Times New Roman" w:cs="Times New Roman"/>
                <w:color w:val="000000"/>
                <w:sz w:val="18"/>
                <w:szCs w:val="18"/>
              </w:rPr>
            </w:pPr>
            <w:r w:rsidRPr="00D8017D">
              <w:rPr>
                <w:rFonts w:eastAsia="Times New Roman" w:cs="Times New Roman"/>
                <w:sz w:val="20"/>
                <w:szCs w:val="20"/>
              </w:rPr>
              <w:t>-1,6</w:t>
            </w:r>
            <w:r>
              <w:rPr>
                <w:rFonts w:eastAsia="Times New Roman" w:cs="Times New Roman"/>
                <w:sz w:val="20"/>
                <w:szCs w:val="20"/>
              </w:rPr>
              <w:t>4</w:t>
            </w:r>
          </w:p>
        </w:tc>
        <w:tc>
          <w:tcPr>
            <w:tcW w:w="850" w:type="dxa"/>
            <w:shd w:val="clear" w:color="auto" w:fill="FFFFFF" w:themeFill="background1"/>
            <w:noWrap/>
            <w:vAlign w:val="center"/>
            <w:hideMark/>
          </w:tcPr>
          <w:p w14:paraId="0A3F3134" w14:textId="109A9B77" w:rsidR="002E61A5" w:rsidRPr="007B5DD9" w:rsidRDefault="002E61A5" w:rsidP="002E61A5">
            <w:pPr>
              <w:spacing w:before="60" w:after="0"/>
              <w:ind w:firstLine="0"/>
              <w:jc w:val="center"/>
              <w:rPr>
                <w:rFonts w:eastAsia="Times New Roman" w:cs="Times New Roman"/>
                <w:color w:val="000000"/>
                <w:sz w:val="18"/>
                <w:szCs w:val="18"/>
              </w:rPr>
            </w:pPr>
            <w:r w:rsidRPr="00D8017D">
              <w:rPr>
                <w:rFonts w:eastAsia="Times New Roman" w:cs="Times New Roman"/>
                <w:sz w:val="20"/>
                <w:szCs w:val="20"/>
              </w:rPr>
              <w:t>-1,</w:t>
            </w:r>
            <w:r>
              <w:rPr>
                <w:rFonts w:eastAsia="Times New Roman" w:cs="Times New Roman"/>
                <w:sz w:val="20"/>
                <w:szCs w:val="20"/>
              </w:rPr>
              <w:t>69</w:t>
            </w:r>
          </w:p>
        </w:tc>
        <w:tc>
          <w:tcPr>
            <w:tcW w:w="884" w:type="dxa"/>
            <w:shd w:val="clear" w:color="auto" w:fill="FFFFFF" w:themeFill="background1"/>
            <w:noWrap/>
            <w:vAlign w:val="center"/>
            <w:hideMark/>
          </w:tcPr>
          <w:p w14:paraId="354F4D77" w14:textId="4FA9B348" w:rsidR="002E61A5" w:rsidRPr="007B5DD9" w:rsidRDefault="002E61A5" w:rsidP="002E61A5">
            <w:pPr>
              <w:spacing w:before="60" w:after="0"/>
              <w:ind w:firstLine="0"/>
              <w:jc w:val="center"/>
              <w:rPr>
                <w:rFonts w:eastAsia="Times New Roman" w:cs="Times New Roman"/>
                <w:color w:val="000000"/>
                <w:sz w:val="18"/>
                <w:szCs w:val="18"/>
              </w:rPr>
            </w:pPr>
            <w:r w:rsidRPr="00D8017D">
              <w:rPr>
                <w:rFonts w:eastAsia="Times New Roman" w:cs="Times New Roman"/>
                <w:sz w:val="20"/>
                <w:szCs w:val="20"/>
              </w:rPr>
              <w:t>-1,</w:t>
            </w:r>
            <w:r>
              <w:rPr>
                <w:rFonts w:eastAsia="Times New Roman" w:cs="Times New Roman"/>
                <w:sz w:val="20"/>
                <w:szCs w:val="20"/>
              </w:rPr>
              <w:t>59</w:t>
            </w:r>
          </w:p>
        </w:tc>
      </w:tr>
      <w:tr w:rsidR="005C40D0" w:rsidRPr="00D8017D" w14:paraId="246A480A" w14:textId="77777777" w:rsidTr="00ED6B2C">
        <w:trPr>
          <w:trHeight w:val="20"/>
          <w:jc w:val="center"/>
        </w:trPr>
        <w:tc>
          <w:tcPr>
            <w:tcW w:w="2693" w:type="dxa"/>
            <w:noWrap/>
            <w:vAlign w:val="center"/>
          </w:tcPr>
          <w:p w14:paraId="5C90B49E" w14:textId="33C4FFBC" w:rsidR="005C40D0" w:rsidRPr="007B5DD9" w:rsidRDefault="005C40D0" w:rsidP="00ED6B2C">
            <w:pPr>
              <w:spacing w:before="60" w:after="0"/>
              <w:ind w:firstLine="0"/>
              <w:jc w:val="left"/>
              <w:rPr>
                <w:rFonts w:eastAsia="Times New Roman" w:cs="Times New Roman"/>
                <w:color w:val="000000"/>
                <w:sz w:val="18"/>
                <w:szCs w:val="18"/>
              </w:rPr>
            </w:pPr>
            <w:r w:rsidRPr="007B5DD9">
              <w:rPr>
                <w:rFonts w:eastAsia="Times New Roman" w:cs="Times New Roman"/>
                <w:sz w:val="20"/>
                <w:szCs w:val="20"/>
              </w:rPr>
              <w:t xml:space="preserve">Valsts </w:t>
            </w:r>
            <w:r w:rsidR="0093771C" w:rsidRPr="007B5DD9">
              <w:rPr>
                <w:rFonts w:eastAsia="Times New Roman" w:cs="Times New Roman"/>
                <w:sz w:val="20"/>
                <w:szCs w:val="20"/>
              </w:rPr>
              <w:t>izņēmuma</w:t>
            </w:r>
            <w:r w:rsidRPr="007B5DD9">
              <w:rPr>
                <w:rFonts w:eastAsia="Times New Roman" w:cs="Times New Roman"/>
                <w:sz w:val="20"/>
                <w:szCs w:val="20"/>
              </w:rPr>
              <w:t xml:space="preserve"> klauzulas fiskālā ietekme, % no IKP</w:t>
            </w:r>
          </w:p>
        </w:tc>
        <w:tc>
          <w:tcPr>
            <w:tcW w:w="1271" w:type="dxa"/>
            <w:vAlign w:val="center"/>
          </w:tcPr>
          <w:p w14:paraId="366DEA1D" w14:textId="77777777" w:rsidR="005C40D0" w:rsidRPr="007B5DD9" w:rsidRDefault="005C40D0" w:rsidP="00ED6B2C">
            <w:pPr>
              <w:spacing w:before="60" w:after="0"/>
              <w:ind w:firstLine="0"/>
              <w:jc w:val="center"/>
              <w:rPr>
                <w:rFonts w:eastAsia="Times New Roman" w:cs="Times New Roman"/>
                <w:color w:val="000000"/>
                <w:sz w:val="18"/>
                <w:szCs w:val="18"/>
              </w:rPr>
            </w:pPr>
            <w:r w:rsidRPr="007B5DD9">
              <w:rPr>
                <w:rFonts w:eastAsia="Times New Roman" w:cs="Times New Roman"/>
                <w:sz w:val="20"/>
                <w:szCs w:val="20"/>
              </w:rPr>
              <w:t>(4)</w:t>
            </w:r>
          </w:p>
        </w:tc>
        <w:tc>
          <w:tcPr>
            <w:tcW w:w="851" w:type="dxa"/>
            <w:noWrap/>
            <w:vAlign w:val="center"/>
          </w:tcPr>
          <w:p w14:paraId="31BB36C6" w14:textId="26BCD2C7" w:rsidR="005C40D0" w:rsidRPr="007B5DD9" w:rsidRDefault="005C40D0" w:rsidP="002E61A5">
            <w:pPr>
              <w:spacing w:before="60" w:after="0"/>
              <w:ind w:firstLine="0"/>
              <w:jc w:val="center"/>
              <w:rPr>
                <w:rFonts w:eastAsia="Times New Roman" w:cs="Times New Roman"/>
                <w:color w:val="000000"/>
                <w:sz w:val="18"/>
                <w:szCs w:val="18"/>
              </w:rPr>
            </w:pPr>
            <w:r w:rsidRPr="007B5DD9">
              <w:rPr>
                <w:rFonts w:eastAsia="Times New Roman" w:cs="Times New Roman"/>
                <w:sz w:val="20"/>
                <w:szCs w:val="20"/>
              </w:rPr>
              <w:t>0,</w:t>
            </w:r>
            <w:r w:rsidR="007B5DD9" w:rsidRPr="007B5DD9">
              <w:rPr>
                <w:rFonts w:eastAsia="Times New Roman" w:cs="Times New Roman"/>
                <w:sz w:val="20"/>
                <w:szCs w:val="20"/>
              </w:rPr>
              <w:t>4</w:t>
            </w:r>
            <w:r w:rsidR="002E61A5">
              <w:rPr>
                <w:rFonts w:eastAsia="Times New Roman" w:cs="Times New Roman"/>
                <w:sz w:val="20"/>
                <w:szCs w:val="20"/>
              </w:rPr>
              <w:t>8</w:t>
            </w:r>
          </w:p>
        </w:tc>
        <w:tc>
          <w:tcPr>
            <w:tcW w:w="850" w:type="dxa"/>
            <w:shd w:val="clear" w:color="auto" w:fill="FFFFFF" w:themeFill="background1"/>
            <w:noWrap/>
            <w:vAlign w:val="center"/>
          </w:tcPr>
          <w:p w14:paraId="76311468" w14:textId="51433238" w:rsidR="005C40D0" w:rsidRPr="007B5DD9" w:rsidRDefault="007B5DD9" w:rsidP="002E61A5">
            <w:pPr>
              <w:spacing w:before="60" w:after="0"/>
              <w:ind w:firstLine="0"/>
              <w:jc w:val="center"/>
              <w:rPr>
                <w:rFonts w:eastAsia="Times New Roman" w:cs="Times New Roman"/>
                <w:color w:val="000000"/>
                <w:sz w:val="18"/>
                <w:szCs w:val="18"/>
              </w:rPr>
            </w:pPr>
            <w:r w:rsidRPr="007B5DD9">
              <w:rPr>
                <w:rFonts w:eastAsia="Times New Roman" w:cs="Times New Roman"/>
                <w:sz w:val="20"/>
                <w:szCs w:val="20"/>
              </w:rPr>
              <w:t>1,10</w:t>
            </w:r>
          </w:p>
        </w:tc>
        <w:tc>
          <w:tcPr>
            <w:tcW w:w="884" w:type="dxa"/>
            <w:shd w:val="clear" w:color="auto" w:fill="FFFFFF" w:themeFill="background1"/>
            <w:noWrap/>
            <w:vAlign w:val="center"/>
          </w:tcPr>
          <w:p w14:paraId="53E8C8C0" w14:textId="63FA5FEE" w:rsidR="005C40D0" w:rsidRPr="007B5DD9" w:rsidRDefault="002E61A5" w:rsidP="002E61A5">
            <w:pPr>
              <w:spacing w:before="60" w:after="0"/>
              <w:ind w:firstLine="0"/>
              <w:jc w:val="center"/>
              <w:rPr>
                <w:rFonts w:eastAsia="Times New Roman" w:cs="Times New Roman"/>
                <w:color w:val="000000"/>
                <w:sz w:val="18"/>
                <w:szCs w:val="18"/>
              </w:rPr>
            </w:pPr>
            <w:r>
              <w:rPr>
                <w:rFonts w:eastAsia="Times New Roman" w:cs="Times New Roman"/>
                <w:sz w:val="20"/>
                <w:szCs w:val="20"/>
              </w:rPr>
              <w:t>1,00</w:t>
            </w:r>
          </w:p>
        </w:tc>
      </w:tr>
      <w:tr w:rsidR="005C40D0" w:rsidRPr="00D8017D" w14:paraId="7C4E36EA" w14:textId="77777777" w:rsidTr="00ED6B2C">
        <w:trPr>
          <w:trHeight w:val="20"/>
          <w:jc w:val="center"/>
        </w:trPr>
        <w:tc>
          <w:tcPr>
            <w:tcW w:w="2693" w:type="dxa"/>
            <w:shd w:val="clear" w:color="auto" w:fill="BDD6EE" w:themeFill="accent1" w:themeFillTint="66"/>
            <w:noWrap/>
            <w:vAlign w:val="center"/>
          </w:tcPr>
          <w:p w14:paraId="1C5A7CC1" w14:textId="77777777" w:rsidR="005C40D0" w:rsidRPr="007B5DD9" w:rsidRDefault="005C40D0" w:rsidP="00ED6B2C">
            <w:pPr>
              <w:spacing w:before="60" w:after="0"/>
              <w:ind w:firstLine="0"/>
              <w:jc w:val="left"/>
              <w:rPr>
                <w:rFonts w:eastAsia="Times New Roman" w:cs="Times New Roman"/>
                <w:b/>
                <w:bCs/>
                <w:color w:val="000000"/>
                <w:sz w:val="18"/>
                <w:szCs w:val="18"/>
              </w:rPr>
            </w:pPr>
            <w:r w:rsidRPr="007B5DD9">
              <w:rPr>
                <w:rFonts w:eastAsia="Times New Roman" w:cs="Times New Roman"/>
                <w:b/>
                <w:bCs/>
                <w:sz w:val="20"/>
                <w:szCs w:val="20"/>
              </w:rPr>
              <w:lastRenderedPageBreak/>
              <w:t>Vispārējās valdības strukturālās bilances mērķi, % no IKP</w:t>
            </w:r>
          </w:p>
        </w:tc>
        <w:tc>
          <w:tcPr>
            <w:tcW w:w="1271" w:type="dxa"/>
            <w:shd w:val="clear" w:color="auto" w:fill="BDD6EE" w:themeFill="accent1" w:themeFillTint="66"/>
            <w:vAlign w:val="center"/>
          </w:tcPr>
          <w:p w14:paraId="5670B8C6" w14:textId="77777777" w:rsidR="005C40D0" w:rsidRPr="007B5DD9" w:rsidRDefault="005C40D0" w:rsidP="00ED6B2C">
            <w:pPr>
              <w:spacing w:before="60" w:after="0"/>
              <w:ind w:firstLine="0"/>
              <w:jc w:val="center"/>
              <w:rPr>
                <w:rFonts w:eastAsia="Times New Roman" w:cs="Times New Roman"/>
                <w:b/>
                <w:bCs/>
                <w:color w:val="000000"/>
                <w:sz w:val="18"/>
                <w:szCs w:val="18"/>
              </w:rPr>
            </w:pPr>
            <w:r w:rsidRPr="007B5DD9">
              <w:rPr>
                <w:rFonts w:eastAsia="Times New Roman" w:cs="Times New Roman"/>
                <w:b/>
                <w:bCs/>
                <w:sz w:val="20"/>
                <w:szCs w:val="20"/>
              </w:rPr>
              <w:t>(5)=(1)-(2)-(3)-(4)</w:t>
            </w:r>
          </w:p>
        </w:tc>
        <w:tc>
          <w:tcPr>
            <w:tcW w:w="851" w:type="dxa"/>
            <w:shd w:val="clear" w:color="auto" w:fill="BDD6EE" w:themeFill="accent1" w:themeFillTint="66"/>
            <w:noWrap/>
            <w:vAlign w:val="center"/>
          </w:tcPr>
          <w:p w14:paraId="3D6D7AC4" w14:textId="3238B104" w:rsidR="005C40D0" w:rsidRPr="007B5DD9" w:rsidRDefault="005C40D0" w:rsidP="00ED6B2C">
            <w:pPr>
              <w:spacing w:before="60" w:after="0"/>
              <w:ind w:firstLine="0"/>
              <w:jc w:val="center"/>
              <w:rPr>
                <w:rFonts w:eastAsia="Times New Roman" w:cs="Times New Roman"/>
                <w:b/>
                <w:bCs/>
                <w:color w:val="000000"/>
                <w:sz w:val="18"/>
                <w:szCs w:val="18"/>
              </w:rPr>
            </w:pPr>
            <w:r w:rsidRPr="007B5DD9">
              <w:rPr>
                <w:rFonts w:eastAsia="Times New Roman" w:cs="Times New Roman"/>
                <w:b/>
                <w:bCs/>
                <w:sz w:val="20"/>
                <w:szCs w:val="20"/>
              </w:rPr>
              <w:t>-1,</w:t>
            </w:r>
            <w:r w:rsidR="007B5DD9" w:rsidRPr="007B5DD9">
              <w:rPr>
                <w:rFonts w:eastAsia="Times New Roman" w:cs="Times New Roman"/>
                <w:b/>
                <w:bCs/>
                <w:sz w:val="20"/>
                <w:szCs w:val="20"/>
              </w:rPr>
              <w:t>56</w:t>
            </w:r>
          </w:p>
        </w:tc>
        <w:tc>
          <w:tcPr>
            <w:tcW w:w="850" w:type="dxa"/>
            <w:shd w:val="clear" w:color="auto" w:fill="BDD6EE" w:themeFill="accent1" w:themeFillTint="66"/>
            <w:noWrap/>
            <w:vAlign w:val="center"/>
            <w:hideMark/>
          </w:tcPr>
          <w:p w14:paraId="2C0B8E31" w14:textId="51B95D63" w:rsidR="005C40D0" w:rsidRPr="007B5DD9" w:rsidRDefault="005C40D0" w:rsidP="00ED6B2C">
            <w:pPr>
              <w:spacing w:before="60" w:after="0"/>
              <w:ind w:firstLine="0"/>
              <w:jc w:val="center"/>
              <w:rPr>
                <w:rFonts w:eastAsia="Times New Roman" w:cs="Times New Roman"/>
                <w:b/>
                <w:bCs/>
                <w:color w:val="000000"/>
                <w:sz w:val="18"/>
                <w:szCs w:val="18"/>
              </w:rPr>
            </w:pPr>
            <w:r w:rsidRPr="007B5DD9">
              <w:rPr>
                <w:rFonts w:eastAsia="Times New Roman" w:cs="Times New Roman"/>
                <w:b/>
                <w:bCs/>
                <w:sz w:val="20"/>
                <w:szCs w:val="20"/>
              </w:rPr>
              <w:t>-2,</w:t>
            </w:r>
            <w:r w:rsidR="007B5DD9" w:rsidRPr="007B5DD9">
              <w:rPr>
                <w:rFonts w:eastAsia="Times New Roman" w:cs="Times New Roman"/>
                <w:b/>
                <w:bCs/>
                <w:sz w:val="20"/>
                <w:szCs w:val="20"/>
              </w:rPr>
              <w:t>2</w:t>
            </w:r>
            <w:r w:rsidR="002E61A5">
              <w:rPr>
                <w:rFonts w:eastAsia="Times New Roman" w:cs="Times New Roman"/>
                <w:b/>
                <w:bCs/>
                <w:sz w:val="20"/>
                <w:szCs w:val="20"/>
              </w:rPr>
              <w:t>4</w:t>
            </w:r>
          </w:p>
        </w:tc>
        <w:tc>
          <w:tcPr>
            <w:tcW w:w="884" w:type="dxa"/>
            <w:shd w:val="clear" w:color="auto" w:fill="BDD6EE" w:themeFill="accent1" w:themeFillTint="66"/>
            <w:noWrap/>
            <w:vAlign w:val="center"/>
            <w:hideMark/>
          </w:tcPr>
          <w:p w14:paraId="525AB13C" w14:textId="2A0D6627" w:rsidR="005C40D0" w:rsidRPr="007B5DD9" w:rsidRDefault="005C40D0" w:rsidP="00ED6B2C">
            <w:pPr>
              <w:spacing w:before="60" w:after="0"/>
              <w:ind w:firstLine="0"/>
              <w:jc w:val="center"/>
              <w:rPr>
                <w:rFonts w:eastAsia="Times New Roman" w:cs="Times New Roman"/>
                <w:b/>
                <w:bCs/>
                <w:color w:val="000000"/>
                <w:sz w:val="18"/>
                <w:szCs w:val="18"/>
              </w:rPr>
            </w:pPr>
            <w:r w:rsidRPr="007B5DD9">
              <w:rPr>
                <w:rFonts w:eastAsia="Times New Roman" w:cs="Times New Roman"/>
                <w:b/>
                <w:bCs/>
                <w:sz w:val="20"/>
                <w:szCs w:val="20"/>
              </w:rPr>
              <w:t>-2,1</w:t>
            </w:r>
            <w:r w:rsidR="007B5DD9" w:rsidRPr="007B5DD9">
              <w:rPr>
                <w:rFonts w:eastAsia="Times New Roman" w:cs="Times New Roman"/>
                <w:b/>
                <w:bCs/>
                <w:sz w:val="20"/>
                <w:szCs w:val="20"/>
              </w:rPr>
              <w:t>9</w:t>
            </w:r>
          </w:p>
        </w:tc>
      </w:tr>
    </w:tbl>
    <w:p w14:paraId="633702FA" w14:textId="52AC67AD" w:rsidR="00EE46B6" w:rsidRPr="00D8017D" w:rsidRDefault="00EE46B6" w:rsidP="008675CC">
      <w:pPr>
        <w:spacing w:after="0"/>
        <w:ind w:firstLine="0"/>
        <w:rPr>
          <w:szCs w:val="20"/>
          <w:highlight w:val="lightGray"/>
        </w:rPr>
      </w:pPr>
    </w:p>
    <w:p w14:paraId="20255776" w14:textId="72BFEBC4" w:rsidR="005F203B" w:rsidRDefault="00CF48B6" w:rsidP="009427E1">
      <w:pPr>
        <w:widowControl w:val="0"/>
        <w:spacing w:before="240"/>
        <w:ind w:firstLine="0"/>
        <w:jc w:val="right"/>
        <w:rPr>
          <w:rFonts w:eastAsia="Times New Roman" w:cs="Times New Roman"/>
          <w:b/>
          <w:i/>
          <w:iCs/>
          <w:szCs w:val="24"/>
        </w:rPr>
      </w:pPr>
      <w:r w:rsidRPr="002E61A5">
        <w:rPr>
          <w:rFonts w:eastAsia="Times New Roman" w:cs="Times New Roman"/>
          <w:b/>
          <w:i/>
          <w:iCs/>
          <w:szCs w:val="24"/>
        </w:rPr>
        <w:t>2.</w:t>
      </w:r>
      <w:r w:rsidR="008675CC" w:rsidRPr="002E61A5">
        <w:rPr>
          <w:rFonts w:eastAsia="Times New Roman" w:cs="Times New Roman"/>
          <w:b/>
          <w:i/>
          <w:iCs/>
          <w:szCs w:val="24"/>
        </w:rPr>
        <w:t>1</w:t>
      </w:r>
      <w:r w:rsidR="007A1AB1">
        <w:rPr>
          <w:rFonts w:eastAsia="Times New Roman" w:cs="Times New Roman"/>
          <w:b/>
          <w:i/>
          <w:iCs/>
          <w:szCs w:val="24"/>
        </w:rPr>
        <w:t>2</w:t>
      </w:r>
      <w:r w:rsidRPr="002E61A5">
        <w:rPr>
          <w:rFonts w:eastAsia="Times New Roman" w:cs="Times New Roman"/>
          <w:b/>
          <w:i/>
          <w:iCs/>
          <w:szCs w:val="24"/>
        </w:rPr>
        <w:t xml:space="preserve">. </w:t>
      </w:r>
      <w:r w:rsidR="00B53441" w:rsidRPr="002E61A5">
        <w:rPr>
          <w:rFonts w:eastAsia="Times New Roman" w:cs="Times New Roman"/>
          <w:b/>
          <w:i/>
          <w:iCs/>
          <w:szCs w:val="24"/>
        </w:rPr>
        <w:t xml:space="preserve">tabula. </w:t>
      </w:r>
      <w:r w:rsidR="005C40D0" w:rsidRPr="00D8017D">
        <w:rPr>
          <w:rFonts w:eastAsia="Times New Roman" w:cs="Times New Roman"/>
          <w:b/>
          <w:i/>
          <w:iCs/>
          <w:szCs w:val="24"/>
        </w:rPr>
        <w:t>Vispārējās valdības strukturālās bilances mērķi, balstoties uz ES izdevumu pieauguma nosacījumu</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1"/>
        <w:gridCol w:w="1134"/>
        <w:gridCol w:w="921"/>
        <w:gridCol w:w="921"/>
        <w:gridCol w:w="922"/>
        <w:gridCol w:w="921"/>
        <w:gridCol w:w="921"/>
        <w:gridCol w:w="922"/>
      </w:tblGrid>
      <w:tr w:rsidR="00106477" w:rsidRPr="0096078F" w14:paraId="34C30589" w14:textId="77777777" w:rsidTr="00CF43D4">
        <w:trPr>
          <w:trHeight w:val="320"/>
          <w:jc w:val="center"/>
        </w:trPr>
        <w:tc>
          <w:tcPr>
            <w:tcW w:w="3251" w:type="dxa"/>
            <w:shd w:val="clear" w:color="000000" w:fill="BDD6EE"/>
            <w:noWrap/>
            <w:vAlign w:val="center"/>
            <w:hideMark/>
          </w:tcPr>
          <w:p w14:paraId="7BB15645"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w:t>
            </w:r>
          </w:p>
        </w:tc>
        <w:tc>
          <w:tcPr>
            <w:tcW w:w="1134" w:type="dxa"/>
            <w:shd w:val="clear" w:color="000000" w:fill="BDD6EE"/>
            <w:vAlign w:val="center"/>
            <w:hideMark/>
          </w:tcPr>
          <w:p w14:paraId="5D47A1C8"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shd w:val="clear" w:color="000000" w:fill="BDD6EE"/>
            <w:vAlign w:val="center"/>
            <w:hideMark/>
          </w:tcPr>
          <w:p w14:paraId="2016544B" w14:textId="77777777" w:rsidR="00106477" w:rsidRPr="006F6679" w:rsidRDefault="00106477"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2023</w:t>
            </w:r>
          </w:p>
        </w:tc>
        <w:tc>
          <w:tcPr>
            <w:tcW w:w="921" w:type="dxa"/>
            <w:shd w:val="clear" w:color="000000" w:fill="BDD6EE"/>
            <w:vAlign w:val="center"/>
            <w:hideMark/>
          </w:tcPr>
          <w:p w14:paraId="13AC8489" w14:textId="77777777" w:rsidR="00106477" w:rsidRPr="006F6679" w:rsidRDefault="00106477"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2024</w:t>
            </w:r>
          </w:p>
        </w:tc>
        <w:tc>
          <w:tcPr>
            <w:tcW w:w="922" w:type="dxa"/>
            <w:shd w:val="clear" w:color="000000" w:fill="BDD6EE"/>
            <w:vAlign w:val="center"/>
            <w:hideMark/>
          </w:tcPr>
          <w:p w14:paraId="5C653397" w14:textId="77777777" w:rsidR="00106477" w:rsidRPr="006F6679" w:rsidRDefault="00106477"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2025</w:t>
            </w:r>
          </w:p>
        </w:tc>
        <w:tc>
          <w:tcPr>
            <w:tcW w:w="921" w:type="dxa"/>
            <w:shd w:val="clear" w:color="000000" w:fill="BDD6EE"/>
            <w:noWrap/>
            <w:vAlign w:val="center"/>
            <w:hideMark/>
          </w:tcPr>
          <w:p w14:paraId="31790E0F" w14:textId="77777777" w:rsidR="00106477" w:rsidRPr="006F6679" w:rsidRDefault="00106477"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2026</w:t>
            </w:r>
          </w:p>
        </w:tc>
        <w:tc>
          <w:tcPr>
            <w:tcW w:w="921" w:type="dxa"/>
            <w:shd w:val="clear" w:color="000000" w:fill="BDD6EE"/>
            <w:noWrap/>
            <w:vAlign w:val="center"/>
            <w:hideMark/>
          </w:tcPr>
          <w:p w14:paraId="0C1D2600" w14:textId="77777777" w:rsidR="00106477" w:rsidRPr="006F6679" w:rsidRDefault="00106477"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2027</w:t>
            </w:r>
          </w:p>
        </w:tc>
        <w:tc>
          <w:tcPr>
            <w:tcW w:w="922" w:type="dxa"/>
            <w:shd w:val="clear" w:color="000000" w:fill="BDD6EE"/>
            <w:vAlign w:val="center"/>
            <w:hideMark/>
          </w:tcPr>
          <w:p w14:paraId="55478B97" w14:textId="77777777" w:rsidR="00106477" w:rsidRPr="006F6679" w:rsidRDefault="00106477"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2028</w:t>
            </w:r>
          </w:p>
        </w:tc>
      </w:tr>
      <w:tr w:rsidR="00106477" w:rsidRPr="0096078F" w14:paraId="67A88D98" w14:textId="77777777" w:rsidTr="00CF43D4">
        <w:trPr>
          <w:trHeight w:val="510"/>
          <w:jc w:val="center"/>
        </w:trPr>
        <w:tc>
          <w:tcPr>
            <w:tcW w:w="3251" w:type="dxa"/>
            <w:vAlign w:val="center"/>
            <w:hideMark/>
          </w:tcPr>
          <w:p w14:paraId="38B81EE7"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ES Padomes apstiprinātais ikgadējais NNFPI pieaugums, %</w:t>
            </w:r>
          </w:p>
        </w:tc>
        <w:tc>
          <w:tcPr>
            <w:tcW w:w="1134" w:type="dxa"/>
            <w:vAlign w:val="center"/>
            <w:hideMark/>
          </w:tcPr>
          <w:p w14:paraId="0A865E5C"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w:t>
            </w:r>
          </w:p>
        </w:tc>
        <w:tc>
          <w:tcPr>
            <w:tcW w:w="921" w:type="dxa"/>
            <w:vAlign w:val="center"/>
            <w:hideMark/>
          </w:tcPr>
          <w:p w14:paraId="5FDEAC1D"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7C7DB351"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9,096</w:t>
            </w:r>
          </w:p>
        </w:tc>
        <w:tc>
          <w:tcPr>
            <w:tcW w:w="922" w:type="dxa"/>
            <w:vAlign w:val="center"/>
            <w:hideMark/>
          </w:tcPr>
          <w:p w14:paraId="7D552202"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5,902</w:t>
            </w:r>
          </w:p>
        </w:tc>
        <w:tc>
          <w:tcPr>
            <w:tcW w:w="921" w:type="dxa"/>
            <w:noWrap/>
            <w:vAlign w:val="center"/>
            <w:hideMark/>
          </w:tcPr>
          <w:p w14:paraId="4606A308"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3,645</w:t>
            </w:r>
          </w:p>
        </w:tc>
        <w:tc>
          <w:tcPr>
            <w:tcW w:w="921" w:type="dxa"/>
            <w:noWrap/>
            <w:vAlign w:val="center"/>
            <w:hideMark/>
          </w:tcPr>
          <w:p w14:paraId="07A950F0"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3,363</w:t>
            </w:r>
          </w:p>
        </w:tc>
        <w:tc>
          <w:tcPr>
            <w:tcW w:w="922" w:type="dxa"/>
            <w:vAlign w:val="center"/>
            <w:hideMark/>
          </w:tcPr>
          <w:p w14:paraId="0592B14D"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3,326</w:t>
            </w:r>
          </w:p>
        </w:tc>
      </w:tr>
      <w:tr w:rsidR="00106477" w:rsidRPr="0096078F" w14:paraId="23E4828A" w14:textId="77777777" w:rsidTr="00CF43D4">
        <w:trPr>
          <w:trHeight w:val="1010"/>
          <w:jc w:val="center"/>
        </w:trPr>
        <w:tc>
          <w:tcPr>
            <w:tcW w:w="3251" w:type="dxa"/>
            <w:vAlign w:val="center"/>
            <w:hideMark/>
          </w:tcPr>
          <w:p w14:paraId="484CEA04"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NNFPI līmenis 2023. gadā, milj. </w:t>
            </w:r>
            <w:r w:rsidRPr="006F6679">
              <w:rPr>
                <w:rFonts w:eastAsia="Times New Roman" w:cs="Times New Roman"/>
                <w:i/>
                <w:iCs/>
                <w:color w:val="000000"/>
                <w:sz w:val="18"/>
                <w:szCs w:val="18"/>
              </w:rPr>
              <w:t>euro</w:t>
            </w:r>
            <w:r w:rsidRPr="006F6679">
              <w:rPr>
                <w:rFonts w:eastAsia="Times New Roman" w:cs="Times New Roman"/>
                <w:color w:val="000000"/>
                <w:sz w:val="18"/>
                <w:szCs w:val="18"/>
              </w:rPr>
              <w:t xml:space="preserve">; NNFPI līmenis atbilstoši ES Padomes apstiprinātajam NNFPI kumulatīvajam pieaugumam turpmākajiem gadiem, milj. </w:t>
            </w:r>
            <w:r w:rsidRPr="006F6679">
              <w:rPr>
                <w:rFonts w:eastAsia="Times New Roman" w:cs="Times New Roman"/>
                <w:i/>
                <w:iCs/>
                <w:color w:val="000000"/>
                <w:sz w:val="18"/>
                <w:szCs w:val="18"/>
              </w:rPr>
              <w:t>euro</w:t>
            </w:r>
            <w:r w:rsidRPr="006F6679">
              <w:rPr>
                <w:rFonts w:eastAsia="Times New Roman" w:cs="Times New Roman"/>
                <w:color w:val="000000"/>
                <w:sz w:val="18"/>
                <w:szCs w:val="18"/>
              </w:rPr>
              <w:t> </w:t>
            </w:r>
          </w:p>
        </w:tc>
        <w:tc>
          <w:tcPr>
            <w:tcW w:w="1134" w:type="dxa"/>
            <w:vAlign w:val="center"/>
            <w:hideMark/>
          </w:tcPr>
          <w:p w14:paraId="49BA8793"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(2)=(4,t-1)*(1+(1,t)/100)</w:t>
            </w:r>
          </w:p>
        </w:tc>
        <w:tc>
          <w:tcPr>
            <w:tcW w:w="921" w:type="dxa"/>
            <w:shd w:val="clear" w:color="auto" w:fill="FFFFFF" w:themeFill="background1"/>
            <w:vAlign w:val="center"/>
            <w:hideMark/>
          </w:tcPr>
          <w:p w14:paraId="13EFF05E" w14:textId="2BE43018" w:rsidR="00106477" w:rsidRPr="009756E2" w:rsidRDefault="00106477" w:rsidP="006D484A">
            <w:pPr>
              <w:spacing w:after="0"/>
              <w:ind w:firstLine="0"/>
              <w:jc w:val="center"/>
              <w:rPr>
                <w:rFonts w:eastAsia="Times New Roman" w:cs="Times New Roman"/>
                <w:color w:val="000000"/>
                <w:sz w:val="18"/>
                <w:szCs w:val="18"/>
              </w:rPr>
            </w:pPr>
            <w:r w:rsidRPr="009756E2">
              <w:rPr>
                <w:rFonts w:eastAsia="Times New Roman" w:cs="Times New Roman"/>
                <w:color w:val="000000"/>
                <w:sz w:val="18"/>
                <w:szCs w:val="18"/>
              </w:rPr>
              <w:t>16</w:t>
            </w:r>
            <w:r w:rsidR="001F05CB" w:rsidRPr="009756E2">
              <w:rPr>
                <w:rFonts w:eastAsia="Times New Roman" w:cs="Times New Roman"/>
                <w:color w:val="000000"/>
                <w:sz w:val="18"/>
                <w:szCs w:val="18"/>
              </w:rPr>
              <w:t xml:space="preserve"> </w:t>
            </w:r>
            <w:r w:rsidRPr="009756E2">
              <w:rPr>
                <w:rFonts w:eastAsia="Times New Roman" w:cs="Times New Roman"/>
                <w:color w:val="000000"/>
                <w:sz w:val="18"/>
                <w:szCs w:val="18"/>
              </w:rPr>
              <w:t>012</w:t>
            </w:r>
          </w:p>
        </w:tc>
        <w:tc>
          <w:tcPr>
            <w:tcW w:w="921" w:type="dxa"/>
            <w:vAlign w:val="center"/>
            <w:hideMark/>
          </w:tcPr>
          <w:p w14:paraId="76E4F114" w14:textId="5F5AC376"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17</w:t>
            </w:r>
            <w:r w:rsidR="001F05CB" w:rsidRPr="001F05CB">
              <w:rPr>
                <w:rFonts w:eastAsia="Times New Roman" w:cs="Times New Roman"/>
                <w:color w:val="000000"/>
                <w:sz w:val="18"/>
                <w:szCs w:val="18"/>
              </w:rPr>
              <w:t xml:space="preserve"> </w:t>
            </w:r>
            <w:r w:rsidRPr="006F6679">
              <w:rPr>
                <w:rFonts w:eastAsia="Times New Roman" w:cs="Times New Roman"/>
                <w:color w:val="000000"/>
                <w:sz w:val="18"/>
                <w:szCs w:val="18"/>
              </w:rPr>
              <w:t>469</w:t>
            </w:r>
          </w:p>
        </w:tc>
        <w:tc>
          <w:tcPr>
            <w:tcW w:w="922" w:type="dxa"/>
            <w:vAlign w:val="center"/>
            <w:hideMark/>
          </w:tcPr>
          <w:p w14:paraId="48018F8A" w14:textId="0AA237A8"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18</w:t>
            </w:r>
            <w:r w:rsidR="001F05CB" w:rsidRPr="001F05CB">
              <w:rPr>
                <w:rFonts w:eastAsia="Times New Roman" w:cs="Times New Roman"/>
                <w:color w:val="000000"/>
                <w:sz w:val="18"/>
                <w:szCs w:val="18"/>
              </w:rPr>
              <w:t xml:space="preserve"> </w:t>
            </w:r>
            <w:r w:rsidRPr="006F6679">
              <w:rPr>
                <w:rFonts w:eastAsia="Times New Roman" w:cs="Times New Roman"/>
                <w:color w:val="000000"/>
                <w:sz w:val="18"/>
                <w:szCs w:val="18"/>
              </w:rPr>
              <w:t>740</w:t>
            </w:r>
          </w:p>
        </w:tc>
        <w:tc>
          <w:tcPr>
            <w:tcW w:w="921" w:type="dxa"/>
            <w:noWrap/>
            <w:vAlign w:val="center"/>
            <w:hideMark/>
          </w:tcPr>
          <w:p w14:paraId="7EEC83F6" w14:textId="2B033965"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19</w:t>
            </w:r>
            <w:r w:rsidR="001F05CB" w:rsidRPr="001F05CB">
              <w:rPr>
                <w:rFonts w:eastAsia="Times New Roman" w:cs="Times New Roman"/>
                <w:color w:val="000000"/>
                <w:sz w:val="18"/>
                <w:szCs w:val="18"/>
              </w:rPr>
              <w:t xml:space="preserve"> </w:t>
            </w:r>
            <w:r w:rsidRPr="006F6679">
              <w:rPr>
                <w:rFonts w:eastAsia="Times New Roman" w:cs="Times New Roman"/>
                <w:color w:val="000000"/>
                <w:sz w:val="18"/>
                <w:szCs w:val="18"/>
              </w:rPr>
              <w:t>497</w:t>
            </w:r>
          </w:p>
        </w:tc>
        <w:tc>
          <w:tcPr>
            <w:tcW w:w="921" w:type="dxa"/>
            <w:noWrap/>
            <w:vAlign w:val="center"/>
            <w:hideMark/>
          </w:tcPr>
          <w:p w14:paraId="528F649C" w14:textId="7817A56E"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20</w:t>
            </w:r>
            <w:r w:rsidR="001F05CB" w:rsidRPr="001F05CB">
              <w:rPr>
                <w:rFonts w:eastAsia="Times New Roman" w:cs="Times New Roman"/>
                <w:color w:val="000000"/>
                <w:sz w:val="18"/>
                <w:szCs w:val="18"/>
              </w:rPr>
              <w:t xml:space="preserve"> </w:t>
            </w:r>
            <w:r w:rsidRPr="006F6679">
              <w:rPr>
                <w:rFonts w:eastAsia="Times New Roman" w:cs="Times New Roman"/>
                <w:color w:val="000000"/>
                <w:sz w:val="18"/>
                <w:szCs w:val="18"/>
              </w:rPr>
              <w:t>071</w:t>
            </w:r>
          </w:p>
        </w:tc>
        <w:tc>
          <w:tcPr>
            <w:tcW w:w="922" w:type="dxa"/>
            <w:vAlign w:val="center"/>
            <w:hideMark/>
          </w:tcPr>
          <w:p w14:paraId="62139268" w14:textId="21C3995D"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20</w:t>
            </w:r>
            <w:r w:rsidR="001F05CB" w:rsidRPr="001F05CB">
              <w:rPr>
                <w:rFonts w:eastAsia="Times New Roman" w:cs="Times New Roman"/>
                <w:color w:val="000000"/>
                <w:sz w:val="18"/>
                <w:szCs w:val="18"/>
              </w:rPr>
              <w:t xml:space="preserve"> </w:t>
            </w:r>
            <w:r w:rsidRPr="006F6679">
              <w:rPr>
                <w:rFonts w:eastAsia="Times New Roman" w:cs="Times New Roman"/>
                <w:color w:val="000000"/>
                <w:sz w:val="18"/>
                <w:szCs w:val="18"/>
              </w:rPr>
              <w:t>694</w:t>
            </w:r>
          </w:p>
        </w:tc>
      </w:tr>
      <w:tr w:rsidR="00106477" w:rsidRPr="0096078F" w14:paraId="60252C09" w14:textId="77777777" w:rsidTr="00CF43D4">
        <w:trPr>
          <w:trHeight w:val="320"/>
          <w:jc w:val="center"/>
        </w:trPr>
        <w:tc>
          <w:tcPr>
            <w:tcW w:w="3251" w:type="dxa"/>
            <w:vAlign w:val="center"/>
            <w:hideMark/>
          </w:tcPr>
          <w:p w14:paraId="1070AB0C"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DRM, milj. </w:t>
            </w:r>
            <w:r w:rsidRPr="006F6679">
              <w:rPr>
                <w:rFonts w:eastAsia="Times New Roman" w:cs="Times New Roman"/>
                <w:i/>
                <w:iCs/>
                <w:color w:val="000000"/>
                <w:sz w:val="18"/>
                <w:szCs w:val="18"/>
              </w:rPr>
              <w:t>euro</w:t>
            </w:r>
          </w:p>
        </w:tc>
        <w:tc>
          <w:tcPr>
            <w:tcW w:w="1134" w:type="dxa"/>
            <w:vAlign w:val="center"/>
            <w:hideMark/>
          </w:tcPr>
          <w:p w14:paraId="4D5EA6B4"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(3)</w:t>
            </w:r>
          </w:p>
        </w:tc>
        <w:tc>
          <w:tcPr>
            <w:tcW w:w="921" w:type="dxa"/>
            <w:vAlign w:val="center"/>
            <w:hideMark/>
          </w:tcPr>
          <w:p w14:paraId="432E1BD6"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5AEEAF6A"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226</w:t>
            </w:r>
          </w:p>
        </w:tc>
        <w:tc>
          <w:tcPr>
            <w:tcW w:w="922" w:type="dxa"/>
            <w:vAlign w:val="center"/>
            <w:hideMark/>
          </w:tcPr>
          <w:p w14:paraId="11CC6B13"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72</w:t>
            </w:r>
          </w:p>
        </w:tc>
        <w:tc>
          <w:tcPr>
            <w:tcW w:w="921" w:type="dxa"/>
            <w:noWrap/>
            <w:vAlign w:val="center"/>
            <w:hideMark/>
          </w:tcPr>
          <w:p w14:paraId="6A346B27" w14:textId="5CFA803C"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w:t>
            </w:r>
            <w:r w:rsidR="001F05CB">
              <w:rPr>
                <w:rFonts w:eastAsia="Times New Roman" w:cs="Times New Roman"/>
                <w:color w:val="000000"/>
                <w:sz w:val="18"/>
                <w:szCs w:val="18"/>
              </w:rPr>
              <w:t>32</w:t>
            </w:r>
          </w:p>
        </w:tc>
        <w:tc>
          <w:tcPr>
            <w:tcW w:w="921" w:type="dxa"/>
            <w:noWrap/>
            <w:vAlign w:val="center"/>
            <w:hideMark/>
          </w:tcPr>
          <w:p w14:paraId="77FF9A4C" w14:textId="11166533"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w:t>
            </w:r>
            <w:r w:rsidR="001F05CB">
              <w:rPr>
                <w:rFonts w:eastAsia="Times New Roman" w:cs="Times New Roman"/>
                <w:color w:val="000000"/>
                <w:sz w:val="18"/>
                <w:szCs w:val="18"/>
              </w:rPr>
              <w:t>12</w:t>
            </w:r>
          </w:p>
        </w:tc>
        <w:tc>
          <w:tcPr>
            <w:tcW w:w="922" w:type="dxa"/>
            <w:vAlign w:val="center"/>
            <w:hideMark/>
          </w:tcPr>
          <w:p w14:paraId="23CF3B5D" w14:textId="2335227B"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w:t>
            </w:r>
            <w:r w:rsidR="001F05CB">
              <w:rPr>
                <w:rFonts w:eastAsia="Times New Roman" w:cs="Times New Roman"/>
                <w:color w:val="000000"/>
                <w:sz w:val="18"/>
                <w:szCs w:val="18"/>
              </w:rPr>
              <w:t>51</w:t>
            </w:r>
          </w:p>
        </w:tc>
      </w:tr>
      <w:tr w:rsidR="00106477" w:rsidRPr="00825D14" w14:paraId="388BCAEF" w14:textId="77777777" w:rsidTr="00CF43D4">
        <w:trPr>
          <w:trHeight w:val="760"/>
          <w:jc w:val="center"/>
        </w:trPr>
        <w:tc>
          <w:tcPr>
            <w:tcW w:w="3251" w:type="dxa"/>
            <w:vAlign w:val="center"/>
            <w:hideMark/>
          </w:tcPr>
          <w:p w14:paraId="0D173987" w14:textId="48789110"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NNFPI līmenis atbilstoši ES Padomes apstiprinātajam NNFPI pieaugumam pieskaitot DRM, milj. </w:t>
            </w:r>
            <w:r w:rsidRPr="006F6679">
              <w:rPr>
                <w:rFonts w:eastAsia="Times New Roman" w:cs="Times New Roman"/>
                <w:i/>
                <w:iCs/>
                <w:color w:val="000000"/>
                <w:sz w:val="18"/>
                <w:szCs w:val="18"/>
              </w:rPr>
              <w:t>euro</w:t>
            </w:r>
          </w:p>
        </w:tc>
        <w:tc>
          <w:tcPr>
            <w:tcW w:w="1134" w:type="dxa"/>
            <w:vAlign w:val="center"/>
            <w:hideMark/>
          </w:tcPr>
          <w:p w14:paraId="4F06A4DE"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(4)=(2)+(3)</w:t>
            </w:r>
          </w:p>
        </w:tc>
        <w:tc>
          <w:tcPr>
            <w:tcW w:w="921" w:type="dxa"/>
            <w:vAlign w:val="center"/>
            <w:hideMark/>
          </w:tcPr>
          <w:p w14:paraId="4CEFB4A9"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22F29355"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17 695</w:t>
            </w:r>
          </w:p>
        </w:tc>
        <w:tc>
          <w:tcPr>
            <w:tcW w:w="922" w:type="dxa"/>
            <w:vAlign w:val="center"/>
            <w:hideMark/>
          </w:tcPr>
          <w:p w14:paraId="4F0AF8D9" w14:textId="04C98132"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18</w:t>
            </w:r>
            <w:r w:rsidR="001F05CB">
              <w:rPr>
                <w:rFonts w:eastAsia="Times New Roman" w:cs="Times New Roman"/>
                <w:color w:val="000000"/>
                <w:sz w:val="18"/>
                <w:szCs w:val="18"/>
              </w:rPr>
              <w:t xml:space="preserve"> </w:t>
            </w:r>
            <w:r w:rsidRPr="006F6679">
              <w:rPr>
                <w:rFonts w:eastAsia="Times New Roman" w:cs="Times New Roman"/>
                <w:color w:val="000000"/>
                <w:sz w:val="18"/>
                <w:szCs w:val="18"/>
              </w:rPr>
              <w:t>811</w:t>
            </w:r>
          </w:p>
        </w:tc>
        <w:tc>
          <w:tcPr>
            <w:tcW w:w="921" w:type="dxa"/>
            <w:noWrap/>
            <w:vAlign w:val="center"/>
            <w:hideMark/>
          </w:tcPr>
          <w:p w14:paraId="72F975EB" w14:textId="5461FE7C"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19</w:t>
            </w:r>
            <w:r w:rsidR="001F05CB">
              <w:rPr>
                <w:rFonts w:eastAsia="Times New Roman" w:cs="Times New Roman"/>
                <w:color w:val="000000"/>
                <w:sz w:val="18"/>
                <w:szCs w:val="18"/>
              </w:rPr>
              <w:t xml:space="preserve"> </w:t>
            </w:r>
            <w:r w:rsidRPr="006F6679">
              <w:rPr>
                <w:rFonts w:eastAsia="Times New Roman" w:cs="Times New Roman"/>
                <w:color w:val="000000"/>
                <w:sz w:val="18"/>
                <w:szCs w:val="18"/>
              </w:rPr>
              <w:t>4</w:t>
            </w:r>
            <w:r w:rsidR="001F05CB">
              <w:rPr>
                <w:rFonts w:eastAsia="Times New Roman" w:cs="Times New Roman"/>
                <w:color w:val="000000"/>
                <w:sz w:val="18"/>
                <w:szCs w:val="18"/>
              </w:rPr>
              <w:t>65</w:t>
            </w:r>
          </w:p>
        </w:tc>
        <w:tc>
          <w:tcPr>
            <w:tcW w:w="921" w:type="dxa"/>
            <w:noWrap/>
            <w:vAlign w:val="center"/>
            <w:hideMark/>
          </w:tcPr>
          <w:p w14:paraId="672DB773" w14:textId="4E6CB58F"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20</w:t>
            </w:r>
            <w:r w:rsidR="001F05CB">
              <w:rPr>
                <w:rFonts w:eastAsia="Times New Roman" w:cs="Times New Roman"/>
                <w:color w:val="000000"/>
                <w:sz w:val="18"/>
                <w:szCs w:val="18"/>
              </w:rPr>
              <w:t xml:space="preserve"> 108</w:t>
            </w:r>
          </w:p>
        </w:tc>
        <w:tc>
          <w:tcPr>
            <w:tcW w:w="922" w:type="dxa"/>
            <w:vAlign w:val="center"/>
            <w:hideMark/>
          </w:tcPr>
          <w:p w14:paraId="5FE39303" w14:textId="3B7E18F9"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20</w:t>
            </w:r>
            <w:r w:rsidR="001F05CB">
              <w:rPr>
                <w:rFonts w:eastAsia="Times New Roman" w:cs="Times New Roman"/>
                <w:color w:val="000000"/>
                <w:sz w:val="18"/>
                <w:szCs w:val="18"/>
              </w:rPr>
              <w:t xml:space="preserve"> 726</w:t>
            </w:r>
          </w:p>
        </w:tc>
      </w:tr>
      <w:tr w:rsidR="00106477" w:rsidRPr="00825D14" w14:paraId="6300B35B" w14:textId="77777777" w:rsidTr="00CF43D4">
        <w:trPr>
          <w:trHeight w:val="320"/>
          <w:jc w:val="center"/>
        </w:trPr>
        <w:tc>
          <w:tcPr>
            <w:tcW w:w="3251" w:type="dxa"/>
            <w:vAlign w:val="center"/>
            <w:hideMark/>
          </w:tcPr>
          <w:p w14:paraId="65F4FB6E"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Procentu izdevumi, milj. </w:t>
            </w:r>
            <w:r w:rsidRPr="006F6679">
              <w:rPr>
                <w:rFonts w:eastAsia="Times New Roman" w:cs="Times New Roman"/>
                <w:i/>
                <w:iCs/>
                <w:color w:val="000000"/>
                <w:sz w:val="18"/>
                <w:szCs w:val="18"/>
              </w:rPr>
              <w:t>euro</w:t>
            </w:r>
          </w:p>
        </w:tc>
        <w:tc>
          <w:tcPr>
            <w:tcW w:w="1134" w:type="dxa"/>
            <w:vAlign w:val="center"/>
            <w:hideMark/>
          </w:tcPr>
          <w:p w14:paraId="025E852E"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(5)</w:t>
            </w:r>
          </w:p>
        </w:tc>
        <w:tc>
          <w:tcPr>
            <w:tcW w:w="921" w:type="dxa"/>
            <w:vAlign w:val="center"/>
            <w:hideMark/>
          </w:tcPr>
          <w:p w14:paraId="7F27DD7F"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37693C4A"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5B3AA3B2"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73A6C212" w14:textId="6F90E31E" w:rsidR="00106477" w:rsidRPr="006F6679" w:rsidRDefault="001F05CB" w:rsidP="006D484A">
            <w:pPr>
              <w:spacing w:after="0"/>
              <w:ind w:firstLine="0"/>
              <w:jc w:val="center"/>
              <w:rPr>
                <w:rFonts w:eastAsia="Times New Roman" w:cs="Times New Roman"/>
                <w:color w:val="000000"/>
                <w:sz w:val="18"/>
                <w:szCs w:val="18"/>
              </w:rPr>
            </w:pPr>
            <w:r>
              <w:rPr>
                <w:rFonts w:eastAsia="Times New Roman" w:cs="Times New Roman"/>
                <w:color w:val="000000"/>
                <w:sz w:val="18"/>
                <w:szCs w:val="18"/>
              </w:rPr>
              <w:t>617</w:t>
            </w:r>
          </w:p>
        </w:tc>
        <w:tc>
          <w:tcPr>
            <w:tcW w:w="921" w:type="dxa"/>
            <w:noWrap/>
            <w:vAlign w:val="center"/>
            <w:hideMark/>
          </w:tcPr>
          <w:p w14:paraId="5F7027A5" w14:textId="2465EDDC" w:rsidR="00106477" w:rsidRPr="006F6679" w:rsidRDefault="001F05CB" w:rsidP="006D484A">
            <w:pPr>
              <w:spacing w:after="0"/>
              <w:ind w:firstLine="0"/>
              <w:jc w:val="center"/>
              <w:rPr>
                <w:rFonts w:eastAsia="Times New Roman" w:cs="Times New Roman"/>
                <w:color w:val="000000"/>
                <w:sz w:val="18"/>
                <w:szCs w:val="18"/>
              </w:rPr>
            </w:pPr>
            <w:r>
              <w:rPr>
                <w:rFonts w:eastAsia="Times New Roman" w:cs="Times New Roman"/>
                <w:color w:val="000000"/>
                <w:sz w:val="18"/>
                <w:szCs w:val="18"/>
              </w:rPr>
              <w:t>700</w:t>
            </w:r>
          </w:p>
        </w:tc>
        <w:tc>
          <w:tcPr>
            <w:tcW w:w="922" w:type="dxa"/>
            <w:vAlign w:val="center"/>
            <w:hideMark/>
          </w:tcPr>
          <w:p w14:paraId="6CADCF90" w14:textId="7562E36A" w:rsidR="00106477" w:rsidRPr="006F6679" w:rsidRDefault="001F05CB" w:rsidP="006D484A">
            <w:pPr>
              <w:spacing w:after="0"/>
              <w:ind w:firstLine="0"/>
              <w:jc w:val="center"/>
              <w:rPr>
                <w:rFonts w:eastAsia="Times New Roman" w:cs="Times New Roman"/>
                <w:color w:val="000000"/>
                <w:sz w:val="18"/>
                <w:szCs w:val="18"/>
              </w:rPr>
            </w:pPr>
            <w:r>
              <w:rPr>
                <w:rFonts w:eastAsia="Times New Roman" w:cs="Times New Roman"/>
                <w:color w:val="000000"/>
                <w:sz w:val="18"/>
                <w:szCs w:val="18"/>
              </w:rPr>
              <w:t>736</w:t>
            </w:r>
          </w:p>
        </w:tc>
      </w:tr>
      <w:tr w:rsidR="00106477" w:rsidRPr="00825D14" w14:paraId="18660FD8" w14:textId="77777777" w:rsidTr="00CF43D4">
        <w:trPr>
          <w:trHeight w:val="320"/>
          <w:jc w:val="center"/>
        </w:trPr>
        <w:tc>
          <w:tcPr>
            <w:tcW w:w="3251" w:type="dxa"/>
            <w:vAlign w:val="center"/>
            <w:hideMark/>
          </w:tcPr>
          <w:p w14:paraId="2CEDA791"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Cikliskie bezdarba izdevumi, milj. </w:t>
            </w:r>
            <w:r w:rsidRPr="006F6679">
              <w:rPr>
                <w:rFonts w:eastAsia="Times New Roman" w:cs="Times New Roman"/>
                <w:i/>
                <w:iCs/>
                <w:color w:val="000000"/>
                <w:sz w:val="18"/>
                <w:szCs w:val="18"/>
              </w:rPr>
              <w:t>euro</w:t>
            </w:r>
          </w:p>
        </w:tc>
        <w:tc>
          <w:tcPr>
            <w:tcW w:w="1134" w:type="dxa"/>
            <w:vAlign w:val="center"/>
            <w:hideMark/>
          </w:tcPr>
          <w:p w14:paraId="344222AB"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(6)</w:t>
            </w:r>
          </w:p>
        </w:tc>
        <w:tc>
          <w:tcPr>
            <w:tcW w:w="921" w:type="dxa"/>
            <w:vAlign w:val="center"/>
            <w:hideMark/>
          </w:tcPr>
          <w:p w14:paraId="6838CE6A"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66539F9B"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311EFB1D"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0C946067"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8</w:t>
            </w:r>
          </w:p>
        </w:tc>
        <w:tc>
          <w:tcPr>
            <w:tcW w:w="921" w:type="dxa"/>
            <w:noWrap/>
            <w:vAlign w:val="center"/>
            <w:hideMark/>
          </w:tcPr>
          <w:p w14:paraId="3343133B"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-5</w:t>
            </w:r>
          </w:p>
        </w:tc>
        <w:tc>
          <w:tcPr>
            <w:tcW w:w="922" w:type="dxa"/>
            <w:vAlign w:val="center"/>
            <w:hideMark/>
          </w:tcPr>
          <w:p w14:paraId="2F4580AC"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-11</w:t>
            </w:r>
          </w:p>
        </w:tc>
      </w:tr>
      <w:tr w:rsidR="00106477" w:rsidRPr="00825D14" w14:paraId="0DB34D06" w14:textId="77777777" w:rsidTr="00CF43D4">
        <w:trPr>
          <w:trHeight w:val="320"/>
          <w:jc w:val="center"/>
        </w:trPr>
        <w:tc>
          <w:tcPr>
            <w:tcW w:w="3251" w:type="dxa"/>
            <w:vAlign w:val="center"/>
            <w:hideMark/>
          </w:tcPr>
          <w:p w14:paraId="1E7A7E47"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ES fondu izdevumi, milj. </w:t>
            </w:r>
            <w:r w:rsidRPr="006F6679">
              <w:rPr>
                <w:rFonts w:eastAsia="Times New Roman" w:cs="Times New Roman"/>
                <w:i/>
                <w:iCs/>
                <w:color w:val="000000"/>
                <w:sz w:val="18"/>
                <w:szCs w:val="18"/>
              </w:rPr>
              <w:t>euro</w:t>
            </w:r>
          </w:p>
        </w:tc>
        <w:tc>
          <w:tcPr>
            <w:tcW w:w="1134" w:type="dxa"/>
            <w:vAlign w:val="center"/>
            <w:hideMark/>
          </w:tcPr>
          <w:p w14:paraId="5C4B3518"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(7)</w:t>
            </w:r>
          </w:p>
        </w:tc>
        <w:tc>
          <w:tcPr>
            <w:tcW w:w="921" w:type="dxa"/>
            <w:vAlign w:val="center"/>
            <w:hideMark/>
          </w:tcPr>
          <w:p w14:paraId="4C40C89D"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6C5D0247"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472D566D"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31597E86" w14:textId="6DBB592F"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90</w:t>
            </w:r>
            <w:r w:rsidR="001F05CB">
              <w:rPr>
                <w:rFonts w:eastAsia="Times New Roman" w:cs="Times New Roman"/>
                <w:color w:val="000000"/>
                <w:sz w:val="18"/>
                <w:szCs w:val="18"/>
              </w:rPr>
              <w:t>1</w:t>
            </w:r>
          </w:p>
        </w:tc>
        <w:tc>
          <w:tcPr>
            <w:tcW w:w="921" w:type="dxa"/>
            <w:noWrap/>
            <w:vAlign w:val="center"/>
            <w:hideMark/>
          </w:tcPr>
          <w:p w14:paraId="515795DF" w14:textId="47594DB2"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69</w:t>
            </w:r>
            <w:r w:rsidR="001F05CB">
              <w:rPr>
                <w:rFonts w:eastAsia="Times New Roman" w:cs="Times New Roman"/>
                <w:color w:val="000000"/>
                <w:sz w:val="18"/>
                <w:szCs w:val="18"/>
              </w:rPr>
              <w:t>6</w:t>
            </w:r>
          </w:p>
        </w:tc>
        <w:tc>
          <w:tcPr>
            <w:tcW w:w="922" w:type="dxa"/>
            <w:vAlign w:val="center"/>
            <w:hideMark/>
          </w:tcPr>
          <w:p w14:paraId="281D78E2"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491</w:t>
            </w:r>
          </w:p>
        </w:tc>
      </w:tr>
      <w:tr w:rsidR="00106477" w:rsidRPr="00825D14" w14:paraId="54D79828" w14:textId="77777777" w:rsidTr="00CF43D4">
        <w:trPr>
          <w:trHeight w:val="510"/>
          <w:jc w:val="center"/>
        </w:trPr>
        <w:tc>
          <w:tcPr>
            <w:tcW w:w="3251" w:type="dxa"/>
            <w:vAlign w:val="center"/>
            <w:hideMark/>
          </w:tcPr>
          <w:p w14:paraId="329E8744"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Nacionālais līdzfinansējums ES fondu izdevumiem, milj. </w:t>
            </w:r>
            <w:r w:rsidRPr="006F6679">
              <w:rPr>
                <w:rFonts w:eastAsia="Times New Roman" w:cs="Times New Roman"/>
                <w:i/>
                <w:iCs/>
                <w:color w:val="000000"/>
                <w:sz w:val="18"/>
                <w:szCs w:val="18"/>
              </w:rPr>
              <w:t>euro</w:t>
            </w:r>
          </w:p>
        </w:tc>
        <w:tc>
          <w:tcPr>
            <w:tcW w:w="1134" w:type="dxa"/>
            <w:vAlign w:val="center"/>
            <w:hideMark/>
          </w:tcPr>
          <w:p w14:paraId="06B81C5D"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(8)</w:t>
            </w:r>
          </w:p>
        </w:tc>
        <w:tc>
          <w:tcPr>
            <w:tcW w:w="921" w:type="dxa"/>
            <w:vAlign w:val="center"/>
            <w:hideMark/>
          </w:tcPr>
          <w:p w14:paraId="6024DB66"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0101BA11"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3A4BC1C4"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075560C3"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154</w:t>
            </w:r>
          </w:p>
        </w:tc>
        <w:tc>
          <w:tcPr>
            <w:tcW w:w="921" w:type="dxa"/>
            <w:noWrap/>
            <w:vAlign w:val="center"/>
            <w:hideMark/>
          </w:tcPr>
          <w:p w14:paraId="716DCEA3"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134</w:t>
            </w:r>
          </w:p>
        </w:tc>
        <w:tc>
          <w:tcPr>
            <w:tcW w:w="922" w:type="dxa"/>
            <w:vAlign w:val="center"/>
            <w:hideMark/>
          </w:tcPr>
          <w:p w14:paraId="1C9D2D17"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105</w:t>
            </w:r>
          </w:p>
        </w:tc>
      </w:tr>
      <w:tr w:rsidR="00106477" w:rsidRPr="00825D14" w14:paraId="531EC0A1" w14:textId="77777777" w:rsidTr="00CF43D4">
        <w:trPr>
          <w:trHeight w:val="510"/>
          <w:jc w:val="center"/>
        </w:trPr>
        <w:tc>
          <w:tcPr>
            <w:tcW w:w="3251" w:type="dxa"/>
            <w:vAlign w:val="center"/>
            <w:hideMark/>
          </w:tcPr>
          <w:p w14:paraId="6DF51756"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Pieļaujamie vispārējās valdības izdevumi, milj. </w:t>
            </w:r>
            <w:r w:rsidRPr="006F6679">
              <w:rPr>
                <w:rFonts w:eastAsia="Times New Roman" w:cs="Times New Roman"/>
                <w:i/>
                <w:iCs/>
                <w:color w:val="000000"/>
                <w:sz w:val="18"/>
                <w:szCs w:val="18"/>
              </w:rPr>
              <w:t>euro</w:t>
            </w:r>
          </w:p>
        </w:tc>
        <w:tc>
          <w:tcPr>
            <w:tcW w:w="1134" w:type="dxa"/>
            <w:vAlign w:val="center"/>
            <w:hideMark/>
          </w:tcPr>
          <w:p w14:paraId="6E8D3227"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(9)=(4)+(5)+(6)+(7)+</w:t>
            </w:r>
          </w:p>
          <w:p w14:paraId="39CA025F"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(8)</w:t>
            </w:r>
          </w:p>
        </w:tc>
        <w:tc>
          <w:tcPr>
            <w:tcW w:w="921" w:type="dxa"/>
            <w:vAlign w:val="center"/>
            <w:hideMark/>
          </w:tcPr>
          <w:p w14:paraId="15C9C843"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79146C55"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1F8CE959"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7BE0C788" w14:textId="4806759D"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21</w:t>
            </w:r>
            <w:r w:rsidR="001F05CB">
              <w:rPr>
                <w:rFonts w:eastAsia="Times New Roman" w:cs="Times New Roman"/>
                <w:color w:val="000000"/>
                <w:sz w:val="18"/>
                <w:szCs w:val="18"/>
              </w:rPr>
              <w:t xml:space="preserve"> 145</w:t>
            </w:r>
          </w:p>
        </w:tc>
        <w:tc>
          <w:tcPr>
            <w:tcW w:w="921" w:type="dxa"/>
            <w:noWrap/>
            <w:vAlign w:val="center"/>
            <w:hideMark/>
          </w:tcPr>
          <w:p w14:paraId="7953A231" w14:textId="3ADADA9B"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21</w:t>
            </w:r>
            <w:r w:rsidR="001F05CB">
              <w:rPr>
                <w:rFonts w:eastAsia="Times New Roman" w:cs="Times New Roman"/>
                <w:color w:val="000000"/>
                <w:sz w:val="18"/>
                <w:szCs w:val="18"/>
              </w:rPr>
              <w:t xml:space="preserve"> 634</w:t>
            </w:r>
          </w:p>
        </w:tc>
        <w:tc>
          <w:tcPr>
            <w:tcW w:w="922" w:type="dxa"/>
            <w:vAlign w:val="center"/>
            <w:hideMark/>
          </w:tcPr>
          <w:p w14:paraId="18822053" w14:textId="79014C97" w:rsidR="00106477" w:rsidRPr="006F6679" w:rsidRDefault="001F05CB" w:rsidP="006D484A">
            <w:pPr>
              <w:spacing w:after="0"/>
              <w:ind w:firstLine="0"/>
              <w:jc w:val="center"/>
              <w:rPr>
                <w:rFonts w:eastAsia="Times New Roman" w:cs="Times New Roman"/>
                <w:color w:val="000000"/>
                <w:sz w:val="18"/>
                <w:szCs w:val="18"/>
              </w:rPr>
            </w:pPr>
            <w:r>
              <w:rPr>
                <w:rFonts w:eastAsia="Times New Roman" w:cs="Times New Roman"/>
                <w:color w:val="000000"/>
                <w:sz w:val="18"/>
                <w:szCs w:val="18"/>
              </w:rPr>
              <w:t>22 048</w:t>
            </w:r>
          </w:p>
        </w:tc>
      </w:tr>
      <w:tr w:rsidR="00106477" w:rsidRPr="00825D14" w14:paraId="55E7C908" w14:textId="77777777" w:rsidTr="00CF43D4">
        <w:trPr>
          <w:trHeight w:val="320"/>
          <w:jc w:val="center"/>
        </w:trPr>
        <w:tc>
          <w:tcPr>
            <w:tcW w:w="3251" w:type="dxa"/>
            <w:vAlign w:val="center"/>
            <w:hideMark/>
          </w:tcPr>
          <w:p w14:paraId="5DD0CE55"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Vispārējās valdības ieņēmumi, milj. </w:t>
            </w:r>
            <w:r w:rsidRPr="006F6679">
              <w:rPr>
                <w:rFonts w:eastAsia="Times New Roman" w:cs="Times New Roman"/>
                <w:i/>
                <w:iCs/>
                <w:color w:val="000000"/>
                <w:sz w:val="18"/>
                <w:szCs w:val="18"/>
              </w:rPr>
              <w:t>euro</w:t>
            </w:r>
          </w:p>
        </w:tc>
        <w:tc>
          <w:tcPr>
            <w:tcW w:w="1134" w:type="dxa"/>
            <w:vAlign w:val="center"/>
            <w:hideMark/>
          </w:tcPr>
          <w:p w14:paraId="2E8877A9"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(10)</w:t>
            </w:r>
          </w:p>
        </w:tc>
        <w:tc>
          <w:tcPr>
            <w:tcW w:w="921" w:type="dxa"/>
            <w:vAlign w:val="center"/>
            <w:hideMark/>
          </w:tcPr>
          <w:p w14:paraId="44634DA2"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30A62561"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70F4D8CC"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7C2DECC9" w14:textId="41E4265B"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xml:space="preserve">19 </w:t>
            </w:r>
            <w:r w:rsidR="001F05CB">
              <w:rPr>
                <w:rFonts w:eastAsia="Times New Roman" w:cs="Times New Roman"/>
                <w:color w:val="000000"/>
                <w:sz w:val="18"/>
                <w:szCs w:val="18"/>
              </w:rPr>
              <w:t>212</w:t>
            </w:r>
          </w:p>
        </w:tc>
        <w:tc>
          <w:tcPr>
            <w:tcW w:w="921" w:type="dxa"/>
            <w:noWrap/>
            <w:vAlign w:val="center"/>
            <w:hideMark/>
          </w:tcPr>
          <w:p w14:paraId="08E1E3C4" w14:textId="68A0414E"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xml:space="preserve">19 </w:t>
            </w:r>
            <w:r w:rsidR="001F05CB">
              <w:rPr>
                <w:rFonts w:eastAsia="Times New Roman" w:cs="Times New Roman"/>
                <w:color w:val="000000"/>
                <w:sz w:val="18"/>
                <w:szCs w:val="18"/>
              </w:rPr>
              <w:t>632</w:t>
            </w:r>
          </w:p>
        </w:tc>
        <w:tc>
          <w:tcPr>
            <w:tcW w:w="922" w:type="dxa"/>
            <w:vAlign w:val="center"/>
            <w:hideMark/>
          </w:tcPr>
          <w:p w14:paraId="5CEB9CB6" w14:textId="66F63BC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xml:space="preserve">20 </w:t>
            </w:r>
            <w:r w:rsidR="001F05CB">
              <w:rPr>
                <w:rFonts w:eastAsia="Times New Roman" w:cs="Times New Roman"/>
                <w:color w:val="000000"/>
                <w:sz w:val="18"/>
                <w:szCs w:val="18"/>
              </w:rPr>
              <w:t>224</w:t>
            </w:r>
          </w:p>
        </w:tc>
      </w:tr>
      <w:tr w:rsidR="00106477" w:rsidRPr="00825D14" w14:paraId="04C3F6DC" w14:textId="77777777" w:rsidTr="00CF43D4">
        <w:trPr>
          <w:trHeight w:val="320"/>
          <w:jc w:val="center"/>
        </w:trPr>
        <w:tc>
          <w:tcPr>
            <w:tcW w:w="3251" w:type="dxa"/>
            <w:vAlign w:val="center"/>
            <w:hideMark/>
          </w:tcPr>
          <w:p w14:paraId="38182CB8"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 xml:space="preserve">Pieļaujamā vispārējās valdības bilance, milj. </w:t>
            </w:r>
            <w:r w:rsidRPr="006F6679">
              <w:rPr>
                <w:rFonts w:eastAsia="Times New Roman" w:cs="Times New Roman"/>
                <w:i/>
                <w:iCs/>
                <w:color w:val="000000"/>
                <w:sz w:val="18"/>
                <w:szCs w:val="18"/>
              </w:rPr>
              <w:t>euro</w:t>
            </w:r>
          </w:p>
        </w:tc>
        <w:tc>
          <w:tcPr>
            <w:tcW w:w="1134" w:type="dxa"/>
            <w:vAlign w:val="center"/>
            <w:hideMark/>
          </w:tcPr>
          <w:p w14:paraId="12786F81"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(11)=(10)-(9)</w:t>
            </w:r>
          </w:p>
        </w:tc>
        <w:tc>
          <w:tcPr>
            <w:tcW w:w="921" w:type="dxa"/>
            <w:vAlign w:val="center"/>
            <w:hideMark/>
          </w:tcPr>
          <w:p w14:paraId="315A677B"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74409553"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6CAD8178"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574CBD39" w14:textId="0F603775"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xml:space="preserve">-1 </w:t>
            </w:r>
            <w:r w:rsidR="008D26A0">
              <w:rPr>
                <w:rFonts w:eastAsia="Times New Roman" w:cs="Times New Roman"/>
                <w:color w:val="000000"/>
                <w:sz w:val="18"/>
                <w:szCs w:val="18"/>
              </w:rPr>
              <w:t>933</w:t>
            </w:r>
          </w:p>
        </w:tc>
        <w:tc>
          <w:tcPr>
            <w:tcW w:w="921" w:type="dxa"/>
            <w:noWrap/>
            <w:vAlign w:val="center"/>
            <w:hideMark/>
          </w:tcPr>
          <w:p w14:paraId="36040B73" w14:textId="793C4823"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xml:space="preserve">-2 </w:t>
            </w:r>
            <w:r w:rsidR="008D26A0">
              <w:rPr>
                <w:rFonts w:eastAsia="Times New Roman" w:cs="Times New Roman"/>
                <w:color w:val="000000"/>
                <w:sz w:val="18"/>
                <w:szCs w:val="18"/>
              </w:rPr>
              <w:t>001</w:t>
            </w:r>
          </w:p>
        </w:tc>
        <w:tc>
          <w:tcPr>
            <w:tcW w:w="922" w:type="dxa"/>
            <w:vAlign w:val="center"/>
            <w:hideMark/>
          </w:tcPr>
          <w:p w14:paraId="54380927" w14:textId="18A84F3E"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xml:space="preserve">-1 </w:t>
            </w:r>
            <w:r w:rsidR="008D26A0" w:rsidRPr="006F6679">
              <w:rPr>
                <w:rFonts w:eastAsia="Times New Roman" w:cs="Times New Roman"/>
                <w:color w:val="000000"/>
                <w:sz w:val="18"/>
                <w:szCs w:val="18"/>
              </w:rPr>
              <w:t>8</w:t>
            </w:r>
            <w:r w:rsidR="008D26A0">
              <w:rPr>
                <w:rFonts w:eastAsia="Times New Roman" w:cs="Times New Roman"/>
                <w:color w:val="000000"/>
                <w:sz w:val="18"/>
                <w:szCs w:val="18"/>
              </w:rPr>
              <w:t>24</w:t>
            </w:r>
          </w:p>
        </w:tc>
      </w:tr>
      <w:tr w:rsidR="00106477" w:rsidRPr="0096078F" w14:paraId="606A4801" w14:textId="77777777" w:rsidTr="00CF43D4">
        <w:trPr>
          <w:trHeight w:val="320"/>
          <w:jc w:val="center"/>
        </w:trPr>
        <w:tc>
          <w:tcPr>
            <w:tcW w:w="3251" w:type="dxa"/>
            <w:vAlign w:val="center"/>
            <w:hideMark/>
          </w:tcPr>
          <w:p w14:paraId="6CE219A8"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Pieļaujamā vispārējās valdības bilance, % no IKP</w:t>
            </w:r>
          </w:p>
        </w:tc>
        <w:tc>
          <w:tcPr>
            <w:tcW w:w="1134" w:type="dxa"/>
            <w:vAlign w:val="center"/>
            <w:hideMark/>
          </w:tcPr>
          <w:p w14:paraId="38FF23AA"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(12)</w:t>
            </w:r>
          </w:p>
        </w:tc>
        <w:tc>
          <w:tcPr>
            <w:tcW w:w="921" w:type="dxa"/>
            <w:vAlign w:val="center"/>
            <w:hideMark/>
          </w:tcPr>
          <w:p w14:paraId="2F07FE4F"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60B3F676"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7302FDEE"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54D49755" w14:textId="0BF4BFFD" w:rsidR="00106477" w:rsidRPr="006F6679" w:rsidRDefault="008D26A0" w:rsidP="006D484A">
            <w:pPr>
              <w:spacing w:after="0"/>
              <w:ind w:firstLine="0"/>
              <w:jc w:val="center"/>
              <w:rPr>
                <w:rFonts w:eastAsia="Times New Roman" w:cs="Times New Roman"/>
                <w:color w:val="000000"/>
                <w:sz w:val="18"/>
                <w:szCs w:val="18"/>
              </w:rPr>
            </w:pPr>
            <w:r>
              <w:rPr>
                <w:rFonts w:eastAsia="Times New Roman" w:cs="Times New Roman"/>
                <w:color w:val="000000"/>
                <w:sz w:val="18"/>
                <w:szCs w:val="18"/>
              </w:rPr>
              <w:t>-4,40</w:t>
            </w:r>
          </w:p>
        </w:tc>
        <w:tc>
          <w:tcPr>
            <w:tcW w:w="921" w:type="dxa"/>
            <w:noWrap/>
            <w:vAlign w:val="center"/>
            <w:hideMark/>
          </w:tcPr>
          <w:p w14:paraId="7ABE8C17" w14:textId="477604CE" w:rsidR="00106477" w:rsidRPr="006F6679" w:rsidRDefault="008D26A0" w:rsidP="006D484A">
            <w:pPr>
              <w:spacing w:after="0"/>
              <w:ind w:firstLine="0"/>
              <w:jc w:val="center"/>
              <w:rPr>
                <w:rFonts w:eastAsia="Times New Roman" w:cs="Times New Roman"/>
                <w:color w:val="000000"/>
                <w:sz w:val="18"/>
                <w:szCs w:val="18"/>
              </w:rPr>
            </w:pPr>
            <w:r>
              <w:rPr>
                <w:rFonts w:eastAsia="Times New Roman" w:cs="Times New Roman"/>
                <w:color w:val="000000"/>
                <w:sz w:val="18"/>
                <w:szCs w:val="18"/>
              </w:rPr>
              <w:t>-4,35</w:t>
            </w:r>
          </w:p>
        </w:tc>
        <w:tc>
          <w:tcPr>
            <w:tcW w:w="922" w:type="dxa"/>
            <w:vAlign w:val="center"/>
            <w:hideMark/>
          </w:tcPr>
          <w:p w14:paraId="7B1143FD" w14:textId="15A34002" w:rsidR="00106477" w:rsidRPr="006F6679" w:rsidRDefault="008D26A0" w:rsidP="006D484A">
            <w:pPr>
              <w:spacing w:after="0"/>
              <w:ind w:firstLine="0"/>
              <w:jc w:val="center"/>
              <w:rPr>
                <w:rFonts w:eastAsia="Times New Roman" w:cs="Times New Roman"/>
                <w:color w:val="000000"/>
                <w:sz w:val="18"/>
                <w:szCs w:val="18"/>
              </w:rPr>
            </w:pPr>
            <w:r>
              <w:rPr>
                <w:rFonts w:eastAsia="Times New Roman" w:cs="Times New Roman"/>
                <w:color w:val="000000"/>
                <w:sz w:val="18"/>
                <w:szCs w:val="18"/>
              </w:rPr>
              <w:t>-3,79</w:t>
            </w:r>
          </w:p>
        </w:tc>
      </w:tr>
      <w:tr w:rsidR="00106477" w:rsidRPr="0096078F" w14:paraId="6B02B95F" w14:textId="77777777" w:rsidTr="00CF43D4">
        <w:trPr>
          <w:trHeight w:val="320"/>
          <w:jc w:val="center"/>
        </w:trPr>
        <w:tc>
          <w:tcPr>
            <w:tcW w:w="3251" w:type="dxa"/>
            <w:vAlign w:val="center"/>
            <w:hideMark/>
          </w:tcPr>
          <w:p w14:paraId="68593B62"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Bilances cikliskā komponente, % no IKP</w:t>
            </w:r>
          </w:p>
        </w:tc>
        <w:tc>
          <w:tcPr>
            <w:tcW w:w="1134" w:type="dxa"/>
            <w:vAlign w:val="center"/>
            <w:hideMark/>
          </w:tcPr>
          <w:p w14:paraId="42480375"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(13)</w:t>
            </w:r>
          </w:p>
        </w:tc>
        <w:tc>
          <w:tcPr>
            <w:tcW w:w="921" w:type="dxa"/>
            <w:vAlign w:val="center"/>
            <w:hideMark/>
          </w:tcPr>
          <w:p w14:paraId="5FB965B6"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667FD886"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51A26B9D"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5F074531"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cs="Times New Roman"/>
                <w:color w:val="000000" w:themeColor="text1"/>
                <w:sz w:val="18"/>
                <w:szCs w:val="18"/>
              </w:rPr>
              <w:t>-0,33</w:t>
            </w:r>
          </w:p>
        </w:tc>
        <w:tc>
          <w:tcPr>
            <w:tcW w:w="921" w:type="dxa"/>
            <w:noWrap/>
            <w:vAlign w:val="center"/>
            <w:hideMark/>
          </w:tcPr>
          <w:p w14:paraId="34F65CDE"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cs="Times New Roman"/>
                <w:color w:val="000000" w:themeColor="text1"/>
                <w:sz w:val="18"/>
                <w:szCs w:val="18"/>
              </w:rPr>
              <w:t>-0,18</w:t>
            </w:r>
          </w:p>
        </w:tc>
        <w:tc>
          <w:tcPr>
            <w:tcW w:w="922" w:type="dxa"/>
            <w:vAlign w:val="center"/>
            <w:hideMark/>
          </w:tcPr>
          <w:p w14:paraId="6A5571FC"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cs="Times New Roman"/>
                <w:color w:val="000000" w:themeColor="text1"/>
                <w:sz w:val="18"/>
                <w:szCs w:val="18"/>
              </w:rPr>
              <w:t>-0,08</w:t>
            </w:r>
          </w:p>
        </w:tc>
      </w:tr>
      <w:tr w:rsidR="00106477" w:rsidRPr="0096078F" w14:paraId="3334D1D6" w14:textId="77777777" w:rsidTr="00CF43D4">
        <w:trPr>
          <w:trHeight w:val="320"/>
          <w:jc w:val="center"/>
        </w:trPr>
        <w:tc>
          <w:tcPr>
            <w:tcW w:w="3251" w:type="dxa"/>
            <w:vAlign w:val="center"/>
            <w:hideMark/>
          </w:tcPr>
          <w:p w14:paraId="628E4FC5"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Vienreizējie pasākumi, % no IKP</w:t>
            </w:r>
          </w:p>
        </w:tc>
        <w:tc>
          <w:tcPr>
            <w:tcW w:w="1134" w:type="dxa"/>
            <w:vAlign w:val="center"/>
            <w:hideMark/>
          </w:tcPr>
          <w:p w14:paraId="089725E4"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(14)</w:t>
            </w:r>
          </w:p>
        </w:tc>
        <w:tc>
          <w:tcPr>
            <w:tcW w:w="921" w:type="dxa"/>
            <w:vAlign w:val="center"/>
            <w:hideMark/>
          </w:tcPr>
          <w:p w14:paraId="29954FD4"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6024541A"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6CBB4C59"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686CE98A"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cs="Times New Roman"/>
                <w:color w:val="000000"/>
                <w:sz w:val="18"/>
                <w:szCs w:val="18"/>
              </w:rPr>
              <w:t>-1,64</w:t>
            </w:r>
          </w:p>
        </w:tc>
        <w:tc>
          <w:tcPr>
            <w:tcW w:w="921" w:type="dxa"/>
            <w:noWrap/>
            <w:vAlign w:val="center"/>
            <w:hideMark/>
          </w:tcPr>
          <w:p w14:paraId="35485309"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cs="Times New Roman"/>
                <w:color w:val="000000"/>
                <w:sz w:val="18"/>
                <w:szCs w:val="18"/>
              </w:rPr>
              <w:t>-1,69</w:t>
            </w:r>
          </w:p>
        </w:tc>
        <w:tc>
          <w:tcPr>
            <w:tcW w:w="922" w:type="dxa"/>
            <w:vAlign w:val="center"/>
            <w:hideMark/>
          </w:tcPr>
          <w:p w14:paraId="32A65C6F"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cs="Times New Roman"/>
                <w:color w:val="000000"/>
                <w:sz w:val="18"/>
                <w:szCs w:val="18"/>
              </w:rPr>
              <w:t>-1,59</w:t>
            </w:r>
          </w:p>
        </w:tc>
      </w:tr>
      <w:tr w:rsidR="00106477" w:rsidRPr="0096078F" w14:paraId="4E445B41" w14:textId="77777777" w:rsidTr="00CF43D4">
        <w:trPr>
          <w:trHeight w:val="540"/>
          <w:jc w:val="center"/>
        </w:trPr>
        <w:tc>
          <w:tcPr>
            <w:tcW w:w="3251" w:type="dxa"/>
            <w:vAlign w:val="bottom"/>
            <w:hideMark/>
          </w:tcPr>
          <w:p w14:paraId="0C62CB79" w14:textId="77777777" w:rsidR="00106477" w:rsidRPr="006F6679" w:rsidRDefault="00106477" w:rsidP="006D484A">
            <w:pPr>
              <w:spacing w:after="0"/>
              <w:ind w:firstLine="0"/>
              <w:jc w:val="left"/>
              <w:rPr>
                <w:rFonts w:eastAsia="Times New Roman" w:cs="Times New Roman"/>
                <w:color w:val="000000"/>
                <w:sz w:val="18"/>
                <w:szCs w:val="18"/>
              </w:rPr>
            </w:pPr>
            <w:r w:rsidRPr="006F6679">
              <w:rPr>
                <w:rFonts w:eastAsia="Times New Roman" w:cs="Times New Roman"/>
                <w:color w:val="000000"/>
                <w:sz w:val="18"/>
                <w:szCs w:val="18"/>
              </w:rPr>
              <w:t>Valsts izņēmuma klauzulas fiskālā ietekme, % no IKP</w:t>
            </w:r>
          </w:p>
        </w:tc>
        <w:tc>
          <w:tcPr>
            <w:tcW w:w="1134" w:type="dxa"/>
            <w:vAlign w:val="center"/>
            <w:hideMark/>
          </w:tcPr>
          <w:p w14:paraId="4524946F"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(15)</w:t>
            </w:r>
          </w:p>
        </w:tc>
        <w:tc>
          <w:tcPr>
            <w:tcW w:w="921" w:type="dxa"/>
            <w:vAlign w:val="center"/>
            <w:hideMark/>
          </w:tcPr>
          <w:p w14:paraId="275F37FF"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vAlign w:val="center"/>
            <w:hideMark/>
          </w:tcPr>
          <w:p w14:paraId="0AF40B08"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vAlign w:val="center"/>
            <w:hideMark/>
          </w:tcPr>
          <w:p w14:paraId="4F57D9C4"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noWrap/>
            <w:vAlign w:val="center"/>
            <w:hideMark/>
          </w:tcPr>
          <w:p w14:paraId="784A2651"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0,24</w:t>
            </w:r>
          </w:p>
        </w:tc>
        <w:tc>
          <w:tcPr>
            <w:tcW w:w="921" w:type="dxa"/>
            <w:shd w:val="clear" w:color="000000" w:fill="FFFFFF"/>
            <w:noWrap/>
            <w:vAlign w:val="center"/>
            <w:hideMark/>
          </w:tcPr>
          <w:p w14:paraId="4FACE3C4"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0,97</w:t>
            </w:r>
          </w:p>
        </w:tc>
        <w:tc>
          <w:tcPr>
            <w:tcW w:w="922" w:type="dxa"/>
            <w:shd w:val="clear" w:color="000000" w:fill="FFFFFF"/>
            <w:noWrap/>
            <w:vAlign w:val="center"/>
            <w:hideMark/>
          </w:tcPr>
          <w:p w14:paraId="36AAB73C"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0,87</w:t>
            </w:r>
          </w:p>
        </w:tc>
      </w:tr>
      <w:tr w:rsidR="00106477" w:rsidRPr="0096078F" w14:paraId="751D0F9E" w14:textId="77777777" w:rsidTr="00CF43D4">
        <w:trPr>
          <w:trHeight w:val="510"/>
          <w:jc w:val="center"/>
        </w:trPr>
        <w:tc>
          <w:tcPr>
            <w:tcW w:w="3251" w:type="dxa"/>
            <w:shd w:val="clear" w:color="000000" w:fill="BDD6EE"/>
            <w:vAlign w:val="center"/>
            <w:hideMark/>
          </w:tcPr>
          <w:p w14:paraId="2F6D9A04" w14:textId="77777777" w:rsidR="00106477" w:rsidRPr="006F6679" w:rsidRDefault="00106477" w:rsidP="006D484A">
            <w:pPr>
              <w:spacing w:after="0"/>
              <w:ind w:firstLine="0"/>
              <w:jc w:val="left"/>
              <w:rPr>
                <w:rFonts w:eastAsia="Times New Roman" w:cs="Times New Roman"/>
                <w:b/>
                <w:bCs/>
                <w:color w:val="000000"/>
                <w:sz w:val="18"/>
                <w:szCs w:val="18"/>
              </w:rPr>
            </w:pPr>
            <w:r w:rsidRPr="006F6679">
              <w:rPr>
                <w:rFonts w:eastAsia="Times New Roman" w:cs="Times New Roman"/>
                <w:b/>
                <w:bCs/>
                <w:color w:val="000000"/>
                <w:sz w:val="18"/>
                <w:szCs w:val="18"/>
              </w:rPr>
              <w:t>Vispārējās valdības strukturālās bilances mērķi, % no IKP</w:t>
            </w:r>
          </w:p>
        </w:tc>
        <w:tc>
          <w:tcPr>
            <w:tcW w:w="1134" w:type="dxa"/>
            <w:shd w:val="clear" w:color="000000" w:fill="BDD6EE"/>
            <w:vAlign w:val="center"/>
            <w:hideMark/>
          </w:tcPr>
          <w:p w14:paraId="1ABA5748"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(16)=(12)-(13)-(16)-(17)</w:t>
            </w:r>
          </w:p>
        </w:tc>
        <w:tc>
          <w:tcPr>
            <w:tcW w:w="921" w:type="dxa"/>
            <w:shd w:val="clear" w:color="000000" w:fill="BDD6EE"/>
            <w:vAlign w:val="center"/>
            <w:hideMark/>
          </w:tcPr>
          <w:p w14:paraId="79B33819"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shd w:val="clear" w:color="000000" w:fill="BDD6EE"/>
            <w:vAlign w:val="center"/>
            <w:hideMark/>
          </w:tcPr>
          <w:p w14:paraId="6B7C1A34"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2" w:type="dxa"/>
            <w:shd w:val="clear" w:color="000000" w:fill="BDD6EE"/>
            <w:vAlign w:val="center"/>
            <w:hideMark/>
          </w:tcPr>
          <w:p w14:paraId="1306384D" w14:textId="77777777" w:rsidR="00106477" w:rsidRPr="006F6679" w:rsidRDefault="00106477" w:rsidP="006D484A">
            <w:pPr>
              <w:spacing w:after="0"/>
              <w:ind w:firstLine="0"/>
              <w:jc w:val="center"/>
              <w:rPr>
                <w:rFonts w:eastAsia="Times New Roman" w:cs="Times New Roman"/>
                <w:color w:val="000000"/>
                <w:sz w:val="18"/>
                <w:szCs w:val="18"/>
              </w:rPr>
            </w:pPr>
            <w:r w:rsidRPr="006F6679">
              <w:rPr>
                <w:rFonts w:eastAsia="Times New Roman" w:cs="Times New Roman"/>
                <w:color w:val="000000"/>
                <w:sz w:val="18"/>
                <w:szCs w:val="18"/>
              </w:rPr>
              <w:t> </w:t>
            </w:r>
          </w:p>
        </w:tc>
        <w:tc>
          <w:tcPr>
            <w:tcW w:w="921" w:type="dxa"/>
            <w:shd w:val="clear" w:color="000000" w:fill="BDD6EE"/>
            <w:noWrap/>
            <w:vAlign w:val="center"/>
            <w:hideMark/>
          </w:tcPr>
          <w:p w14:paraId="70AA9BBD" w14:textId="32DB5928" w:rsidR="00106477" w:rsidRPr="006F6679" w:rsidRDefault="00106477"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w:t>
            </w:r>
            <w:r w:rsidR="008D26A0">
              <w:rPr>
                <w:rFonts w:eastAsia="Times New Roman" w:cs="Times New Roman"/>
                <w:b/>
                <w:bCs/>
                <w:color w:val="000000"/>
                <w:sz w:val="18"/>
                <w:szCs w:val="18"/>
              </w:rPr>
              <w:t>2,91</w:t>
            </w:r>
          </w:p>
        </w:tc>
        <w:tc>
          <w:tcPr>
            <w:tcW w:w="921" w:type="dxa"/>
            <w:shd w:val="clear" w:color="000000" w:fill="BDD6EE"/>
            <w:noWrap/>
            <w:vAlign w:val="center"/>
            <w:hideMark/>
          </w:tcPr>
          <w:p w14:paraId="5C25A396" w14:textId="23F81180" w:rsidR="00106477" w:rsidRPr="006F6679" w:rsidRDefault="00106477"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-3,</w:t>
            </w:r>
            <w:r w:rsidR="008D26A0" w:rsidRPr="006F6679">
              <w:rPr>
                <w:rFonts w:eastAsia="Times New Roman" w:cs="Times New Roman"/>
                <w:b/>
                <w:bCs/>
                <w:color w:val="000000"/>
                <w:sz w:val="18"/>
                <w:szCs w:val="18"/>
              </w:rPr>
              <w:t>5</w:t>
            </w:r>
            <w:r w:rsidR="008D26A0">
              <w:rPr>
                <w:rFonts w:eastAsia="Times New Roman" w:cs="Times New Roman"/>
                <w:b/>
                <w:bCs/>
                <w:color w:val="000000"/>
                <w:sz w:val="18"/>
                <w:szCs w:val="18"/>
              </w:rPr>
              <w:t>8</w:t>
            </w:r>
          </w:p>
        </w:tc>
        <w:tc>
          <w:tcPr>
            <w:tcW w:w="922" w:type="dxa"/>
            <w:shd w:val="clear" w:color="000000" w:fill="BDD6EE"/>
            <w:vAlign w:val="center"/>
            <w:hideMark/>
          </w:tcPr>
          <w:p w14:paraId="2B018A22" w14:textId="3FAC5F61" w:rsidR="00106477" w:rsidRPr="006F6679" w:rsidRDefault="00106477" w:rsidP="006D484A">
            <w:pPr>
              <w:spacing w:after="0"/>
              <w:ind w:firstLine="0"/>
              <w:jc w:val="center"/>
              <w:rPr>
                <w:rFonts w:eastAsia="Times New Roman" w:cs="Times New Roman"/>
                <w:b/>
                <w:bCs/>
                <w:color w:val="000000"/>
                <w:sz w:val="18"/>
                <w:szCs w:val="18"/>
              </w:rPr>
            </w:pPr>
            <w:r w:rsidRPr="006F6679">
              <w:rPr>
                <w:rFonts w:eastAsia="Times New Roman" w:cs="Times New Roman"/>
                <w:b/>
                <w:bCs/>
                <w:color w:val="000000"/>
                <w:sz w:val="18"/>
                <w:szCs w:val="18"/>
              </w:rPr>
              <w:t>-3,1</w:t>
            </w:r>
            <w:r w:rsidR="008D26A0">
              <w:rPr>
                <w:rFonts w:eastAsia="Times New Roman" w:cs="Times New Roman"/>
                <w:b/>
                <w:bCs/>
                <w:color w:val="000000"/>
                <w:sz w:val="18"/>
                <w:szCs w:val="18"/>
              </w:rPr>
              <w:t>1</w:t>
            </w:r>
          </w:p>
        </w:tc>
      </w:tr>
    </w:tbl>
    <w:p w14:paraId="3214A525" w14:textId="77777777" w:rsidR="00C96F90" w:rsidRDefault="00C96F90" w:rsidP="00CF43D4">
      <w:pPr>
        <w:widowControl w:val="0"/>
        <w:ind w:firstLine="0"/>
        <w:rPr>
          <w:rFonts w:cs="Times New Roman"/>
          <w:b/>
          <w:bCs/>
          <w:i/>
          <w:iCs/>
          <w:szCs w:val="24"/>
        </w:rPr>
      </w:pPr>
    </w:p>
    <w:p w14:paraId="56A1BDD8" w14:textId="45AA51E5" w:rsidR="00C2090C" w:rsidRPr="00D8017D" w:rsidRDefault="00C2090C" w:rsidP="00C2090C">
      <w:pPr>
        <w:widowControl w:val="0"/>
        <w:jc w:val="right"/>
        <w:rPr>
          <w:rFonts w:eastAsia="Times New Roman" w:cs="Times New Roman"/>
          <w:bCs/>
          <w:i/>
          <w:iCs/>
          <w:szCs w:val="28"/>
        </w:rPr>
      </w:pPr>
      <w:r w:rsidRPr="008675CC">
        <w:rPr>
          <w:rFonts w:cs="Times New Roman"/>
          <w:b/>
          <w:bCs/>
          <w:i/>
          <w:iCs/>
          <w:szCs w:val="24"/>
        </w:rPr>
        <w:t>2.</w:t>
      </w:r>
      <w:r>
        <w:rPr>
          <w:rFonts w:cs="Times New Roman"/>
          <w:b/>
          <w:bCs/>
          <w:i/>
          <w:iCs/>
          <w:szCs w:val="24"/>
        </w:rPr>
        <w:t>1</w:t>
      </w:r>
      <w:r w:rsidR="007A1AB1">
        <w:rPr>
          <w:rFonts w:cs="Times New Roman"/>
          <w:b/>
          <w:bCs/>
          <w:i/>
          <w:iCs/>
          <w:szCs w:val="24"/>
        </w:rPr>
        <w:t>3</w:t>
      </w:r>
      <w:r w:rsidRPr="008675CC">
        <w:rPr>
          <w:rFonts w:cs="Times New Roman"/>
          <w:b/>
          <w:bCs/>
          <w:i/>
          <w:iCs/>
          <w:szCs w:val="24"/>
        </w:rPr>
        <w:t xml:space="preserve">. </w:t>
      </w:r>
      <w:r w:rsidRPr="008675CC">
        <w:rPr>
          <w:rFonts w:eastAsia="Times New Roman" w:cs="Times New Roman"/>
          <w:b/>
          <w:bCs/>
          <w:i/>
          <w:iCs/>
          <w:szCs w:val="24"/>
        </w:rPr>
        <w:t>tabula.</w:t>
      </w:r>
      <w:r w:rsidRPr="00D8017D">
        <w:rPr>
          <w:rFonts w:eastAsia="Times New Roman" w:cs="Times New Roman"/>
          <w:b/>
          <w:i/>
          <w:iCs/>
          <w:szCs w:val="24"/>
        </w:rPr>
        <w:t xml:space="preserve"> </w:t>
      </w:r>
      <w:r w:rsidRPr="00D8017D">
        <w:rPr>
          <w:rFonts w:eastAsia="Times New Roman" w:cs="Times New Roman"/>
          <w:b/>
          <w:i/>
          <w:iCs/>
        </w:rPr>
        <w:t>V</w:t>
      </w:r>
      <w:r w:rsidRPr="00D8017D">
        <w:rPr>
          <w:rFonts w:eastAsia="Times New Roman" w:cs="Times New Roman"/>
          <w:b/>
          <w:i/>
          <w:iCs/>
          <w:szCs w:val="24"/>
        </w:rPr>
        <w:t>ispārējās valdības strukturālās bilances mērķi,</w:t>
      </w:r>
      <w:r w:rsidRPr="00D8017D">
        <w:rPr>
          <w:rFonts w:eastAsia="Times New Roman" w:cs="Times New Roman"/>
          <w:b/>
          <w:i/>
          <w:iCs/>
        </w:rPr>
        <w:t xml:space="preserve"> </w:t>
      </w:r>
      <w:r w:rsidRPr="00D8017D">
        <w:rPr>
          <w:rFonts w:eastAsia="Times New Roman" w:cs="Times New Roman"/>
          <w:b/>
          <w:i/>
          <w:iCs/>
          <w:szCs w:val="24"/>
        </w:rPr>
        <w:t>balstoties uz nominālās bilances</w:t>
      </w:r>
      <w:r w:rsidRPr="00D8017D">
        <w:rPr>
          <w:rFonts w:eastAsia="Times New Roman" w:cs="Times New Roman"/>
          <w:b/>
          <w:i/>
          <w:iCs/>
        </w:rPr>
        <w:t xml:space="preserve"> nosacījumu</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850"/>
        <w:gridCol w:w="851"/>
        <w:gridCol w:w="992"/>
      </w:tblGrid>
      <w:tr w:rsidR="00C2090C" w:rsidRPr="00D8017D" w14:paraId="29AC85AA" w14:textId="77777777" w:rsidTr="00C324D5">
        <w:trPr>
          <w:trHeight w:val="20"/>
          <w:tblHeader/>
          <w:jc w:val="center"/>
        </w:trPr>
        <w:tc>
          <w:tcPr>
            <w:tcW w:w="3681" w:type="dxa"/>
            <w:shd w:val="clear" w:color="auto" w:fill="BDD6EE" w:themeFill="accent1" w:themeFillTint="66"/>
            <w:noWrap/>
            <w:vAlign w:val="bottom"/>
            <w:hideMark/>
          </w:tcPr>
          <w:p w14:paraId="15FCF684" w14:textId="77777777" w:rsidR="00C2090C" w:rsidRPr="00D8017D" w:rsidRDefault="00C2090C" w:rsidP="00C324D5">
            <w:pPr>
              <w:spacing w:before="60"/>
              <w:ind w:firstLine="0"/>
              <w:jc w:val="left"/>
              <w:rPr>
                <w:rFonts w:eastAsia="Times New Roman" w:cs="Times New Roman"/>
                <w:color w:val="000000" w:themeColor="text1"/>
                <w:sz w:val="20"/>
                <w:szCs w:val="20"/>
              </w:rPr>
            </w:pPr>
          </w:p>
        </w:tc>
        <w:tc>
          <w:tcPr>
            <w:tcW w:w="1134" w:type="dxa"/>
            <w:tcBorders>
              <w:bottom w:val="single" w:sz="4" w:space="0" w:color="auto"/>
            </w:tcBorders>
            <w:shd w:val="clear" w:color="auto" w:fill="BDD6EE" w:themeFill="accent1" w:themeFillTint="66"/>
          </w:tcPr>
          <w:p w14:paraId="2489E0C6" w14:textId="77777777" w:rsidR="00C2090C" w:rsidRPr="00D8017D" w:rsidRDefault="00C2090C" w:rsidP="00C324D5">
            <w:pPr>
              <w:spacing w:before="60"/>
              <w:ind w:firstLine="0"/>
              <w:jc w:val="center"/>
              <w:rPr>
                <w:rFonts w:eastAsia="Times New Roman" w:cs="Times New Roman"/>
                <w:color w:val="000000" w:themeColor="text1"/>
                <w:sz w:val="20"/>
                <w:szCs w:val="20"/>
              </w:rPr>
            </w:pPr>
          </w:p>
        </w:tc>
        <w:tc>
          <w:tcPr>
            <w:tcW w:w="850" w:type="dxa"/>
            <w:tcBorders>
              <w:bottom w:val="single" w:sz="4" w:space="0" w:color="auto"/>
            </w:tcBorders>
            <w:shd w:val="clear" w:color="auto" w:fill="BDD6EE" w:themeFill="accent1" w:themeFillTint="66"/>
            <w:noWrap/>
            <w:vAlign w:val="center"/>
            <w:hideMark/>
          </w:tcPr>
          <w:p w14:paraId="5880D5F5" w14:textId="77777777" w:rsidR="00C2090C" w:rsidRPr="00D8017D" w:rsidRDefault="00C2090C" w:rsidP="00C324D5">
            <w:pPr>
              <w:spacing w:before="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2026</w:t>
            </w:r>
          </w:p>
        </w:tc>
        <w:tc>
          <w:tcPr>
            <w:tcW w:w="851" w:type="dxa"/>
            <w:tcBorders>
              <w:bottom w:val="single" w:sz="4" w:space="0" w:color="auto"/>
            </w:tcBorders>
            <w:shd w:val="clear" w:color="auto" w:fill="BDD6EE" w:themeFill="accent1" w:themeFillTint="66"/>
            <w:noWrap/>
            <w:vAlign w:val="center"/>
            <w:hideMark/>
          </w:tcPr>
          <w:p w14:paraId="619D0386" w14:textId="77777777" w:rsidR="00C2090C" w:rsidRPr="00D8017D" w:rsidRDefault="00C2090C" w:rsidP="00C324D5">
            <w:pPr>
              <w:spacing w:before="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2027</w:t>
            </w:r>
          </w:p>
        </w:tc>
        <w:tc>
          <w:tcPr>
            <w:tcW w:w="992" w:type="dxa"/>
            <w:tcBorders>
              <w:bottom w:val="single" w:sz="4" w:space="0" w:color="auto"/>
            </w:tcBorders>
            <w:shd w:val="clear" w:color="auto" w:fill="BDD6EE" w:themeFill="accent1" w:themeFillTint="66"/>
            <w:vAlign w:val="center"/>
          </w:tcPr>
          <w:p w14:paraId="5F9D1E9E" w14:textId="77777777" w:rsidR="00C2090C" w:rsidRPr="00D8017D" w:rsidRDefault="00C2090C" w:rsidP="00C324D5">
            <w:pPr>
              <w:spacing w:before="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2028</w:t>
            </w:r>
          </w:p>
        </w:tc>
      </w:tr>
      <w:tr w:rsidR="00C2090C" w:rsidRPr="00D8017D" w14:paraId="69231582" w14:textId="77777777" w:rsidTr="00C324D5">
        <w:trPr>
          <w:trHeight w:val="20"/>
          <w:jc w:val="center"/>
        </w:trPr>
        <w:tc>
          <w:tcPr>
            <w:tcW w:w="3681" w:type="dxa"/>
            <w:noWrap/>
            <w:vAlign w:val="center"/>
            <w:hideMark/>
          </w:tcPr>
          <w:p w14:paraId="5A90A4AC" w14:textId="77777777" w:rsidR="00C2090C" w:rsidRPr="00D8017D" w:rsidRDefault="00C2090C" w:rsidP="00C324D5">
            <w:pPr>
              <w:spacing w:before="60" w:after="60"/>
              <w:ind w:firstLine="0"/>
              <w:jc w:val="left"/>
              <w:rPr>
                <w:rFonts w:eastAsia="Times New Roman" w:cs="Times New Roman"/>
                <w:color w:val="000000" w:themeColor="text1"/>
                <w:sz w:val="20"/>
                <w:szCs w:val="20"/>
              </w:rPr>
            </w:pPr>
            <w:r w:rsidRPr="00D8017D">
              <w:rPr>
                <w:rFonts w:eastAsia="Times New Roman" w:cs="Times New Roman"/>
                <w:color w:val="000000" w:themeColor="text1"/>
                <w:sz w:val="20"/>
                <w:szCs w:val="20"/>
              </w:rPr>
              <w:t xml:space="preserve">LESD pieļaujamā nominālā bilance, </w:t>
            </w:r>
          </w:p>
          <w:p w14:paraId="7A0A331F" w14:textId="77777777" w:rsidR="00C2090C" w:rsidRPr="00D8017D" w:rsidRDefault="00C2090C" w:rsidP="00C324D5">
            <w:pPr>
              <w:spacing w:before="60" w:after="60"/>
              <w:ind w:firstLine="0"/>
              <w:jc w:val="left"/>
              <w:rPr>
                <w:rFonts w:eastAsia="Times New Roman" w:cs="Times New Roman"/>
                <w:color w:val="000000" w:themeColor="text1"/>
                <w:sz w:val="20"/>
                <w:szCs w:val="20"/>
              </w:rPr>
            </w:pPr>
            <w:r w:rsidRPr="00D8017D">
              <w:rPr>
                <w:rFonts w:eastAsia="Times New Roman" w:cs="Times New Roman"/>
                <w:color w:val="000000" w:themeColor="text1"/>
                <w:sz w:val="20"/>
                <w:szCs w:val="20"/>
              </w:rPr>
              <w:t>% no IKP</w:t>
            </w:r>
          </w:p>
        </w:tc>
        <w:tc>
          <w:tcPr>
            <w:tcW w:w="1134" w:type="dxa"/>
            <w:vAlign w:val="center"/>
          </w:tcPr>
          <w:p w14:paraId="745827E4" w14:textId="77777777" w:rsidR="00C2090C" w:rsidRPr="00D8017D" w:rsidRDefault="00C2090C" w:rsidP="00C324D5">
            <w:pPr>
              <w:spacing w:before="60" w:after="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(1)</w:t>
            </w:r>
          </w:p>
        </w:tc>
        <w:tc>
          <w:tcPr>
            <w:tcW w:w="850" w:type="dxa"/>
            <w:noWrap/>
            <w:vAlign w:val="center"/>
          </w:tcPr>
          <w:p w14:paraId="74FF4AF0" w14:textId="282AC313" w:rsidR="00C2090C" w:rsidRPr="00D8017D" w:rsidRDefault="00C2090C" w:rsidP="00C324D5">
            <w:pPr>
              <w:spacing w:before="60" w:after="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-3,0</w:t>
            </w:r>
            <w:r w:rsidR="002E61A5">
              <w:rPr>
                <w:rFonts w:eastAsia="Times New Roman" w:cs="Times New Roman"/>
                <w:b/>
                <w:bCs/>
                <w:color w:val="000000" w:themeColor="text1"/>
                <w:sz w:val="20"/>
                <w:szCs w:val="20"/>
              </w:rPr>
              <w:t>0</w:t>
            </w:r>
          </w:p>
        </w:tc>
        <w:tc>
          <w:tcPr>
            <w:tcW w:w="851" w:type="dxa"/>
            <w:noWrap/>
            <w:vAlign w:val="center"/>
          </w:tcPr>
          <w:p w14:paraId="00EAD5CC" w14:textId="227CF5DE" w:rsidR="00C2090C" w:rsidRPr="00D8017D" w:rsidRDefault="00C2090C" w:rsidP="00C324D5">
            <w:pPr>
              <w:spacing w:before="60" w:after="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-3,0</w:t>
            </w:r>
            <w:r w:rsidR="002E61A5">
              <w:rPr>
                <w:rFonts w:eastAsia="Times New Roman" w:cs="Times New Roman"/>
                <w:b/>
                <w:bCs/>
                <w:color w:val="000000" w:themeColor="text1"/>
                <w:sz w:val="20"/>
                <w:szCs w:val="20"/>
              </w:rPr>
              <w:t>0</w:t>
            </w:r>
          </w:p>
        </w:tc>
        <w:tc>
          <w:tcPr>
            <w:tcW w:w="992" w:type="dxa"/>
            <w:vAlign w:val="center"/>
          </w:tcPr>
          <w:p w14:paraId="4C18A948" w14:textId="25B3992F" w:rsidR="00C2090C" w:rsidRPr="00D8017D" w:rsidRDefault="00C2090C" w:rsidP="00C324D5">
            <w:pPr>
              <w:spacing w:before="60" w:after="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-3,0</w:t>
            </w:r>
            <w:r w:rsidR="002E61A5">
              <w:rPr>
                <w:rFonts w:eastAsia="Times New Roman" w:cs="Times New Roman"/>
                <w:b/>
                <w:bCs/>
                <w:color w:val="000000" w:themeColor="text1"/>
                <w:sz w:val="20"/>
                <w:szCs w:val="20"/>
              </w:rPr>
              <w:t>0</w:t>
            </w:r>
          </w:p>
        </w:tc>
      </w:tr>
      <w:tr w:rsidR="00C2090C" w:rsidRPr="00D8017D" w14:paraId="16216C10" w14:textId="77777777" w:rsidTr="00C324D5">
        <w:trPr>
          <w:trHeight w:val="20"/>
          <w:jc w:val="center"/>
        </w:trPr>
        <w:tc>
          <w:tcPr>
            <w:tcW w:w="3681" w:type="dxa"/>
            <w:noWrap/>
            <w:vAlign w:val="center"/>
          </w:tcPr>
          <w:p w14:paraId="01FD062E" w14:textId="77777777" w:rsidR="00C2090C" w:rsidRPr="00D8017D" w:rsidRDefault="00C2090C" w:rsidP="00C2090C">
            <w:pPr>
              <w:spacing w:before="60" w:after="60"/>
              <w:ind w:firstLine="0"/>
              <w:jc w:val="left"/>
              <w:rPr>
                <w:rFonts w:eastAsia="Times New Roman" w:cs="Times New Roman"/>
                <w:b/>
                <w:bCs/>
                <w:color w:val="000000" w:themeColor="text1"/>
                <w:sz w:val="20"/>
                <w:szCs w:val="20"/>
              </w:rPr>
            </w:pPr>
            <w:r w:rsidRPr="00D8017D">
              <w:rPr>
                <w:rFonts w:eastAsia="Times New Roman" w:cs="Times New Roman"/>
                <w:sz w:val="20"/>
                <w:szCs w:val="20"/>
              </w:rPr>
              <w:t>Valsts izņēmuma klauzulas fiskālā ietekme, % no IKP</w:t>
            </w:r>
          </w:p>
        </w:tc>
        <w:tc>
          <w:tcPr>
            <w:tcW w:w="1134" w:type="dxa"/>
            <w:vAlign w:val="center"/>
          </w:tcPr>
          <w:p w14:paraId="62E2C00A" w14:textId="77777777" w:rsidR="00C2090C" w:rsidRPr="006F6679" w:rsidRDefault="00C2090C" w:rsidP="00C2090C">
            <w:pPr>
              <w:spacing w:before="60" w:after="60"/>
              <w:ind w:firstLine="0"/>
              <w:jc w:val="center"/>
              <w:rPr>
                <w:rFonts w:eastAsia="Times New Roman" w:cs="Times New Roman"/>
                <w:color w:val="000000" w:themeColor="text1"/>
                <w:sz w:val="20"/>
                <w:szCs w:val="20"/>
              </w:rPr>
            </w:pPr>
            <w:r w:rsidRPr="006F6679">
              <w:rPr>
                <w:rFonts w:eastAsia="Times New Roman" w:cs="Times New Roman"/>
                <w:color w:val="000000" w:themeColor="text1"/>
                <w:sz w:val="20"/>
                <w:szCs w:val="20"/>
              </w:rPr>
              <w:t>(2)</w:t>
            </w:r>
          </w:p>
        </w:tc>
        <w:tc>
          <w:tcPr>
            <w:tcW w:w="850" w:type="dxa"/>
            <w:noWrap/>
            <w:vAlign w:val="center"/>
          </w:tcPr>
          <w:p w14:paraId="2FEE3BB8" w14:textId="79342099" w:rsidR="00C2090C" w:rsidRPr="00D8017D" w:rsidRDefault="00C2090C" w:rsidP="00C2090C">
            <w:pPr>
              <w:spacing w:before="60" w:after="60"/>
              <w:ind w:firstLine="0"/>
              <w:jc w:val="center"/>
              <w:rPr>
                <w:rFonts w:eastAsia="Times New Roman" w:cs="Times New Roman"/>
                <w:b/>
                <w:bCs/>
                <w:color w:val="000000" w:themeColor="text1"/>
                <w:sz w:val="20"/>
                <w:szCs w:val="20"/>
              </w:rPr>
            </w:pPr>
            <w:r w:rsidRPr="007B5DD9">
              <w:rPr>
                <w:rFonts w:eastAsia="Times New Roman" w:cs="Times New Roman"/>
                <w:sz w:val="20"/>
                <w:szCs w:val="20"/>
              </w:rPr>
              <w:t>0,4</w:t>
            </w:r>
            <w:r w:rsidR="005B0503">
              <w:rPr>
                <w:rFonts w:eastAsia="Times New Roman" w:cs="Times New Roman"/>
                <w:sz w:val="20"/>
                <w:szCs w:val="20"/>
              </w:rPr>
              <w:t>8</w:t>
            </w:r>
          </w:p>
        </w:tc>
        <w:tc>
          <w:tcPr>
            <w:tcW w:w="851" w:type="dxa"/>
            <w:noWrap/>
            <w:vAlign w:val="center"/>
          </w:tcPr>
          <w:p w14:paraId="6175C487" w14:textId="1EB941F6" w:rsidR="00C2090C" w:rsidRPr="00D8017D" w:rsidRDefault="00C2090C" w:rsidP="00C2090C">
            <w:pPr>
              <w:spacing w:before="60" w:after="60"/>
              <w:ind w:firstLine="0"/>
              <w:jc w:val="center"/>
              <w:rPr>
                <w:rFonts w:eastAsia="Times New Roman" w:cs="Times New Roman"/>
                <w:b/>
                <w:bCs/>
                <w:color w:val="000000" w:themeColor="text1"/>
                <w:sz w:val="20"/>
                <w:szCs w:val="20"/>
              </w:rPr>
            </w:pPr>
            <w:r w:rsidRPr="007B5DD9">
              <w:rPr>
                <w:rFonts w:eastAsia="Times New Roman" w:cs="Times New Roman"/>
                <w:sz w:val="20"/>
                <w:szCs w:val="20"/>
              </w:rPr>
              <w:t>1,10</w:t>
            </w:r>
          </w:p>
        </w:tc>
        <w:tc>
          <w:tcPr>
            <w:tcW w:w="992" w:type="dxa"/>
            <w:vAlign w:val="center"/>
          </w:tcPr>
          <w:p w14:paraId="7E016234" w14:textId="6FCDB852" w:rsidR="00C2090C" w:rsidRPr="00D8017D" w:rsidRDefault="005B0503" w:rsidP="00C2090C">
            <w:pPr>
              <w:spacing w:before="60" w:after="60"/>
              <w:ind w:firstLine="0"/>
              <w:jc w:val="center"/>
              <w:rPr>
                <w:rFonts w:eastAsia="Times New Roman" w:cs="Times New Roman"/>
                <w:b/>
                <w:bCs/>
                <w:color w:val="000000" w:themeColor="text1"/>
                <w:sz w:val="20"/>
                <w:szCs w:val="20"/>
              </w:rPr>
            </w:pPr>
            <w:r>
              <w:rPr>
                <w:rFonts w:eastAsia="Times New Roman" w:cs="Times New Roman"/>
                <w:sz w:val="20"/>
                <w:szCs w:val="20"/>
              </w:rPr>
              <w:t>1,00</w:t>
            </w:r>
          </w:p>
        </w:tc>
      </w:tr>
      <w:tr w:rsidR="00C2090C" w:rsidRPr="00D8017D" w14:paraId="234F3E41" w14:textId="77777777" w:rsidTr="00C324D5">
        <w:trPr>
          <w:trHeight w:val="20"/>
          <w:jc w:val="center"/>
        </w:trPr>
        <w:tc>
          <w:tcPr>
            <w:tcW w:w="3681" w:type="dxa"/>
            <w:shd w:val="clear" w:color="auto" w:fill="BDD6EE" w:themeFill="accent1" w:themeFillTint="66"/>
            <w:noWrap/>
            <w:vAlign w:val="center"/>
          </w:tcPr>
          <w:p w14:paraId="1B3B6F5E" w14:textId="77777777" w:rsidR="00C2090C" w:rsidRPr="00D8017D" w:rsidRDefault="00C2090C" w:rsidP="00C324D5">
            <w:pPr>
              <w:spacing w:before="60" w:after="60"/>
              <w:ind w:firstLine="0"/>
              <w:jc w:val="left"/>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lastRenderedPageBreak/>
              <w:t xml:space="preserve">Vispārējās valdības budžeta nominālās bilances mērķis, </w:t>
            </w:r>
          </w:p>
          <w:p w14:paraId="522C1C8C" w14:textId="77777777" w:rsidR="00C2090C" w:rsidRPr="00D8017D" w:rsidRDefault="00C2090C" w:rsidP="00C324D5">
            <w:pPr>
              <w:spacing w:before="60" w:after="60"/>
              <w:ind w:firstLine="0"/>
              <w:jc w:val="left"/>
              <w:rPr>
                <w:rFonts w:eastAsia="Times New Roman" w:cs="Times New Roman"/>
                <w:b/>
                <w:bCs/>
                <w:sz w:val="20"/>
                <w:szCs w:val="20"/>
              </w:rPr>
            </w:pPr>
            <w:r w:rsidRPr="00D8017D">
              <w:rPr>
                <w:rFonts w:eastAsia="Times New Roman" w:cs="Times New Roman"/>
                <w:b/>
                <w:bCs/>
                <w:color w:val="000000" w:themeColor="text1"/>
                <w:sz w:val="20"/>
                <w:szCs w:val="20"/>
              </w:rPr>
              <w:t>% no IKP</w:t>
            </w:r>
          </w:p>
        </w:tc>
        <w:tc>
          <w:tcPr>
            <w:tcW w:w="1134" w:type="dxa"/>
            <w:shd w:val="clear" w:color="auto" w:fill="BDD6EE" w:themeFill="accent1" w:themeFillTint="66"/>
            <w:vAlign w:val="center"/>
          </w:tcPr>
          <w:p w14:paraId="015017EE" w14:textId="77777777" w:rsidR="00C2090C" w:rsidRPr="00D8017D" w:rsidRDefault="00C2090C" w:rsidP="00C324D5">
            <w:pPr>
              <w:spacing w:before="60" w:after="60"/>
              <w:ind w:firstLine="0"/>
              <w:jc w:val="center"/>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(3)=(1)-(2)</w:t>
            </w:r>
          </w:p>
        </w:tc>
        <w:tc>
          <w:tcPr>
            <w:tcW w:w="850" w:type="dxa"/>
            <w:shd w:val="clear" w:color="auto" w:fill="BDD6EE" w:themeFill="accent1" w:themeFillTint="66"/>
            <w:noWrap/>
            <w:vAlign w:val="center"/>
          </w:tcPr>
          <w:p w14:paraId="78B2BC9B" w14:textId="4F7A88CB" w:rsidR="00C2090C" w:rsidRPr="00D8017D" w:rsidRDefault="00C2090C" w:rsidP="00C324D5">
            <w:pPr>
              <w:spacing w:before="60" w:after="60"/>
              <w:ind w:firstLine="0"/>
              <w:jc w:val="center"/>
              <w:rPr>
                <w:rFonts w:eastAsia="Times New Roman" w:cs="Times New Roman"/>
                <w:b/>
                <w:bCs/>
                <w:sz w:val="20"/>
                <w:szCs w:val="20"/>
              </w:rPr>
            </w:pPr>
            <w:r w:rsidRPr="00D8017D">
              <w:rPr>
                <w:rFonts w:eastAsia="Times New Roman" w:cs="Times New Roman"/>
                <w:b/>
                <w:bCs/>
                <w:sz w:val="20"/>
                <w:szCs w:val="20"/>
              </w:rPr>
              <w:t>-3,</w:t>
            </w:r>
            <w:r>
              <w:rPr>
                <w:rFonts w:eastAsia="Times New Roman" w:cs="Times New Roman"/>
                <w:b/>
                <w:bCs/>
                <w:sz w:val="20"/>
                <w:szCs w:val="20"/>
              </w:rPr>
              <w:t>4</w:t>
            </w:r>
            <w:r w:rsidR="005B0503">
              <w:rPr>
                <w:rFonts w:eastAsia="Times New Roman" w:cs="Times New Roman"/>
                <w:b/>
                <w:bCs/>
                <w:sz w:val="20"/>
                <w:szCs w:val="20"/>
              </w:rPr>
              <w:t>8</w:t>
            </w:r>
          </w:p>
        </w:tc>
        <w:tc>
          <w:tcPr>
            <w:tcW w:w="851" w:type="dxa"/>
            <w:shd w:val="clear" w:color="auto" w:fill="BDD6EE" w:themeFill="accent1" w:themeFillTint="66"/>
            <w:noWrap/>
            <w:vAlign w:val="center"/>
          </w:tcPr>
          <w:p w14:paraId="7BFA7A85" w14:textId="297980E0" w:rsidR="00C2090C" w:rsidRPr="00D8017D" w:rsidRDefault="00C2090C" w:rsidP="00C324D5">
            <w:pPr>
              <w:spacing w:before="60" w:after="60"/>
              <w:ind w:firstLine="0"/>
              <w:jc w:val="center"/>
              <w:rPr>
                <w:rFonts w:eastAsia="Times New Roman" w:cs="Times New Roman"/>
                <w:b/>
                <w:bCs/>
                <w:sz w:val="20"/>
                <w:szCs w:val="20"/>
              </w:rPr>
            </w:pPr>
            <w:r w:rsidRPr="00D8017D">
              <w:rPr>
                <w:rFonts w:eastAsia="Times New Roman" w:cs="Times New Roman"/>
                <w:b/>
                <w:bCs/>
                <w:sz w:val="20"/>
                <w:szCs w:val="20"/>
              </w:rPr>
              <w:t>-</w:t>
            </w:r>
            <w:r>
              <w:rPr>
                <w:rFonts w:eastAsia="Times New Roman" w:cs="Times New Roman"/>
                <w:b/>
                <w:bCs/>
                <w:sz w:val="20"/>
                <w:szCs w:val="20"/>
              </w:rPr>
              <w:t>4,10</w:t>
            </w:r>
          </w:p>
        </w:tc>
        <w:tc>
          <w:tcPr>
            <w:tcW w:w="992" w:type="dxa"/>
            <w:shd w:val="clear" w:color="auto" w:fill="BDD6EE" w:themeFill="accent1" w:themeFillTint="66"/>
            <w:vAlign w:val="center"/>
          </w:tcPr>
          <w:p w14:paraId="533B4191" w14:textId="781A94F3" w:rsidR="00C2090C" w:rsidRPr="00D8017D" w:rsidRDefault="00C2090C" w:rsidP="00C324D5">
            <w:pPr>
              <w:spacing w:before="60" w:after="60"/>
              <w:ind w:firstLine="0"/>
              <w:jc w:val="center"/>
              <w:rPr>
                <w:rFonts w:eastAsia="Times New Roman" w:cs="Times New Roman"/>
                <w:b/>
                <w:bCs/>
                <w:sz w:val="20"/>
                <w:szCs w:val="20"/>
              </w:rPr>
            </w:pPr>
            <w:r w:rsidRPr="00D8017D">
              <w:rPr>
                <w:rFonts w:eastAsia="Times New Roman" w:cs="Times New Roman"/>
                <w:b/>
                <w:bCs/>
                <w:sz w:val="20"/>
                <w:szCs w:val="20"/>
              </w:rPr>
              <w:t>-</w:t>
            </w:r>
            <w:r w:rsidR="005B0503">
              <w:rPr>
                <w:rFonts w:eastAsia="Times New Roman" w:cs="Times New Roman"/>
                <w:b/>
                <w:bCs/>
                <w:sz w:val="20"/>
                <w:szCs w:val="20"/>
              </w:rPr>
              <w:t>4,00</w:t>
            </w:r>
          </w:p>
        </w:tc>
      </w:tr>
      <w:tr w:rsidR="00C2090C" w:rsidRPr="00D8017D" w14:paraId="30CA5CE9" w14:textId="77777777" w:rsidTr="00C324D5">
        <w:trPr>
          <w:trHeight w:val="20"/>
          <w:jc w:val="center"/>
        </w:trPr>
        <w:tc>
          <w:tcPr>
            <w:tcW w:w="3681" w:type="dxa"/>
            <w:noWrap/>
            <w:vAlign w:val="center"/>
          </w:tcPr>
          <w:p w14:paraId="5537C1F1" w14:textId="77777777" w:rsidR="00C2090C" w:rsidRPr="00D8017D" w:rsidRDefault="00C2090C" w:rsidP="00C324D5">
            <w:pPr>
              <w:spacing w:before="60" w:after="60"/>
              <w:ind w:firstLine="0"/>
              <w:jc w:val="left"/>
              <w:rPr>
                <w:rFonts w:eastAsia="Times New Roman" w:cs="Times New Roman"/>
                <w:color w:val="000000" w:themeColor="text1"/>
                <w:sz w:val="20"/>
                <w:szCs w:val="20"/>
              </w:rPr>
            </w:pPr>
            <w:r w:rsidRPr="00D8017D">
              <w:rPr>
                <w:rFonts w:eastAsia="Times New Roman" w:cs="Times New Roman"/>
                <w:color w:val="000000" w:themeColor="text1"/>
                <w:sz w:val="20"/>
                <w:szCs w:val="20"/>
              </w:rPr>
              <w:t xml:space="preserve">Bilances cikliskā komponente, </w:t>
            </w:r>
          </w:p>
          <w:p w14:paraId="571814FD" w14:textId="77777777" w:rsidR="00C2090C" w:rsidRPr="00D8017D" w:rsidRDefault="00C2090C" w:rsidP="00C324D5">
            <w:pPr>
              <w:spacing w:before="60" w:after="60"/>
              <w:ind w:firstLine="0"/>
              <w:jc w:val="left"/>
              <w:rPr>
                <w:rFonts w:eastAsia="Times New Roman" w:cs="Times New Roman"/>
                <w:color w:val="000000" w:themeColor="text1"/>
                <w:sz w:val="20"/>
                <w:szCs w:val="20"/>
              </w:rPr>
            </w:pPr>
            <w:r w:rsidRPr="00D8017D">
              <w:rPr>
                <w:rFonts w:eastAsia="Times New Roman" w:cs="Times New Roman"/>
                <w:color w:val="000000" w:themeColor="text1"/>
                <w:sz w:val="20"/>
                <w:szCs w:val="20"/>
              </w:rPr>
              <w:t>% no IKP</w:t>
            </w:r>
          </w:p>
        </w:tc>
        <w:tc>
          <w:tcPr>
            <w:tcW w:w="1134" w:type="dxa"/>
            <w:vAlign w:val="center"/>
          </w:tcPr>
          <w:p w14:paraId="51EA10F7" w14:textId="70D322E7" w:rsidR="00C2090C" w:rsidRPr="00D8017D" w:rsidRDefault="00C2090C" w:rsidP="00C324D5">
            <w:pPr>
              <w:spacing w:before="60" w:after="60"/>
              <w:ind w:firstLine="0"/>
              <w:jc w:val="center"/>
              <w:rPr>
                <w:rFonts w:cs="Times New Roman"/>
                <w:color w:val="000000" w:themeColor="text1"/>
                <w:sz w:val="20"/>
                <w:szCs w:val="20"/>
              </w:rPr>
            </w:pPr>
            <w:r w:rsidRPr="00D8017D">
              <w:rPr>
                <w:rFonts w:cs="Times New Roman"/>
                <w:color w:val="000000" w:themeColor="text1"/>
                <w:sz w:val="20"/>
                <w:szCs w:val="20"/>
              </w:rPr>
              <w:t>(</w:t>
            </w:r>
            <w:r w:rsidR="00D23B0A">
              <w:rPr>
                <w:rFonts w:cs="Times New Roman"/>
                <w:color w:val="000000" w:themeColor="text1"/>
                <w:sz w:val="20"/>
                <w:szCs w:val="20"/>
              </w:rPr>
              <w:t>4</w:t>
            </w:r>
            <w:r w:rsidRPr="00D8017D">
              <w:rPr>
                <w:rFonts w:cs="Times New Roman"/>
                <w:color w:val="000000" w:themeColor="text1"/>
                <w:sz w:val="20"/>
                <w:szCs w:val="20"/>
              </w:rPr>
              <w:t>)</w:t>
            </w:r>
          </w:p>
        </w:tc>
        <w:tc>
          <w:tcPr>
            <w:tcW w:w="850" w:type="dxa"/>
            <w:tcBorders>
              <w:top w:val="single" w:sz="4" w:space="0" w:color="auto"/>
              <w:left w:val="nil"/>
              <w:bottom w:val="single" w:sz="4" w:space="0" w:color="auto"/>
              <w:right w:val="single" w:sz="4" w:space="0" w:color="auto"/>
            </w:tcBorders>
            <w:noWrap/>
            <w:vAlign w:val="center"/>
          </w:tcPr>
          <w:p w14:paraId="1B99B284" w14:textId="58F232C1" w:rsidR="00C2090C" w:rsidRPr="00D8017D" w:rsidRDefault="00C2090C" w:rsidP="00C324D5">
            <w:pPr>
              <w:spacing w:before="60" w:after="60"/>
              <w:ind w:firstLine="0"/>
              <w:jc w:val="center"/>
              <w:rPr>
                <w:rFonts w:cs="Times New Roman"/>
                <w:color w:val="000000" w:themeColor="text1"/>
                <w:sz w:val="20"/>
                <w:szCs w:val="20"/>
              </w:rPr>
            </w:pPr>
            <w:r w:rsidRPr="00D8017D">
              <w:rPr>
                <w:rFonts w:cs="Times New Roman"/>
                <w:color w:val="000000" w:themeColor="text1"/>
                <w:sz w:val="20"/>
                <w:szCs w:val="20"/>
              </w:rPr>
              <w:t>-0,3</w:t>
            </w:r>
            <w:r w:rsidR="005B0503">
              <w:rPr>
                <w:rFonts w:cs="Times New Roman"/>
                <w:color w:val="000000" w:themeColor="text1"/>
                <w:sz w:val="20"/>
                <w:szCs w:val="20"/>
              </w:rPr>
              <w:t>3</w:t>
            </w:r>
          </w:p>
        </w:tc>
        <w:tc>
          <w:tcPr>
            <w:tcW w:w="851" w:type="dxa"/>
            <w:tcBorders>
              <w:top w:val="single" w:sz="4" w:space="0" w:color="auto"/>
              <w:left w:val="single" w:sz="4" w:space="0" w:color="auto"/>
              <w:bottom w:val="single" w:sz="4" w:space="0" w:color="auto"/>
              <w:right w:val="single" w:sz="4" w:space="0" w:color="auto"/>
            </w:tcBorders>
            <w:noWrap/>
            <w:vAlign w:val="center"/>
          </w:tcPr>
          <w:p w14:paraId="7262432C" w14:textId="69AFA49B" w:rsidR="00C2090C" w:rsidRPr="00D8017D" w:rsidRDefault="00C2090C" w:rsidP="00C324D5">
            <w:pPr>
              <w:spacing w:before="60" w:after="60"/>
              <w:ind w:firstLine="0"/>
              <w:jc w:val="center"/>
              <w:rPr>
                <w:rFonts w:cs="Times New Roman"/>
                <w:color w:val="000000" w:themeColor="text1"/>
                <w:sz w:val="20"/>
                <w:szCs w:val="20"/>
              </w:rPr>
            </w:pPr>
            <w:r w:rsidRPr="00D8017D">
              <w:rPr>
                <w:rFonts w:cs="Times New Roman"/>
                <w:color w:val="000000" w:themeColor="text1"/>
                <w:sz w:val="20"/>
                <w:szCs w:val="20"/>
              </w:rPr>
              <w:t>-0,</w:t>
            </w:r>
            <w:r w:rsidR="005B0503">
              <w:rPr>
                <w:rFonts w:cs="Times New Roman"/>
                <w:color w:val="000000" w:themeColor="text1"/>
                <w:sz w:val="20"/>
                <w:szCs w:val="20"/>
              </w:rPr>
              <w:t>18</w:t>
            </w:r>
          </w:p>
        </w:tc>
        <w:tc>
          <w:tcPr>
            <w:tcW w:w="992" w:type="dxa"/>
            <w:tcBorders>
              <w:top w:val="single" w:sz="4" w:space="0" w:color="auto"/>
              <w:left w:val="single" w:sz="4" w:space="0" w:color="auto"/>
              <w:bottom w:val="single" w:sz="4" w:space="0" w:color="auto"/>
              <w:right w:val="single" w:sz="4" w:space="0" w:color="auto"/>
            </w:tcBorders>
            <w:vAlign w:val="center"/>
          </w:tcPr>
          <w:p w14:paraId="3EB7EB4A" w14:textId="3F40C677" w:rsidR="00C2090C" w:rsidRPr="00D8017D" w:rsidRDefault="00C2090C" w:rsidP="00C324D5">
            <w:pPr>
              <w:spacing w:before="60" w:after="60"/>
              <w:ind w:firstLine="0"/>
              <w:jc w:val="center"/>
              <w:rPr>
                <w:rFonts w:cs="Times New Roman"/>
                <w:color w:val="000000" w:themeColor="text1"/>
                <w:sz w:val="20"/>
                <w:szCs w:val="20"/>
              </w:rPr>
            </w:pPr>
            <w:r w:rsidRPr="00D8017D">
              <w:rPr>
                <w:rFonts w:cs="Times New Roman"/>
                <w:color w:val="000000" w:themeColor="text1"/>
                <w:sz w:val="20"/>
                <w:szCs w:val="20"/>
              </w:rPr>
              <w:t>-0,</w:t>
            </w:r>
            <w:r w:rsidR="005B0503">
              <w:rPr>
                <w:rFonts w:cs="Times New Roman"/>
                <w:color w:val="000000" w:themeColor="text1"/>
                <w:sz w:val="20"/>
                <w:szCs w:val="20"/>
              </w:rPr>
              <w:t>08</w:t>
            </w:r>
          </w:p>
        </w:tc>
      </w:tr>
      <w:tr w:rsidR="00C2090C" w:rsidRPr="00D8017D" w14:paraId="45BF1C5E" w14:textId="77777777" w:rsidTr="00C324D5">
        <w:trPr>
          <w:trHeight w:val="20"/>
          <w:jc w:val="center"/>
        </w:trPr>
        <w:tc>
          <w:tcPr>
            <w:tcW w:w="3681" w:type="dxa"/>
            <w:noWrap/>
            <w:vAlign w:val="center"/>
          </w:tcPr>
          <w:p w14:paraId="5E5B271E" w14:textId="77777777" w:rsidR="00C2090C" w:rsidRPr="00D8017D" w:rsidRDefault="00C2090C" w:rsidP="00C324D5">
            <w:pPr>
              <w:spacing w:before="60" w:after="60"/>
              <w:ind w:firstLine="0"/>
              <w:jc w:val="left"/>
              <w:rPr>
                <w:rFonts w:eastAsia="Times New Roman" w:cs="Times New Roman"/>
                <w:color w:val="000000" w:themeColor="text1"/>
                <w:sz w:val="20"/>
                <w:szCs w:val="20"/>
              </w:rPr>
            </w:pPr>
            <w:r w:rsidRPr="00D8017D">
              <w:rPr>
                <w:rFonts w:eastAsia="Times New Roman" w:cs="Times New Roman"/>
                <w:color w:val="000000" w:themeColor="text1"/>
                <w:sz w:val="20"/>
                <w:szCs w:val="20"/>
              </w:rPr>
              <w:t>Vienreizējie pasākumi, % no IKP</w:t>
            </w:r>
          </w:p>
        </w:tc>
        <w:tc>
          <w:tcPr>
            <w:tcW w:w="1134" w:type="dxa"/>
            <w:vAlign w:val="center"/>
          </w:tcPr>
          <w:p w14:paraId="69F886E2" w14:textId="6EEEF39F" w:rsidR="00C2090C" w:rsidRPr="00D8017D" w:rsidRDefault="00C2090C" w:rsidP="00C324D5">
            <w:pPr>
              <w:spacing w:before="60" w:after="60"/>
              <w:ind w:firstLine="0"/>
              <w:jc w:val="center"/>
              <w:rPr>
                <w:rFonts w:cs="Times New Roman"/>
                <w:color w:val="000000" w:themeColor="text1"/>
                <w:sz w:val="20"/>
                <w:szCs w:val="20"/>
              </w:rPr>
            </w:pPr>
            <w:r w:rsidRPr="00D8017D">
              <w:rPr>
                <w:rFonts w:cs="Times New Roman"/>
                <w:color w:val="000000" w:themeColor="text1"/>
                <w:sz w:val="20"/>
                <w:szCs w:val="20"/>
              </w:rPr>
              <w:t>(</w:t>
            </w:r>
            <w:r w:rsidR="00D23B0A">
              <w:rPr>
                <w:rFonts w:cs="Times New Roman"/>
                <w:color w:val="000000" w:themeColor="text1"/>
                <w:sz w:val="20"/>
                <w:szCs w:val="20"/>
              </w:rPr>
              <w:t>5</w:t>
            </w:r>
            <w:r w:rsidRPr="00D8017D">
              <w:rPr>
                <w:rFonts w:cs="Times New Roman"/>
                <w:color w:val="000000" w:themeColor="text1"/>
                <w:sz w:val="20"/>
                <w:szCs w:val="20"/>
              </w:rPr>
              <w:t>)</w:t>
            </w:r>
          </w:p>
        </w:tc>
        <w:tc>
          <w:tcPr>
            <w:tcW w:w="850" w:type="dxa"/>
            <w:tcBorders>
              <w:top w:val="single" w:sz="4" w:space="0" w:color="auto"/>
              <w:left w:val="nil"/>
              <w:bottom w:val="single" w:sz="4" w:space="0" w:color="auto"/>
              <w:right w:val="single" w:sz="4" w:space="0" w:color="auto"/>
            </w:tcBorders>
            <w:noWrap/>
            <w:vAlign w:val="center"/>
          </w:tcPr>
          <w:p w14:paraId="7E5B75E6" w14:textId="10B2FDCE" w:rsidR="00C2090C" w:rsidRPr="00D8017D" w:rsidRDefault="00C2090C" w:rsidP="00C324D5">
            <w:pPr>
              <w:spacing w:before="60" w:after="60"/>
              <w:ind w:firstLine="0"/>
              <w:jc w:val="center"/>
              <w:rPr>
                <w:rFonts w:cs="Times New Roman"/>
                <w:color w:val="000000" w:themeColor="text1"/>
                <w:sz w:val="20"/>
                <w:szCs w:val="20"/>
              </w:rPr>
            </w:pPr>
            <w:r w:rsidRPr="00D8017D">
              <w:rPr>
                <w:rFonts w:eastAsia="Times New Roman" w:cs="Times New Roman"/>
                <w:sz w:val="20"/>
                <w:szCs w:val="20"/>
              </w:rPr>
              <w:t>-1,6</w:t>
            </w:r>
            <w:r w:rsidR="005B0503">
              <w:rPr>
                <w:rFonts w:eastAsia="Times New Roman" w:cs="Times New Roman"/>
                <w:sz w:val="20"/>
                <w:szCs w:val="20"/>
              </w:rPr>
              <w:t>4</w:t>
            </w:r>
          </w:p>
        </w:tc>
        <w:tc>
          <w:tcPr>
            <w:tcW w:w="851" w:type="dxa"/>
            <w:tcBorders>
              <w:top w:val="single" w:sz="4" w:space="0" w:color="auto"/>
              <w:left w:val="single" w:sz="4" w:space="0" w:color="auto"/>
              <w:bottom w:val="single" w:sz="4" w:space="0" w:color="auto"/>
              <w:right w:val="single" w:sz="4" w:space="0" w:color="auto"/>
            </w:tcBorders>
            <w:noWrap/>
            <w:vAlign w:val="center"/>
          </w:tcPr>
          <w:p w14:paraId="15C6E4AE" w14:textId="1C74829D" w:rsidR="00C2090C" w:rsidRPr="00D8017D" w:rsidRDefault="00C2090C" w:rsidP="00C324D5">
            <w:pPr>
              <w:spacing w:before="60" w:after="60"/>
              <w:ind w:firstLine="0"/>
              <w:jc w:val="center"/>
              <w:rPr>
                <w:rFonts w:cs="Times New Roman"/>
                <w:color w:val="000000" w:themeColor="text1"/>
                <w:sz w:val="20"/>
                <w:szCs w:val="20"/>
              </w:rPr>
            </w:pPr>
            <w:r w:rsidRPr="00D8017D">
              <w:rPr>
                <w:rFonts w:eastAsia="Times New Roman" w:cs="Times New Roman"/>
                <w:sz w:val="20"/>
                <w:szCs w:val="20"/>
              </w:rPr>
              <w:t>-1,</w:t>
            </w:r>
            <w:r w:rsidR="005B0503">
              <w:rPr>
                <w:rFonts w:eastAsia="Times New Roman" w:cs="Times New Roman"/>
                <w:sz w:val="20"/>
                <w:szCs w:val="20"/>
              </w:rPr>
              <w:t>69</w:t>
            </w:r>
          </w:p>
        </w:tc>
        <w:tc>
          <w:tcPr>
            <w:tcW w:w="992" w:type="dxa"/>
            <w:tcBorders>
              <w:top w:val="single" w:sz="4" w:space="0" w:color="auto"/>
              <w:left w:val="single" w:sz="4" w:space="0" w:color="auto"/>
              <w:bottom w:val="single" w:sz="4" w:space="0" w:color="auto"/>
              <w:right w:val="single" w:sz="4" w:space="0" w:color="auto"/>
            </w:tcBorders>
            <w:vAlign w:val="center"/>
          </w:tcPr>
          <w:p w14:paraId="0A3F9EE3" w14:textId="73442258" w:rsidR="00C2090C" w:rsidRPr="00D8017D" w:rsidRDefault="00C2090C" w:rsidP="00C324D5">
            <w:pPr>
              <w:spacing w:before="60" w:after="60"/>
              <w:ind w:firstLine="0"/>
              <w:jc w:val="center"/>
              <w:rPr>
                <w:rFonts w:cs="Times New Roman"/>
                <w:color w:val="000000" w:themeColor="text1"/>
                <w:sz w:val="20"/>
                <w:szCs w:val="20"/>
              </w:rPr>
            </w:pPr>
            <w:r w:rsidRPr="00D8017D">
              <w:rPr>
                <w:rFonts w:eastAsia="Times New Roman" w:cs="Times New Roman"/>
                <w:sz w:val="20"/>
                <w:szCs w:val="20"/>
              </w:rPr>
              <w:t>-1,</w:t>
            </w:r>
            <w:r w:rsidR="005B0503">
              <w:rPr>
                <w:rFonts w:eastAsia="Times New Roman" w:cs="Times New Roman"/>
                <w:sz w:val="20"/>
                <w:szCs w:val="20"/>
              </w:rPr>
              <w:t>59</w:t>
            </w:r>
          </w:p>
        </w:tc>
      </w:tr>
      <w:tr w:rsidR="00C2090C" w:rsidRPr="00D8017D" w14:paraId="7611D1CA" w14:textId="77777777" w:rsidTr="00C324D5">
        <w:trPr>
          <w:trHeight w:val="20"/>
          <w:jc w:val="center"/>
        </w:trPr>
        <w:tc>
          <w:tcPr>
            <w:tcW w:w="3681" w:type="dxa"/>
            <w:shd w:val="clear" w:color="auto" w:fill="BDD6EE" w:themeFill="accent1" w:themeFillTint="66"/>
            <w:noWrap/>
            <w:vAlign w:val="center"/>
          </w:tcPr>
          <w:p w14:paraId="4FB01AF0" w14:textId="77777777" w:rsidR="00C2090C" w:rsidRPr="00D8017D" w:rsidRDefault="00C2090C" w:rsidP="00C324D5">
            <w:pPr>
              <w:spacing w:before="60" w:after="60"/>
              <w:ind w:firstLine="0"/>
              <w:jc w:val="left"/>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 xml:space="preserve">Vispārējās valdības budžeta strukturālās bilances mērķis, </w:t>
            </w:r>
          </w:p>
          <w:p w14:paraId="32064C65" w14:textId="77777777" w:rsidR="00C2090C" w:rsidRPr="00D8017D" w:rsidRDefault="00C2090C" w:rsidP="00C324D5">
            <w:pPr>
              <w:spacing w:before="60" w:after="60"/>
              <w:ind w:firstLine="0"/>
              <w:jc w:val="left"/>
              <w:rPr>
                <w:rFonts w:eastAsia="Times New Roman" w:cs="Times New Roman"/>
                <w:b/>
                <w:bCs/>
                <w:color w:val="000000" w:themeColor="text1"/>
                <w:sz w:val="20"/>
                <w:szCs w:val="20"/>
              </w:rPr>
            </w:pPr>
            <w:r w:rsidRPr="00D8017D">
              <w:rPr>
                <w:rFonts w:eastAsia="Times New Roman" w:cs="Times New Roman"/>
                <w:b/>
                <w:bCs/>
                <w:color w:val="000000" w:themeColor="text1"/>
                <w:sz w:val="20"/>
                <w:szCs w:val="20"/>
              </w:rPr>
              <w:t>% no IKP</w:t>
            </w:r>
          </w:p>
        </w:tc>
        <w:tc>
          <w:tcPr>
            <w:tcW w:w="1134" w:type="dxa"/>
            <w:tcBorders>
              <w:top w:val="single" w:sz="4" w:space="0" w:color="auto"/>
              <w:bottom w:val="single" w:sz="4" w:space="0" w:color="auto"/>
              <w:right w:val="single" w:sz="4" w:space="0" w:color="auto"/>
            </w:tcBorders>
            <w:shd w:val="clear" w:color="auto" w:fill="BDD6EE" w:themeFill="accent1" w:themeFillTint="66"/>
            <w:vAlign w:val="center"/>
          </w:tcPr>
          <w:p w14:paraId="36AD850D" w14:textId="368198F6" w:rsidR="00C2090C" w:rsidRPr="00D8017D" w:rsidRDefault="00C2090C" w:rsidP="00C324D5">
            <w:pPr>
              <w:spacing w:before="60" w:after="60"/>
              <w:ind w:firstLine="0"/>
              <w:jc w:val="center"/>
              <w:rPr>
                <w:rFonts w:cs="Times New Roman"/>
                <w:b/>
                <w:bCs/>
                <w:color w:val="000000" w:themeColor="text1"/>
                <w:sz w:val="20"/>
                <w:szCs w:val="20"/>
              </w:rPr>
            </w:pPr>
            <w:r w:rsidRPr="00D8017D">
              <w:rPr>
                <w:rFonts w:cs="Times New Roman"/>
                <w:b/>
                <w:bCs/>
                <w:color w:val="000000" w:themeColor="text1"/>
                <w:sz w:val="20"/>
                <w:szCs w:val="20"/>
              </w:rPr>
              <w:t>(</w:t>
            </w:r>
            <w:r w:rsidR="00D23B0A">
              <w:rPr>
                <w:rFonts w:cs="Times New Roman"/>
                <w:b/>
                <w:bCs/>
                <w:color w:val="000000" w:themeColor="text1"/>
                <w:sz w:val="20"/>
                <w:szCs w:val="20"/>
              </w:rPr>
              <w:t>6</w:t>
            </w:r>
            <w:r w:rsidRPr="00D8017D">
              <w:rPr>
                <w:rFonts w:cs="Times New Roman"/>
                <w:b/>
                <w:bCs/>
                <w:color w:val="000000" w:themeColor="text1"/>
                <w:sz w:val="20"/>
                <w:szCs w:val="20"/>
              </w:rPr>
              <w:t>)=(</w:t>
            </w:r>
            <w:r w:rsidR="00D23B0A">
              <w:rPr>
                <w:rFonts w:cs="Times New Roman"/>
                <w:b/>
                <w:bCs/>
                <w:color w:val="000000" w:themeColor="text1"/>
                <w:sz w:val="20"/>
                <w:szCs w:val="20"/>
              </w:rPr>
              <w:t>3</w:t>
            </w:r>
            <w:r w:rsidRPr="00D8017D">
              <w:rPr>
                <w:rFonts w:cs="Times New Roman"/>
                <w:b/>
                <w:bCs/>
                <w:color w:val="000000" w:themeColor="text1"/>
                <w:sz w:val="20"/>
                <w:szCs w:val="20"/>
              </w:rPr>
              <w:t>)-(</w:t>
            </w:r>
            <w:r w:rsidR="00D23B0A">
              <w:rPr>
                <w:rFonts w:cs="Times New Roman"/>
                <w:b/>
                <w:bCs/>
                <w:color w:val="000000" w:themeColor="text1"/>
                <w:sz w:val="20"/>
                <w:szCs w:val="20"/>
              </w:rPr>
              <w:t>4</w:t>
            </w:r>
            <w:r w:rsidRPr="00D8017D">
              <w:rPr>
                <w:rFonts w:cs="Times New Roman"/>
                <w:b/>
                <w:bCs/>
                <w:color w:val="000000" w:themeColor="text1"/>
                <w:sz w:val="20"/>
                <w:szCs w:val="20"/>
              </w:rPr>
              <w:t>)-(</w:t>
            </w:r>
            <w:r w:rsidR="00D23B0A">
              <w:rPr>
                <w:rFonts w:cs="Times New Roman"/>
                <w:b/>
                <w:bCs/>
                <w:color w:val="000000" w:themeColor="text1"/>
                <w:sz w:val="20"/>
                <w:szCs w:val="20"/>
              </w:rPr>
              <w:t>5</w:t>
            </w:r>
            <w:r w:rsidRPr="00D8017D">
              <w:rPr>
                <w:rFonts w:cs="Times New Roman"/>
                <w:b/>
                <w:bCs/>
                <w:color w:val="000000" w:themeColor="text1"/>
                <w:sz w:val="20"/>
                <w:szCs w:val="20"/>
              </w:rPr>
              <w:t>)</w:t>
            </w:r>
          </w:p>
        </w:tc>
        <w:tc>
          <w:tcPr>
            <w:tcW w:w="850"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39D60CB4" w14:textId="770ABE82" w:rsidR="00C2090C" w:rsidRPr="00D8017D" w:rsidRDefault="00C2090C" w:rsidP="00C324D5">
            <w:pPr>
              <w:spacing w:before="60" w:after="60"/>
              <w:ind w:firstLine="0"/>
              <w:jc w:val="center"/>
              <w:rPr>
                <w:rFonts w:cs="Times New Roman"/>
                <w:b/>
                <w:bCs/>
                <w:color w:val="000000" w:themeColor="text1"/>
                <w:sz w:val="20"/>
                <w:szCs w:val="20"/>
              </w:rPr>
            </w:pPr>
            <w:r w:rsidRPr="00D8017D">
              <w:rPr>
                <w:rFonts w:cs="Times New Roman"/>
                <w:b/>
                <w:bCs/>
                <w:color w:val="000000" w:themeColor="text1"/>
                <w:sz w:val="20"/>
                <w:szCs w:val="20"/>
              </w:rPr>
              <w:t>-1,</w:t>
            </w:r>
            <w:r w:rsidR="00581AE8">
              <w:rPr>
                <w:rFonts w:cs="Times New Roman"/>
                <w:b/>
                <w:bCs/>
                <w:color w:val="000000" w:themeColor="text1"/>
                <w:sz w:val="20"/>
                <w:szCs w:val="20"/>
              </w:rPr>
              <w:t>51</w:t>
            </w:r>
          </w:p>
        </w:tc>
        <w:tc>
          <w:tcPr>
            <w:tcW w:w="851"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63B22C15" w14:textId="02A19C06" w:rsidR="00C2090C" w:rsidRPr="00D8017D" w:rsidRDefault="00C2090C" w:rsidP="00C324D5">
            <w:pPr>
              <w:spacing w:before="60" w:after="60"/>
              <w:ind w:firstLine="0"/>
              <w:jc w:val="center"/>
              <w:rPr>
                <w:rFonts w:cs="Times New Roman"/>
                <w:b/>
                <w:bCs/>
                <w:color w:val="000000" w:themeColor="text1"/>
                <w:sz w:val="20"/>
                <w:szCs w:val="20"/>
              </w:rPr>
            </w:pPr>
            <w:r w:rsidRPr="00D8017D">
              <w:rPr>
                <w:rFonts w:cs="Times New Roman"/>
                <w:b/>
                <w:bCs/>
                <w:color w:val="000000" w:themeColor="text1"/>
                <w:sz w:val="20"/>
                <w:szCs w:val="20"/>
              </w:rPr>
              <w:t>-2,</w:t>
            </w:r>
            <w:r w:rsidR="00581AE8">
              <w:rPr>
                <w:rFonts w:cs="Times New Roman"/>
                <w:b/>
                <w:bCs/>
                <w:color w:val="000000" w:themeColor="text1"/>
                <w:sz w:val="20"/>
                <w:szCs w:val="20"/>
              </w:rPr>
              <w:t>23</w:t>
            </w:r>
          </w:p>
        </w:tc>
        <w:tc>
          <w:tcPr>
            <w:tcW w:w="992"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552018A" w14:textId="7AB1BEBF" w:rsidR="00C2090C" w:rsidRPr="00D8017D" w:rsidRDefault="00C2090C" w:rsidP="00C324D5">
            <w:pPr>
              <w:spacing w:before="60" w:after="60"/>
              <w:ind w:firstLine="0"/>
              <w:jc w:val="center"/>
              <w:rPr>
                <w:rFonts w:cs="Times New Roman"/>
                <w:b/>
                <w:bCs/>
                <w:color w:val="000000" w:themeColor="text1"/>
                <w:sz w:val="20"/>
                <w:szCs w:val="20"/>
              </w:rPr>
            </w:pPr>
            <w:r w:rsidRPr="00D8017D">
              <w:rPr>
                <w:rFonts w:cs="Times New Roman"/>
                <w:b/>
                <w:bCs/>
                <w:color w:val="000000" w:themeColor="text1"/>
                <w:sz w:val="20"/>
                <w:szCs w:val="20"/>
              </w:rPr>
              <w:t>-2,</w:t>
            </w:r>
            <w:r w:rsidR="00581AE8">
              <w:rPr>
                <w:rFonts w:cs="Times New Roman"/>
                <w:b/>
                <w:bCs/>
                <w:color w:val="000000" w:themeColor="text1"/>
                <w:sz w:val="20"/>
                <w:szCs w:val="20"/>
              </w:rPr>
              <w:t>32</w:t>
            </w:r>
          </w:p>
        </w:tc>
      </w:tr>
    </w:tbl>
    <w:p w14:paraId="620CA527" w14:textId="77777777" w:rsidR="00C2090C" w:rsidRDefault="00C2090C" w:rsidP="00CF43D4">
      <w:pPr>
        <w:spacing w:after="0"/>
        <w:rPr>
          <w:rFonts w:cs="Times New Roman"/>
          <w:szCs w:val="24"/>
        </w:rPr>
      </w:pPr>
    </w:p>
    <w:p w14:paraId="05655D02" w14:textId="3899309E" w:rsidR="005F203B" w:rsidRPr="00D8017D" w:rsidRDefault="005F203B" w:rsidP="008349F0">
      <w:pPr>
        <w:rPr>
          <w:rFonts w:cs="Times New Roman"/>
          <w:szCs w:val="24"/>
        </w:rPr>
      </w:pPr>
      <w:r w:rsidRPr="00D8017D">
        <w:rPr>
          <w:rFonts w:cs="Times New Roman"/>
          <w:szCs w:val="24"/>
        </w:rPr>
        <w:t>Līdz ar to pēc politikas pasākumu pieņemšanas domin</w:t>
      </w:r>
      <w:r w:rsidR="00841639" w:rsidRPr="00D8017D">
        <w:rPr>
          <w:rFonts w:cs="Times New Roman"/>
          <w:szCs w:val="24"/>
        </w:rPr>
        <w:t>ē</w:t>
      </w:r>
      <w:r w:rsidRPr="00D8017D">
        <w:rPr>
          <w:rFonts w:cs="Times New Roman"/>
          <w:szCs w:val="24"/>
        </w:rPr>
        <w:t>j</w:t>
      </w:r>
      <w:r w:rsidR="004B105E" w:rsidRPr="00D8017D">
        <w:rPr>
          <w:rFonts w:cs="Times New Roman"/>
          <w:szCs w:val="24"/>
        </w:rPr>
        <w:t>o</w:t>
      </w:r>
      <w:r w:rsidRPr="00D8017D">
        <w:rPr>
          <w:rFonts w:cs="Times New Roman"/>
          <w:szCs w:val="24"/>
        </w:rPr>
        <w:t>šais fiskālais nosacījums visos gad</w:t>
      </w:r>
      <w:r w:rsidR="004B105E" w:rsidRPr="00D8017D">
        <w:rPr>
          <w:rFonts w:cs="Times New Roman"/>
          <w:szCs w:val="24"/>
        </w:rPr>
        <w:t>o</w:t>
      </w:r>
      <w:r w:rsidRPr="00D8017D">
        <w:rPr>
          <w:rFonts w:cs="Times New Roman"/>
          <w:szCs w:val="24"/>
        </w:rPr>
        <w:t xml:space="preserve">s </w:t>
      </w:r>
      <w:r w:rsidR="005C40D0" w:rsidRPr="00D8017D">
        <w:rPr>
          <w:rFonts w:cs="Times New Roman"/>
          <w:szCs w:val="24"/>
        </w:rPr>
        <w:t>paliek nemainīgs</w:t>
      </w:r>
      <w:r w:rsidR="00581AE8">
        <w:rPr>
          <w:rFonts w:cs="Times New Roman"/>
          <w:szCs w:val="24"/>
        </w:rPr>
        <w:t xml:space="preserve"> – FDL strukturālās bilances nosacījums</w:t>
      </w:r>
      <w:r w:rsidRPr="00D8017D">
        <w:rPr>
          <w:rFonts w:cs="Times New Roman"/>
          <w:szCs w:val="24"/>
        </w:rPr>
        <w:t>.</w:t>
      </w:r>
    </w:p>
    <w:p w14:paraId="1CADBFD7" w14:textId="5D72EC60" w:rsidR="005F203B" w:rsidRPr="00D8017D" w:rsidRDefault="00CF48B6" w:rsidP="008349F0">
      <w:pPr>
        <w:jc w:val="right"/>
        <w:rPr>
          <w:rFonts w:cs="Times New Roman"/>
          <w:b/>
          <w:bCs/>
          <w:i/>
          <w:iCs/>
          <w:szCs w:val="24"/>
        </w:rPr>
      </w:pPr>
      <w:r w:rsidRPr="00D8017D">
        <w:rPr>
          <w:rFonts w:cs="Times New Roman"/>
          <w:b/>
          <w:bCs/>
          <w:i/>
          <w:iCs/>
          <w:szCs w:val="24"/>
        </w:rPr>
        <w:t>2.</w:t>
      </w:r>
      <w:r w:rsidR="005C63FF" w:rsidRPr="00D8017D">
        <w:rPr>
          <w:rFonts w:cs="Times New Roman"/>
          <w:b/>
          <w:bCs/>
          <w:i/>
          <w:iCs/>
          <w:szCs w:val="24"/>
        </w:rPr>
        <w:t>1</w:t>
      </w:r>
      <w:r w:rsidR="007A1AB1">
        <w:rPr>
          <w:rFonts w:cs="Times New Roman"/>
          <w:b/>
          <w:bCs/>
          <w:i/>
          <w:iCs/>
          <w:szCs w:val="24"/>
        </w:rPr>
        <w:t>4</w:t>
      </w:r>
      <w:r w:rsidRPr="00D8017D">
        <w:rPr>
          <w:rFonts w:cs="Times New Roman"/>
          <w:b/>
          <w:bCs/>
          <w:i/>
          <w:iCs/>
          <w:szCs w:val="24"/>
        </w:rPr>
        <w:t xml:space="preserve">. </w:t>
      </w:r>
      <w:r w:rsidR="005F203B" w:rsidRPr="00D8017D">
        <w:rPr>
          <w:rFonts w:cs="Times New Roman"/>
          <w:b/>
          <w:bCs/>
          <w:i/>
          <w:iCs/>
          <w:szCs w:val="24"/>
        </w:rPr>
        <w:t>tabula. Dominējošais fiskālais nosacījums</w:t>
      </w:r>
    </w:p>
    <w:tbl>
      <w:tblPr>
        <w:tblW w:w="8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2"/>
        <w:gridCol w:w="1947"/>
        <w:gridCol w:w="1068"/>
        <w:gridCol w:w="1068"/>
        <w:gridCol w:w="1069"/>
      </w:tblGrid>
      <w:tr w:rsidR="00ED46E3" w:rsidRPr="00D8017D" w14:paraId="5203A4E3" w14:textId="77777777" w:rsidTr="00CF43D4">
        <w:trPr>
          <w:trHeight w:val="20"/>
          <w:tblHeader/>
          <w:jc w:val="center"/>
        </w:trPr>
        <w:tc>
          <w:tcPr>
            <w:tcW w:w="3362" w:type="dxa"/>
            <w:shd w:val="clear" w:color="auto" w:fill="BDD6EE" w:themeFill="accent1" w:themeFillTint="66"/>
            <w:vAlign w:val="bottom"/>
            <w:hideMark/>
          </w:tcPr>
          <w:p w14:paraId="158A4016" w14:textId="77777777" w:rsidR="00ED46E3" w:rsidRPr="006F6679" w:rsidRDefault="00ED46E3" w:rsidP="006D484A">
            <w:pPr>
              <w:spacing w:before="60" w:after="0"/>
              <w:ind w:firstLine="0"/>
              <w:jc w:val="left"/>
              <w:rPr>
                <w:rFonts w:eastAsia="Times New Roman" w:cs="Times New Roman"/>
                <w:color w:val="000000"/>
                <w:sz w:val="20"/>
                <w:szCs w:val="20"/>
              </w:rPr>
            </w:pPr>
            <w:r w:rsidRPr="006F6679">
              <w:rPr>
                <w:rFonts w:eastAsia="Times New Roman" w:cs="Times New Roman"/>
                <w:color w:val="000000"/>
                <w:sz w:val="20"/>
                <w:szCs w:val="20"/>
              </w:rPr>
              <w:t> </w:t>
            </w:r>
          </w:p>
        </w:tc>
        <w:tc>
          <w:tcPr>
            <w:tcW w:w="1947" w:type="dxa"/>
            <w:shd w:val="clear" w:color="auto" w:fill="BDD6EE" w:themeFill="accent1" w:themeFillTint="66"/>
          </w:tcPr>
          <w:p w14:paraId="73C941B7" w14:textId="77777777" w:rsidR="00ED46E3" w:rsidRPr="006F6679" w:rsidRDefault="00ED46E3" w:rsidP="006D484A">
            <w:pPr>
              <w:spacing w:before="60" w:after="0"/>
              <w:ind w:firstLine="0"/>
              <w:jc w:val="center"/>
              <w:rPr>
                <w:rFonts w:eastAsia="Times New Roman" w:cs="Times New Roman"/>
                <w:b/>
                <w:bCs/>
                <w:color w:val="000000"/>
                <w:sz w:val="20"/>
                <w:szCs w:val="20"/>
              </w:rPr>
            </w:pPr>
          </w:p>
        </w:tc>
        <w:tc>
          <w:tcPr>
            <w:tcW w:w="1068" w:type="dxa"/>
            <w:shd w:val="clear" w:color="auto" w:fill="BDD6EE" w:themeFill="accent1" w:themeFillTint="66"/>
            <w:noWrap/>
            <w:vAlign w:val="center"/>
            <w:hideMark/>
          </w:tcPr>
          <w:p w14:paraId="0AEAEC64" w14:textId="77777777" w:rsidR="00ED46E3" w:rsidRPr="006F6679" w:rsidRDefault="00ED46E3" w:rsidP="006D484A">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2026</w:t>
            </w:r>
          </w:p>
        </w:tc>
        <w:tc>
          <w:tcPr>
            <w:tcW w:w="1068" w:type="dxa"/>
            <w:shd w:val="clear" w:color="auto" w:fill="BDD6EE" w:themeFill="accent1" w:themeFillTint="66"/>
            <w:noWrap/>
            <w:vAlign w:val="center"/>
            <w:hideMark/>
          </w:tcPr>
          <w:p w14:paraId="717B62CF" w14:textId="77777777" w:rsidR="00ED46E3" w:rsidRPr="006F6679" w:rsidRDefault="00ED46E3" w:rsidP="006D484A">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2027</w:t>
            </w:r>
          </w:p>
        </w:tc>
        <w:tc>
          <w:tcPr>
            <w:tcW w:w="1069" w:type="dxa"/>
            <w:shd w:val="clear" w:color="auto" w:fill="BDD6EE" w:themeFill="accent1" w:themeFillTint="66"/>
            <w:vAlign w:val="center"/>
          </w:tcPr>
          <w:p w14:paraId="258A9F07" w14:textId="77777777" w:rsidR="00ED46E3" w:rsidRPr="006F6679" w:rsidRDefault="00ED46E3" w:rsidP="006D484A">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2028</w:t>
            </w:r>
          </w:p>
        </w:tc>
      </w:tr>
      <w:tr w:rsidR="00ED46E3" w:rsidRPr="00825D14" w14:paraId="6A2779C0" w14:textId="77777777" w:rsidTr="006D484A">
        <w:trPr>
          <w:trHeight w:val="20"/>
          <w:jc w:val="center"/>
        </w:trPr>
        <w:tc>
          <w:tcPr>
            <w:tcW w:w="3362" w:type="dxa"/>
            <w:vAlign w:val="center"/>
          </w:tcPr>
          <w:p w14:paraId="70D96E08" w14:textId="77777777" w:rsidR="00ED46E3" w:rsidRPr="008D26A0" w:rsidRDefault="00ED46E3" w:rsidP="00ED46E3">
            <w:pPr>
              <w:spacing w:before="60" w:after="0"/>
              <w:ind w:firstLine="0"/>
              <w:jc w:val="left"/>
              <w:rPr>
                <w:rFonts w:eastAsia="Times New Roman" w:cs="Times New Roman"/>
                <w:color w:val="000000"/>
                <w:sz w:val="20"/>
                <w:szCs w:val="20"/>
              </w:rPr>
            </w:pPr>
            <w:r w:rsidRPr="008D26A0">
              <w:rPr>
                <w:rFonts w:eastAsia="Times New Roman" w:cs="Times New Roman"/>
                <w:color w:val="000000"/>
                <w:sz w:val="20"/>
                <w:szCs w:val="20"/>
              </w:rPr>
              <w:t>FDL strukturālās bilances nosacījums, % no IKP</w:t>
            </w:r>
          </w:p>
        </w:tc>
        <w:tc>
          <w:tcPr>
            <w:tcW w:w="1947" w:type="dxa"/>
            <w:vAlign w:val="center"/>
          </w:tcPr>
          <w:p w14:paraId="605F1361" w14:textId="77777777" w:rsidR="00ED46E3" w:rsidRPr="006F6679" w:rsidRDefault="00ED46E3" w:rsidP="00ED46E3">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(1)</w:t>
            </w:r>
          </w:p>
        </w:tc>
        <w:tc>
          <w:tcPr>
            <w:tcW w:w="1068" w:type="dxa"/>
            <w:noWrap/>
            <w:vAlign w:val="center"/>
          </w:tcPr>
          <w:p w14:paraId="3A774E6C" w14:textId="7369F1A0" w:rsidR="00ED46E3" w:rsidRPr="008D26A0" w:rsidRDefault="00ED46E3" w:rsidP="00ED46E3">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-1,48</w:t>
            </w:r>
          </w:p>
        </w:tc>
        <w:tc>
          <w:tcPr>
            <w:tcW w:w="1068" w:type="dxa"/>
            <w:noWrap/>
            <w:vAlign w:val="center"/>
          </w:tcPr>
          <w:p w14:paraId="0E086B71" w14:textId="19D0870E" w:rsidR="00ED46E3" w:rsidRPr="008D26A0" w:rsidRDefault="00ED46E3" w:rsidP="00ED46E3">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-2,10</w:t>
            </w:r>
          </w:p>
        </w:tc>
        <w:tc>
          <w:tcPr>
            <w:tcW w:w="1069" w:type="dxa"/>
            <w:vAlign w:val="center"/>
          </w:tcPr>
          <w:p w14:paraId="740E783C" w14:textId="1407174A" w:rsidR="00ED46E3" w:rsidRPr="008D26A0" w:rsidRDefault="00ED46E3" w:rsidP="00ED46E3">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-2,00</w:t>
            </w:r>
          </w:p>
        </w:tc>
      </w:tr>
      <w:tr w:rsidR="00ED46E3" w:rsidRPr="00825D14" w14:paraId="5F178396" w14:textId="77777777" w:rsidTr="006D484A">
        <w:trPr>
          <w:trHeight w:val="20"/>
          <w:jc w:val="center"/>
        </w:trPr>
        <w:tc>
          <w:tcPr>
            <w:tcW w:w="3362" w:type="dxa"/>
            <w:vAlign w:val="center"/>
          </w:tcPr>
          <w:p w14:paraId="0776A095" w14:textId="77777777" w:rsidR="00ED46E3" w:rsidRPr="008D26A0" w:rsidRDefault="00ED46E3" w:rsidP="00ED46E3">
            <w:pPr>
              <w:spacing w:before="60" w:after="0"/>
              <w:ind w:firstLine="0"/>
              <w:jc w:val="left"/>
              <w:rPr>
                <w:rFonts w:eastAsia="Times New Roman" w:cs="Times New Roman"/>
                <w:color w:val="000000"/>
                <w:sz w:val="20"/>
                <w:szCs w:val="20"/>
              </w:rPr>
            </w:pPr>
            <w:r w:rsidRPr="008D26A0">
              <w:rPr>
                <w:rFonts w:eastAsia="Times New Roman" w:cs="Times New Roman"/>
                <w:color w:val="000000"/>
                <w:sz w:val="20"/>
                <w:szCs w:val="20"/>
              </w:rPr>
              <w:t>ES strukturālās primārās bilances nosacījums, % no IKP</w:t>
            </w:r>
          </w:p>
        </w:tc>
        <w:tc>
          <w:tcPr>
            <w:tcW w:w="1947" w:type="dxa"/>
            <w:vAlign w:val="center"/>
          </w:tcPr>
          <w:p w14:paraId="6CFB21D5" w14:textId="77777777" w:rsidR="00ED46E3" w:rsidRPr="006F6679" w:rsidRDefault="00ED46E3" w:rsidP="00ED46E3">
            <w:pPr>
              <w:spacing w:before="60" w:after="0"/>
              <w:ind w:firstLine="0"/>
              <w:jc w:val="center"/>
              <w:rPr>
                <w:rFonts w:eastAsia="Times New Roman" w:cs="Times New Roman"/>
                <w:b/>
                <w:bCs/>
                <w:color w:val="000000"/>
                <w:sz w:val="20"/>
                <w:szCs w:val="20"/>
              </w:rPr>
            </w:pPr>
            <w:r w:rsidRPr="006F6679">
              <w:rPr>
                <w:rFonts w:eastAsia="Times New Roman" w:cs="Times New Roman"/>
                <w:color w:val="000000"/>
                <w:sz w:val="20"/>
                <w:szCs w:val="20"/>
              </w:rPr>
              <w:t>(2)</w:t>
            </w:r>
          </w:p>
        </w:tc>
        <w:tc>
          <w:tcPr>
            <w:tcW w:w="1068" w:type="dxa"/>
            <w:noWrap/>
            <w:vAlign w:val="center"/>
          </w:tcPr>
          <w:p w14:paraId="794DE0EF" w14:textId="18E5507E" w:rsidR="00ED46E3" w:rsidRPr="008D26A0" w:rsidRDefault="00ED46E3" w:rsidP="00ED46E3">
            <w:pPr>
              <w:spacing w:before="60" w:after="0"/>
              <w:ind w:firstLine="0"/>
              <w:jc w:val="center"/>
              <w:rPr>
                <w:rFonts w:eastAsia="Times New Roman" w:cs="Times New Roman"/>
                <w:b/>
                <w:bCs/>
                <w:color w:val="000000"/>
                <w:sz w:val="20"/>
                <w:szCs w:val="20"/>
              </w:rPr>
            </w:pPr>
            <w:r w:rsidRPr="008D26A0">
              <w:rPr>
                <w:rFonts w:eastAsia="Times New Roman" w:cs="Times New Roman"/>
                <w:b/>
                <w:bCs/>
                <w:color w:val="000000"/>
                <w:sz w:val="20"/>
                <w:szCs w:val="20"/>
              </w:rPr>
              <w:t>-1,56</w:t>
            </w:r>
          </w:p>
        </w:tc>
        <w:tc>
          <w:tcPr>
            <w:tcW w:w="1068" w:type="dxa"/>
            <w:noWrap/>
            <w:vAlign w:val="center"/>
          </w:tcPr>
          <w:p w14:paraId="3BBB3B11" w14:textId="31782F81" w:rsidR="00ED46E3" w:rsidRPr="008D26A0" w:rsidRDefault="00ED46E3" w:rsidP="00ED46E3">
            <w:pPr>
              <w:spacing w:before="60" w:after="0"/>
              <w:ind w:firstLine="0"/>
              <w:jc w:val="center"/>
              <w:rPr>
                <w:rFonts w:eastAsia="Times New Roman" w:cs="Times New Roman"/>
                <w:b/>
                <w:bCs/>
                <w:color w:val="000000"/>
                <w:sz w:val="20"/>
                <w:szCs w:val="20"/>
              </w:rPr>
            </w:pPr>
            <w:r w:rsidRPr="008D26A0">
              <w:rPr>
                <w:rFonts w:eastAsia="Times New Roman" w:cs="Times New Roman"/>
                <w:b/>
                <w:bCs/>
                <w:color w:val="000000"/>
                <w:sz w:val="20"/>
                <w:szCs w:val="20"/>
              </w:rPr>
              <w:t>-2,24</w:t>
            </w:r>
          </w:p>
        </w:tc>
        <w:tc>
          <w:tcPr>
            <w:tcW w:w="1069" w:type="dxa"/>
            <w:vAlign w:val="center"/>
          </w:tcPr>
          <w:p w14:paraId="18D5D9F6" w14:textId="5E52385B" w:rsidR="00ED46E3" w:rsidRPr="008D26A0" w:rsidRDefault="00ED46E3" w:rsidP="00ED46E3">
            <w:pPr>
              <w:spacing w:before="60" w:after="0"/>
              <w:ind w:firstLine="0"/>
              <w:jc w:val="center"/>
              <w:rPr>
                <w:rFonts w:eastAsia="Times New Roman" w:cs="Times New Roman"/>
                <w:b/>
                <w:bCs/>
                <w:color w:val="000000"/>
                <w:sz w:val="20"/>
                <w:szCs w:val="20"/>
              </w:rPr>
            </w:pPr>
            <w:r w:rsidRPr="008D26A0">
              <w:rPr>
                <w:rFonts w:eastAsia="Times New Roman" w:cs="Times New Roman"/>
                <w:b/>
                <w:bCs/>
                <w:color w:val="000000"/>
                <w:sz w:val="20"/>
                <w:szCs w:val="20"/>
              </w:rPr>
              <w:t>-2,19</w:t>
            </w:r>
          </w:p>
        </w:tc>
      </w:tr>
      <w:tr w:rsidR="00ED46E3" w:rsidRPr="00825D14" w14:paraId="4E87E18D" w14:textId="77777777" w:rsidTr="006D484A">
        <w:trPr>
          <w:trHeight w:val="20"/>
          <w:jc w:val="center"/>
        </w:trPr>
        <w:tc>
          <w:tcPr>
            <w:tcW w:w="3362" w:type="dxa"/>
            <w:vAlign w:val="center"/>
          </w:tcPr>
          <w:p w14:paraId="24200DCD" w14:textId="77777777" w:rsidR="00ED46E3" w:rsidRPr="006F6679" w:rsidRDefault="00ED46E3" w:rsidP="00ED46E3">
            <w:pPr>
              <w:spacing w:before="60" w:after="0"/>
              <w:ind w:firstLine="0"/>
              <w:jc w:val="left"/>
              <w:rPr>
                <w:rFonts w:cs="Times New Roman"/>
                <w:sz w:val="20"/>
                <w:szCs w:val="20"/>
              </w:rPr>
            </w:pPr>
            <w:r w:rsidRPr="006F6679">
              <w:rPr>
                <w:rFonts w:eastAsia="Times New Roman" w:cs="Times New Roman"/>
                <w:color w:val="000000"/>
                <w:sz w:val="20"/>
                <w:szCs w:val="20"/>
              </w:rPr>
              <w:t>ES izdevumu pieauguma nosacījums, % no IKP</w:t>
            </w:r>
          </w:p>
        </w:tc>
        <w:tc>
          <w:tcPr>
            <w:tcW w:w="1947" w:type="dxa"/>
            <w:vAlign w:val="center"/>
          </w:tcPr>
          <w:p w14:paraId="7CBE320F" w14:textId="77777777" w:rsidR="00ED46E3" w:rsidRPr="006F6679" w:rsidRDefault="00ED46E3" w:rsidP="00ED46E3">
            <w:pPr>
              <w:spacing w:before="60" w:after="0"/>
              <w:ind w:firstLine="0"/>
              <w:jc w:val="center"/>
              <w:rPr>
                <w:rFonts w:cs="Times New Roman"/>
                <w:sz w:val="20"/>
                <w:szCs w:val="20"/>
              </w:rPr>
            </w:pPr>
            <w:r w:rsidRPr="006F6679">
              <w:rPr>
                <w:rFonts w:eastAsia="Times New Roman" w:cs="Times New Roman"/>
                <w:color w:val="000000"/>
                <w:sz w:val="20"/>
                <w:szCs w:val="20"/>
              </w:rPr>
              <w:t>(3)</w:t>
            </w:r>
          </w:p>
        </w:tc>
        <w:tc>
          <w:tcPr>
            <w:tcW w:w="1068" w:type="dxa"/>
            <w:noWrap/>
            <w:vAlign w:val="center"/>
          </w:tcPr>
          <w:p w14:paraId="27935952" w14:textId="0F260C73" w:rsidR="00ED46E3" w:rsidRPr="006F6679" w:rsidRDefault="00ED46E3" w:rsidP="00ED46E3">
            <w:pPr>
              <w:spacing w:before="60" w:after="0"/>
              <w:ind w:firstLine="0"/>
              <w:jc w:val="center"/>
              <w:rPr>
                <w:rFonts w:cs="Times New Roman"/>
                <w:sz w:val="20"/>
                <w:szCs w:val="20"/>
              </w:rPr>
            </w:pPr>
            <w:r w:rsidRPr="006F6679">
              <w:rPr>
                <w:rFonts w:eastAsia="Times New Roman" w:cs="Times New Roman"/>
                <w:b/>
                <w:bCs/>
                <w:color w:val="000000"/>
                <w:sz w:val="20"/>
                <w:szCs w:val="20"/>
              </w:rPr>
              <w:t> -2,9</w:t>
            </w:r>
            <w:r w:rsidR="008D26A0" w:rsidRPr="006F6679">
              <w:rPr>
                <w:rFonts w:eastAsia="Times New Roman" w:cs="Times New Roman"/>
                <w:b/>
                <w:bCs/>
                <w:color w:val="000000"/>
                <w:sz w:val="20"/>
                <w:szCs w:val="20"/>
              </w:rPr>
              <w:t>1</w:t>
            </w:r>
          </w:p>
        </w:tc>
        <w:tc>
          <w:tcPr>
            <w:tcW w:w="1068" w:type="dxa"/>
            <w:noWrap/>
            <w:vAlign w:val="center"/>
          </w:tcPr>
          <w:p w14:paraId="5AD6599B" w14:textId="41B85AD7" w:rsidR="00ED46E3" w:rsidRPr="006F6679" w:rsidRDefault="00ED46E3" w:rsidP="00ED46E3">
            <w:pPr>
              <w:spacing w:before="60" w:after="0"/>
              <w:ind w:firstLine="0"/>
              <w:jc w:val="center"/>
              <w:rPr>
                <w:rFonts w:cs="Times New Roman"/>
                <w:sz w:val="20"/>
                <w:szCs w:val="20"/>
              </w:rPr>
            </w:pPr>
            <w:r w:rsidRPr="006F6679">
              <w:rPr>
                <w:rFonts w:eastAsia="Times New Roman" w:cs="Times New Roman"/>
                <w:b/>
                <w:bCs/>
                <w:color w:val="000000"/>
                <w:sz w:val="20"/>
                <w:szCs w:val="20"/>
              </w:rPr>
              <w:t>-3,</w:t>
            </w:r>
            <w:r w:rsidR="008D26A0" w:rsidRPr="006F6679">
              <w:rPr>
                <w:rFonts w:eastAsia="Times New Roman" w:cs="Times New Roman"/>
                <w:b/>
                <w:bCs/>
                <w:color w:val="000000"/>
                <w:sz w:val="20"/>
                <w:szCs w:val="20"/>
              </w:rPr>
              <w:t>58</w:t>
            </w:r>
          </w:p>
        </w:tc>
        <w:tc>
          <w:tcPr>
            <w:tcW w:w="1069" w:type="dxa"/>
            <w:vAlign w:val="center"/>
          </w:tcPr>
          <w:p w14:paraId="6C387FB3" w14:textId="5881B362" w:rsidR="00ED46E3" w:rsidRPr="006F6679" w:rsidRDefault="00ED46E3" w:rsidP="00ED46E3">
            <w:pPr>
              <w:spacing w:before="60" w:after="0"/>
              <w:ind w:firstLine="0"/>
              <w:jc w:val="center"/>
              <w:rPr>
                <w:rFonts w:cs="Times New Roman"/>
                <w:sz w:val="20"/>
                <w:szCs w:val="20"/>
              </w:rPr>
            </w:pPr>
            <w:r w:rsidRPr="006F6679">
              <w:rPr>
                <w:rFonts w:eastAsia="Times New Roman" w:cs="Times New Roman"/>
                <w:b/>
                <w:bCs/>
                <w:color w:val="000000"/>
                <w:sz w:val="20"/>
                <w:szCs w:val="20"/>
              </w:rPr>
              <w:t>-3,</w:t>
            </w:r>
            <w:r w:rsidR="008D26A0" w:rsidRPr="006F6679">
              <w:rPr>
                <w:rFonts w:eastAsia="Times New Roman" w:cs="Times New Roman"/>
                <w:b/>
                <w:bCs/>
                <w:color w:val="000000"/>
                <w:sz w:val="20"/>
                <w:szCs w:val="20"/>
              </w:rPr>
              <w:t>11</w:t>
            </w:r>
          </w:p>
        </w:tc>
      </w:tr>
      <w:tr w:rsidR="00ED46E3" w:rsidRPr="00825D14" w14:paraId="55D81C48" w14:textId="77777777" w:rsidTr="006D484A">
        <w:trPr>
          <w:trHeight w:val="20"/>
          <w:jc w:val="center"/>
        </w:trPr>
        <w:tc>
          <w:tcPr>
            <w:tcW w:w="3362" w:type="dxa"/>
            <w:vAlign w:val="center"/>
          </w:tcPr>
          <w:p w14:paraId="4DE4AAE0" w14:textId="77777777" w:rsidR="00ED46E3" w:rsidRPr="008D26A0" w:rsidRDefault="00ED46E3" w:rsidP="00ED46E3">
            <w:pPr>
              <w:spacing w:before="60" w:after="0"/>
              <w:ind w:firstLine="0"/>
              <w:jc w:val="left"/>
              <w:rPr>
                <w:rFonts w:cs="Times New Roman"/>
                <w:sz w:val="20"/>
                <w:szCs w:val="20"/>
              </w:rPr>
            </w:pPr>
            <w:r w:rsidRPr="008D26A0">
              <w:rPr>
                <w:rFonts w:eastAsia="Times New Roman" w:cs="Times New Roman"/>
                <w:color w:val="000000"/>
                <w:sz w:val="20"/>
                <w:szCs w:val="20"/>
              </w:rPr>
              <w:t>Nominālās bilances nosacījums, % no IKP</w:t>
            </w:r>
          </w:p>
        </w:tc>
        <w:tc>
          <w:tcPr>
            <w:tcW w:w="1947" w:type="dxa"/>
            <w:vAlign w:val="center"/>
          </w:tcPr>
          <w:p w14:paraId="587C263F" w14:textId="77777777" w:rsidR="00ED46E3" w:rsidRPr="006F6679" w:rsidRDefault="00ED46E3" w:rsidP="00ED46E3">
            <w:pPr>
              <w:spacing w:before="60" w:after="0"/>
              <w:ind w:firstLine="0"/>
              <w:jc w:val="center"/>
              <w:rPr>
                <w:rFonts w:cs="Times New Roman"/>
                <w:sz w:val="20"/>
                <w:szCs w:val="20"/>
              </w:rPr>
            </w:pPr>
            <w:r w:rsidRPr="006F6679">
              <w:rPr>
                <w:rFonts w:eastAsia="Times New Roman" w:cs="Times New Roman"/>
                <w:color w:val="000000"/>
                <w:sz w:val="20"/>
                <w:szCs w:val="20"/>
              </w:rPr>
              <w:t>(4)</w:t>
            </w:r>
          </w:p>
        </w:tc>
        <w:tc>
          <w:tcPr>
            <w:tcW w:w="1068" w:type="dxa"/>
            <w:noWrap/>
            <w:vAlign w:val="center"/>
          </w:tcPr>
          <w:p w14:paraId="2DD414AE" w14:textId="4CA67D09" w:rsidR="00ED46E3" w:rsidRPr="008D26A0" w:rsidRDefault="00ED46E3" w:rsidP="00ED46E3">
            <w:pPr>
              <w:spacing w:before="60" w:after="0"/>
              <w:ind w:firstLine="0"/>
              <w:jc w:val="center"/>
              <w:rPr>
                <w:rFonts w:cs="Times New Roman"/>
                <w:sz w:val="20"/>
                <w:szCs w:val="20"/>
              </w:rPr>
            </w:pPr>
            <w:r w:rsidRPr="008D26A0">
              <w:rPr>
                <w:rFonts w:eastAsia="Times New Roman" w:cs="Times New Roman"/>
                <w:b/>
                <w:bCs/>
                <w:color w:val="000000" w:themeColor="text1"/>
                <w:sz w:val="20"/>
                <w:szCs w:val="20"/>
              </w:rPr>
              <w:t>-1,51</w:t>
            </w:r>
          </w:p>
        </w:tc>
        <w:tc>
          <w:tcPr>
            <w:tcW w:w="1068" w:type="dxa"/>
            <w:noWrap/>
            <w:vAlign w:val="center"/>
          </w:tcPr>
          <w:p w14:paraId="3C2A303A" w14:textId="64AA886A" w:rsidR="00ED46E3" w:rsidRPr="008D26A0" w:rsidRDefault="00ED46E3" w:rsidP="00ED46E3">
            <w:pPr>
              <w:spacing w:before="60" w:after="0"/>
              <w:ind w:firstLine="0"/>
              <w:jc w:val="center"/>
              <w:rPr>
                <w:rFonts w:cs="Times New Roman"/>
                <w:sz w:val="20"/>
                <w:szCs w:val="20"/>
              </w:rPr>
            </w:pPr>
            <w:r w:rsidRPr="008D26A0">
              <w:rPr>
                <w:rFonts w:eastAsia="Times New Roman" w:cs="Times New Roman"/>
                <w:b/>
                <w:bCs/>
                <w:color w:val="000000" w:themeColor="text1"/>
                <w:sz w:val="20"/>
                <w:szCs w:val="20"/>
              </w:rPr>
              <w:t>-2,23</w:t>
            </w:r>
          </w:p>
        </w:tc>
        <w:tc>
          <w:tcPr>
            <w:tcW w:w="1069" w:type="dxa"/>
            <w:vAlign w:val="center"/>
          </w:tcPr>
          <w:p w14:paraId="3988F2D1" w14:textId="2309A1A0" w:rsidR="00ED46E3" w:rsidRPr="008D26A0" w:rsidRDefault="00ED46E3" w:rsidP="00ED46E3">
            <w:pPr>
              <w:spacing w:before="60" w:after="0"/>
              <w:ind w:firstLine="0"/>
              <w:jc w:val="center"/>
              <w:rPr>
                <w:rFonts w:cs="Times New Roman"/>
                <w:sz w:val="20"/>
                <w:szCs w:val="20"/>
              </w:rPr>
            </w:pPr>
            <w:r w:rsidRPr="008D26A0">
              <w:rPr>
                <w:rFonts w:eastAsia="Times New Roman" w:cs="Times New Roman"/>
                <w:b/>
                <w:bCs/>
                <w:color w:val="000000" w:themeColor="text1"/>
                <w:sz w:val="20"/>
                <w:szCs w:val="20"/>
              </w:rPr>
              <w:t>-2,32</w:t>
            </w:r>
          </w:p>
        </w:tc>
      </w:tr>
      <w:tr w:rsidR="00ED46E3" w:rsidRPr="00825D14" w14:paraId="5BB536CB" w14:textId="77777777" w:rsidTr="00CF43D4">
        <w:trPr>
          <w:trHeight w:val="20"/>
          <w:jc w:val="center"/>
        </w:trPr>
        <w:tc>
          <w:tcPr>
            <w:tcW w:w="3362" w:type="dxa"/>
            <w:shd w:val="clear" w:color="auto" w:fill="BDD6EE" w:themeFill="accent1" w:themeFillTint="66"/>
            <w:vAlign w:val="center"/>
          </w:tcPr>
          <w:p w14:paraId="5EC1E69F" w14:textId="77777777" w:rsidR="00ED46E3" w:rsidRPr="008D26A0" w:rsidRDefault="00ED46E3" w:rsidP="00ED46E3">
            <w:pPr>
              <w:spacing w:before="60" w:after="60"/>
              <w:ind w:firstLine="0"/>
              <w:jc w:val="left"/>
              <w:rPr>
                <w:rFonts w:eastAsia="Times New Roman" w:cs="Times New Roman"/>
                <w:b/>
                <w:bCs/>
                <w:color w:val="000000" w:themeColor="text1"/>
                <w:sz w:val="20"/>
                <w:szCs w:val="20"/>
              </w:rPr>
            </w:pPr>
            <w:r w:rsidRPr="008D26A0">
              <w:rPr>
                <w:rFonts w:eastAsia="Times New Roman" w:cs="Times New Roman"/>
                <w:b/>
                <w:bCs/>
                <w:color w:val="000000" w:themeColor="text1"/>
                <w:sz w:val="20"/>
                <w:szCs w:val="20"/>
              </w:rPr>
              <w:t xml:space="preserve">Vispārējās valdības budžeta strukturālās bilances mērķis, </w:t>
            </w:r>
          </w:p>
          <w:p w14:paraId="4FB95440" w14:textId="77777777" w:rsidR="00ED46E3" w:rsidRPr="008D26A0" w:rsidRDefault="00ED46E3" w:rsidP="00ED46E3">
            <w:pPr>
              <w:spacing w:before="60" w:after="0"/>
              <w:ind w:firstLine="0"/>
              <w:jc w:val="left"/>
              <w:rPr>
                <w:rFonts w:eastAsia="Times New Roman" w:cs="Times New Roman"/>
                <w:b/>
                <w:bCs/>
                <w:color w:val="000000"/>
                <w:sz w:val="20"/>
                <w:szCs w:val="20"/>
              </w:rPr>
            </w:pPr>
            <w:r w:rsidRPr="008D26A0">
              <w:rPr>
                <w:rFonts w:eastAsia="Times New Roman" w:cs="Times New Roman"/>
                <w:b/>
                <w:bCs/>
                <w:color w:val="000000" w:themeColor="text1"/>
                <w:sz w:val="20"/>
                <w:szCs w:val="20"/>
              </w:rPr>
              <w:t>% no IKP</w:t>
            </w:r>
          </w:p>
        </w:tc>
        <w:tc>
          <w:tcPr>
            <w:tcW w:w="1947" w:type="dxa"/>
            <w:shd w:val="clear" w:color="auto" w:fill="BDD6EE" w:themeFill="accent1" w:themeFillTint="66"/>
            <w:vAlign w:val="center"/>
          </w:tcPr>
          <w:p w14:paraId="13E20A12" w14:textId="77777777" w:rsidR="00ED46E3" w:rsidRPr="006F6679" w:rsidRDefault="00ED46E3" w:rsidP="00ED46E3">
            <w:pPr>
              <w:spacing w:before="60" w:after="0"/>
              <w:ind w:firstLine="0"/>
              <w:jc w:val="center"/>
              <w:rPr>
                <w:rFonts w:eastAsia="Times New Roman" w:cs="Times New Roman"/>
                <w:b/>
                <w:bCs/>
                <w:color w:val="000000"/>
                <w:sz w:val="20"/>
                <w:szCs w:val="20"/>
              </w:rPr>
            </w:pPr>
            <w:r w:rsidRPr="006F6679">
              <w:rPr>
                <w:rFonts w:eastAsia="Times New Roman" w:cs="Times New Roman"/>
                <w:b/>
                <w:bCs/>
                <w:color w:val="000000"/>
                <w:sz w:val="20"/>
                <w:szCs w:val="20"/>
              </w:rPr>
              <w:t>(5)=max((1);(2);(3);(4))</w:t>
            </w:r>
          </w:p>
        </w:tc>
        <w:tc>
          <w:tcPr>
            <w:tcW w:w="1068" w:type="dxa"/>
            <w:shd w:val="clear" w:color="auto" w:fill="BDD6EE" w:themeFill="accent1" w:themeFillTint="66"/>
            <w:noWrap/>
            <w:vAlign w:val="center"/>
          </w:tcPr>
          <w:p w14:paraId="61A920D0" w14:textId="27042272" w:rsidR="00ED46E3" w:rsidRPr="008D26A0" w:rsidRDefault="00ED46E3" w:rsidP="00ED46E3">
            <w:pPr>
              <w:spacing w:before="60" w:after="0"/>
              <w:ind w:firstLine="0"/>
              <w:jc w:val="center"/>
              <w:rPr>
                <w:rFonts w:eastAsia="Times New Roman" w:cs="Times New Roman"/>
                <w:b/>
                <w:bCs/>
                <w:color w:val="000000" w:themeColor="text1"/>
                <w:sz w:val="20"/>
                <w:szCs w:val="20"/>
              </w:rPr>
            </w:pPr>
            <w:r w:rsidRPr="006F6679">
              <w:rPr>
                <w:rFonts w:eastAsia="Times New Roman" w:cs="Times New Roman"/>
                <w:b/>
                <w:bCs/>
                <w:color w:val="000000"/>
                <w:sz w:val="20"/>
                <w:szCs w:val="20"/>
              </w:rPr>
              <w:t>-1,48</w:t>
            </w:r>
          </w:p>
        </w:tc>
        <w:tc>
          <w:tcPr>
            <w:tcW w:w="1068" w:type="dxa"/>
            <w:shd w:val="clear" w:color="auto" w:fill="BDD6EE" w:themeFill="accent1" w:themeFillTint="66"/>
            <w:noWrap/>
            <w:vAlign w:val="center"/>
          </w:tcPr>
          <w:p w14:paraId="305CC852" w14:textId="7202E8B7" w:rsidR="00ED46E3" w:rsidRPr="008D26A0" w:rsidRDefault="00ED46E3" w:rsidP="00ED46E3">
            <w:pPr>
              <w:spacing w:before="60" w:after="0"/>
              <w:ind w:firstLine="0"/>
              <w:jc w:val="center"/>
              <w:rPr>
                <w:rFonts w:eastAsia="Times New Roman" w:cs="Times New Roman"/>
                <w:b/>
                <w:bCs/>
                <w:color w:val="000000" w:themeColor="text1"/>
                <w:sz w:val="20"/>
                <w:szCs w:val="20"/>
              </w:rPr>
            </w:pPr>
            <w:r w:rsidRPr="006F6679">
              <w:rPr>
                <w:rFonts w:eastAsia="Times New Roman" w:cs="Times New Roman"/>
                <w:b/>
                <w:bCs/>
                <w:color w:val="000000"/>
                <w:sz w:val="20"/>
                <w:szCs w:val="20"/>
              </w:rPr>
              <w:t>-2,10</w:t>
            </w:r>
          </w:p>
        </w:tc>
        <w:tc>
          <w:tcPr>
            <w:tcW w:w="1069" w:type="dxa"/>
            <w:shd w:val="clear" w:color="auto" w:fill="BDD6EE" w:themeFill="accent1" w:themeFillTint="66"/>
            <w:vAlign w:val="center"/>
          </w:tcPr>
          <w:p w14:paraId="727DB5D2" w14:textId="3A34F1E8" w:rsidR="00ED46E3" w:rsidRPr="008D26A0" w:rsidRDefault="00ED46E3" w:rsidP="00ED46E3">
            <w:pPr>
              <w:spacing w:before="60" w:after="0"/>
              <w:ind w:firstLine="0"/>
              <w:jc w:val="center"/>
              <w:rPr>
                <w:rFonts w:eastAsia="Times New Roman" w:cs="Times New Roman"/>
                <w:b/>
                <w:bCs/>
                <w:color w:val="000000" w:themeColor="text1"/>
                <w:sz w:val="20"/>
                <w:szCs w:val="20"/>
              </w:rPr>
            </w:pPr>
            <w:r w:rsidRPr="006F6679">
              <w:rPr>
                <w:rFonts w:eastAsia="Times New Roman" w:cs="Times New Roman"/>
                <w:b/>
                <w:bCs/>
                <w:color w:val="000000"/>
                <w:sz w:val="20"/>
                <w:szCs w:val="20"/>
              </w:rPr>
              <w:t>-2,00</w:t>
            </w:r>
          </w:p>
        </w:tc>
      </w:tr>
    </w:tbl>
    <w:p w14:paraId="098A3119" w14:textId="77777777" w:rsidR="00ED46E3" w:rsidRPr="00D8017D" w:rsidRDefault="00ED46E3" w:rsidP="008349F0">
      <w:pPr>
        <w:rPr>
          <w:rFonts w:cs="Times New Roman"/>
          <w:szCs w:val="24"/>
          <w:highlight w:val="lightGray"/>
        </w:rPr>
      </w:pPr>
    </w:p>
    <w:p w14:paraId="79CD6CD1" w14:textId="5DD15132" w:rsidR="00B53441" w:rsidRDefault="005F203B" w:rsidP="009427E1">
      <w:pPr>
        <w:rPr>
          <w:rFonts w:eastAsia="Times New Roman" w:cs="Times New Roman"/>
          <w:bCs/>
        </w:rPr>
      </w:pPr>
      <w:r w:rsidRPr="00C2090C">
        <w:rPr>
          <w:rFonts w:cs="Times New Roman"/>
          <w:szCs w:val="24"/>
        </w:rPr>
        <w:t xml:space="preserve">Ņemot </w:t>
      </w:r>
      <w:r w:rsidRPr="008D26A0">
        <w:rPr>
          <w:rFonts w:cs="Times New Roman"/>
          <w:szCs w:val="24"/>
        </w:rPr>
        <w:t xml:space="preserve">vērā </w:t>
      </w:r>
      <w:r w:rsidR="00C2090C" w:rsidRPr="006F6679">
        <w:rPr>
          <w:rFonts w:cs="Times New Roman"/>
          <w:szCs w:val="24"/>
        </w:rPr>
        <w:t>2.1</w:t>
      </w:r>
      <w:r w:rsidR="007A1AB1" w:rsidRPr="006F6679">
        <w:rPr>
          <w:rFonts w:cs="Times New Roman"/>
          <w:szCs w:val="24"/>
        </w:rPr>
        <w:t>4</w:t>
      </w:r>
      <w:r w:rsidRPr="008D26A0">
        <w:rPr>
          <w:rFonts w:cs="Times New Roman"/>
          <w:szCs w:val="24"/>
        </w:rPr>
        <w:t>.</w:t>
      </w:r>
      <w:r w:rsidRPr="00C2090C">
        <w:rPr>
          <w:rFonts w:cs="Times New Roman"/>
          <w:szCs w:val="24"/>
        </w:rPr>
        <w:t xml:space="preserve"> tabulā norādīto, </w:t>
      </w:r>
      <w:r w:rsidRPr="00C2090C">
        <w:rPr>
          <w:rFonts w:eastAsia="Times New Roman" w:cs="Times New Roman"/>
          <w:b/>
        </w:rPr>
        <w:t xml:space="preserve">vispārējās valdības budžeta </w:t>
      </w:r>
      <w:r w:rsidRPr="00C2090C">
        <w:rPr>
          <w:rFonts w:cs="Times New Roman"/>
          <w:b/>
          <w:bCs/>
          <w:szCs w:val="24"/>
        </w:rPr>
        <w:t xml:space="preserve">strukturālās bilances mērķis, kas izpilda visus </w:t>
      </w:r>
      <w:r w:rsidR="00C2090C">
        <w:rPr>
          <w:rFonts w:cs="Times New Roman"/>
          <w:b/>
          <w:bCs/>
          <w:szCs w:val="24"/>
        </w:rPr>
        <w:t xml:space="preserve">fiskālos četrus </w:t>
      </w:r>
      <w:r w:rsidRPr="00C2090C">
        <w:rPr>
          <w:rFonts w:cs="Times New Roman"/>
          <w:b/>
          <w:bCs/>
          <w:szCs w:val="24"/>
        </w:rPr>
        <w:t xml:space="preserve">nosacījumus, </w:t>
      </w:r>
      <w:r w:rsidRPr="00C2090C">
        <w:rPr>
          <w:rFonts w:eastAsia="Times New Roman" w:cs="Times New Roman"/>
          <w:bCs/>
        </w:rPr>
        <w:t>202</w:t>
      </w:r>
      <w:r w:rsidR="00C2090C">
        <w:rPr>
          <w:rFonts w:eastAsia="Times New Roman" w:cs="Times New Roman"/>
          <w:bCs/>
        </w:rPr>
        <w:t>6</w:t>
      </w:r>
      <w:r w:rsidRPr="00C2090C">
        <w:rPr>
          <w:rFonts w:eastAsia="Times New Roman" w:cs="Times New Roman"/>
          <w:bCs/>
        </w:rPr>
        <w:t>. – 2028. gadam tiek noteikts: -</w:t>
      </w:r>
      <w:r w:rsidR="00C2090C">
        <w:rPr>
          <w:rFonts w:eastAsia="Times New Roman" w:cs="Times New Roman"/>
          <w:b/>
        </w:rPr>
        <w:t>1,4</w:t>
      </w:r>
      <w:r w:rsidR="002C0C74">
        <w:rPr>
          <w:rFonts w:eastAsia="Times New Roman" w:cs="Times New Roman"/>
          <w:b/>
        </w:rPr>
        <w:t>8</w:t>
      </w:r>
      <w:r w:rsidRPr="00C2090C">
        <w:rPr>
          <w:rFonts w:eastAsia="Times New Roman" w:cs="Times New Roman"/>
          <w:b/>
        </w:rPr>
        <w:t>% no IKP 202</w:t>
      </w:r>
      <w:r w:rsidR="00C2090C">
        <w:rPr>
          <w:rFonts w:eastAsia="Times New Roman" w:cs="Times New Roman"/>
          <w:b/>
        </w:rPr>
        <w:t>6</w:t>
      </w:r>
      <w:r w:rsidRPr="00C2090C">
        <w:rPr>
          <w:rFonts w:eastAsia="Times New Roman" w:cs="Times New Roman"/>
          <w:b/>
        </w:rPr>
        <w:t>. gadam</w:t>
      </w:r>
      <w:r w:rsidRPr="00C2090C">
        <w:rPr>
          <w:rFonts w:eastAsia="Times New Roman" w:cs="Times New Roman"/>
          <w:bCs/>
        </w:rPr>
        <w:t xml:space="preserve">, </w:t>
      </w:r>
      <w:r w:rsidRPr="00C2090C">
        <w:rPr>
          <w:rFonts w:eastAsia="Times New Roman" w:cs="Times New Roman"/>
          <w:b/>
        </w:rPr>
        <w:t>-</w:t>
      </w:r>
      <w:r w:rsidR="00C2090C">
        <w:rPr>
          <w:rFonts w:eastAsia="Times New Roman" w:cs="Times New Roman"/>
          <w:b/>
        </w:rPr>
        <w:t>2,10</w:t>
      </w:r>
      <w:r w:rsidRPr="00C2090C">
        <w:rPr>
          <w:rFonts w:eastAsia="Times New Roman" w:cs="Times New Roman"/>
          <w:b/>
        </w:rPr>
        <w:t>% no IKP 202</w:t>
      </w:r>
      <w:r w:rsidR="00C2090C">
        <w:rPr>
          <w:rFonts w:eastAsia="Times New Roman" w:cs="Times New Roman"/>
          <w:b/>
        </w:rPr>
        <w:t>7</w:t>
      </w:r>
      <w:r w:rsidRPr="00C2090C">
        <w:rPr>
          <w:rFonts w:eastAsia="Times New Roman" w:cs="Times New Roman"/>
          <w:b/>
        </w:rPr>
        <w:t>. gadam</w:t>
      </w:r>
      <w:r w:rsidR="00C2090C">
        <w:rPr>
          <w:rFonts w:eastAsia="Times New Roman" w:cs="Times New Roman"/>
          <w:bCs/>
        </w:rPr>
        <w:t xml:space="preserve"> un</w:t>
      </w:r>
      <w:r w:rsidRPr="00C2090C">
        <w:rPr>
          <w:rFonts w:eastAsia="Times New Roman" w:cs="Times New Roman"/>
          <w:b/>
        </w:rPr>
        <w:t xml:space="preserve"> -</w:t>
      </w:r>
      <w:r w:rsidR="002C0C74">
        <w:rPr>
          <w:rFonts w:eastAsia="Times New Roman" w:cs="Times New Roman"/>
          <w:b/>
        </w:rPr>
        <w:t>2,00</w:t>
      </w:r>
      <w:r w:rsidRPr="00C2090C">
        <w:rPr>
          <w:rFonts w:eastAsia="Times New Roman" w:cs="Times New Roman"/>
          <w:b/>
        </w:rPr>
        <w:t>% no IKP 2028. gadam</w:t>
      </w:r>
      <w:r w:rsidRPr="00C2090C">
        <w:rPr>
          <w:rFonts w:eastAsia="Times New Roman" w:cs="Times New Roman"/>
          <w:bCs/>
        </w:rPr>
        <w:t>.</w:t>
      </w:r>
      <w:r w:rsidR="005735FB" w:rsidRPr="00C2090C">
        <w:rPr>
          <w:rFonts w:eastAsia="Times New Roman" w:cs="Times New Roman"/>
          <w:bCs/>
        </w:rPr>
        <w:t xml:space="preserve"> </w:t>
      </w:r>
    </w:p>
    <w:p w14:paraId="24A0A414" w14:textId="41C35893" w:rsidR="000B253D" w:rsidRPr="000B253D" w:rsidRDefault="009756E2" w:rsidP="000B253D">
      <w:pPr>
        <w:spacing w:after="240"/>
        <w:rPr>
          <w:rFonts w:eastAsia="Times New Roman" w:cs="Times New Roman"/>
          <w:bCs/>
        </w:rPr>
      </w:pPr>
      <w:r w:rsidRPr="00A067CB">
        <w:rPr>
          <w:rFonts w:eastAsia="Times New Roman" w:cs="Times New Roman"/>
          <w:bCs/>
        </w:rPr>
        <w:t>Strukturālās bilances mērķim atbilstošais valsts finansēto neto primāro izdevumu pieaugums 2026. gadā ir 5,245%, 2027. gadā 4,761% un 2028. gadā 3,925%.</w:t>
      </w:r>
      <w:bookmarkStart w:id="47" w:name="_Toc210289883"/>
    </w:p>
    <w:p w14:paraId="684EB4CA" w14:textId="1C9BEB5A" w:rsidR="003F3FCD" w:rsidRPr="00D8017D" w:rsidRDefault="00941601" w:rsidP="00CF0539">
      <w:pPr>
        <w:pStyle w:val="Heading3"/>
        <w:numPr>
          <w:ilvl w:val="0"/>
          <w:numId w:val="0"/>
        </w:numPr>
        <w:spacing w:before="120" w:after="240"/>
        <w:ind w:left="425"/>
      </w:pPr>
      <w:r w:rsidRPr="00D8017D">
        <w:t>2.1.2</w:t>
      </w:r>
      <w:r w:rsidR="00E8646E" w:rsidRPr="00D8017D">
        <w:t xml:space="preserve">. </w:t>
      </w:r>
      <w:r w:rsidR="005C40D0" w:rsidRPr="00D8017D">
        <w:t>Ietvara</w:t>
      </w:r>
      <w:r w:rsidR="000548A5" w:rsidRPr="00D8017D">
        <w:t xml:space="preserve"> maksimāli pieļaujamo valsts budžeta izdevumu noteikšana</w:t>
      </w:r>
      <w:bookmarkEnd w:id="47"/>
    </w:p>
    <w:p w14:paraId="0EF08331" w14:textId="022A23C5" w:rsidR="002B0006" w:rsidRPr="00D8017D" w:rsidRDefault="002B0006" w:rsidP="002B0006">
      <w:pPr>
        <w:widowControl w:val="0"/>
        <w:rPr>
          <w:rFonts w:eastAsia="Times New Roman" w:cs="Times New Roman"/>
        </w:rPr>
      </w:pPr>
      <w:r w:rsidRPr="00D8017D">
        <w:rPr>
          <w:rFonts w:eastAsia="Times New Roman" w:cs="Times New Roman"/>
        </w:rPr>
        <w:t xml:space="preserve">Likumprojektu </w:t>
      </w:r>
      <w:r w:rsidR="008675CC">
        <w:rPr>
          <w:rFonts w:eastAsia="Times New Roman" w:cs="Times New Roman"/>
        </w:rPr>
        <w:t>“</w:t>
      </w:r>
      <w:r w:rsidRPr="00D8017D">
        <w:rPr>
          <w:rFonts w:eastAsia="Times New Roman" w:cs="Times New Roman"/>
        </w:rPr>
        <w:t>Par valsts budžetu 2026. gadam un budžeta ietvaru 2026., 2027. un 2028. gadam</w:t>
      </w:r>
      <w:r w:rsidR="008675CC">
        <w:rPr>
          <w:rFonts w:eastAsia="Times New Roman" w:cs="Times New Roman"/>
        </w:rPr>
        <w:t>”</w:t>
      </w:r>
      <w:r w:rsidRPr="00D8017D">
        <w:rPr>
          <w:rFonts w:eastAsia="Times New Roman" w:cs="Times New Roman"/>
        </w:rPr>
        <w:t xml:space="preserve"> pavadošo likumprojektu paketē tiek virzīts likumprojekts </w:t>
      </w:r>
      <w:r w:rsidR="008675CC">
        <w:rPr>
          <w:rFonts w:eastAsia="Times New Roman" w:cs="Times New Roman"/>
        </w:rPr>
        <w:t>“</w:t>
      </w:r>
      <w:r w:rsidRPr="00D8017D">
        <w:rPr>
          <w:rFonts w:eastAsia="Times New Roman" w:cs="Times New Roman"/>
        </w:rPr>
        <w:t>Grozījumi Fiskālās disciplīnas likumā</w:t>
      </w:r>
      <w:r w:rsidR="008675CC">
        <w:rPr>
          <w:rFonts w:eastAsia="Times New Roman" w:cs="Times New Roman"/>
        </w:rPr>
        <w:t>”</w:t>
      </w:r>
      <w:r w:rsidRPr="00D8017D">
        <w:rPr>
          <w:rFonts w:eastAsia="Times New Roman" w:cs="Times New Roman"/>
        </w:rPr>
        <w:t xml:space="preserve"> (25-TA-2059). </w:t>
      </w:r>
    </w:p>
    <w:p w14:paraId="1103C738" w14:textId="4AB1BB88" w:rsidR="002B0006" w:rsidRPr="00D8017D" w:rsidRDefault="002B0006" w:rsidP="002B0006">
      <w:pPr>
        <w:widowControl w:val="0"/>
        <w:rPr>
          <w:rFonts w:eastAsia="Times New Roman" w:cs="Times New Roman"/>
        </w:rPr>
      </w:pPr>
      <w:r w:rsidRPr="00D8017D">
        <w:rPr>
          <w:rFonts w:eastAsia="Times New Roman" w:cs="Times New Roman"/>
        </w:rPr>
        <w:t>FDL bija paredzēts izdevumu izlīdzināšanas mehānisms, kura mērķis bija vidējā termiņā novērst augsti svārstīgu valsts budžeta izdevumu kategoriju ietekmi uz kopējo valsts budžeta izdevumu apmēru, tādejādi plānošanas fāzē nodrošinot izdevumu stabilitāti vidējā termiņā. Praksē ir pierādījies, ka šis mehānisms nestrādā, jo būtiskāku nenoteiktību rad</w:t>
      </w:r>
      <w:r w:rsidR="001443DC">
        <w:rPr>
          <w:rFonts w:eastAsia="Times New Roman" w:cs="Times New Roman"/>
        </w:rPr>
        <w:t>īja</w:t>
      </w:r>
      <w:r w:rsidRPr="00D8017D">
        <w:rPr>
          <w:rFonts w:eastAsia="Times New Roman" w:cs="Times New Roman"/>
        </w:rPr>
        <w:t xml:space="preserve"> fondu prognožu un izpildes atšķirības un virssaistību mehānisms. No regulējuma tiek izslēgts izdevumu izlīdzināšanas mehānisms un tiek veikti attiecīgie grozījumi 5. panta trešajā daļā, 7. panta otrajā daļā, 16. panta </w:t>
      </w:r>
      <w:r w:rsidRPr="00D8017D">
        <w:rPr>
          <w:rFonts w:eastAsia="Times New Roman" w:cs="Times New Roman"/>
        </w:rPr>
        <w:lastRenderedPageBreak/>
        <w:t>piektās daļas 2. punktā, kā arī tiek izslēgts 18. pants.</w:t>
      </w:r>
    </w:p>
    <w:p w14:paraId="19AFF1D6" w14:textId="5F34EBC1" w:rsidR="002B0006" w:rsidRPr="00D8017D" w:rsidRDefault="002B0006" w:rsidP="002B0006">
      <w:pPr>
        <w:widowControl w:val="0"/>
        <w:rPr>
          <w:rFonts w:eastAsia="Times New Roman" w:cs="Times New Roman"/>
        </w:rPr>
      </w:pPr>
      <w:r w:rsidRPr="00D8017D">
        <w:rPr>
          <w:rFonts w:eastAsia="Times New Roman" w:cs="Times New Roman"/>
        </w:rPr>
        <w:t>Līdz ar izdevumu izlīdzināšanas mehānisma izslēgšanu no regulējuma</w:t>
      </w:r>
      <w:r w:rsidR="00701243" w:rsidRPr="00D8017D">
        <w:rPr>
          <w:rFonts w:eastAsia="Times New Roman" w:cs="Times New Roman"/>
        </w:rPr>
        <w:t xml:space="preserve"> un citiem grozījumiem FDL pantos,</w:t>
      </w:r>
      <w:r w:rsidRPr="00D8017D">
        <w:rPr>
          <w:rFonts w:eastAsia="Times New Roman" w:cs="Times New Roman"/>
        </w:rPr>
        <w:t xml:space="preserve"> termin</w:t>
      </w:r>
      <w:r w:rsidR="00701243" w:rsidRPr="00D8017D">
        <w:rPr>
          <w:rFonts w:eastAsia="Times New Roman" w:cs="Times New Roman"/>
        </w:rPr>
        <w:t>s</w:t>
      </w:r>
      <w:r w:rsidRPr="00D8017D">
        <w:rPr>
          <w:rFonts w:eastAsia="Times New Roman" w:cs="Times New Roman"/>
        </w:rPr>
        <w:t xml:space="preserve"> “koriģētie maksimāli pieļaujamie valsts budžeta izdevumi” </w:t>
      </w:r>
      <w:r w:rsidR="00701243" w:rsidRPr="00D8017D">
        <w:rPr>
          <w:rFonts w:eastAsia="Times New Roman" w:cs="Times New Roman"/>
        </w:rPr>
        <w:t>tiek aizstāts ar “ietvara maksimāli pieļaujamie valsts budžeta izdevumi”</w:t>
      </w:r>
      <w:r w:rsidRPr="00D8017D">
        <w:rPr>
          <w:rFonts w:eastAsia="Times New Roman" w:cs="Times New Roman"/>
        </w:rPr>
        <w:t>.</w:t>
      </w:r>
    </w:p>
    <w:p w14:paraId="6DF6467C" w14:textId="7B2AFB10" w:rsidR="006B0A1E" w:rsidRPr="00D8017D" w:rsidRDefault="000226D6" w:rsidP="008349F0">
      <w:pPr>
        <w:widowControl w:val="0"/>
        <w:rPr>
          <w:rFonts w:eastAsia="Times New Roman" w:cs="Times New Roman"/>
        </w:rPr>
      </w:pPr>
      <w:r w:rsidRPr="00D8017D">
        <w:rPr>
          <w:rFonts w:eastAsia="Times New Roman" w:cs="Times New Roman"/>
        </w:rPr>
        <w:t xml:space="preserve">Atbilstoši </w:t>
      </w:r>
      <w:r w:rsidR="001D14A4" w:rsidRPr="00D8017D">
        <w:rPr>
          <w:rFonts w:eastAsia="Times New Roman" w:cs="Times New Roman"/>
        </w:rPr>
        <w:t>FDL</w:t>
      </w:r>
      <w:r w:rsidR="00071293" w:rsidRPr="00D8017D">
        <w:rPr>
          <w:rFonts w:eastAsia="Times New Roman" w:cs="Times New Roman"/>
        </w:rPr>
        <w:t xml:space="preserve"> nosacījumiem, </w:t>
      </w:r>
      <w:r w:rsidR="00701243" w:rsidRPr="00D8017D">
        <w:rPr>
          <w:rFonts w:eastAsia="Times New Roman" w:cs="Times New Roman"/>
        </w:rPr>
        <w:t xml:space="preserve">ietvara maksimāli pieļaujamos valsts budžeta izdevumus ir nepieciešams aprēķināt </w:t>
      </w:r>
      <w:r w:rsidR="00071293" w:rsidRPr="00D8017D">
        <w:rPr>
          <w:rFonts w:eastAsia="Times New Roman" w:cs="Times New Roman"/>
        </w:rPr>
        <w:t>līdztekus citi</w:t>
      </w:r>
      <w:r w:rsidRPr="00D8017D">
        <w:rPr>
          <w:rFonts w:eastAsia="Times New Roman" w:cs="Times New Roman"/>
        </w:rPr>
        <w:t>em fiskālajiem rādītājiem vidēja termiņa budžeta ietvara veidošanas</w:t>
      </w:r>
      <w:r w:rsidR="00071293" w:rsidRPr="00D8017D">
        <w:rPr>
          <w:rFonts w:eastAsia="Times New Roman" w:cs="Times New Roman"/>
        </w:rPr>
        <w:t xml:space="preserve"> ietvaros. Šī fiskālā rādītāja aprēķināšanas</w:t>
      </w:r>
      <w:r w:rsidRPr="00D8017D">
        <w:rPr>
          <w:rFonts w:eastAsia="Times New Roman" w:cs="Times New Roman"/>
        </w:rPr>
        <w:t xml:space="preserve"> vispārēj</w:t>
      </w:r>
      <w:r w:rsidR="00701243" w:rsidRPr="00D8017D">
        <w:rPr>
          <w:rFonts w:eastAsia="Times New Roman" w:cs="Times New Roman"/>
        </w:rPr>
        <w:t>ie</w:t>
      </w:r>
      <w:r w:rsidRPr="00D8017D">
        <w:rPr>
          <w:rFonts w:eastAsia="Times New Roman" w:cs="Times New Roman"/>
        </w:rPr>
        <w:t xml:space="preserve"> princip</w:t>
      </w:r>
      <w:r w:rsidR="00701243" w:rsidRPr="00D8017D">
        <w:rPr>
          <w:rFonts w:eastAsia="Times New Roman" w:cs="Times New Roman"/>
        </w:rPr>
        <w:t>i paliek nemainīgi un tie noteikti</w:t>
      </w:r>
      <w:r w:rsidRPr="00D8017D">
        <w:rPr>
          <w:rFonts w:eastAsia="Times New Roman" w:cs="Times New Roman"/>
        </w:rPr>
        <w:t xml:space="preserve"> </w:t>
      </w:r>
      <w:r w:rsidR="001D14A4" w:rsidRPr="00D8017D">
        <w:rPr>
          <w:rFonts w:eastAsia="Times New Roman" w:cs="Times New Roman"/>
        </w:rPr>
        <w:t>FDL</w:t>
      </w:r>
      <w:r w:rsidR="00071293" w:rsidRPr="00D8017D">
        <w:rPr>
          <w:rFonts w:eastAsia="Times New Roman" w:cs="Times New Roman"/>
        </w:rPr>
        <w:t xml:space="preserve"> 15.</w:t>
      </w:r>
      <w:r w:rsidRPr="00D8017D">
        <w:rPr>
          <w:rFonts w:eastAsia="Times New Roman" w:cs="Times New Roman"/>
        </w:rPr>
        <w:t xml:space="preserve"> </w:t>
      </w:r>
      <w:r w:rsidR="00071293" w:rsidRPr="00D8017D">
        <w:rPr>
          <w:rFonts w:eastAsia="Times New Roman" w:cs="Times New Roman"/>
        </w:rPr>
        <w:t>pant</w:t>
      </w:r>
      <w:r w:rsidR="00701243" w:rsidRPr="00D8017D">
        <w:rPr>
          <w:rFonts w:eastAsia="Times New Roman" w:cs="Times New Roman"/>
        </w:rPr>
        <w:t>ā</w:t>
      </w:r>
      <w:r w:rsidR="006B0A1E" w:rsidRPr="00D8017D">
        <w:rPr>
          <w:rFonts w:eastAsia="Times New Roman" w:cs="Times New Roman"/>
        </w:rPr>
        <w:t>.</w:t>
      </w:r>
    </w:p>
    <w:p w14:paraId="17BA19F3" w14:textId="31C75A55" w:rsidR="00071293" w:rsidRPr="00D8017D" w:rsidRDefault="008D26A0" w:rsidP="008349F0">
      <w:pPr>
        <w:widowControl w:val="0"/>
        <w:rPr>
          <w:rFonts w:eastAsia="Times New Roman" w:cs="Times New Roman"/>
        </w:rPr>
      </w:pPr>
      <w:r w:rsidRPr="006F6679">
        <w:rPr>
          <w:rFonts w:eastAsia="Times New Roman" w:cs="Times New Roman"/>
        </w:rPr>
        <w:t>2.15</w:t>
      </w:r>
      <w:r w:rsidR="006B0A1E" w:rsidRPr="006F6679">
        <w:rPr>
          <w:rFonts w:eastAsia="Times New Roman" w:cs="Times New Roman"/>
        </w:rPr>
        <w:t>. tabulā</w:t>
      </w:r>
      <w:r w:rsidR="006B0A1E" w:rsidRPr="00D8017D">
        <w:rPr>
          <w:rFonts w:eastAsia="Times New Roman" w:cs="Times New Roman"/>
        </w:rPr>
        <w:t xml:space="preserve"> ir parādīta </w:t>
      </w:r>
      <w:r w:rsidR="00701243" w:rsidRPr="00D8017D">
        <w:rPr>
          <w:rFonts w:eastAsia="Times New Roman" w:cs="Times New Roman"/>
        </w:rPr>
        <w:t>ietvara</w:t>
      </w:r>
      <w:r w:rsidR="006B0A1E" w:rsidRPr="00D8017D">
        <w:rPr>
          <w:rFonts w:eastAsia="Times New Roman" w:cs="Times New Roman"/>
        </w:rPr>
        <w:t xml:space="preserve"> izdevumu aprēķināšana saskaņā ar FDL noteikto kārtību</w:t>
      </w:r>
      <w:r w:rsidR="00701243" w:rsidRPr="00D8017D">
        <w:rPr>
          <w:rFonts w:eastAsia="Times New Roman" w:cs="Times New Roman"/>
        </w:rPr>
        <w:t xml:space="preserve">. </w:t>
      </w:r>
      <w:r w:rsidR="006B0A1E" w:rsidRPr="00D8017D">
        <w:rPr>
          <w:rFonts w:eastAsia="Times New Roman" w:cs="Times New Roman"/>
        </w:rPr>
        <w:t xml:space="preserve"> </w:t>
      </w:r>
    </w:p>
    <w:p w14:paraId="61E670E3" w14:textId="2A3D79AE" w:rsidR="008512C8" w:rsidRPr="00D8017D" w:rsidRDefault="008512C8" w:rsidP="008349F0">
      <w:pPr>
        <w:widowControl w:val="0"/>
        <w:rPr>
          <w:rFonts w:eastAsia="Times New Roman" w:cs="Times New Roman"/>
        </w:rPr>
      </w:pPr>
      <w:r w:rsidRPr="00D8017D">
        <w:rPr>
          <w:rFonts w:eastAsia="Times New Roman" w:cs="Times New Roman"/>
        </w:rPr>
        <w:t>Aprēķinu algoritms tiek uzsākts ar vispārējās valdības strukturālās bilances mērķa</w:t>
      </w:r>
      <w:r w:rsidR="00A678A3" w:rsidRPr="00D8017D">
        <w:rPr>
          <w:rFonts w:eastAsia="Times New Roman" w:cs="Times New Roman"/>
        </w:rPr>
        <w:t xml:space="preserve">, kas </w:t>
      </w:r>
      <w:r w:rsidR="00BD32F1" w:rsidRPr="00D8017D">
        <w:rPr>
          <w:rFonts w:eastAsia="Times New Roman" w:cs="Times New Roman"/>
        </w:rPr>
        <w:t>izpilda visus fiskālos nosacījumus,</w:t>
      </w:r>
      <w:r w:rsidRPr="00D8017D">
        <w:rPr>
          <w:rFonts w:eastAsia="Times New Roman" w:cs="Times New Roman"/>
        </w:rPr>
        <w:t xml:space="preserve"> definēšanu, kas saskaņā ar iepriekšējās sadaļas aprakstu ir -</w:t>
      </w:r>
      <w:r w:rsidR="00A678A3" w:rsidRPr="001443DC">
        <w:rPr>
          <w:rFonts w:eastAsia="Times New Roman" w:cs="Times New Roman"/>
        </w:rPr>
        <w:t>1,</w:t>
      </w:r>
      <w:r w:rsidR="001443DC">
        <w:rPr>
          <w:rFonts w:eastAsia="Times New Roman" w:cs="Times New Roman"/>
        </w:rPr>
        <w:t>4</w:t>
      </w:r>
      <w:r w:rsidR="00ED46E3">
        <w:rPr>
          <w:rFonts w:eastAsia="Times New Roman" w:cs="Times New Roman"/>
        </w:rPr>
        <w:t>8</w:t>
      </w:r>
      <w:r w:rsidRPr="00D8017D">
        <w:rPr>
          <w:rFonts w:eastAsia="Times New Roman" w:cs="Times New Roman"/>
        </w:rPr>
        <w:t>% no IKP 202</w:t>
      </w:r>
      <w:r w:rsidR="00A678A3" w:rsidRPr="00D8017D">
        <w:rPr>
          <w:rFonts w:eastAsia="Times New Roman" w:cs="Times New Roman"/>
        </w:rPr>
        <w:t>6</w:t>
      </w:r>
      <w:r w:rsidRPr="00D8017D">
        <w:rPr>
          <w:rFonts w:eastAsia="Times New Roman" w:cs="Times New Roman"/>
        </w:rPr>
        <w:t>. gadam, -</w:t>
      </w:r>
      <w:r w:rsidR="001443DC">
        <w:rPr>
          <w:rFonts w:eastAsia="Times New Roman" w:cs="Times New Roman"/>
        </w:rPr>
        <w:t>2,10</w:t>
      </w:r>
      <w:r w:rsidRPr="00D8017D">
        <w:rPr>
          <w:rFonts w:eastAsia="Times New Roman" w:cs="Times New Roman"/>
        </w:rPr>
        <w:t>% no IKP 202</w:t>
      </w:r>
      <w:r w:rsidR="00A678A3" w:rsidRPr="00D8017D">
        <w:rPr>
          <w:rFonts w:eastAsia="Times New Roman" w:cs="Times New Roman"/>
        </w:rPr>
        <w:t>7</w:t>
      </w:r>
      <w:r w:rsidRPr="00D8017D">
        <w:rPr>
          <w:rFonts w:eastAsia="Times New Roman" w:cs="Times New Roman"/>
        </w:rPr>
        <w:t>. gadam un -</w:t>
      </w:r>
      <w:r w:rsidR="00ED46E3">
        <w:rPr>
          <w:rFonts w:eastAsia="Times New Roman" w:cs="Times New Roman"/>
        </w:rPr>
        <w:t>2,00</w:t>
      </w:r>
      <w:r w:rsidRPr="00D8017D">
        <w:rPr>
          <w:rFonts w:eastAsia="Times New Roman" w:cs="Times New Roman"/>
        </w:rPr>
        <w:t>% no IKP 202</w:t>
      </w:r>
      <w:r w:rsidR="00A678A3" w:rsidRPr="00D8017D">
        <w:rPr>
          <w:rFonts w:eastAsia="Times New Roman" w:cs="Times New Roman"/>
        </w:rPr>
        <w:t>8</w:t>
      </w:r>
      <w:r w:rsidRPr="00D8017D">
        <w:rPr>
          <w:rFonts w:eastAsia="Times New Roman" w:cs="Times New Roman"/>
        </w:rPr>
        <w:t>. gadam.</w:t>
      </w:r>
    </w:p>
    <w:p w14:paraId="74351886" w14:textId="1399947A" w:rsidR="00071293" w:rsidRPr="00D8017D" w:rsidRDefault="00071293" w:rsidP="008349F0">
      <w:pPr>
        <w:widowControl w:val="0"/>
        <w:rPr>
          <w:rFonts w:ascii="Calibri" w:eastAsia="Calibri" w:hAnsi="Calibri" w:cs="Calibri"/>
          <w:sz w:val="22"/>
        </w:rPr>
      </w:pPr>
      <w:r w:rsidRPr="00D8017D">
        <w:rPr>
          <w:rFonts w:eastAsia="Times New Roman" w:cs="Times New Roman"/>
        </w:rPr>
        <w:t>Turpmākie algoritma soļi paredz aprēķināt vispārējās valdības budžeta bilances apmēru, kas atbilst vispārējās valdības strukturālās bilances mērķim. To aprēķina pie vispārējās valdības strukturālās bilances mērķa pieskaitot vispārējās valdības budžeta bilances ciklisko komponenti</w:t>
      </w:r>
      <w:r w:rsidR="00ED5483" w:rsidRPr="00D8017D">
        <w:rPr>
          <w:rFonts w:eastAsia="Times New Roman" w:cs="Times New Roman"/>
        </w:rPr>
        <w:t xml:space="preserve">, </w:t>
      </w:r>
      <w:r w:rsidRPr="00D8017D">
        <w:rPr>
          <w:rFonts w:eastAsia="Times New Roman" w:cs="Times New Roman"/>
        </w:rPr>
        <w:t>vienreizējos un citus pagaidu pasākumus. Līdz ar to tiek iegūta vispārējās valdības budžeta bilance monetārajā izteiksmē, kas 202</w:t>
      </w:r>
      <w:r w:rsidR="00BD32F1" w:rsidRPr="00D8017D">
        <w:rPr>
          <w:rFonts w:eastAsia="Times New Roman" w:cs="Times New Roman"/>
        </w:rPr>
        <w:t>6</w:t>
      </w:r>
      <w:r w:rsidRPr="00D8017D">
        <w:rPr>
          <w:rFonts w:eastAsia="Times New Roman" w:cs="Times New Roman"/>
        </w:rPr>
        <w:t>.</w:t>
      </w:r>
      <w:r w:rsidR="000226D6" w:rsidRPr="00D8017D">
        <w:rPr>
          <w:rFonts w:eastAsia="Times New Roman" w:cs="Times New Roman"/>
        </w:rPr>
        <w:t xml:space="preserve"> </w:t>
      </w:r>
      <w:r w:rsidRPr="00D8017D">
        <w:rPr>
          <w:rFonts w:eastAsia="Times New Roman" w:cs="Times New Roman"/>
        </w:rPr>
        <w:t xml:space="preserve">gadā ir </w:t>
      </w:r>
      <w:r w:rsidRPr="001443DC">
        <w:rPr>
          <w:rFonts w:eastAsia="Times New Roman" w:cs="Times New Roman"/>
        </w:rPr>
        <w:t>-</w:t>
      </w:r>
      <w:r w:rsidR="007C07C3" w:rsidRPr="001443DC">
        <w:rPr>
          <w:rFonts w:eastAsia="Times New Roman" w:cs="Times New Roman"/>
        </w:rPr>
        <w:t>1</w:t>
      </w:r>
      <w:r w:rsidR="001443DC">
        <w:rPr>
          <w:rFonts w:eastAsia="Times New Roman" w:cs="Times New Roman"/>
        </w:rPr>
        <w:t> 511,3</w:t>
      </w:r>
      <w:r w:rsidRPr="00D8017D">
        <w:rPr>
          <w:rFonts w:eastAsia="Times New Roman" w:cs="Times New Roman"/>
        </w:rPr>
        <w:t xml:space="preserve"> milj. </w:t>
      </w:r>
      <w:r w:rsidRPr="00D8017D">
        <w:rPr>
          <w:rFonts w:eastAsia="Times New Roman" w:cs="Times New Roman"/>
          <w:i/>
        </w:rPr>
        <w:t>euro</w:t>
      </w:r>
      <w:r w:rsidRPr="00D8017D">
        <w:rPr>
          <w:rFonts w:eastAsia="Times New Roman" w:cs="Times New Roman"/>
        </w:rPr>
        <w:t>, 202</w:t>
      </w:r>
      <w:r w:rsidR="00BD32F1" w:rsidRPr="00D8017D">
        <w:rPr>
          <w:rFonts w:eastAsia="Times New Roman" w:cs="Times New Roman"/>
        </w:rPr>
        <w:t>7</w:t>
      </w:r>
      <w:r w:rsidRPr="00D8017D">
        <w:rPr>
          <w:rFonts w:eastAsia="Times New Roman" w:cs="Times New Roman"/>
        </w:rPr>
        <w:t>.</w:t>
      </w:r>
      <w:r w:rsidR="000226D6" w:rsidRPr="00D8017D">
        <w:rPr>
          <w:rFonts w:eastAsia="Times New Roman" w:cs="Times New Roman"/>
        </w:rPr>
        <w:t xml:space="preserve"> </w:t>
      </w:r>
      <w:r w:rsidRPr="00D8017D">
        <w:rPr>
          <w:rFonts w:eastAsia="Times New Roman" w:cs="Times New Roman"/>
        </w:rPr>
        <w:t>gadā ir -</w:t>
      </w:r>
      <w:r w:rsidR="00EE1956" w:rsidRPr="001443DC">
        <w:rPr>
          <w:rFonts w:eastAsia="Times New Roman" w:cs="Times New Roman"/>
        </w:rPr>
        <w:t>1</w:t>
      </w:r>
      <w:r w:rsidR="001443DC" w:rsidRPr="001443DC">
        <w:rPr>
          <w:rFonts w:eastAsia="Times New Roman" w:cs="Times New Roman"/>
        </w:rPr>
        <w:t> 8</w:t>
      </w:r>
      <w:r w:rsidR="001443DC">
        <w:rPr>
          <w:rFonts w:eastAsia="Times New Roman" w:cs="Times New Roman"/>
        </w:rPr>
        <w:t>31,5</w:t>
      </w:r>
      <w:r w:rsidR="000226D6" w:rsidRPr="00D8017D">
        <w:rPr>
          <w:rFonts w:eastAsia="Times New Roman" w:cs="Times New Roman"/>
        </w:rPr>
        <w:t xml:space="preserve"> </w:t>
      </w:r>
      <w:r w:rsidRPr="00D8017D">
        <w:rPr>
          <w:rFonts w:eastAsia="Times New Roman" w:cs="Times New Roman"/>
        </w:rPr>
        <w:t xml:space="preserve">milj. </w:t>
      </w:r>
      <w:r w:rsidRPr="00D8017D">
        <w:rPr>
          <w:rFonts w:eastAsia="Times New Roman" w:cs="Times New Roman"/>
          <w:i/>
        </w:rPr>
        <w:t>euro</w:t>
      </w:r>
      <w:r w:rsidR="00D57548" w:rsidRPr="00D8017D">
        <w:rPr>
          <w:rFonts w:eastAsia="Times New Roman" w:cs="Times New Roman"/>
        </w:rPr>
        <w:t xml:space="preserve"> un</w:t>
      </w:r>
      <w:r w:rsidR="005735FB" w:rsidRPr="00D8017D">
        <w:rPr>
          <w:rFonts w:eastAsia="Times New Roman" w:cs="Times New Roman"/>
        </w:rPr>
        <w:t xml:space="preserve"> </w:t>
      </w:r>
      <w:r w:rsidR="004B6D79" w:rsidRPr="00D8017D">
        <w:rPr>
          <w:rFonts w:eastAsia="Times New Roman" w:cs="Times New Roman"/>
        </w:rPr>
        <w:t>202</w:t>
      </w:r>
      <w:r w:rsidR="00BD32F1" w:rsidRPr="00D8017D">
        <w:rPr>
          <w:rFonts w:eastAsia="Times New Roman" w:cs="Times New Roman"/>
        </w:rPr>
        <w:t>8</w:t>
      </w:r>
      <w:r w:rsidR="004B6D79" w:rsidRPr="00D8017D">
        <w:rPr>
          <w:rFonts w:eastAsia="Times New Roman" w:cs="Times New Roman"/>
        </w:rPr>
        <w:t xml:space="preserve">. </w:t>
      </w:r>
      <w:r w:rsidR="004B6D79" w:rsidRPr="001443DC">
        <w:rPr>
          <w:rFonts w:eastAsia="Times New Roman" w:cs="Times New Roman"/>
        </w:rPr>
        <w:t>gadā -</w:t>
      </w:r>
      <w:r w:rsidR="007C07C3" w:rsidRPr="001443DC">
        <w:rPr>
          <w:rFonts w:eastAsia="Times New Roman" w:cs="Times New Roman"/>
        </w:rPr>
        <w:t>1</w:t>
      </w:r>
      <w:r w:rsidR="001443DC" w:rsidRPr="001443DC">
        <w:rPr>
          <w:rFonts w:eastAsia="Times New Roman" w:cs="Times New Roman"/>
        </w:rPr>
        <w:t> 767</w:t>
      </w:r>
      <w:r w:rsidR="001443DC">
        <w:rPr>
          <w:rFonts w:eastAsia="Times New Roman" w:cs="Times New Roman"/>
        </w:rPr>
        <w:t>,4</w:t>
      </w:r>
      <w:r w:rsidR="004B6D79" w:rsidRPr="00D8017D">
        <w:rPr>
          <w:rFonts w:eastAsia="Times New Roman" w:cs="Times New Roman"/>
        </w:rPr>
        <w:t xml:space="preserve"> milj. </w:t>
      </w:r>
      <w:r w:rsidR="004B6D79" w:rsidRPr="00D8017D">
        <w:rPr>
          <w:rFonts w:eastAsia="Times New Roman" w:cs="Times New Roman"/>
          <w:i/>
        </w:rPr>
        <w:t>euro</w:t>
      </w:r>
      <w:r w:rsidRPr="00D8017D">
        <w:rPr>
          <w:rFonts w:eastAsia="Times New Roman" w:cs="Times New Roman"/>
        </w:rPr>
        <w:t>.</w:t>
      </w:r>
    </w:p>
    <w:p w14:paraId="33FAB282" w14:textId="3758937F" w:rsidR="00071293" w:rsidRPr="00D8017D" w:rsidRDefault="006B0A1E" w:rsidP="008349F0">
      <w:pPr>
        <w:widowControl w:val="0"/>
        <w:rPr>
          <w:rFonts w:ascii="Calibri" w:eastAsia="Calibri" w:hAnsi="Calibri" w:cs="Calibri"/>
          <w:sz w:val="22"/>
        </w:rPr>
      </w:pPr>
      <w:r w:rsidRPr="00D8017D">
        <w:rPr>
          <w:rFonts w:eastAsia="Times New Roman" w:cs="Times New Roman"/>
        </w:rPr>
        <w:t>Tālāk tiek aprēķināta valsts budžeta bilance pēc naudas plūsmas metodes</w:t>
      </w:r>
      <w:r w:rsidR="00071293" w:rsidRPr="00D8017D">
        <w:rPr>
          <w:rFonts w:eastAsia="Times New Roman" w:cs="Times New Roman"/>
        </w:rPr>
        <w:t>, ko iegūst no iepriekš aprēķinātās vispārējās valdības budžeta bilances atskaitot prognozēto pašvaldību budžeta bilanci, prognozēto atvasināto publisko personu un budžeta nefinansēto iestāžu budžeta bilanci, kā arī EKS korekciju apjomu. Veicot iepriekš minētās darbības, tiek iegūta valsts budžeta bilance katram gadam. Tās apmērs 202</w:t>
      </w:r>
      <w:r w:rsidR="00BD32F1" w:rsidRPr="00D8017D">
        <w:rPr>
          <w:rFonts w:eastAsia="Times New Roman" w:cs="Times New Roman"/>
        </w:rPr>
        <w:t>6</w:t>
      </w:r>
      <w:r w:rsidR="00071293" w:rsidRPr="00D8017D">
        <w:rPr>
          <w:rFonts w:eastAsia="Times New Roman" w:cs="Times New Roman"/>
        </w:rPr>
        <w:t>.</w:t>
      </w:r>
      <w:r w:rsidR="000226D6" w:rsidRPr="00D8017D">
        <w:rPr>
          <w:rFonts w:eastAsia="Times New Roman" w:cs="Times New Roman"/>
        </w:rPr>
        <w:t xml:space="preserve"> </w:t>
      </w:r>
      <w:r w:rsidR="00071293" w:rsidRPr="00D8017D">
        <w:rPr>
          <w:rFonts w:eastAsia="Times New Roman" w:cs="Times New Roman"/>
        </w:rPr>
        <w:t xml:space="preserve">gadā </w:t>
      </w:r>
      <w:r w:rsidR="00071293" w:rsidRPr="001443DC">
        <w:rPr>
          <w:rFonts w:eastAsia="Times New Roman" w:cs="Times New Roman"/>
        </w:rPr>
        <w:t>ir -</w:t>
      </w:r>
      <w:r w:rsidR="001443DC" w:rsidRPr="001443DC">
        <w:rPr>
          <w:rFonts w:eastAsia="Times New Roman" w:cs="Times New Roman"/>
        </w:rPr>
        <w:t>1 925,5</w:t>
      </w:r>
      <w:r w:rsidR="00071293" w:rsidRPr="00D8017D">
        <w:rPr>
          <w:rFonts w:eastAsia="Times New Roman" w:cs="Times New Roman"/>
        </w:rPr>
        <w:t xml:space="preserve"> milj. </w:t>
      </w:r>
      <w:r w:rsidR="00071293" w:rsidRPr="00D8017D">
        <w:rPr>
          <w:rFonts w:eastAsia="Times New Roman" w:cs="Times New Roman"/>
          <w:i/>
        </w:rPr>
        <w:t>euro</w:t>
      </w:r>
      <w:r w:rsidR="00071293" w:rsidRPr="00D8017D">
        <w:rPr>
          <w:rFonts w:eastAsia="Times New Roman" w:cs="Times New Roman"/>
        </w:rPr>
        <w:t>, 202</w:t>
      </w:r>
      <w:r w:rsidR="00BD32F1" w:rsidRPr="00D8017D">
        <w:rPr>
          <w:rFonts w:eastAsia="Times New Roman" w:cs="Times New Roman"/>
        </w:rPr>
        <w:t>7</w:t>
      </w:r>
      <w:r w:rsidR="00071293" w:rsidRPr="00D8017D">
        <w:rPr>
          <w:rFonts w:eastAsia="Times New Roman" w:cs="Times New Roman"/>
        </w:rPr>
        <w:t>.</w:t>
      </w:r>
      <w:r w:rsidR="000226D6" w:rsidRPr="00D8017D">
        <w:rPr>
          <w:rFonts w:eastAsia="Times New Roman" w:cs="Times New Roman"/>
        </w:rPr>
        <w:t xml:space="preserve"> </w:t>
      </w:r>
      <w:r w:rsidR="00071293" w:rsidRPr="00D8017D">
        <w:rPr>
          <w:rFonts w:eastAsia="Times New Roman" w:cs="Times New Roman"/>
        </w:rPr>
        <w:t xml:space="preserve">gadā ir </w:t>
      </w:r>
      <w:r w:rsidR="00071293" w:rsidRPr="001443DC">
        <w:rPr>
          <w:rFonts w:eastAsia="Times New Roman" w:cs="Times New Roman"/>
        </w:rPr>
        <w:t>-</w:t>
      </w:r>
      <w:r w:rsidR="007C07C3" w:rsidRPr="001443DC">
        <w:rPr>
          <w:rFonts w:eastAsia="Times New Roman" w:cs="Times New Roman"/>
        </w:rPr>
        <w:t> </w:t>
      </w:r>
      <w:r w:rsidR="001443DC" w:rsidRPr="001443DC">
        <w:rPr>
          <w:rFonts w:eastAsia="Times New Roman" w:cs="Times New Roman"/>
        </w:rPr>
        <w:t>2</w:t>
      </w:r>
      <w:r w:rsidR="001443DC">
        <w:rPr>
          <w:rFonts w:eastAsia="Times New Roman" w:cs="Times New Roman"/>
        </w:rPr>
        <w:t> 000,8</w:t>
      </w:r>
      <w:r w:rsidR="00071293" w:rsidRPr="00D8017D">
        <w:rPr>
          <w:rFonts w:eastAsia="Times New Roman" w:cs="Times New Roman"/>
        </w:rPr>
        <w:t xml:space="preserve"> milj. </w:t>
      </w:r>
      <w:r w:rsidR="00071293" w:rsidRPr="00D8017D">
        <w:rPr>
          <w:rFonts w:eastAsia="Times New Roman" w:cs="Times New Roman"/>
          <w:i/>
        </w:rPr>
        <w:t>euro</w:t>
      </w:r>
      <w:r w:rsidR="004B6D79" w:rsidRPr="00D8017D">
        <w:rPr>
          <w:rFonts w:eastAsia="Times New Roman" w:cs="Times New Roman"/>
        </w:rPr>
        <w:t xml:space="preserve"> </w:t>
      </w:r>
      <w:r w:rsidR="00071293" w:rsidRPr="00D8017D">
        <w:rPr>
          <w:rFonts w:eastAsia="Times New Roman" w:cs="Times New Roman"/>
        </w:rPr>
        <w:t>un 202</w:t>
      </w:r>
      <w:r w:rsidR="004B6D79" w:rsidRPr="00D8017D">
        <w:rPr>
          <w:rFonts w:eastAsia="Times New Roman" w:cs="Times New Roman"/>
        </w:rPr>
        <w:t>7</w:t>
      </w:r>
      <w:r w:rsidR="00071293" w:rsidRPr="00D8017D">
        <w:rPr>
          <w:rFonts w:eastAsia="Times New Roman" w:cs="Times New Roman"/>
        </w:rPr>
        <w:t>.</w:t>
      </w:r>
      <w:r w:rsidR="000226D6" w:rsidRPr="00D8017D">
        <w:rPr>
          <w:rFonts w:eastAsia="Times New Roman" w:cs="Times New Roman"/>
        </w:rPr>
        <w:t xml:space="preserve"> </w:t>
      </w:r>
      <w:r w:rsidR="00071293" w:rsidRPr="00D8017D">
        <w:rPr>
          <w:rFonts w:eastAsia="Times New Roman" w:cs="Times New Roman"/>
        </w:rPr>
        <w:t xml:space="preserve">gadā </w:t>
      </w:r>
      <w:r w:rsidR="00071293" w:rsidRPr="001443DC">
        <w:rPr>
          <w:rFonts w:eastAsia="Times New Roman" w:cs="Times New Roman"/>
        </w:rPr>
        <w:t>ir -</w:t>
      </w:r>
      <w:r w:rsidR="00EE1956" w:rsidRPr="001443DC">
        <w:rPr>
          <w:rFonts w:eastAsia="Times New Roman" w:cs="Times New Roman"/>
        </w:rPr>
        <w:t>1</w:t>
      </w:r>
      <w:r w:rsidR="001443DC" w:rsidRPr="001443DC">
        <w:rPr>
          <w:rFonts w:eastAsia="Times New Roman" w:cs="Times New Roman"/>
        </w:rPr>
        <w:t> 918,4</w:t>
      </w:r>
      <w:r w:rsidR="00071293" w:rsidRPr="001443DC">
        <w:rPr>
          <w:rFonts w:eastAsia="Times New Roman" w:cs="Times New Roman"/>
        </w:rPr>
        <w:t xml:space="preserve"> milj.</w:t>
      </w:r>
      <w:r w:rsidR="00071293" w:rsidRPr="00D8017D">
        <w:rPr>
          <w:rFonts w:eastAsia="Times New Roman" w:cs="Times New Roman"/>
        </w:rPr>
        <w:t xml:space="preserve"> </w:t>
      </w:r>
      <w:r w:rsidR="00071293" w:rsidRPr="00D8017D">
        <w:rPr>
          <w:rFonts w:eastAsia="Times New Roman" w:cs="Times New Roman"/>
          <w:i/>
        </w:rPr>
        <w:t>euro</w:t>
      </w:r>
      <w:r w:rsidR="00071293" w:rsidRPr="00D8017D">
        <w:rPr>
          <w:rFonts w:eastAsia="Times New Roman" w:cs="Times New Roman"/>
        </w:rPr>
        <w:t>.</w:t>
      </w:r>
    </w:p>
    <w:p w14:paraId="339EF95F" w14:textId="456AEE0A" w:rsidR="00071293" w:rsidRPr="00D8017D" w:rsidRDefault="006B0A1E" w:rsidP="008349F0">
      <w:pPr>
        <w:widowControl w:val="0"/>
        <w:rPr>
          <w:rFonts w:ascii="Calibri" w:eastAsia="Calibri" w:hAnsi="Calibri" w:cs="Calibri"/>
          <w:sz w:val="22"/>
        </w:rPr>
      </w:pPr>
      <w:r w:rsidRPr="00D8017D">
        <w:rPr>
          <w:rFonts w:eastAsia="Times New Roman" w:cs="Times New Roman"/>
        </w:rPr>
        <w:t>L</w:t>
      </w:r>
      <w:r w:rsidR="00071293" w:rsidRPr="00D8017D">
        <w:rPr>
          <w:rFonts w:eastAsia="Times New Roman" w:cs="Times New Roman"/>
        </w:rPr>
        <w:t>ai aprēķinātu</w:t>
      </w:r>
      <w:r w:rsidR="0014258A" w:rsidRPr="00D8017D">
        <w:rPr>
          <w:rFonts w:eastAsia="Times New Roman" w:cs="Times New Roman"/>
        </w:rPr>
        <w:t xml:space="preserve"> ietvara</w:t>
      </w:r>
      <w:r w:rsidR="00071293" w:rsidRPr="00D8017D">
        <w:rPr>
          <w:rFonts w:eastAsia="Times New Roman" w:cs="Times New Roman"/>
        </w:rPr>
        <w:t xml:space="preserve"> maksimāli pieļaujamos valsts budžeta izdevumus, no prognozētajiem valsts budžeta ieņēmumiem</w:t>
      </w:r>
      <w:r w:rsidRPr="00D8017D">
        <w:rPr>
          <w:rFonts w:eastAsia="Times New Roman" w:cs="Times New Roman"/>
        </w:rPr>
        <w:t xml:space="preserve"> tiek atskaitīta</w:t>
      </w:r>
      <w:r w:rsidR="00071293" w:rsidRPr="00D8017D">
        <w:rPr>
          <w:rFonts w:eastAsia="Times New Roman" w:cs="Times New Roman"/>
        </w:rPr>
        <w:t xml:space="preserve"> iepriekš aprēķināt</w:t>
      </w:r>
      <w:r w:rsidRPr="00D8017D">
        <w:rPr>
          <w:rFonts w:eastAsia="Times New Roman" w:cs="Times New Roman"/>
        </w:rPr>
        <w:t>ā</w:t>
      </w:r>
      <w:r w:rsidR="00071293" w:rsidRPr="00D8017D">
        <w:rPr>
          <w:rFonts w:eastAsia="Times New Roman" w:cs="Times New Roman"/>
        </w:rPr>
        <w:t xml:space="preserve"> valsts budžeta bilanc</w:t>
      </w:r>
      <w:r w:rsidRPr="00D8017D">
        <w:rPr>
          <w:rFonts w:eastAsia="Times New Roman" w:cs="Times New Roman"/>
        </w:rPr>
        <w:t>e</w:t>
      </w:r>
      <w:r w:rsidR="00071293" w:rsidRPr="00D8017D">
        <w:rPr>
          <w:rFonts w:eastAsia="Times New Roman" w:cs="Times New Roman"/>
        </w:rPr>
        <w:t xml:space="preserve">. Tādejādi, </w:t>
      </w:r>
      <w:r w:rsidRPr="00D8017D">
        <w:rPr>
          <w:rFonts w:eastAsia="Times New Roman" w:cs="Times New Roman"/>
        </w:rPr>
        <w:t>tiek iegūti</w:t>
      </w:r>
      <w:r w:rsidR="00071293" w:rsidRPr="00D8017D">
        <w:rPr>
          <w:rFonts w:eastAsia="Times New Roman" w:cs="Times New Roman"/>
        </w:rPr>
        <w:t xml:space="preserve"> </w:t>
      </w:r>
      <w:r w:rsidR="0014258A" w:rsidRPr="00D8017D">
        <w:rPr>
          <w:rFonts w:eastAsia="Times New Roman" w:cs="Times New Roman"/>
        </w:rPr>
        <w:t xml:space="preserve">ietvara </w:t>
      </w:r>
      <w:r w:rsidR="00071293" w:rsidRPr="00D8017D">
        <w:rPr>
          <w:rFonts w:eastAsia="Times New Roman" w:cs="Times New Roman"/>
        </w:rPr>
        <w:t>maksimāli pieļaujam</w:t>
      </w:r>
      <w:r w:rsidRPr="00D8017D">
        <w:rPr>
          <w:rFonts w:eastAsia="Times New Roman" w:cs="Times New Roman"/>
        </w:rPr>
        <w:t>ie</w:t>
      </w:r>
      <w:r w:rsidR="00071293" w:rsidRPr="00D8017D">
        <w:rPr>
          <w:rFonts w:eastAsia="Times New Roman" w:cs="Times New Roman"/>
        </w:rPr>
        <w:t xml:space="preserve"> valsts budžeta izdevum</w:t>
      </w:r>
      <w:r w:rsidRPr="00D8017D">
        <w:rPr>
          <w:rFonts w:eastAsia="Times New Roman" w:cs="Times New Roman"/>
        </w:rPr>
        <w:t>i</w:t>
      </w:r>
      <w:r w:rsidR="00071293" w:rsidRPr="00D8017D">
        <w:rPr>
          <w:rFonts w:eastAsia="Times New Roman" w:cs="Times New Roman"/>
        </w:rPr>
        <w:t>, kas 202</w:t>
      </w:r>
      <w:r w:rsidR="00BD32F1" w:rsidRPr="00D8017D">
        <w:rPr>
          <w:rFonts w:eastAsia="Times New Roman" w:cs="Times New Roman"/>
        </w:rPr>
        <w:t>6</w:t>
      </w:r>
      <w:r w:rsidR="00071293" w:rsidRPr="00D8017D">
        <w:rPr>
          <w:rFonts w:eastAsia="Times New Roman" w:cs="Times New Roman"/>
        </w:rPr>
        <w:t>.</w:t>
      </w:r>
      <w:r w:rsidR="000226D6" w:rsidRPr="00D8017D">
        <w:rPr>
          <w:rFonts w:eastAsia="Times New Roman" w:cs="Times New Roman"/>
        </w:rPr>
        <w:t xml:space="preserve"> </w:t>
      </w:r>
      <w:r w:rsidR="00071293" w:rsidRPr="00D8017D">
        <w:rPr>
          <w:rFonts w:eastAsia="Times New Roman" w:cs="Times New Roman"/>
        </w:rPr>
        <w:t xml:space="preserve">gadā </w:t>
      </w:r>
      <w:r w:rsidR="00071293" w:rsidRPr="001443DC">
        <w:rPr>
          <w:rFonts w:eastAsia="Times New Roman" w:cs="Times New Roman"/>
        </w:rPr>
        <w:t xml:space="preserve">ir </w:t>
      </w:r>
      <w:r w:rsidR="008359BF" w:rsidRPr="001443DC">
        <w:rPr>
          <w:rFonts w:eastAsia="Times New Roman" w:cs="Times New Roman"/>
        </w:rPr>
        <w:t>17</w:t>
      </w:r>
      <w:r w:rsidR="001443DC" w:rsidRPr="001443DC">
        <w:rPr>
          <w:rFonts w:eastAsia="Times New Roman" w:cs="Times New Roman"/>
        </w:rPr>
        <w:t> 989,1</w:t>
      </w:r>
      <w:r w:rsidR="00071293" w:rsidRPr="001443DC">
        <w:rPr>
          <w:rFonts w:eastAsia="Times New Roman" w:cs="Times New Roman"/>
        </w:rPr>
        <w:t xml:space="preserve"> milj. </w:t>
      </w:r>
      <w:r w:rsidR="00071293" w:rsidRPr="001443DC">
        <w:rPr>
          <w:rFonts w:eastAsia="Times New Roman" w:cs="Times New Roman"/>
          <w:i/>
        </w:rPr>
        <w:t>euro</w:t>
      </w:r>
      <w:r w:rsidR="00071293" w:rsidRPr="001443DC">
        <w:rPr>
          <w:rFonts w:eastAsia="Times New Roman" w:cs="Times New Roman"/>
        </w:rPr>
        <w:t>, 202</w:t>
      </w:r>
      <w:r w:rsidR="00BD32F1" w:rsidRPr="001443DC">
        <w:rPr>
          <w:rFonts w:eastAsia="Times New Roman" w:cs="Times New Roman"/>
        </w:rPr>
        <w:t>7</w:t>
      </w:r>
      <w:r w:rsidR="00071293" w:rsidRPr="001443DC">
        <w:rPr>
          <w:rFonts w:eastAsia="Times New Roman" w:cs="Times New Roman"/>
        </w:rPr>
        <w:t>.</w:t>
      </w:r>
      <w:r w:rsidR="000226D6" w:rsidRPr="001443DC">
        <w:rPr>
          <w:rFonts w:eastAsia="Times New Roman" w:cs="Times New Roman"/>
        </w:rPr>
        <w:t xml:space="preserve"> </w:t>
      </w:r>
      <w:r w:rsidR="00071293" w:rsidRPr="001443DC">
        <w:rPr>
          <w:rFonts w:eastAsia="Times New Roman" w:cs="Times New Roman"/>
        </w:rPr>
        <w:t xml:space="preserve">gadā ir </w:t>
      </w:r>
      <w:r w:rsidR="008359BF" w:rsidRPr="001443DC">
        <w:rPr>
          <w:rFonts w:eastAsia="Times New Roman" w:cs="Times New Roman"/>
        </w:rPr>
        <w:t>17</w:t>
      </w:r>
      <w:r w:rsidR="001443DC" w:rsidRPr="001443DC">
        <w:rPr>
          <w:rFonts w:eastAsia="Times New Roman" w:cs="Times New Roman"/>
        </w:rPr>
        <w:t> 911,4</w:t>
      </w:r>
      <w:r w:rsidR="00071293" w:rsidRPr="001443DC">
        <w:rPr>
          <w:rFonts w:eastAsia="Times New Roman" w:cs="Times New Roman"/>
        </w:rPr>
        <w:t xml:space="preserve"> milj</w:t>
      </w:r>
      <w:r w:rsidR="00071293" w:rsidRPr="00D8017D">
        <w:rPr>
          <w:rFonts w:eastAsia="Times New Roman" w:cs="Times New Roman"/>
        </w:rPr>
        <w:t xml:space="preserve">. </w:t>
      </w:r>
      <w:r w:rsidR="00071293" w:rsidRPr="00D8017D">
        <w:rPr>
          <w:rFonts w:eastAsia="Times New Roman" w:cs="Times New Roman"/>
          <w:i/>
        </w:rPr>
        <w:t>euro</w:t>
      </w:r>
      <w:r w:rsidR="004B6D79" w:rsidRPr="00D8017D">
        <w:rPr>
          <w:rFonts w:eastAsia="Times New Roman" w:cs="Times New Roman"/>
        </w:rPr>
        <w:t xml:space="preserve"> </w:t>
      </w:r>
      <w:r w:rsidR="00071293" w:rsidRPr="00D8017D">
        <w:rPr>
          <w:rFonts w:eastAsia="Times New Roman" w:cs="Times New Roman"/>
        </w:rPr>
        <w:t>un 202</w:t>
      </w:r>
      <w:r w:rsidR="00BD32F1" w:rsidRPr="00D8017D">
        <w:rPr>
          <w:rFonts w:eastAsia="Times New Roman" w:cs="Times New Roman"/>
        </w:rPr>
        <w:t>8</w:t>
      </w:r>
      <w:r w:rsidR="00071293" w:rsidRPr="00D8017D">
        <w:rPr>
          <w:rFonts w:eastAsia="Times New Roman" w:cs="Times New Roman"/>
        </w:rPr>
        <w:t>.</w:t>
      </w:r>
      <w:r w:rsidR="000226D6" w:rsidRPr="00D8017D">
        <w:rPr>
          <w:rFonts w:eastAsia="Times New Roman" w:cs="Times New Roman"/>
        </w:rPr>
        <w:t xml:space="preserve"> </w:t>
      </w:r>
      <w:r w:rsidR="00071293" w:rsidRPr="00D8017D">
        <w:rPr>
          <w:rFonts w:eastAsia="Times New Roman" w:cs="Times New Roman"/>
        </w:rPr>
        <w:t xml:space="preserve">gadā </w:t>
      </w:r>
      <w:r w:rsidR="00071293" w:rsidRPr="001443DC">
        <w:rPr>
          <w:rFonts w:eastAsia="Times New Roman" w:cs="Times New Roman"/>
        </w:rPr>
        <w:t xml:space="preserve">attiecīgi </w:t>
      </w:r>
      <w:r w:rsidR="00EE1956" w:rsidRPr="001443DC">
        <w:rPr>
          <w:rFonts w:eastAsia="Times New Roman" w:cs="Times New Roman"/>
        </w:rPr>
        <w:t>1</w:t>
      </w:r>
      <w:r w:rsidR="008359BF" w:rsidRPr="001443DC">
        <w:rPr>
          <w:rFonts w:eastAsia="Times New Roman" w:cs="Times New Roman"/>
        </w:rPr>
        <w:t>7</w:t>
      </w:r>
      <w:r w:rsidR="001443DC" w:rsidRPr="001443DC">
        <w:rPr>
          <w:rFonts w:eastAsia="Times New Roman" w:cs="Times New Roman"/>
        </w:rPr>
        <w:t> 879,6</w:t>
      </w:r>
      <w:r w:rsidR="00071293" w:rsidRPr="00D8017D">
        <w:rPr>
          <w:rFonts w:eastAsia="Times New Roman" w:cs="Times New Roman"/>
        </w:rPr>
        <w:t xml:space="preserve"> milj. </w:t>
      </w:r>
      <w:r w:rsidR="00071293" w:rsidRPr="00D8017D">
        <w:rPr>
          <w:rFonts w:eastAsia="Times New Roman" w:cs="Times New Roman"/>
          <w:i/>
        </w:rPr>
        <w:t>euro</w:t>
      </w:r>
      <w:r w:rsidR="00071293" w:rsidRPr="00D8017D">
        <w:rPr>
          <w:rFonts w:eastAsia="Times New Roman" w:cs="Times New Roman"/>
        </w:rPr>
        <w:t>.</w:t>
      </w:r>
    </w:p>
    <w:p w14:paraId="529C944B" w14:textId="1983E5DD" w:rsidR="00775F9E" w:rsidRPr="00D8017D" w:rsidRDefault="00BD32F1" w:rsidP="008349F0">
      <w:pPr>
        <w:widowControl w:val="0"/>
        <w:rPr>
          <w:rFonts w:ascii="Calibri" w:eastAsia="Calibri" w:hAnsi="Calibri" w:cs="Calibri"/>
          <w:sz w:val="22"/>
        </w:rPr>
      </w:pPr>
      <w:r w:rsidRPr="00D8017D">
        <w:rPr>
          <w:rFonts w:eastAsia="Times New Roman" w:cs="Times New Roman"/>
        </w:rPr>
        <w:t>Ietvara</w:t>
      </w:r>
      <w:r w:rsidR="00775F9E" w:rsidRPr="00D8017D">
        <w:rPr>
          <w:rFonts w:eastAsia="Times New Roman" w:cs="Times New Roman"/>
        </w:rPr>
        <w:t xml:space="preserve"> maksimāli pieļaujamie valsts budžeta izdevumi turpmākajiem trim gadiem ir maksimālais izdevumu slieksnis, kuru var atļauties sasniegt valsts budžetā, </w:t>
      </w:r>
      <w:r w:rsidRPr="00D8017D">
        <w:rPr>
          <w:rFonts w:eastAsia="Times New Roman" w:cs="Times New Roman"/>
        </w:rPr>
        <w:t xml:space="preserve">likumprojekta </w:t>
      </w:r>
      <w:r w:rsidR="00CE3984">
        <w:rPr>
          <w:rFonts w:eastAsia="Times New Roman" w:cs="Times New Roman"/>
        </w:rPr>
        <w:t>“</w:t>
      </w:r>
      <w:r w:rsidRPr="00D8017D">
        <w:rPr>
          <w:rFonts w:eastAsia="Times New Roman" w:cs="Times New Roman"/>
        </w:rPr>
        <w:t>Par valsts budžetu 2026. gadam un budžeta ietvaru 2026., 2027. un 2028. gadam</w:t>
      </w:r>
      <w:r w:rsidR="00CE3984">
        <w:rPr>
          <w:rFonts w:eastAsia="Times New Roman" w:cs="Times New Roman"/>
        </w:rPr>
        <w:t>”</w:t>
      </w:r>
      <w:r w:rsidRPr="00D8017D">
        <w:rPr>
          <w:rFonts w:eastAsia="Times New Roman" w:cs="Times New Roman"/>
        </w:rPr>
        <w:t xml:space="preserve"> </w:t>
      </w:r>
      <w:r w:rsidR="00EE1956" w:rsidRPr="00D8017D">
        <w:rPr>
          <w:rFonts w:eastAsia="Times New Roman" w:cs="Times New Roman"/>
        </w:rPr>
        <w:t>5</w:t>
      </w:r>
      <w:r w:rsidR="00775F9E" w:rsidRPr="00D8017D">
        <w:rPr>
          <w:rFonts w:eastAsia="Times New Roman" w:cs="Times New Roman"/>
        </w:rPr>
        <w:t xml:space="preserve">. pantā noteiktos izdevumus (skat. zemāk sadaļu “Pasākumu finansēšana virs </w:t>
      </w:r>
      <w:r w:rsidR="00B7775D" w:rsidRPr="00D8017D">
        <w:rPr>
          <w:rFonts w:eastAsia="Times New Roman" w:cs="Times New Roman"/>
        </w:rPr>
        <w:t xml:space="preserve">ietvara </w:t>
      </w:r>
      <w:r w:rsidR="00775F9E" w:rsidRPr="00D8017D">
        <w:rPr>
          <w:rFonts w:eastAsia="Times New Roman" w:cs="Times New Roman"/>
        </w:rPr>
        <w:t>maksimāli pieļaujamiem valsts budžeta izdevumiem”).</w:t>
      </w:r>
    </w:p>
    <w:p w14:paraId="21C850B0" w14:textId="633208A8" w:rsidR="00CF43D4" w:rsidRPr="00A067CB" w:rsidRDefault="00775F9E" w:rsidP="00A067CB">
      <w:pPr>
        <w:widowControl w:val="0"/>
        <w:rPr>
          <w:rFonts w:eastAsia="Times New Roman" w:cs="Times New Roman"/>
        </w:rPr>
      </w:pPr>
      <w:r w:rsidRPr="00777DE8">
        <w:rPr>
          <w:rFonts w:eastAsia="Times New Roman" w:cs="Times New Roman"/>
        </w:rPr>
        <w:t xml:space="preserve">Savukārt, </w:t>
      </w:r>
      <w:r w:rsidR="00360F0A" w:rsidRPr="00777DE8">
        <w:rPr>
          <w:rFonts w:eastAsia="Times New Roman" w:cs="Times New Roman"/>
        </w:rPr>
        <w:t xml:space="preserve">prognozētie </w:t>
      </w:r>
      <w:r w:rsidRPr="00777DE8">
        <w:rPr>
          <w:rFonts w:eastAsia="Times New Roman" w:cs="Times New Roman"/>
        </w:rPr>
        <w:t>valsts budžeta izdevumi 202</w:t>
      </w:r>
      <w:r w:rsidR="00360F0A" w:rsidRPr="00777DE8">
        <w:rPr>
          <w:rFonts w:eastAsia="Times New Roman" w:cs="Times New Roman"/>
        </w:rPr>
        <w:t>6</w:t>
      </w:r>
      <w:r w:rsidRPr="00777DE8">
        <w:rPr>
          <w:rFonts w:eastAsia="Times New Roman" w:cs="Times New Roman"/>
        </w:rPr>
        <w:t xml:space="preserve">. gadā ir </w:t>
      </w:r>
      <w:r w:rsidR="001E733F" w:rsidRPr="00777DE8">
        <w:rPr>
          <w:rFonts w:eastAsia="Times New Roman" w:cs="Times New Roman"/>
        </w:rPr>
        <w:t>17</w:t>
      </w:r>
      <w:r w:rsidR="00777DE8" w:rsidRPr="00777DE8">
        <w:rPr>
          <w:rFonts w:eastAsia="Times New Roman" w:cs="Times New Roman"/>
        </w:rPr>
        <w:t> 945,2</w:t>
      </w:r>
      <w:r w:rsidRPr="00777DE8">
        <w:rPr>
          <w:rFonts w:eastAsia="Times New Roman" w:cs="Times New Roman"/>
        </w:rPr>
        <w:t xml:space="preserve"> milj. </w:t>
      </w:r>
      <w:r w:rsidRPr="00777DE8">
        <w:rPr>
          <w:rFonts w:eastAsia="Times New Roman" w:cs="Times New Roman"/>
          <w:i/>
        </w:rPr>
        <w:t>euro</w:t>
      </w:r>
      <w:r w:rsidRPr="00777DE8">
        <w:rPr>
          <w:rFonts w:eastAsia="Times New Roman" w:cs="Times New Roman"/>
        </w:rPr>
        <w:t>, 202</w:t>
      </w:r>
      <w:r w:rsidR="00360F0A" w:rsidRPr="00777DE8">
        <w:rPr>
          <w:rFonts w:eastAsia="Times New Roman" w:cs="Times New Roman"/>
        </w:rPr>
        <w:t>7</w:t>
      </w:r>
      <w:r w:rsidRPr="00777DE8">
        <w:rPr>
          <w:rFonts w:eastAsia="Times New Roman" w:cs="Times New Roman"/>
        </w:rPr>
        <w:t>.</w:t>
      </w:r>
      <w:r w:rsidR="0048284B" w:rsidRPr="00777DE8">
        <w:rPr>
          <w:rFonts w:eastAsia="Times New Roman" w:cs="Times New Roman"/>
        </w:rPr>
        <w:t xml:space="preserve"> </w:t>
      </w:r>
      <w:r w:rsidRPr="00777DE8">
        <w:rPr>
          <w:rFonts w:eastAsia="Times New Roman" w:cs="Times New Roman"/>
        </w:rPr>
        <w:t xml:space="preserve">gadā </w:t>
      </w:r>
      <w:r w:rsidR="001E733F" w:rsidRPr="00777DE8">
        <w:rPr>
          <w:rFonts w:eastAsia="Times New Roman" w:cs="Times New Roman"/>
        </w:rPr>
        <w:t>17</w:t>
      </w:r>
      <w:r w:rsidR="00777DE8" w:rsidRPr="00777DE8">
        <w:rPr>
          <w:rFonts w:eastAsia="Times New Roman" w:cs="Times New Roman"/>
        </w:rPr>
        <w:t> 865,4</w:t>
      </w:r>
      <w:r w:rsidRPr="00777DE8">
        <w:rPr>
          <w:rFonts w:eastAsia="Times New Roman" w:cs="Times New Roman"/>
        </w:rPr>
        <w:t xml:space="preserve"> milj. </w:t>
      </w:r>
      <w:r w:rsidRPr="00777DE8">
        <w:rPr>
          <w:rFonts w:eastAsia="Times New Roman" w:cs="Times New Roman"/>
          <w:i/>
        </w:rPr>
        <w:t>euro</w:t>
      </w:r>
      <w:r w:rsidRPr="00777DE8">
        <w:rPr>
          <w:rFonts w:eastAsia="Times New Roman" w:cs="Times New Roman"/>
        </w:rPr>
        <w:t xml:space="preserve"> un</w:t>
      </w:r>
      <w:r w:rsidRPr="00D8017D">
        <w:rPr>
          <w:rFonts w:eastAsia="Times New Roman" w:cs="Times New Roman"/>
        </w:rPr>
        <w:t xml:space="preserve"> 202</w:t>
      </w:r>
      <w:r w:rsidR="00360F0A" w:rsidRPr="00D8017D">
        <w:rPr>
          <w:rFonts w:eastAsia="Times New Roman" w:cs="Times New Roman"/>
        </w:rPr>
        <w:t>8</w:t>
      </w:r>
      <w:r w:rsidRPr="00D8017D">
        <w:rPr>
          <w:rFonts w:eastAsia="Times New Roman" w:cs="Times New Roman"/>
        </w:rPr>
        <w:t xml:space="preserve">. gadā </w:t>
      </w:r>
      <w:r w:rsidRPr="00777DE8">
        <w:rPr>
          <w:rFonts w:eastAsia="Times New Roman" w:cs="Times New Roman"/>
        </w:rPr>
        <w:t xml:space="preserve">attiecīgi </w:t>
      </w:r>
      <w:r w:rsidR="001E733F" w:rsidRPr="00777DE8">
        <w:rPr>
          <w:rFonts w:eastAsia="Times New Roman" w:cs="Times New Roman"/>
        </w:rPr>
        <w:t>17</w:t>
      </w:r>
      <w:r w:rsidR="00777DE8" w:rsidRPr="00777DE8">
        <w:rPr>
          <w:rFonts w:eastAsia="Times New Roman" w:cs="Times New Roman"/>
        </w:rPr>
        <w:t> 831,4</w:t>
      </w:r>
      <w:r w:rsidRPr="00777DE8">
        <w:rPr>
          <w:rFonts w:eastAsia="Times New Roman" w:cs="Times New Roman"/>
        </w:rPr>
        <w:t xml:space="preserve"> milj. </w:t>
      </w:r>
      <w:r w:rsidRPr="00777DE8">
        <w:rPr>
          <w:rFonts w:eastAsia="Times New Roman" w:cs="Times New Roman"/>
          <w:i/>
        </w:rPr>
        <w:t>euro</w:t>
      </w:r>
      <w:r w:rsidRPr="00777DE8">
        <w:rPr>
          <w:rFonts w:eastAsia="Times New Roman" w:cs="Times New Roman"/>
        </w:rPr>
        <w:t>.</w:t>
      </w:r>
      <w:r w:rsidRPr="00D8017D">
        <w:rPr>
          <w:rFonts w:eastAsia="Times New Roman" w:cs="Times New Roman"/>
        </w:rPr>
        <w:t xml:space="preserve"> Starpību starp šiem diviem lielumiem, veido fiskālā nodrošinājuma rezerve un vispārīgā gadījumā atlikusī fiskālā telpa pēc lēmumiem par fiskālās telpas sadali budžeta sagatavošanas procesā. Jāatzīmē, ka šogad tika sadalīta visa </w:t>
      </w:r>
      <w:r w:rsidR="00D57548" w:rsidRPr="00D8017D">
        <w:rPr>
          <w:rFonts w:eastAsia="Times New Roman" w:cs="Times New Roman"/>
        </w:rPr>
        <w:t xml:space="preserve">pieejamā </w:t>
      </w:r>
      <w:r w:rsidRPr="00D8017D">
        <w:rPr>
          <w:rFonts w:eastAsia="Times New Roman" w:cs="Times New Roman"/>
        </w:rPr>
        <w:t>fiskālā telp</w:t>
      </w:r>
      <w:r w:rsidR="00D12940" w:rsidRPr="00D8017D">
        <w:rPr>
          <w:rFonts w:eastAsia="Times New Roman" w:cs="Times New Roman"/>
        </w:rPr>
        <w:t>a 202</w:t>
      </w:r>
      <w:r w:rsidR="00360F0A" w:rsidRPr="00D8017D">
        <w:rPr>
          <w:rFonts w:eastAsia="Times New Roman" w:cs="Times New Roman"/>
        </w:rPr>
        <w:t xml:space="preserve">6. gadā un kompensēta negatīvā fiskālā telpa 2027. un 2028. gadā, </w:t>
      </w:r>
      <w:r w:rsidR="0048284B" w:rsidRPr="00D8017D">
        <w:rPr>
          <w:rFonts w:eastAsia="Times New Roman" w:cs="Times New Roman"/>
        </w:rPr>
        <w:t>attiecīgi</w:t>
      </w:r>
      <w:r w:rsidR="00B93389" w:rsidRPr="00D8017D">
        <w:rPr>
          <w:rFonts w:eastAsia="Times New Roman" w:cs="Times New Roman"/>
        </w:rPr>
        <w:t>,</w:t>
      </w:r>
      <w:r w:rsidRPr="00D8017D">
        <w:rPr>
          <w:rFonts w:eastAsia="Times New Roman" w:cs="Times New Roman"/>
        </w:rPr>
        <w:t xml:space="preserve"> atlikusī fiskālā telpa 202</w:t>
      </w:r>
      <w:r w:rsidR="00360F0A" w:rsidRPr="00D8017D">
        <w:rPr>
          <w:rFonts w:eastAsia="Times New Roman" w:cs="Times New Roman"/>
        </w:rPr>
        <w:t>6</w:t>
      </w:r>
      <w:r w:rsidR="0048284B" w:rsidRPr="00D8017D">
        <w:rPr>
          <w:rFonts w:eastAsia="Times New Roman" w:cs="Times New Roman"/>
        </w:rPr>
        <w:t xml:space="preserve">. </w:t>
      </w:r>
      <w:r w:rsidR="00D57548" w:rsidRPr="00D8017D">
        <w:rPr>
          <w:rFonts w:eastAsia="Times New Roman" w:cs="Times New Roman"/>
        </w:rPr>
        <w:t xml:space="preserve">– </w:t>
      </w:r>
      <w:r w:rsidR="0048284B" w:rsidRPr="00D8017D">
        <w:rPr>
          <w:rFonts w:eastAsia="Times New Roman" w:cs="Times New Roman"/>
        </w:rPr>
        <w:t>202</w:t>
      </w:r>
      <w:r w:rsidR="00360F0A" w:rsidRPr="00D8017D">
        <w:rPr>
          <w:rFonts w:eastAsia="Times New Roman" w:cs="Times New Roman"/>
        </w:rPr>
        <w:t>8</w:t>
      </w:r>
      <w:r w:rsidRPr="00D8017D">
        <w:rPr>
          <w:rFonts w:eastAsia="Times New Roman" w:cs="Times New Roman"/>
        </w:rPr>
        <w:t>. gadā</w:t>
      </w:r>
      <w:r w:rsidR="0048284B" w:rsidRPr="00D8017D">
        <w:rPr>
          <w:rFonts w:eastAsia="Times New Roman" w:cs="Times New Roman"/>
        </w:rPr>
        <w:t xml:space="preserve"> ir nulle</w:t>
      </w:r>
      <w:r w:rsidR="00D57548" w:rsidRPr="00D8017D">
        <w:rPr>
          <w:rFonts w:eastAsia="Times New Roman" w:cs="Times New Roman"/>
        </w:rPr>
        <w:t>.</w:t>
      </w:r>
      <w:r w:rsidR="005735FB" w:rsidRPr="00D8017D">
        <w:rPr>
          <w:rFonts w:eastAsia="Times New Roman" w:cs="Times New Roman"/>
        </w:rPr>
        <w:t xml:space="preserve"> </w:t>
      </w:r>
      <w:r w:rsidRPr="00D8017D">
        <w:rPr>
          <w:rFonts w:eastAsia="Times New Roman" w:cs="Times New Roman"/>
        </w:rPr>
        <w:t xml:space="preserve"> </w:t>
      </w:r>
    </w:p>
    <w:p w14:paraId="1304BA1C" w14:textId="007EF6A2" w:rsidR="002519DD" w:rsidRPr="00777DE8" w:rsidRDefault="00EE5424" w:rsidP="008349F0">
      <w:pPr>
        <w:widowControl w:val="0"/>
        <w:spacing w:before="120"/>
        <w:ind w:right="142" w:firstLine="709"/>
        <w:jc w:val="right"/>
        <w:rPr>
          <w:rFonts w:eastAsia="Times New Roman" w:cs="Times New Roman"/>
          <w:b/>
          <w:i/>
        </w:rPr>
      </w:pPr>
      <w:r w:rsidRPr="006F6679">
        <w:rPr>
          <w:rFonts w:eastAsia="Times New Roman" w:cs="Times New Roman"/>
          <w:b/>
          <w:i/>
          <w:color w:val="000000"/>
        </w:rPr>
        <w:t>2.</w:t>
      </w:r>
      <w:r w:rsidR="008D26A0" w:rsidRPr="006F6679">
        <w:rPr>
          <w:rFonts w:eastAsia="Times New Roman" w:cs="Times New Roman"/>
          <w:b/>
          <w:i/>
          <w:color w:val="000000"/>
        </w:rPr>
        <w:t>15</w:t>
      </w:r>
      <w:r w:rsidR="00071293" w:rsidRPr="006F6679">
        <w:rPr>
          <w:rFonts w:eastAsia="Times New Roman" w:cs="Times New Roman"/>
          <w:b/>
          <w:i/>
          <w:color w:val="000000"/>
        </w:rPr>
        <w:t>.</w:t>
      </w:r>
      <w:r w:rsidRPr="006F6679">
        <w:rPr>
          <w:rFonts w:eastAsia="Times New Roman" w:cs="Times New Roman"/>
          <w:b/>
          <w:i/>
          <w:color w:val="000000"/>
        </w:rPr>
        <w:t xml:space="preserve"> </w:t>
      </w:r>
      <w:r w:rsidR="00071293" w:rsidRPr="006F6679">
        <w:rPr>
          <w:rFonts w:eastAsia="Times New Roman" w:cs="Times New Roman"/>
          <w:b/>
          <w:i/>
          <w:color w:val="000000"/>
        </w:rPr>
        <w:t xml:space="preserve">tabula. </w:t>
      </w:r>
      <w:r w:rsidR="00071293" w:rsidRPr="006F6679">
        <w:rPr>
          <w:rFonts w:eastAsia="Times New Roman" w:cs="Times New Roman"/>
          <w:b/>
          <w:i/>
        </w:rPr>
        <w:t>Fiskālie</w:t>
      </w:r>
      <w:r w:rsidR="00071293" w:rsidRPr="00777DE8">
        <w:rPr>
          <w:rFonts w:eastAsia="Times New Roman" w:cs="Times New Roman"/>
          <w:b/>
          <w:i/>
        </w:rPr>
        <w:t xml:space="preserve"> rādītāji, kas tiek izmantoti </w:t>
      </w:r>
      <w:r w:rsidR="00B7775D" w:rsidRPr="00777DE8">
        <w:rPr>
          <w:rFonts w:eastAsia="Times New Roman" w:cs="Times New Roman"/>
          <w:b/>
          <w:i/>
        </w:rPr>
        <w:t>ietvara</w:t>
      </w:r>
      <w:r w:rsidR="00071293" w:rsidRPr="00777DE8">
        <w:rPr>
          <w:rFonts w:ascii="Calibri" w:eastAsia="Calibri" w:hAnsi="Calibri" w:cs="Calibri"/>
        </w:rPr>
        <w:t xml:space="preserve"> </w:t>
      </w:r>
      <w:r w:rsidR="00071293" w:rsidRPr="00777DE8">
        <w:rPr>
          <w:rFonts w:eastAsia="Times New Roman" w:cs="Times New Roman"/>
          <w:b/>
          <w:i/>
        </w:rPr>
        <w:t>maksimāli pieļaujamo valsts</w:t>
      </w:r>
      <w:r w:rsidR="006C5310" w:rsidRPr="00777DE8">
        <w:rPr>
          <w:rFonts w:eastAsia="Times New Roman" w:cs="Times New Roman"/>
          <w:b/>
          <w:i/>
        </w:rPr>
        <w:t xml:space="preserve"> budžeta izdevumu aprēķināšana</w:t>
      </w:r>
    </w:p>
    <w:tbl>
      <w:tblPr>
        <w:tblW w:w="9066" w:type="dxa"/>
        <w:jc w:val="center"/>
        <w:tblLook w:val="04A0" w:firstRow="1" w:lastRow="0" w:firstColumn="1" w:lastColumn="0" w:noHBand="0" w:noVBand="1"/>
      </w:tblPr>
      <w:tblGrid>
        <w:gridCol w:w="1230"/>
        <w:gridCol w:w="5127"/>
        <w:gridCol w:w="924"/>
        <w:gridCol w:w="924"/>
        <w:gridCol w:w="924"/>
      </w:tblGrid>
      <w:tr w:rsidR="002519DD" w:rsidRPr="00D8017D" w14:paraId="0731FD87" w14:textId="77777777" w:rsidTr="00CF0539">
        <w:trPr>
          <w:trHeight w:val="300"/>
          <w:tblHeader/>
          <w:jc w:val="center"/>
        </w:trPr>
        <w:tc>
          <w:tcPr>
            <w:tcW w:w="1167" w:type="dxa"/>
            <w:tcBorders>
              <w:top w:val="nil"/>
              <w:left w:val="nil"/>
              <w:bottom w:val="nil"/>
              <w:right w:val="nil"/>
            </w:tcBorders>
            <w:noWrap/>
            <w:vAlign w:val="bottom"/>
            <w:hideMark/>
          </w:tcPr>
          <w:p w14:paraId="23B0A7ED" w14:textId="77777777" w:rsidR="002519DD" w:rsidRPr="008D26A0" w:rsidRDefault="002519DD" w:rsidP="008349F0">
            <w:pPr>
              <w:spacing w:after="0"/>
              <w:ind w:firstLine="0"/>
              <w:jc w:val="left"/>
              <w:rPr>
                <w:rFonts w:eastAsia="Times New Roman" w:cs="Times New Roman"/>
                <w:sz w:val="18"/>
                <w:szCs w:val="18"/>
              </w:rPr>
            </w:pPr>
          </w:p>
        </w:tc>
        <w:tc>
          <w:tcPr>
            <w:tcW w:w="5127"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bottom"/>
            <w:hideMark/>
          </w:tcPr>
          <w:p w14:paraId="4B2700FE" w14:textId="77777777" w:rsidR="002519DD" w:rsidRPr="00C603FF" w:rsidRDefault="002519DD" w:rsidP="008349F0">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 </w:t>
            </w:r>
          </w:p>
        </w:tc>
        <w:tc>
          <w:tcPr>
            <w:tcW w:w="924"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325DFE92" w14:textId="2FCB22A7" w:rsidR="002519DD" w:rsidRPr="00C603FF" w:rsidRDefault="002519DD" w:rsidP="000848C1">
            <w:pPr>
              <w:spacing w:after="0"/>
              <w:ind w:firstLine="0"/>
              <w:jc w:val="center"/>
              <w:rPr>
                <w:rFonts w:eastAsia="Times New Roman" w:cs="Times New Roman"/>
                <w:b/>
                <w:bCs/>
                <w:color w:val="000000"/>
                <w:sz w:val="20"/>
                <w:szCs w:val="20"/>
              </w:rPr>
            </w:pPr>
            <w:r w:rsidRPr="00C603FF">
              <w:rPr>
                <w:rFonts w:eastAsia="Times New Roman" w:cs="Times New Roman"/>
                <w:b/>
                <w:bCs/>
                <w:color w:val="000000"/>
                <w:sz w:val="20"/>
                <w:szCs w:val="20"/>
              </w:rPr>
              <w:t>202</w:t>
            </w:r>
            <w:r w:rsidR="00E94D25" w:rsidRPr="00C603FF">
              <w:rPr>
                <w:rFonts w:eastAsia="Times New Roman" w:cs="Times New Roman"/>
                <w:b/>
                <w:bCs/>
                <w:color w:val="000000"/>
                <w:sz w:val="20"/>
                <w:szCs w:val="20"/>
              </w:rPr>
              <w:t>6</w:t>
            </w:r>
          </w:p>
        </w:tc>
        <w:tc>
          <w:tcPr>
            <w:tcW w:w="924"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5AFBE8E6" w14:textId="4701A505" w:rsidR="002519DD" w:rsidRPr="00C603FF" w:rsidRDefault="002519DD" w:rsidP="000848C1">
            <w:pPr>
              <w:spacing w:after="0"/>
              <w:ind w:firstLine="0"/>
              <w:jc w:val="center"/>
              <w:rPr>
                <w:rFonts w:eastAsia="Times New Roman" w:cs="Times New Roman"/>
                <w:b/>
                <w:bCs/>
                <w:color w:val="000000"/>
                <w:sz w:val="20"/>
                <w:szCs w:val="20"/>
              </w:rPr>
            </w:pPr>
            <w:r w:rsidRPr="00C603FF">
              <w:rPr>
                <w:rFonts w:eastAsia="Times New Roman" w:cs="Times New Roman"/>
                <w:b/>
                <w:bCs/>
                <w:color w:val="000000"/>
                <w:sz w:val="20"/>
                <w:szCs w:val="20"/>
              </w:rPr>
              <w:t>202</w:t>
            </w:r>
            <w:r w:rsidR="00E94D25" w:rsidRPr="00C603FF">
              <w:rPr>
                <w:rFonts w:eastAsia="Times New Roman" w:cs="Times New Roman"/>
                <w:b/>
                <w:bCs/>
                <w:color w:val="000000"/>
                <w:sz w:val="20"/>
                <w:szCs w:val="20"/>
              </w:rPr>
              <w:t>7</w:t>
            </w:r>
          </w:p>
        </w:tc>
        <w:tc>
          <w:tcPr>
            <w:tcW w:w="924"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0D22B2CC" w14:textId="19B4C123" w:rsidR="002519DD" w:rsidRPr="00C603FF" w:rsidRDefault="002519DD" w:rsidP="000848C1">
            <w:pPr>
              <w:spacing w:after="0"/>
              <w:ind w:firstLine="0"/>
              <w:jc w:val="center"/>
              <w:rPr>
                <w:rFonts w:eastAsia="Times New Roman" w:cs="Times New Roman"/>
                <w:b/>
                <w:bCs/>
                <w:sz w:val="20"/>
                <w:szCs w:val="20"/>
              </w:rPr>
            </w:pPr>
            <w:r w:rsidRPr="00C603FF">
              <w:rPr>
                <w:rFonts w:eastAsia="Times New Roman" w:cs="Times New Roman"/>
                <w:b/>
                <w:bCs/>
                <w:color w:val="000000"/>
                <w:sz w:val="20"/>
                <w:szCs w:val="20"/>
              </w:rPr>
              <w:t>202</w:t>
            </w:r>
            <w:r w:rsidR="00E94D25" w:rsidRPr="00C603FF">
              <w:rPr>
                <w:rFonts w:eastAsia="Times New Roman" w:cs="Times New Roman"/>
                <w:b/>
                <w:bCs/>
                <w:color w:val="000000"/>
                <w:sz w:val="20"/>
                <w:szCs w:val="20"/>
              </w:rPr>
              <w:t>8</w:t>
            </w:r>
          </w:p>
        </w:tc>
      </w:tr>
      <w:tr w:rsidR="00ED46E3" w:rsidRPr="00D8017D" w14:paraId="605EEA9F" w14:textId="77777777" w:rsidTr="00CF0539">
        <w:trPr>
          <w:trHeight w:val="300"/>
          <w:jc w:val="center"/>
        </w:trPr>
        <w:tc>
          <w:tcPr>
            <w:tcW w:w="1167" w:type="dxa"/>
            <w:tcBorders>
              <w:top w:val="nil"/>
              <w:left w:val="nil"/>
              <w:bottom w:val="nil"/>
              <w:right w:val="nil"/>
            </w:tcBorders>
            <w:noWrap/>
            <w:vAlign w:val="center"/>
            <w:hideMark/>
          </w:tcPr>
          <w:p w14:paraId="23D7C71D"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0</w:t>
            </w:r>
          </w:p>
        </w:tc>
        <w:tc>
          <w:tcPr>
            <w:tcW w:w="5127" w:type="dxa"/>
            <w:tcBorders>
              <w:top w:val="nil"/>
              <w:left w:val="single" w:sz="4" w:space="0" w:color="auto"/>
              <w:bottom w:val="single" w:sz="4" w:space="0" w:color="auto"/>
              <w:right w:val="single" w:sz="4" w:space="0" w:color="auto"/>
            </w:tcBorders>
            <w:noWrap/>
            <w:vAlign w:val="bottom"/>
            <w:hideMark/>
          </w:tcPr>
          <w:p w14:paraId="27FE5750" w14:textId="1B6EA87C"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 xml:space="preserve">IKP, faktiskajās cenas, milj. </w:t>
            </w:r>
            <w:r w:rsidRPr="00C603FF">
              <w:rPr>
                <w:rFonts w:eastAsia="Times New Roman" w:cs="Times New Roman"/>
                <w:i/>
                <w:iCs/>
                <w:color w:val="000000"/>
                <w:sz w:val="20"/>
                <w:szCs w:val="20"/>
              </w:rPr>
              <w:t>euro</w:t>
            </w:r>
          </w:p>
        </w:tc>
        <w:tc>
          <w:tcPr>
            <w:tcW w:w="924" w:type="dxa"/>
            <w:tcBorders>
              <w:top w:val="nil"/>
              <w:left w:val="nil"/>
              <w:bottom w:val="single" w:sz="4" w:space="0" w:color="auto"/>
              <w:right w:val="single" w:sz="4" w:space="0" w:color="auto"/>
            </w:tcBorders>
            <w:noWrap/>
            <w:hideMark/>
          </w:tcPr>
          <w:p w14:paraId="63685F3E" w14:textId="71FA6C4A"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43 953</w:t>
            </w:r>
          </w:p>
        </w:tc>
        <w:tc>
          <w:tcPr>
            <w:tcW w:w="924" w:type="dxa"/>
            <w:tcBorders>
              <w:top w:val="nil"/>
              <w:left w:val="nil"/>
              <w:bottom w:val="single" w:sz="4" w:space="0" w:color="auto"/>
              <w:right w:val="single" w:sz="4" w:space="0" w:color="auto"/>
            </w:tcBorders>
            <w:noWrap/>
            <w:hideMark/>
          </w:tcPr>
          <w:p w14:paraId="361ABCCB" w14:textId="761D0CC6"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46 026</w:t>
            </w:r>
          </w:p>
        </w:tc>
        <w:tc>
          <w:tcPr>
            <w:tcW w:w="924" w:type="dxa"/>
            <w:tcBorders>
              <w:top w:val="nil"/>
              <w:left w:val="nil"/>
              <w:bottom w:val="single" w:sz="4" w:space="0" w:color="auto"/>
              <w:right w:val="single" w:sz="4" w:space="0" w:color="auto"/>
            </w:tcBorders>
            <w:noWrap/>
            <w:hideMark/>
          </w:tcPr>
          <w:p w14:paraId="3AC98778" w14:textId="6F27104E"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48 154</w:t>
            </w:r>
          </w:p>
        </w:tc>
      </w:tr>
      <w:tr w:rsidR="00ED46E3" w:rsidRPr="00D8017D" w14:paraId="1C223818" w14:textId="77777777" w:rsidTr="00CF0539">
        <w:trPr>
          <w:trHeight w:val="300"/>
          <w:jc w:val="center"/>
        </w:trPr>
        <w:tc>
          <w:tcPr>
            <w:tcW w:w="1167" w:type="dxa"/>
            <w:tcBorders>
              <w:top w:val="nil"/>
              <w:left w:val="nil"/>
              <w:bottom w:val="nil"/>
              <w:right w:val="nil"/>
            </w:tcBorders>
            <w:noWrap/>
            <w:vAlign w:val="center"/>
            <w:hideMark/>
          </w:tcPr>
          <w:p w14:paraId="345BC269"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lastRenderedPageBreak/>
              <w:t>1</w:t>
            </w:r>
          </w:p>
        </w:tc>
        <w:tc>
          <w:tcPr>
            <w:tcW w:w="5127" w:type="dxa"/>
            <w:tcBorders>
              <w:top w:val="nil"/>
              <w:left w:val="single" w:sz="4" w:space="0" w:color="auto"/>
              <w:bottom w:val="single" w:sz="4" w:space="0" w:color="auto"/>
              <w:right w:val="single" w:sz="4" w:space="0" w:color="auto"/>
            </w:tcBorders>
            <w:noWrap/>
            <w:vAlign w:val="bottom"/>
            <w:hideMark/>
          </w:tcPr>
          <w:p w14:paraId="3F3DF828" w14:textId="4B4A1462"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Vispārējās valdības budžeta strukturālās bilances mērķis, % no IKP</w:t>
            </w:r>
          </w:p>
        </w:tc>
        <w:tc>
          <w:tcPr>
            <w:tcW w:w="924" w:type="dxa"/>
            <w:tcBorders>
              <w:top w:val="nil"/>
              <w:left w:val="nil"/>
              <w:bottom w:val="single" w:sz="4" w:space="0" w:color="auto"/>
              <w:right w:val="single" w:sz="4" w:space="0" w:color="auto"/>
            </w:tcBorders>
            <w:noWrap/>
            <w:hideMark/>
          </w:tcPr>
          <w:p w14:paraId="4765F158" w14:textId="2625C8F4"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-1,48</w:t>
            </w:r>
          </w:p>
        </w:tc>
        <w:tc>
          <w:tcPr>
            <w:tcW w:w="924" w:type="dxa"/>
            <w:tcBorders>
              <w:top w:val="nil"/>
              <w:left w:val="nil"/>
              <w:bottom w:val="single" w:sz="4" w:space="0" w:color="auto"/>
              <w:right w:val="single" w:sz="4" w:space="0" w:color="auto"/>
            </w:tcBorders>
            <w:noWrap/>
            <w:hideMark/>
          </w:tcPr>
          <w:p w14:paraId="2CE89C81" w14:textId="5EB411CC"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-2,10</w:t>
            </w:r>
          </w:p>
        </w:tc>
        <w:tc>
          <w:tcPr>
            <w:tcW w:w="924" w:type="dxa"/>
            <w:tcBorders>
              <w:top w:val="nil"/>
              <w:left w:val="nil"/>
              <w:bottom w:val="single" w:sz="4" w:space="0" w:color="auto"/>
              <w:right w:val="single" w:sz="4" w:space="0" w:color="auto"/>
            </w:tcBorders>
            <w:noWrap/>
            <w:hideMark/>
          </w:tcPr>
          <w:p w14:paraId="72C8CB0A" w14:textId="6B1A2228"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-2,00</w:t>
            </w:r>
          </w:p>
        </w:tc>
      </w:tr>
      <w:tr w:rsidR="00ED46E3" w:rsidRPr="00D8017D" w14:paraId="708CE89C" w14:textId="77777777" w:rsidTr="00CF0539">
        <w:trPr>
          <w:trHeight w:val="300"/>
          <w:jc w:val="center"/>
        </w:trPr>
        <w:tc>
          <w:tcPr>
            <w:tcW w:w="1167" w:type="dxa"/>
            <w:tcBorders>
              <w:top w:val="nil"/>
              <w:left w:val="nil"/>
              <w:bottom w:val="nil"/>
              <w:right w:val="nil"/>
            </w:tcBorders>
            <w:noWrap/>
            <w:vAlign w:val="center"/>
            <w:hideMark/>
          </w:tcPr>
          <w:p w14:paraId="67CEB520"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2</w:t>
            </w:r>
          </w:p>
        </w:tc>
        <w:tc>
          <w:tcPr>
            <w:tcW w:w="5127" w:type="dxa"/>
            <w:tcBorders>
              <w:top w:val="nil"/>
              <w:left w:val="single" w:sz="4" w:space="0" w:color="auto"/>
              <w:bottom w:val="single" w:sz="4" w:space="0" w:color="auto"/>
              <w:right w:val="single" w:sz="4" w:space="0" w:color="auto"/>
            </w:tcBorders>
            <w:noWrap/>
            <w:vAlign w:val="bottom"/>
            <w:hideMark/>
          </w:tcPr>
          <w:p w14:paraId="0007869D" w14:textId="26A034C6"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Cikliskā komponente, % no IKP</w:t>
            </w:r>
          </w:p>
        </w:tc>
        <w:tc>
          <w:tcPr>
            <w:tcW w:w="924" w:type="dxa"/>
            <w:tcBorders>
              <w:top w:val="nil"/>
              <w:left w:val="nil"/>
              <w:bottom w:val="single" w:sz="4" w:space="0" w:color="auto"/>
              <w:right w:val="single" w:sz="4" w:space="0" w:color="auto"/>
            </w:tcBorders>
            <w:noWrap/>
            <w:hideMark/>
          </w:tcPr>
          <w:p w14:paraId="3BC3DD6C" w14:textId="0142AE91"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-0,33</w:t>
            </w:r>
          </w:p>
        </w:tc>
        <w:tc>
          <w:tcPr>
            <w:tcW w:w="924" w:type="dxa"/>
            <w:tcBorders>
              <w:top w:val="nil"/>
              <w:left w:val="nil"/>
              <w:bottom w:val="single" w:sz="4" w:space="0" w:color="auto"/>
              <w:right w:val="single" w:sz="4" w:space="0" w:color="auto"/>
            </w:tcBorders>
            <w:noWrap/>
            <w:hideMark/>
          </w:tcPr>
          <w:p w14:paraId="64124E67" w14:textId="1ABC74BC"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-0,18</w:t>
            </w:r>
          </w:p>
        </w:tc>
        <w:tc>
          <w:tcPr>
            <w:tcW w:w="924" w:type="dxa"/>
            <w:tcBorders>
              <w:top w:val="nil"/>
              <w:left w:val="nil"/>
              <w:bottom w:val="single" w:sz="4" w:space="0" w:color="auto"/>
              <w:right w:val="single" w:sz="4" w:space="0" w:color="auto"/>
            </w:tcBorders>
            <w:noWrap/>
            <w:hideMark/>
          </w:tcPr>
          <w:p w14:paraId="2D56A88D" w14:textId="3779006D"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-0,08</w:t>
            </w:r>
          </w:p>
        </w:tc>
      </w:tr>
      <w:tr w:rsidR="00ED46E3" w:rsidRPr="00D8017D" w14:paraId="626C1599" w14:textId="77777777" w:rsidTr="00CF0539">
        <w:trPr>
          <w:trHeight w:val="300"/>
          <w:jc w:val="center"/>
        </w:trPr>
        <w:tc>
          <w:tcPr>
            <w:tcW w:w="1167" w:type="dxa"/>
            <w:tcBorders>
              <w:top w:val="nil"/>
              <w:left w:val="nil"/>
              <w:bottom w:val="nil"/>
              <w:right w:val="nil"/>
            </w:tcBorders>
            <w:noWrap/>
            <w:vAlign w:val="center"/>
            <w:hideMark/>
          </w:tcPr>
          <w:p w14:paraId="68C49C22"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3</w:t>
            </w:r>
          </w:p>
        </w:tc>
        <w:tc>
          <w:tcPr>
            <w:tcW w:w="5127" w:type="dxa"/>
            <w:tcBorders>
              <w:top w:val="nil"/>
              <w:left w:val="single" w:sz="4" w:space="0" w:color="auto"/>
              <w:bottom w:val="single" w:sz="4" w:space="0" w:color="auto"/>
              <w:right w:val="single" w:sz="4" w:space="0" w:color="auto"/>
            </w:tcBorders>
            <w:noWrap/>
            <w:vAlign w:val="bottom"/>
            <w:hideMark/>
          </w:tcPr>
          <w:p w14:paraId="59A6C11B" w14:textId="094F2BC8"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Vienreizējie un citi pagaidu pasākumi, % no IKP</w:t>
            </w:r>
          </w:p>
        </w:tc>
        <w:tc>
          <w:tcPr>
            <w:tcW w:w="924" w:type="dxa"/>
            <w:tcBorders>
              <w:top w:val="nil"/>
              <w:left w:val="nil"/>
              <w:bottom w:val="single" w:sz="4" w:space="0" w:color="auto"/>
              <w:right w:val="single" w:sz="4" w:space="0" w:color="auto"/>
            </w:tcBorders>
            <w:noWrap/>
          </w:tcPr>
          <w:p w14:paraId="6D4B1334" w14:textId="2E05DE1A"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-1,64</w:t>
            </w:r>
          </w:p>
        </w:tc>
        <w:tc>
          <w:tcPr>
            <w:tcW w:w="924" w:type="dxa"/>
            <w:tcBorders>
              <w:top w:val="nil"/>
              <w:left w:val="nil"/>
              <w:bottom w:val="single" w:sz="4" w:space="0" w:color="auto"/>
              <w:right w:val="single" w:sz="4" w:space="0" w:color="auto"/>
            </w:tcBorders>
            <w:noWrap/>
          </w:tcPr>
          <w:p w14:paraId="742CAF65" w14:textId="0214A0B8"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-1,69</w:t>
            </w:r>
          </w:p>
        </w:tc>
        <w:tc>
          <w:tcPr>
            <w:tcW w:w="924" w:type="dxa"/>
            <w:tcBorders>
              <w:top w:val="nil"/>
              <w:left w:val="nil"/>
              <w:bottom w:val="single" w:sz="4" w:space="0" w:color="auto"/>
              <w:right w:val="single" w:sz="4" w:space="0" w:color="auto"/>
            </w:tcBorders>
            <w:noWrap/>
          </w:tcPr>
          <w:p w14:paraId="7151991E" w14:textId="2E4AF6A8"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-1,59</w:t>
            </w:r>
          </w:p>
        </w:tc>
      </w:tr>
      <w:tr w:rsidR="00ED46E3" w:rsidRPr="00D8017D" w14:paraId="283D64DB" w14:textId="77777777" w:rsidTr="00CF0539">
        <w:trPr>
          <w:trHeight w:val="300"/>
          <w:jc w:val="center"/>
        </w:trPr>
        <w:tc>
          <w:tcPr>
            <w:tcW w:w="1167" w:type="dxa"/>
            <w:tcBorders>
              <w:top w:val="nil"/>
              <w:left w:val="nil"/>
              <w:bottom w:val="nil"/>
              <w:right w:val="nil"/>
            </w:tcBorders>
            <w:noWrap/>
            <w:vAlign w:val="center"/>
            <w:hideMark/>
          </w:tcPr>
          <w:p w14:paraId="6785789A"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4=1+2+3</w:t>
            </w:r>
          </w:p>
        </w:tc>
        <w:tc>
          <w:tcPr>
            <w:tcW w:w="5127" w:type="dxa"/>
            <w:tcBorders>
              <w:top w:val="nil"/>
              <w:left w:val="single" w:sz="4" w:space="0" w:color="auto"/>
              <w:bottom w:val="single" w:sz="4" w:space="0" w:color="auto"/>
              <w:right w:val="single" w:sz="4" w:space="0" w:color="auto"/>
            </w:tcBorders>
            <w:noWrap/>
            <w:vAlign w:val="bottom"/>
            <w:hideMark/>
          </w:tcPr>
          <w:p w14:paraId="0670ACFA" w14:textId="66190B59"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Vispārējās valdības budžeta nominālā bilance, % no IKP</w:t>
            </w:r>
          </w:p>
        </w:tc>
        <w:tc>
          <w:tcPr>
            <w:tcW w:w="924" w:type="dxa"/>
            <w:tcBorders>
              <w:top w:val="nil"/>
              <w:left w:val="nil"/>
              <w:bottom w:val="single" w:sz="4" w:space="0" w:color="auto"/>
              <w:right w:val="single" w:sz="4" w:space="0" w:color="auto"/>
            </w:tcBorders>
            <w:noWrap/>
          </w:tcPr>
          <w:p w14:paraId="2BA89E0E" w14:textId="54C0AEB0"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-3,44</w:t>
            </w:r>
          </w:p>
        </w:tc>
        <w:tc>
          <w:tcPr>
            <w:tcW w:w="924" w:type="dxa"/>
            <w:tcBorders>
              <w:top w:val="nil"/>
              <w:left w:val="nil"/>
              <w:bottom w:val="single" w:sz="4" w:space="0" w:color="auto"/>
              <w:right w:val="single" w:sz="4" w:space="0" w:color="auto"/>
            </w:tcBorders>
            <w:noWrap/>
          </w:tcPr>
          <w:p w14:paraId="7EC45181" w14:textId="681ABCE9"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-3,98</w:t>
            </w:r>
          </w:p>
        </w:tc>
        <w:tc>
          <w:tcPr>
            <w:tcW w:w="924" w:type="dxa"/>
            <w:tcBorders>
              <w:top w:val="nil"/>
              <w:left w:val="nil"/>
              <w:bottom w:val="single" w:sz="4" w:space="0" w:color="auto"/>
              <w:right w:val="single" w:sz="4" w:space="0" w:color="auto"/>
            </w:tcBorders>
            <w:noWrap/>
          </w:tcPr>
          <w:p w14:paraId="4C77BA93" w14:textId="55B37929"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-3,67</w:t>
            </w:r>
          </w:p>
        </w:tc>
      </w:tr>
      <w:tr w:rsidR="00ED46E3" w:rsidRPr="00D8017D" w14:paraId="7F1B8BA4" w14:textId="77777777" w:rsidTr="00CF0539">
        <w:trPr>
          <w:trHeight w:val="300"/>
          <w:jc w:val="center"/>
        </w:trPr>
        <w:tc>
          <w:tcPr>
            <w:tcW w:w="1167" w:type="dxa"/>
            <w:tcBorders>
              <w:top w:val="nil"/>
              <w:left w:val="nil"/>
              <w:bottom w:val="nil"/>
              <w:right w:val="nil"/>
            </w:tcBorders>
            <w:noWrap/>
            <w:vAlign w:val="center"/>
            <w:hideMark/>
          </w:tcPr>
          <w:p w14:paraId="5652FC06"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5=4*0</w:t>
            </w:r>
          </w:p>
        </w:tc>
        <w:tc>
          <w:tcPr>
            <w:tcW w:w="5127" w:type="dxa"/>
            <w:tcBorders>
              <w:top w:val="nil"/>
              <w:left w:val="single" w:sz="4" w:space="0" w:color="auto"/>
              <w:bottom w:val="single" w:sz="4" w:space="0" w:color="auto"/>
              <w:right w:val="single" w:sz="4" w:space="0" w:color="auto"/>
            </w:tcBorders>
            <w:noWrap/>
            <w:vAlign w:val="bottom"/>
            <w:hideMark/>
          </w:tcPr>
          <w:p w14:paraId="489B638C" w14:textId="21B2EEDE"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 xml:space="preserve">Vispārējās valdības nominālā bilance, milj. </w:t>
            </w:r>
            <w:r w:rsidRPr="00C603FF">
              <w:rPr>
                <w:rFonts w:eastAsia="Times New Roman" w:cs="Times New Roman"/>
                <w:i/>
                <w:iCs/>
                <w:color w:val="000000"/>
                <w:sz w:val="20"/>
                <w:szCs w:val="20"/>
              </w:rPr>
              <w:t>euro</w:t>
            </w:r>
          </w:p>
        </w:tc>
        <w:tc>
          <w:tcPr>
            <w:tcW w:w="924" w:type="dxa"/>
            <w:tcBorders>
              <w:top w:val="nil"/>
              <w:left w:val="nil"/>
              <w:bottom w:val="single" w:sz="4" w:space="0" w:color="auto"/>
              <w:right w:val="single" w:sz="4" w:space="0" w:color="auto"/>
            </w:tcBorders>
            <w:noWrap/>
          </w:tcPr>
          <w:p w14:paraId="0C46C4E2" w14:textId="532D8E8A"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-1 511,3</w:t>
            </w:r>
          </w:p>
        </w:tc>
        <w:tc>
          <w:tcPr>
            <w:tcW w:w="924" w:type="dxa"/>
            <w:tcBorders>
              <w:top w:val="nil"/>
              <w:left w:val="nil"/>
              <w:bottom w:val="single" w:sz="4" w:space="0" w:color="auto"/>
              <w:right w:val="single" w:sz="4" w:space="0" w:color="auto"/>
            </w:tcBorders>
            <w:noWrap/>
          </w:tcPr>
          <w:p w14:paraId="11FBCF79" w14:textId="52A8AF44"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-1 831,5</w:t>
            </w:r>
          </w:p>
        </w:tc>
        <w:tc>
          <w:tcPr>
            <w:tcW w:w="924" w:type="dxa"/>
            <w:tcBorders>
              <w:top w:val="nil"/>
              <w:left w:val="nil"/>
              <w:bottom w:val="single" w:sz="4" w:space="0" w:color="auto"/>
              <w:right w:val="single" w:sz="4" w:space="0" w:color="auto"/>
            </w:tcBorders>
            <w:noWrap/>
          </w:tcPr>
          <w:p w14:paraId="0452FF5F" w14:textId="611352F9"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-1 767,4</w:t>
            </w:r>
          </w:p>
        </w:tc>
      </w:tr>
      <w:tr w:rsidR="00ED46E3" w:rsidRPr="00D8017D" w14:paraId="587163D1" w14:textId="77777777" w:rsidTr="00CF0539">
        <w:trPr>
          <w:trHeight w:val="300"/>
          <w:jc w:val="center"/>
        </w:trPr>
        <w:tc>
          <w:tcPr>
            <w:tcW w:w="1167" w:type="dxa"/>
            <w:tcBorders>
              <w:top w:val="nil"/>
              <w:left w:val="nil"/>
              <w:bottom w:val="nil"/>
              <w:right w:val="nil"/>
            </w:tcBorders>
            <w:noWrap/>
            <w:vAlign w:val="center"/>
            <w:hideMark/>
          </w:tcPr>
          <w:p w14:paraId="5EC91241"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6</w:t>
            </w:r>
          </w:p>
        </w:tc>
        <w:tc>
          <w:tcPr>
            <w:tcW w:w="5127" w:type="dxa"/>
            <w:tcBorders>
              <w:top w:val="nil"/>
              <w:left w:val="single" w:sz="4" w:space="0" w:color="auto"/>
              <w:bottom w:val="single" w:sz="4" w:space="0" w:color="auto"/>
              <w:right w:val="single" w:sz="4" w:space="0" w:color="auto"/>
            </w:tcBorders>
            <w:noWrap/>
            <w:vAlign w:val="bottom"/>
            <w:hideMark/>
          </w:tcPr>
          <w:p w14:paraId="62CE353B" w14:textId="11D7BB0A"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 xml:space="preserve">Pašvaldību budžeta bilance, milj. </w:t>
            </w:r>
            <w:r w:rsidRPr="00C603FF">
              <w:rPr>
                <w:rFonts w:eastAsia="Times New Roman" w:cs="Times New Roman"/>
                <w:i/>
                <w:iCs/>
                <w:color w:val="000000"/>
                <w:sz w:val="20"/>
                <w:szCs w:val="20"/>
              </w:rPr>
              <w:t>euro</w:t>
            </w:r>
          </w:p>
        </w:tc>
        <w:tc>
          <w:tcPr>
            <w:tcW w:w="924" w:type="dxa"/>
            <w:tcBorders>
              <w:top w:val="nil"/>
              <w:left w:val="nil"/>
              <w:bottom w:val="single" w:sz="4" w:space="0" w:color="auto"/>
              <w:right w:val="single" w:sz="4" w:space="0" w:color="auto"/>
            </w:tcBorders>
            <w:noWrap/>
          </w:tcPr>
          <w:p w14:paraId="1BDD0EAC" w14:textId="1B8A3385"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67,8</w:t>
            </w:r>
          </w:p>
        </w:tc>
        <w:tc>
          <w:tcPr>
            <w:tcW w:w="924" w:type="dxa"/>
            <w:tcBorders>
              <w:top w:val="nil"/>
              <w:left w:val="nil"/>
              <w:bottom w:val="single" w:sz="4" w:space="0" w:color="auto"/>
              <w:right w:val="single" w:sz="4" w:space="0" w:color="auto"/>
            </w:tcBorders>
            <w:noWrap/>
          </w:tcPr>
          <w:p w14:paraId="0A88A817" w14:textId="05A6DC4C"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61,9</w:t>
            </w:r>
          </w:p>
        </w:tc>
        <w:tc>
          <w:tcPr>
            <w:tcW w:w="924" w:type="dxa"/>
            <w:tcBorders>
              <w:top w:val="nil"/>
              <w:left w:val="nil"/>
              <w:bottom w:val="single" w:sz="4" w:space="0" w:color="auto"/>
              <w:right w:val="single" w:sz="4" w:space="0" w:color="auto"/>
            </w:tcBorders>
            <w:noWrap/>
          </w:tcPr>
          <w:p w14:paraId="37A53866" w14:textId="49AC400B"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60,3</w:t>
            </w:r>
          </w:p>
        </w:tc>
      </w:tr>
      <w:tr w:rsidR="00ED46E3" w:rsidRPr="00D8017D" w14:paraId="42C3E909" w14:textId="77777777" w:rsidTr="00CF0539">
        <w:trPr>
          <w:trHeight w:val="300"/>
          <w:jc w:val="center"/>
        </w:trPr>
        <w:tc>
          <w:tcPr>
            <w:tcW w:w="1167" w:type="dxa"/>
            <w:tcBorders>
              <w:top w:val="nil"/>
              <w:left w:val="nil"/>
              <w:bottom w:val="nil"/>
              <w:right w:val="nil"/>
            </w:tcBorders>
            <w:noWrap/>
            <w:vAlign w:val="center"/>
            <w:hideMark/>
          </w:tcPr>
          <w:p w14:paraId="110F1CB3"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7</w:t>
            </w:r>
          </w:p>
        </w:tc>
        <w:tc>
          <w:tcPr>
            <w:tcW w:w="5127" w:type="dxa"/>
            <w:tcBorders>
              <w:top w:val="nil"/>
              <w:left w:val="single" w:sz="4" w:space="0" w:color="auto"/>
              <w:bottom w:val="single" w:sz="4" w:space="0" w:color="auto"/>
              <w:right w:val="single" w:sz="4" w:space="0" w:color="auto"/>
            </w:tcBorders>
            <w:noWrap/>
            <w:vAlign w:val="bottom"/>
            <w:hideMark/>
          </w:tcPr>
          <w:p w14:paraId="0BCCB55B" w14:textId="2ECC882A"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 xml:space="preserve">Atvasināto personu un budžeta nefinansētu iestāžu budžeta bilance, milj. </w:t>
            </w:r>
            <w:r w:rsidRPr="00C603FF">
              <w:rPr>
                <w:rFonts w:eastAsia="Times New Roman" w:cs="Times New Roman"/>
                <w:i/>
                <w:iCs/>
                <w:color w:val="000000"/>
                <w:sz w:val="20"/>
                <w:szCs w:val="20"/>
              </w:rPr>
              <w:t>euro</w:t>
            </w:r>
          </w:p>
        </w:tc>
        <w:tc>
          <w:tcPr>
            <w:tcW w:w="924" w:type="dxa"/>
            <w:tcBorders>
              <w:top w:val="nil"/>
              <w:left w:val="nil"/>
              <w:bottom w:val="single" w:sz="4" w:space="0" w:color="auto"/>
              <w:right w:val="single" w:sz="4" w:space="0" w:color="auto"/>
            </w:tcBorders>
            <w:noWrap/>
          </w:tcPr>
          <w:p w14:paraId="47560B9F" w14:textId="5C58A8ED"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27,0</w:t>
            </w:r>
          </w:p>
        </w:tc>
        <w:tc>
          <w:tcPr>
            <w:tcW w:w="924" w:type="dxa"/>
            <w:tcBorders>
              <w:top w:val="nil"/>
              <w:left w:val="nil"/>
              <w:bottom w:val="single" w:sz="4" w:space="0" w:color="auto"/>
              <w:right w:val="single" w:sz="4" w:space="0" w:color="auto"/>
            </w:tcBorders>
            <w:noWrap/>
          </w:tcPr>
          <w:p w14:paraId="4B08A901" w14:textId="7A1458C0"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4,3</w:t>
            </w:r>
          </w:p>
        </w:tc>
        <w:tc>
          <w:tcPr>
            <w:tcW w:w="924" w:type="dxa"/>
            <w:tcBorders>
              <w:top w:val="nil"/>
              <w:left w:val="nil"/>
              <w:bottom w:val="single" w:sz="4" w:space="0" w:color="auto"/>
              <w:right w:val="single" w:sz="4" w:space="0" w:color="auto"/>
            </w:tcBorders>
            <w:noWrap/>
          </w:tcPr>
          <w:p w14:paraId="264867D4" w14:textId="309BED46"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-4,0</w:t>
            </w:r>
          </w:p>
        </w:tc>
      </w:tr>
      <w:tr w:rsidR="00ED46E3" w:rsidRPr="00D8017D" w14:paraId="77D2E512" w14:textId="77777777" w:rsidTr="00CF0539">
        <w:trPr>
          <w:trHeight w:val="300"/>
          <w:jc w:val="center"/>
        </w:trPr>
        <w:tc>
          <w:tcPr>
            <w:tcW w:w="1167" w:type="dxa"/>
            <w:tcBorders>
              <w:top w:val="nil"/>
              <w:left w:val="nil"/>
              <w:bottom w:val="nil"/>
              <w:right w:val="nil"/>
            </w:tcBorders>
            <w:noWrap/>
            <w:vAlign w:val="center"/>
            <w:hideMark/>
          </w:tcPr>
          <w:p w14:paraId="70CFE0DF"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8</w:t>
            </w:r>
          </w:p>
        </w:tc>
        <w:tc>
          <w:tcPr>
            <w:tcW w:w="5127" w:type="dxa"/>
            <w:tcBorders>
              <w:top w:val="nil"/>
              <w:left w:val="single" w:sz="4" w:space="0" w:color="auto"/>
              <w:bottom w:val="single" w:sz="4" w:space="0" w:color="auto"/>
              <w:right w:val="single" w:sz="4" w:space="0" w:color="auto"/>
            </w:tcBorders>
            <w:noWrap/>
            <w:vAlign w:val="bottom"/>
            <w:hideMark/>
          </w:tcPr>
          <w:p w14:paraId="71F2CCB6" w14:textId="773339AA"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 xml:space="preserve">EKS korekcijas, milj. </w:t>
            </w:r>
            <w:r w:rsidRPr="00C603FF">
              <w:rPr>
                <w:rFonts w:eastAsia="Times New Roman" w:cs="Times New Roman"/>
                <w:i/>
                <w:iCs/>
                <w:color w:val="000000"/>
                <w:sz w:val="20"/>
                <w:szCs w:val="20"/>
              </w:rPr>
              <w:t>euro</w:t>
            </w:r>
          </w:p>
        </w:tc>
        <w:tc>
          <w:tcPr>
            <w:tcW w:w="924" w:type="dxa"/>
            <w:tcBorders>
              <w:top w:val="nil"/>
              <w:left w:val="nil"/>
              <w:bottom w:val="single" w:sz="4" w:space="0" w:color="auto"/>
              <w:right w:val="single" w:sz="4" w:space="0" w:color="auto"/>
            </w:tcBorders>
            <w:noWrap/>
          </w:tcPr>
          <w:p w14:paraId="0AA44C25" w14:textId="00F3C602"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319,3</w:t>
            </w:r>
          </w:p>
        </w:tc>
        <w:tc>
          <w:tcPr>
            <w:tcW w:w="924" w:type="dxa"/>
            <w:tcBorders>
              <w:top w:val="nil"/>
              <w:left w:val="nil"/>
              <w:bottom w:val="single" w:sz="4" w:space="0" w:color="auto"/>
              <w:right w:val="single" w:sz="4" w:space="0" w:color="auto"/>
            </w:tcBorders>
            <w:noWrap/>
          </w:tcPr>
          <w:p w14:paraId="5C09DBD1" w14:textId="4D00ADFB"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103,1</w:t>
            </w:r>
          </w:p>
        </w:tc>
        <w:tc>
          <w:tcPr>
            <w:tcW w:w="924" w:type="dxa"/>
            <w:tcBorders>
              <w:top w:val="nil"/>
              <w:left w:val="nil"/>
              <w:bottom w:val="single" w:sz="4" w:space="0" w:color="auto"/>
              <w:right w:val="single" w:sz="4" w:space="0" w:color="auto"/>
            </w:tcBorders>
            <w:noWrap/>
          </w:tcPr>
          <w:p w14:paraId="0142B97F" w14:textId="02A853D2"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94,7</w:t>
            </w:r>
          </w:p>
        </w:tc>
      </w:tr>
      <w:tr w:rsidR="00ED46E3" w:rsidRPr="00D8017D" w14:paraId="560F5ED1" w14:textId="77777777" w:rsidTr="00CF0539">
        <w:trPr>
          <w:trHeight w:val="300"/>
          <w:jc w:val="center"/>
        </w:trPr>
        <w:tc>
          <w:tcPr>
            <w:tcW w:w="1167" w:type="dxa"/>
            <w:tcBorders>
              <w:top w:val="nil"/>
              <w:left w:val="nil"/>
              <w:bottom w:val="nil"/>
              <w:right w:val="nil"/>
            </w:tcBorders>
            <w:noWrap/>
            <w:vAlign w:val="center"/>
            <w:hideMark/>
          </w:tcPr>
          <w:p w14:paraId="70AADC9F"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9=5-6-7-8</w:t>
            </w:r>
          </w:p>
        </w:tc>
        <w:tc>
          <w:tcPr>
            <w:tcW w:w="5127" w:type="dxa"/>
            <w:tcBorders>
              <w:top w:val="nil"/>
              <w:left w:val="single" w:sz="4" w:space="0" w:color="auto"/>
              <w:bottom w:val="single" w:sz="4" w:space="0" w:color="auto"/>
              <w:right w:val="single" w:sz="4" w:space="0" w:color="auto"/>
            </w:tcBorders>
            <w:noWrap/>
            <w:vAlign w:val="bottom"/>
            <w:hideMark/>
          </w:tcPr>
          <w:p w14:paraId="65DEB985" w14:textId="0B2B2E61"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 xml:space="preserve">Valsts budžeta bilance, milj. </w:t>
            </w:r>
            <w:r w:rsidRPr="00C603FF">
              <w:rPr>
                <w:rFonts w:eastAsia="Times New Roman" w:cs="Times New Roman"/>
                <w:i/>
                <w:iCs/>
                <w:color w:val="000000"/>
                <w:sz w:val="20"/>
                <w:szCs w:val="20"/>
              </w:rPr>
              <w:t>euro</w:t>
            </w:r>
          </w:p>
        </w:tc>
        <w:tc>
          <w:tcPr>
            <w:tcW w:w="924" w:type="dxa"/>
            <w:tcBorders>
              <w:top w:val="nil"/>
              <w:left w:val="nil"/>
              <w:bottom w:val="single" w:sz="4" w:space="0" w:color="auto"/>
              <w:right w:val="single" w:sz="4" w:space="0" w:color="auto"/>
            </w:tcBorders>
            <w:noWrap/>
          </w:tcPr>
          <w:p w14:paraId="2C80039A" w14:textId="4F478F0D"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-1 925,5</w:t>
            </w:r>
          </w:p>
        </w:tc>
        <w:tc>
          <w:tcPr>
            <w:tcW w:w="924" w:type="dxa"/>
            <w:tcBorders>
              <w:top w:val="nil"/>
              <w:left w:val="nil"/>
              <w:bottom w:val="single" w:sz="4" w:space="0" w:color="auto"/>
              <w:right w:val="single" w:sz="4" w:space="0" w:color="auto"/>
            </w:tcBorders>
            <w:noWrap/>
          </w:tcPr>
          <w:p w14:paraId="4616EE15" w14:textId="68899217"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-2 000,7</w:t>
            </w:r>
          </w:p>
        </w:tc>
        <w:tc>
          <w:tcPr>
            <w:tcW w:w="924" w:type="dxa"/>
            <w:tcBorders>
              <w:top w:val="nil"/>
              <w:left w:val="nil"/>
              <w:bottom w:val="single" w:sz="4" w:space="0" w:color="auto"/>
              <w:right w:val="single" w:sz="4" w:space="0" w:color="auto"/>
            </w:tcBorders>
            <w:noWrap/>
          </w:tcPr>
          <w:p w14:paraId="78B86BE0" w14:textId="73AFED4D"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-1 918,4</w:t>
            </w:r>
          </w:p>
        </w:tc>
      </w:tr>
      <w:tr w:rsidR="00ED46E3" w:rsidRPr="00D8017D" w14:paraId="2A47E7E8" w14:textId="77777777" w:rsidTr="00CF0539">
        <w:trPr>
          <w:trHeight w:val="300"/>
          <w:jc w:val="center"/>
        </w:trPr>
        <w:tc>
          <w:tcPr>
            <w:tcW w:w="1167" w:type="dxa"/>
            <w:tcBorders>
              <w:top w:val="nil"/>
              <w:left w:val="nil"/>
              <w:bottom w:val="nil"/>
              <w:right w:val="nil"/>
            </w:tcBorders>
            <w:noWrap/>
            <w:vAlign w:val="center"/>
            <w:hideMark/>
          </w:tcPr>
          <w:p w14:paraId="26B56E3D"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10</w:t>
            </w:r>
          </w:p>
        </w:tc>
        <w:tc>
          <w:tcPr>
            <w:tcW w:w="5127" w:type="dxa"/>
            <w:tcBorders>
              <w:top w:val="nil"/>
              <w:left w:val="single" w:sz="4" w:space="0" w:color="auto"/>
              <w:bottom w:val="single" w:sz="4" w:space="0" w:color="auto"/>
              <w:right w:val="single" w:sz="4" w:space="0" w:color="auto"/>
            </w:tcBorders>
            <w:noWrap/>
            <w:vAlign w:val="bottom"/>
            <w:hideMark/>
          </w:tcPr>
          <w:p w14:paraId="1952ECBC" w14:textId="565A10A1"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 xml:space="preserve">Valsts budžeta ieņēmumi, milj. </w:t>
            </w:r>
            <w:r w:rsidRPr="00C603FF">
              <w:rPr>
                <w:rFonts w:eastAsia="Times New Roman" w:cs="Times New Roman"/>
                <w:i/>
                <w:iCs/>
                <w:color w:val="000000"/>
                <w:sz w:val="20"/>
                <w:szCs w:val="20"/>
              </w:rPr>
              <w:t>euro</w:t>
            </w:r>
          </w:p>
        </w:tc>
        <w:tc>
          <w:tcPr>
            <w:tcW w:w="924" w:type="dxa"/>
            <w:tcBorders>
              <w:top w:val="nil"/>
              <w:left w:val="nil"/>
              <w:bottom w:val="single" w:sz="4" w:space="0" w:color="auto"/>
              <w:right w:val="single" w:sz="4" w:space="0" w:color="auto"/>
            </w:tcBorders>
            <w:noWrap/>
          </w:tcPr>
          <w:p w14:paraId="1D50A238" w14:textId="1E0A5B4C"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16 063,7</w:t>
            </w:r>
          </w:p>
        </w:tc>
        <w:tc>
          <w:tcPr>
            <w:tcW w:w="924" w:type="dxa"/>
            <w:tcBorders>
              <w:top w:val="nil"/>
              <w:left w:val="nil"/>
              <w:bottom w:val="single" w:sz="4" w:space="0" w:color="auto"/>
              <w:right w:val="single" w:sz="4" w:space="0" w:color="auto"/>
            </w:tcBorders>
            <w:noWrap/>
          </w:tcPr>
          <w:p w14:paraId="396C017B" w14:textId="2B2296C5"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15 910,7</w:t>
            </w:r>
          </w:p>
        </w:tc>
        <w:tc>
          <w:tcPr>
            <w:tcW w:w="924" w:type="dxa"/>
            <w:tcBorders>
              <w:top w:val="nil"/>
              <w:left w:val="nil"/>
              <w:bottom w:val="single" w:sz="4" w:space="0" w:color="auto"/>
              <w:right w:val="single" w:sz="4" w:space="0" w:color="auto"/>
            </w:tcBorders>
            <w:noWrap/>
          </w:tcPr>
          <w:p w14:paraId="7F819BEE" w14:textId="14CE4CF7"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15 961,2</w:t>
            </w:r>
          </w:p>
        </w:tc>
      </w:tr>
      <w:tr w:rsidR="00ED46E3" w:rsidRPr="00D8017D" w14:paraId="139D2B22" w14:textId="77777777" w:rsidTr="00CF0539">
        <w:trPr>
          <w:trHeight w:val="315"/>
          <w:jc w:val="center"/>
        </w:trPr>
        <w:tc>
          <w:tcPr>
            <w:tcW w:w="1167" w:type="dxa"/>
            <w:tcBorders>
              <w:top w:val="nil"/>
              <w:left w:val="nil"/>
              <w:bottom w:val="nil"/>
              <w:right w:val="nil"/>
            </w:tcBorders>
            <w:shd w:val="clear" w:color="auto" w:fill="FFFFFF" w:themeFill="background1"/>
            <w:noWrap/>
            <w:vAlign w:val="center"/>
            <w:hideMark/>
          </w:tcPr>
          <w:p w14:paraId="23987F3B"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11=10-9</w:t>
            </w:r>
          </w:p>
        </w:tc>
        <w:tc>
          <w:tcPr>
            <w:tcW w:w="5127"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2C55CD02" w14:textId="4BED65A8"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 xml:space="preserve">Ietvara maksimāli pieļaujamie valsts budžeta izdevumi, milj. </w:t>
            </w:r>
            <w:r w:rsidRPr="00C603FF">
              <w:rPr>
                <w:rFonts w:eastAsia="Times New Roman" w:cs="Times New Roman"/>
                <w:i/>
                <w:iCs/>
                <w:color w:val="000000"/>
                <w:sz w:val="20"/>
                <w:szCs w:val="20"/>
              </w:rPr>
              <w:t>euro</w:t>
            </w:r>
            <w:r w:rsidRPr="00C603FF">
              <w:rPr>
                <w:rFonts w:eastAsia="Times New Roman" w:cs="Times New Roman"/>
                <w:color w:val="000000"/>
                <w:sz w:val="20"/>
                <w:szCs w:val="20"/>
              </w:rPr>
              <w:t xml:space="preserve"> </w:t>
            </w:r>
          </w:p>
        </w:tc>
        <w:tc>
          <w:tcPr>
            <w:tcW w:w="924" w:type="dxa"/>
            <w:tcBorders>
              <w:top w:val="nil"/>
              <w:left w:val="nil"/>
              <w:bottom w:val="single" w:sz="4" w:space="0" w:color="auto"/>
              <w:right w:val="single" w:sz="4" w:space="0" w:color="auto"/>
            </w:tcBorders>
            <w:shd w:val="clear" w:color="auto" w:fill="FFF2CC" w:themeFill="accent4" w:themeFillTint="33"/>
            <w:noWrap/>
          </w:tcPr>
          <w:p w14:paraId="72A67FA5" w14:textId="35E5441B"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17 989,1</w:t>
            </w:r>
          </w:p>
        </w:tc>
        <w:tc>
          <w:tcPr>
            <w:tcW w:w="924" w:type="dxa"/>
            <w:tcBorders>
              <w:top w:val="nil"/>
              <w:left w:val="nil"/>
              <w:bottom w:val="single" w:sz="4" w:space="0" w:color="auto"/>
              <w:right w:val="single" w:sz="4" w:space="0" w:color="auto"/>
            </w:tcBorders>
            <w:shd w:val="clear" w:color="auto" w:fill="FFF2CC" w:themeFill="accent4" w:themeFillTint="33"/>
            <w:noWrap/>
          </w:tcPr>
          <w:p w14:paraId="787BC670" w14:textId="43605CC3"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17 911,4</w:t>
            </w:r>
          </w:p>
        </w:tc>
        <w:tc>
          <w:tcPr>
            <w:tcW w:w="924" w:type="dxa"/>
            <w:tcBorders>
              <w:top w:val="nil"/>
              <w:left w:val="nil"/>
              <w:bottom w:val="single" w:sz="4" w:space="0" w:color="auto"/>
              <w:right w:val="single" w:sz="4" w:space="0" w:color="auto"/>
            </w:tcBorders>
            <w:shd w:val="clear" w:color="auto" w:fill="FFF2CC" w:themeFill="accent4" w:themeFillTint="33"/>
            <w:noWrap/>
          </w:tcPr>
          <w:p w14:paraId="3F78AD4D" w14:textId="63D2ABDC"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17 879,6</w:t>
            </w:r>
          </w:p>
        </w:tc>
      </w:tr>
      <w:tr w:rsidR="00ED46E3" w:rsidRPr="00D8017D" w14:paraId="3885D41B" w14:textId="77777777" w:rsidTr="00CF0539">
        <w:trPr>
          <w:trHeight w:val="300"/>
          <w:jc w:val="center"/>
        </w:trPr>
        <w:tc>
          <w:tcPr>
            <w:tcW w:w="1167" w:type="dxa"/>
            <w:tcBorders>
              <w:top w:val="nil"/>
              <w:left w:val="nil"/>
              <w:bottom w:val="nil"/>
              <w:right w:val="nil"/>
            </w:tcBorders>
            <w:noWrap/>
            <w:vAlign w:val="center"/>
            <w:hideMark/>
          </w:tcPr>
          <w:p w14:paraId="0F8C67C2"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12=12.1+12.2</w:t>
            </w:r>
          </w:p>
        </w:tc>
        <w:tc>
          <w:tcPr>
            <w:tcW w:w="5127" w:type="dxa"/>
            <w:tcBorders>
              <w:top w:val="nil"/>
              <w:left w:val="single" w:sz="4" w:space="0" w:color="auto"/>
              <w:bottom w:val="single" w:sz="4" w:space="0" w:color="auto"/>
              <w:right w:val="single" w:sz="4" w:space="0" w:color="auto"/>
            </w:tcBorders>
            <w:noWrap/>
            <w:vAlign w:val="bottom"/>
            <w:hideMark/>
          </w:tcPr>
          <w:p w14:paraId="18753DFE" w14:textId="14A589BC" w:rsidR="00ED46E3" w:rsidRPr="00C603FF" w:rsidRDefault="00ED46E3" w:rsidP="00ED46E3">
            <w:pPr>
              <w:spacing w:after="0"/>
              <w:ind w:firstLine="0"/>
              <w:jc w:val="left"/>
              <w:rPr>
                <w:rFonts w:eastAsia="Times New Roman" w:cs="Times New Roman"/>
                <w:color w:val="000000"/>
                <w:sz w:val="20"/>
                <w:szCs w:val="20"/>
              </w:rPr>
            </w:pPr>
            <w:r w:rsidRPr="00C603FF">
              <w:rPr>
                <w:rFonts w:eastAsia="Times New Roman" w:cs="Times New Roman"/>
                <w:color w:val="000000"/>
                <w:sz w:val="20"/>
                <w:szCs w:val="20"/>
              </w:rPr>
              <w:t xml:space="preserve">Valsts budžeta izdevumi, milj. </w:t>
            </w:r>
            <w:r w:rsidRPr="00C603FF">
              <w:rPr>
                <w:rFonts w:eastAsia="Times New Roman" w:cs="Times New Roman"/>
                <w:i/>
                <w:iCs/>
                <w:color w:val="000000"/>
                <w:sz w:val="20"/>
                <w:szCs w:val="20"/>
              </w:rPr>
              <w:t>euro</w:t>
            </w:r>
            <w:r w:rsidRPr="00C603FF">
              <w:rPr>
                <w:rFonts w:eastAsia="Times New Roman" w:cs="Times New Roman"/>
                <w:color w:val="000000"/>
                <w:sz w:val="20"/>
                <w:szCs w:val="20"/>
              </w:rPr>
              <w:t xml:space="preserve"> - </w:t>
            </w:r>
            <w:r w:rsidRPr="00C603FF">
              <w:rPr>
                <w:rFonts w:eastAsia="Times New Roman" w:cs="Times New Roman"/>
                <w:i/>
                <w:iCs/>
                <w:color w:val="000000"/>
                <w:sz w:val="20"/>
                <w:szCs w:val="20"/>
              </w:rPr>
              <w:t>top-down</w:t>
            </w:r>
          </w:p>
        </w:tc>
        <w:tc>
          <w:tcPr>
            <w:tcW w:w="924" w:type="dxa"/>
            <w:tcBorders>
              <w:top w:val="nil"/>
              <w:left w:val="nil"/>
              <w:bottom w:val="single" w:sz="4" w:space="0" w:color="auto"/>
              <w:right w:val="single" w:sz="4" w:space="0" w:color="auto"/>
            </w:tcBorders>
            <w:noWrap/>
          </w:tcPr>
          <w:p w14:paraId="64D7FBCF" w14:textId="47ACC14B"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17 989,1</w:t>
            </w:r>
          </w:p>
        </w:tc>
        <w:tc>
          <w:tcPr>
            <w:tcW w:w="924" w:type="dxa"/>
            <w:tcBorders>
              <w:top w:val="nil"/>
              <w:left w:val="nil"/>
              <w:bottom w:val="single" w:sz="4" w:space="0" w:color="auto"/>
              <w:right w:val="single" w:sz="4" w:space="0" w:color="auto"/>
            </w:tcBorders>
            <w:noWrap/>
          </w:tcPr>
          <w:p w14:paraId="4CE4196D" w14:textId="56975EF2"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17 911,4</w:t>
            </w:r>
          </w:p>
        </w:tc>
        <w:tc>
          <w:tcPr>
            <w:tcW w:w="924" w:type="dxa"/>
            <w:tcBorders>
              <w:top w:val="nil"/>
              <w:left w:val="nil"/>
              <w:bottom w:val="single" w:sz="4" w:space="0" w:color="auto"/>
              <w:right w:val="single" w:sz="4" w:space="0" w:color="auto"/>
            </w:tcBorders>
            <w:noWrap/>
          </w:tcPr>
          <w:p w14:paraId="65B053A5" w14:textId="29C4044A"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17 879,6</w:t>
            </w:r>
          </w:p>
        </w:tc>
      </w:tr>
      <w:tr w:rsidR="00ED46E3" w:rsidRPr="00D8017D" w14:paraId="2C07C342" w14:textId="77777777" w:rsidTr="00CF0539">
        <w:trPr>
          <w:trHeight w:val="300"/>
          <w:jc w:val="center"/>
        </w:trPr>
        <w:tc>
          <w:tcPr>
            <w:tcW w:w="1167" w:type="dxa"/>
            <w:tcBorders>
              <w:top w:val="nil"/>
              <w:left w:val="nil"/>
              <w:bottom w:val="nil"/>
              <w:right w:val="nil"/>
            </w:tcBorders>
            <w:noWrap/>
            <w:vAlign w:val="center"/>
            <w:hideMark/>
          </w:tcPr>
          <w:p w14:paraId="0126F09F"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12.1</w:t>
            </w:r>
          </w:p>
        </w:tc>
        <w:tc>
          <w:tcPr>
            <w:tcW w:w="5127" w:type="dxa"/>
            <w:tcBorders>
              <w:top w:val="nil"/>
              <w:left w:val="single" w:sz="4" w:space="0" w:color="auto"/>
              <w:bottom w:val="single" w:sz="4" w:space="0" w:color="auto"/>
              <w:right w:val="single" w:sz="4" w:space="0" w:color="auto"/>
            </w:tcBorders>
            <w:noWrap/>
            <w:vAlign w:val="bottom"/>
            <w:hideMark/>
          </w:tcPr>
          <w:p w14:paraId="4DE9AAF3" w14:textId="4671D10E" w:rsidR="00ED46E3" w:rsidRPr="00C603FF" w:rsidRDefault="00ED46E3" w:rsidP="00ED46E3">
            <w:pPr>
              <w:spacing w:after="0"/>
              <w:ind w:firstLineChars="100" w:firstLine="200"/>
              <w:jc w:val="left"/>
              <w:rPr>
                <w:rFonts w:eastAsia="Times New Roman" w:cs="Times New Roman"/>
                <w:color w:val="000000"/>
                <w:sz w:val="20"/>
                <w:szCs w:val="20"/>
              </w:rPr>
            </w:pPr>
            <w:r w:rsidRPr="00C603FF">
              <w:rPr>
                <w:rFonts w:eastAsia="Times New Roman" w:cs="Times New Roman"/>
                <w:color w:val="000000"/>
                <w:sz w:val="20"/>
                <w:szCs w:val="20"/>
              </w:rPr>
              <w:t xml:space="preserve">Valsts budžeta izdevumi, milj. </w:t>
            </w:r>
            <w:r w:rsidRPr="00C603FF">
              <w:rPr>
                <w:rFonts w:eastAsia="Times New Roman" w:cs="Times New Roman"/>
                <w:i/>
                <w:iCs/>
                <w:color w:val="000000"/>
                <w:sz w:val="20"/>
                <w:szCs w:val="20"/>
              </w:rPr>
              <w:t>euro</w:t>
            </w:r>
            <w:r w:rsidRPr="00C603FF">
              <w:rPr>
                <w:rFonts w:eastAsia="Times New Roman" w:cs="Times New Roman"/>
                <w:color w:val="000000"/>
                <w:sz w:val="20"/>
                <w:szCs w:val="20"/>
              </w:rPr>
              <w:t xml:space="preserve"> - </w:t>
            </w:r>
            <w:r w:rsidRPr="00C603FF">
              <w:rPr>
                <w:rFonts w:eastAsia="Times New Roman" w:cs="Times New Roman"/>
                <w:i/>
                <w:iCs/>
                <w:color w:val="000000"/>
                <w:sz w:val="20"/>
                <w:szCs w:val="20"/>
              </w:rPr>
              <w:t>bottom-up</w:t>
            </w:r>
          </w:p>
        </w:tc>
        <w:tc>
          <w:tcPr>
            <w:tcW w:w="924" w:type="dxa"/>
            <w:tcBorders>
              <w:top w:val="nil"/>
              <w:left w:val="nil"/>
              <w:bottom w:val="single" w:sz="4" w:space="0" w:color="auto"/>
              <w:right w:val="single" w:sz="4" w:space="0" w:color="auto"/>
            </w:tcBorders>
            <w:noWrap/>
          </w:tcPr>
          <w:p w14:paraId="1850060C" w14:textId="7CA3D267"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17 945,2</w:t>
            </w:r>
          </w:p>
        </w:tc>
        <w:tc>
          <w:tcPr>
            <w:tcW w:w="924" w:type="dxa"/>
            <w:tcBorders>
              <w:top w:val="nil"/>
              <w:left w:val="nil"/>
              <w:bottom w:val="single" w:sz="4" w:space="0" w:color="auto"/>
              <w:right w:val="single" w:sz="4" w:space="0" w:color="auto"/>
            </w:tcBorders>
            <w:noWrap/>
          </w:tcPr>
          <w:p w14:paraId="5104AA2A" w14:textId="2AD06CBF"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17 865,4</w:t>
            </w:r>
          </w:p>
        </w:tc>
        <w:tc>
          <w:tcPr>
            <w:tcW w:w="924" w:type="dxa"/>
            <w:tcBorders>
              <w:top w:val="nil"/>
              <w:left w:val="nil"/>
              <w:bottom w:val="single" w:sz="4" w:space="0" w:color="auto"/>
              <w:right w:val="single" w:sz="4" w:space="0" w:color="auto"/>
            </w:tcBorders>
            <w:noWrap/>
          </w:tcPr>
          <w:p w14:paraId="3B00E2C0" w14:textId="31AB6D2F"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17 831,4</w:t>
            </w:r>
          </w:p>
        </w:tc>
      </w:tr>
      <w:tr w:rsidR="00ED46E3" w:rsidRPr="00D8017D" w14:paraId="0446ABEC" w14:textId="77777777" w:rsidTr="00CF0539">
        <w:trPr>
          <w:trHeight w:val="300"/>
          <w:jc w:val="center"/>
        </w:trPr>
        <w:tc>
          <w:tcPr>
            <w:tcW w:w="1167" w:type="dxa"/>
            <w:tcBorders>
              <w:top w:val="nil"/>
              <w:left w:val="nil"/>
              <w:bottom w:val="nil"/>
              <w:right w:val="nil"/>
            </w:tcBorders>
            <w:noWrap/>
            <w:vAlign w:val="center"/>
            <w:hideMark/>
          </w:tcPr>
          <w:p w14:paraId="40DA76D8"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12.1.1</w:t>
            </w:r>
          </w:p>
        </w:tc>
        <w:tc>
          <w:tcPr>
            <w:tcW w:w="5127" w:type="dxa"/>
            <w:tcBorders>
              <w:top w:val="nil"/>
              <w:left w:val="single" w:sz="4" w:space="0" w:color="auto"/>
              <w:bottom w:val="single" w:sz="4" w:space="0" w:color="auto"/>
              <w:right w:val="single" w:sz="4" w:space="0" w:color="auto"/>
            </w:tcBorders>
            <w:noWrap/>
            <w:vAlign w:val="bottom"/>
            <w:hideMark/>
          </w:tcPr>
          <w:p w14:paraId="180E1B55" w14:textId="4F879523" w:rsidR="00ED46E3" w:rsidRPr="00C603FF" w:rsidRDefault="00ED46E3" w:rsidP="00ED46E3">
            <w:pPr>
              <w:spacing w:after="0"/>
              <w:ind w:firstLineChars="200" w:firstLine="400"/>
              <w:jc w:val="left"/>
              <w:rPr>
                <w:rFonts w:eastAsia="Times New Roman" w:cs="Times New Roman"/>
                <w:color w:val="000000"/>
                <w:sz w:val="20"/>
                <w:szCs w:val="20"/>
              </w:rPr>
            </w:pPr>
            <w:r w:rsidRPr="00C603FF">
              <w:rPr>
                <w:rFonts w:eastAsia="Times New Roman" w:cs="Times New Roman"/>
                <w:color w:val="000000"/>
                <w:sz w:val="20"/>
                <w:szCs w:val="20"/>
              </w:rPr>
              <w:t>Starpība</w:t>
            </w:r>
          </w:p>
        </w:tc>
        <w:tc>
          <w:tcPr>
            <w:tcW w:w="924" w:type="dxa"/>
            <w:tcBorders>
              <w:top w:val="nil"/>
              <w:left w:val="nil"/>
              <w:bottom w:val="single" w:sz="4" w:space="0" w:color="auto"/>
              <w:right w:val="single" w:sz="4" w:space="0" w:color="auto"/>
            </w:tcBorders>
            <w:noWrap/>
          </w:tcPr>
          <w:p w14:paraId="703B3DB4" w14:textId="465936EE"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44,0</w:t>
            </w:r>
          </w:p>
        </w:tc>
        <w:tc>
          <w:tcPr>
            <w:tcW w:w="924" w:type="dxa"/>
            <w:tcBorders>
              <w:top w:val="nil"/>
              <w:left w:val="nil"/>
              <w:bottom w:val="single" w:sz="4" w:space="0" w:color="auto"/>
              <w:right w:val="single" w:sz="4" w:space="0" w:color="auto"/>
            </w:tcBorders>
            <w:noWrap/>
          </w:tcPr>
          <w:p w14:paraId="2BBB1A94" w14:textId="14253F88"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46,0</w:t>
            </w:r>
          </w:p>
        </w:tc>
        <w:tc>
          <w:tcPr>
            <w:tcW w:w="924" w:type="dxa"/>
            <w:tcBorders>
              <w:top w:val="nil"/>
              <w:left w:val="nil"/>
              <w:bottom w:val="single" w:sz="4" w:space="0" w:color="auto"/>
              <w:right w:val="single" w:sz="4" w:space="0" w:color="auto"/>
            </w:tcBorders>
            <w:noWrap/>
          </w:tcPr>
          <w:p w14:paraId="43F760BB" w14:textId="347BA1C7"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48,2</w:t>
            </w:r>
          </w:p>
        </w:tc>
      </w:tr>
      <w:tr w:rsidR="00ED46E3" w:rsidRPr="00D8017D" w14:paraId="13EFB9A7" w14:textId="77777777" w:rsidTr="00CF0539">
        <w:trPr>
          <w:trHeight w:val="300"/>
          <w:jc w:val="center"/>
        </w:trPr>
        <w:tc>
          <w:tcPr>
            <w:tcW w:w="1167" w:type="dxa"/>
            <w:tcBorders>
              <w:top w:val="nil"/>
              <w:left w:val="nil"/>
              <w:bottom w:val="nil"/>
              <w:right w:val="nil"/>
            </w:tcBorders>
            <w:noWrap/>
            <w:vAlign w:val="center"/>
            <w:hideMark/>
          </w:tcPr>
          <w:p w14:paraId="263E22E0"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12.1.2</w:t>
            </w:r>
          </w:p>
        </w:tc>
        <w:tc>
          <w:tcPr>
            <w:tcW w:w="5127" w:type="dxa"/>
            <w:tcBorders>
              <w:top w:val="nil"/>
              <w:left w:val="single" w:sz="4" w:space="0" w:color="auto"/>
              <w:bottom w:val="single" w:sz="4" w:space="0" w:color="auto"/>
              <w:right w:val="single" w:sz="4" w:space="0" w:color="auto"/>
            </w:tcBorders>
            <w:noWrap/>
            <w:vAlign w:val="bottom"/>
            <w:hideMark/>
          </w:tcPr>
          <w:p w14:paraId="38CCB04F" w14:textId="7BAE9512" w:rsidR="00ED46E3" w:rsidRPr="00C603FF" w:rsidRDefault="00ED46E3" w:rsidP="00ED46E3">
            <w:pPr>
              <w:spacing w:after="0"/>
              <w:ind w:firstLineChars="200" w:firstLine="400"/>
              <w:jc w:val="left"/>
              <w:rPr>
                <w:rFonts w:eastAsia="Times New Roman" w:cs="Times New Roman"/>
                <w:color w:val="000000"/>
                <w:sz w:val="20"/>
                <w:szCs w:val="20"/>
              </w:rPr>
            </w:pPr>
            <w:r w:rsidRPr="00C603FF">
              <w:rPr>
                <w:rFonts w:eastAsia="Times New Roman" w:cs="Times New Roman"/>
                <w:color w:val="000000"/>
                <w:sz w:val="20"/>
                <w:szCs w:val="20"/>
              </w:rPr>
              <w:t xml:space="preserve">Fiskālā nodrošinājuma rezerve atbilstoši FDL, milj. </w:t>
            </w:r>
            <w:r w:rsidRPr="00C603FF">
              <w:rPr>
                <w:rFonts w:eastAsia="Times New Roman" w:cs="Times New Roman"/>
                <w:i/>
                <w:iCs/>
                <w:color w:val="000000"/>
                <w:sz w:val="20"/>
                <w:szCs w:val="20"/>
              </w:rPr>
              <w:t>euro</w:t>
            </w:r>
          </w:p>
        </w:tc>
        <w:tc>
          <w:tcPr>
            <w:tcW w:w="924" w:type="dxa"/>
            <w:tcBorders>
              <w:top w:val="nil"/>
              <w:left w:val="nil"/>
              <w:bottom w:val="single" w:sz="4" w:space="0" w:color="auto"/>
              <w:right w:val="single" w:sz="4" w:space="0" w:color="auto"/>
            </w:tcBorders>
            <w:noWrap/>
          </w:tcPr>
          <w:p w14:paraId="1F94A4BD" w14:textId="68ACD329"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44,0</w:t>
            </w:r>
          </w:p>
        </w:tc>
        <w:tc>
          <w:tcPr>
            <w:tcW w:w="924" w:type="dxa"/>
            <w:tcBorders>
              <w:top w:val="nil"/>
              <w:left w:val="nil"/>
              <w:bottom w:val="single" w:sz="4" w:space="0" w:color="auto"/>
              <w:right w:val="single" w:sz="4" w:space="0" w:color="auto"/>
            </w:tcBorders>
            <w:noWrap/>
          </w:tcPr>
          <w:p w14:paraId="24809890" w14:textId="79AE92C6"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46,0</w:t>
            </w:r>
          </w:p>
        </w:tc>
        <w:tc>
          <w:tcPr>
            <w:tcW w:w="924" w:type="dxa"/>
            <w:tcBorders>
              <w:top w:val="nil"/>
              <w:left w:val="nil"/>
              <w:bottom w:val="single" w:sz="4" w:space="0" w:color="auto"/>
              <w:right w:val="single" w:sz="4" w:space="0" w:color="auto"/>
            </w:tcBorders>
            <w:noWrap/>
          </w:tcPr>
          <w:p w14:paraId="7469A51A" w14:textId="267CA48D"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48,2</w:t>
            </w:r>
          </w:p>
        </w:tc>
      </w:tr>
      <w:tr w:rsidR="00ED46E3" w:rsidRPr="00D8017D" w14:paraId="3F1E0316" w14:textId="77777777" w:rsidTr="00CF0539">
        <w:trPr>
          <w:trHeight w:val="300"/>
          <w:jc w:val="center"/>
        </w:trPr>
        <w:tc>
          <w:tcPr>
            <w:tcW w:w="1167" w:type="dxa"/>
            <w:tcBorders>
              <w:top w:val="nil"/>
              <w:left w:val="nil"/>
              <w:bottom w:val="nil"/>
              <w:right w:val="nil"/>
            </w:tcBorders>
            <w:noWrap/>
            <w:vAlign w:val="center"/>
            <w:hideMark/>
          </w:tcPr>
          <w:p w14:paraId="6EB20206" w14:textId="77777777" w:rsidR="00ED46E3" w:rsidRPr="008D26A0" w:rsidRDefault="00ED46E3" w:rsidP="00ED46E3">
            <w:pPr>
              <w:spacing w:after="0"/>
              <w:ind w:firstLine="0"/>
              <w:jc w:val="right"/>
              <w:rPr>
                <w:rFonts w:eastAsia="Times New Roman" w:cs="Times New Roman"/>
                <w:color w:val="000000"/>
                <w:sz w:val="18"/>
                <w:szCs w:val="18"/>
              </w:rPr>
            </w:pPr>
            <w:r w:rsidRPr="008D26A0">
              <w:rPr>
                <w:rFonts w:eastAsia="Times New Roman" w:cs="Times New Roman"/>
                <w:color w:val="000000"/>
                <w:sz w:val="18"/>
                <w:szCs w:val="18"/>
              </w:rPr>
              <w:t>12.2</w:t>
            </w:r>
          </w:p>
        </w:tc>
        <w:tc>
          <w:tcPr>
            <w:tcW w:w="5127" w:type="dxa"/>
            <w:tcBorders>
              <w:top w:val="nil"/>
              <w:left w:val="single" w:sz="4" w:space="0" w:color="auto"/>
              <w:bottom w:val="single" w:sz="4" w:space="0" w:color="auto"/>
              <w:right w:val="single" w:sz="4" w:space="0" w:color="auto"/>
            </w:tcBorders>
            <w:noWrap/>
            <w:vAlign w:val="bottom"/>
            <w:hideMark/>
          </w:tcPr>
          <w:p w14:paraId="3E048F86" w14:textId="2ECB1EE7" w:rsidR="00ED46E3" w:rsidRPr="00C603FF" w:rsidRDefault="00ED46E3" w:rsidP="00ED46E3">
            <w:pPr>
              <w:spacing w:after="0"/>
              <w:ind w:firstLineChars="100" w:firstLine="200"/>
              <w:jc w:val="left"/>
              <w:rPr>
                <w:rFonts w:eastAsia="Times New Roman" w:cs="Times New Roman"/>
                <w:sz w:val="20"/>
                <w:szCs w:val="20"/>
              </w:rPr>
            </w:pPr>
            <w:r w:rsidRPr="00C603FF">
              <w:rPr>
                <w:rFonts w:eastAsia="Times New Roman" w:cs="Times New Roman"/>
                <w:color w:val="000000"/>
                <w:sz w:val="20"/>
                <w:szCs w:val="20"/>
              </w:rPr>
              <w:t xml:space="preserve">Fiskālā telpa, milj. </w:t>
            </w:r>
            <w:r w:rsidRPr="00C603FF">
              <w:rPr>
                <w:rFonts w:eastAsia="Times New Roman" w:cs="Times New Roman"/>
                <w:i/>
                <w:iCs/>
                <w:color w:val="000000"/>
                <w:sz w:val="20"/>
                <w:szCs w:val="20"/>
              </w:rPr>
              <w:t>euro</w:t>
            </w:r>
          </w:p>
        </w:tc>
        <w:tc>
          <w:tcPr>
            <w:tcW w:w="924" w:type="dxa"/>
            <w:tcBorders>
              <w:top w:val="nil"/>
              <w:left w:val="nil"/>
              <w:bottom w:val="single" w:sz="4" w:space="0" w:color="auto"/>
              <w:right w:val="single" w:sz="4" w:space="0" w:color="auto"/>
            </w:tcBorders>
            <w:noWrap/>
          </w:tcPr>
          <w:p w14:paraId="5002DE85" w14:textId="1977D78D"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0,0</w:t>
            </w:r>
          </w:p>
        </w:tc>
        <w:tc>
          <w:tcPr>
            <w:tcW w:w="924" w:type="dxa"/>
            <w:tcBorders>
              <w:top w:val="nil"/>
              <w:left w:val="nil"/>
              <w:bottom w:val="single" w:sz="4" w:space="0" w:color="auto"/>
              <w:right w:val="single" w:sz="4" w:space="0" w:color="auto"/>
            </w:tcBorders>
            <w:noWrap/>
          </w:tcPr>
          <w:p w14:paraId="191F822A" w14:textId="5CCDE26F"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0,0</w:t>
            </w:r>
          </w:p>
        </w:tc>
        <w:tc>
          <w:tcPr>
            <w:tcW w:w="924" w:type="dxa"/>
            <w:tcBorders>
              <w:top w:val="nil"/>
              <w:left w:val="nil"/>
              <w:bottom w:val="single" w:sz="4" w:space="0" w:color="auto"/>
              <w:right w:val="single" w:sz="4" w:space="0" w:color="auto"/>
            </w:tcBorders>
            <w:noWrap/>
          </w:tcPr>
          <w:p w14:paraId="68D143AC" w14:textId="5024C144" w:rsidR="00ED46E3" w:rsidRPr="00C603FF" w:rsidRDefault="00ED46E3" w:rsidP="00ED46E3">
            <w:pPr>
              <w:spacing w:after="0"/>
              <w:ind w:firstLine="0"/>
              <w:jc w:val="center"/>
              <w:rPr>
                <w:rFonts w:eastAsia="Times New Roman" w:cs="Times New Roman"/>
                <w:sz w:val="20"/>
                <w:szCs w:val="20"/>
                <w:highlight w:val="lightGray"/>
              </w:rPr>
            </w:pPr>
            <w:r w:rsidRPr="00C603FF">
              <w:rPr>
                <w:rFonts w:cs="Times New Roman"/>
                <w:sz w:val="20"/>
                <w:szCs w:val="20"/>
              </w:rPr>
              <w:t>0,0</w:t>
            </w:r>
          </w:p>
        </w:tc>
      </w:tr>
    </w:tbl>
    <w:p w14:paraId="11FE813F" w14:textId="77777777" w:rsidR="007A1AB1" w:rsidRDefault="007A1AB1" w:rsidP="007A1AB1">
      <w:pPr>
        <w:spacing w:after="0"/>
        <w:ind w:left="-15" w:right="1" w:firstLine="724"/>
        <w:rPr>
          <w:rFonts w:eastAsia="Calibri" w:cs="Times New Roman"/>
          <w:color w:val="000000"/>
          <w:szCs w:val="28"/>
        </w:rPr>
      </w:pPr>
    </w:p>
    <w:p w14:paraId="0195E7A2" w14:textId="50CA2EE1" w:rsidR="007A1AB1" w:rsidRDefault="007A1AB1" w:rsidP="007A1AB1">
      <w:pPr>
        <w:ind w:left="-17" w:firstLine="726"/>
        <w:rPr>
          <w:rFonts w:eastAsia="Calibri" w:cs="Times New Roman"/>
          <w:color w:val="000000"/>
          <w:szCs w:val="28"/>
        </w:rPr>
      </w:pPr>
      <w:r w:rsidRPr="008478FF">
        <w:rPr>
          <w:rFonts w:eastAsia="Calibri" w:cs="Times New Roman"/>
          <w:color w:val="000000"/>
          <w:szCs w:val="28"/>
        </w:rPr>
        <w:t>FDL paredz, ka ietvara maksimāli pieļaujamie valsts budžeta izdevumi tiek noteikti valsts budžeta likumā turpmākajiem 3 gadiem un tie ir juridiski saistoši</w:t>
      </w:r>
      <w:r>
        <w:rPr>
          <w:rFonts w:eastAsia="Calibri" w:cs="Times New Roman"/>
          <w:color w:val="000000"/>
          <w:szCs w:val="28"/>
        </w:rPr>
        <w:t>, tas ir</w:t>
      </w:r>
      <w:r w:rsidRPr="008478FF">
        <w:rPr>
          <w:rFonts w:eastAsia="Calibri" w:cs="Times New Roman"/>
          <w:color w:val="000000"/>
          <w:szCs w:val="28"/>
        </w:rPr>
        <w:t xml:space="preserve"> izdevumu pārmantojamības nosacījums</w:t>
      </w:r>
      <w:r>
        <w:rPr>
          <w:rFonts w:eastAsia="Calibri" w:cs="Times New Roman"/>
          <w:color w:val="000000"/>
          <w:szCs w:val="28"/>
        </w:rPr>
        <w:t>, kas noteikts</w:t>
      </w:r>
      <w:r w:rsidRPr="008478FF">
        <w:rPr>
          <w:rFonts w:eastAsia="Calibri" w:cs="Times New Roman"/>
          <w:color w:val="000000"/>
          <w:szCs w:val="28"/>
        </w:rPr>
        <w:t xml:space="preserve"> FDL 5. panta pirm</w:t>
      </w:r>
      <w:r>
        <w:rPr>
          <w:rFonts w:eastAsia="Calibri" w:cs="Times New Roman"/>
          <w:color w:val="000000"/>
          <w:szCs w:val="28"/>
        </w:rPr>
        <w:t>ajā daļā</w:t>
      </w:r>
      <w:r w:rsidRPr="008478FF">
        <w:rPr>
          <w:rFonts w:eastAsia="Calibri" w:cs="Times New Roman"/>
          <w:color w:val="000000"/>
          <w:szCs w:val="28"/>
        </w:rPr>
        <w:t xml:space="preserve">. </w:t>
      </w:r>
    </w:p>
    <w:p w14:paraId="7A6C8342" w14:textId="64456665" w:rsidR="007A1AB1" w:rsidRDefault="007A1AB1" w:rsidP="00C603FF">
      <w:pPr>
        <w:ind w:left="-17" w:firstLine="726"/>
      </w:pPr>
      <w:r w:rsidRPr="008478FF">
        <w:rPr>
          <w:rFonts w:eastAsia="Calibri" w:cs="Times New Roman"/>
          <w:color w:val="000000"/>
          <w:szCs w:val="28"/>
        </w:rPr>
        <w:t xml:space="preserve">Tomēr izmaiņas ierobežo FDL noteikums, ka, ja </w:t>
      </w:r>
      <w:r>
        <w:rPr>
          <w:rFonts w:eastAsia="Calibri" w:cs="Times New Roman"/>
          <w:color w:val="000000"/>
          <w:szCs w:val="28"/>
        </w:rPr>
        <w:t xml:space="preserve">maksimāli pieļaujamie valsts budžeta izdevumi, kas tiek pārmantoti atšķiras no maksimāli pieļaujamiem izdevumiem, kas tiek aprēķināti saskaņā ar </w:t>
      </w:r>
      <w:r w:rsidRPr="006F6679">
        <w:rPr>
          <w:rFonts w:eastAsia="Calibri" w:cs="Times New Roman"/>
          <w:color w:val="000000"/>
          <w:szCs w:val="28"/>
        </w:rPr>
        <w:t>2.</w:t>
      </w:r>
      <w:r w:rsidR="008D26A0" w:rsidRPr="006F6679">
        <w:rPr>
          <w:rFonts w:eastAsia="Calibri" w:cs="Times New Roman"/>
          <w:color w:val="000000"/>
          <w:szCs w:val="28"/>
        </w:rPr>
        <w:t>15</w:t>
      </w:r>
      <w:r w:rsidRPr="006F6679">
        <w:rPr>
          <w:rFonts w:eastAsia="Calibri" w:cs="Times New Roman"/>
          <w:color w:val="000000"/>
          <w:szCs w:val="28"/>
        </w:rPr>
        <w:t>.</w:t>
      </w:r>
      <w:r>
        <w:rPr>
          <w:rFonts w:eastAsia="Calibri" w:cs="Times New Roman"/>
          <w:color w:val="000000"/>
          <w:szCs w:val="28"/>
        </w:rPr>
        <w:t xml:space="preserve"> tabulu,</w:t>
      </w:r>
      <w:r w:rsidRPr="008478FF">
        <w:rPr>
          <w:rFonts w:eastAsia="Calibri" w:cs="Times New Roman"/>
          <w:color w:val="000000"/>
          <w:szCs w:val="28"/>
        </w:rPr>
        <w:t xml:space="preserve"> </w:t>
      </w:r>
      <w:r>
        <w:rPr>
          <w:rFonts w:eastAsia="Calibri" w:cs="Times New Roman"/>
          <w:color w:val="000000"/>
          <w:szCs w:val="28"/>
        </w:rPr>
        <w:t>vairāk</w:t>
      </w:r>
      <w:r w:rsidRPr="008478FF">
        <w:rPr>
          <w:rFonts w:eastAsia="Calibri" w:cs="Times New Roman"/>
          <w:color w:val="000000"/>
          <w:szCs w:val="28"/>
        </w:rPr>
        <w:t xml:space="preserve"> par 0,1% no IKP, izdevumi netiek </w:t>
      </w:r>
      <w:r>
        <w:rPr>
          <w:rFonts w:eastAsia="Calibri" w:cs="Times New Roman"/>
          <w:color w:val="000000"/>
          <w:szCs w:val="28"/>
        </w:rPr>
        <w:t>pārmantoti</w:t>
      </w:r>
      <w:r w:rsidRPr="008478FF">
        <w:rPr>
          <w:rFonts w:eastAsia="Calibri" w:cs="Times New Roman"/>
          <w:color w:val="000000"/>
          <w:szCs w:val="28"/>
        </w:rPr>
        <w:t>, bet tiek aprēķināti no jauna saskaņā ar vispārējās valdības budžeta strukturālās bilances un izdevumu pieauguma nosacījumiem</w:t>
      </w:r>
      <w:r>
        <w:rPr>
          <w:rFonts w:eastAsia="Calibri" w:cs="Times New Roman"/>
          <w:color w:val="000000"/>
          <w:szCs w:val="28"/>
        </w:rPr>
        <w:t xml:space="preserve"> (2.</w:t>
      </w:r>
      <w:r w:rsidR="006F6679">
        <w:rPr>
          <w:rFonts w:eastAsia="Calibri" w:cs="Times New Roman"/>
          <w:color w:val="000000"/>
          <w:szCs w:val="28"/>
        </w:rPr>
        <w:t>15</w:t>
      </w:r>
      <w:r>
        <w:rPr>
          <w:rFonts w:eastAsia="Calibri" w:cs="Times New Roman"/>
          <w:color w:val="000000"/>
          <w:szCs w:val="28"/>
        </w:rPr>
        <w:t>. tabula)</w:t>
      </w:r>
      <w:r w:rsidRPr="008478FF">
        <w:rPr>
          <w:rFonts w:eastAsia="Calibri" w:cs="Times New Roman"/>
          <w:color w:val="000000"/>
          <w:szCs w:val="28"/>
        </w:rPr>
        <w:t xml:space="preserve">. </w:t>
      </w:r>
      <w:r w:rsidRPr="008478FF">
        <w:rPr>
          <w:rFonts w:eastAsia="Times New Roman" w:cs="Times New Roman"/>
        </w:rPr>
        <w:t xml:space="preserve">Veicot </w:t>
      </w:r>
      <w:r>
        <w:rPr>
          <w:rFonts w:eastAsia="Times New Roman" w:cs="Times New Roman"/>
        </w:rPr>
        <w:t xml:space="preserve">šī </w:t>
      </w:r>
      <w:r w:rsidRPr="008478FF">
        <w:rPr>
          <w:rFonts w:eastAsia="Times New Roman" w:cs="Times New Roman"/>
        </w:rPr>
        <w:t xml:space="preserve">nosacījuma pārbaudi, tika konstatēts, ka </w:t>
      </w:r>
      <w:r w:rsidRPr="008478FF">
        <w:rPr>
          <w:rFonts w:eastAsia="Calibri" w:cs="Times New Roman"/>
          <w:color w:val="000000"/>
          <w:szCs w:val="28"/>
        </w:rPr>
        <w:t xml:space="preserve">izdevumu </w:t>
      </w:r>
      <w:r>
        <w:rPr>
          <w:rFonts w:eastAsia="Calibri" w:cs="Times New Roman"/>
          <w:color w:val="000000"/>
          <w:szCs w:val="28"/>
        </w:rPr>
        <w:t>atšķirības</w:t>
      </w:r>
      <w:r w:rsidRPr="008478FF">
        <w:rPr>
          <w:rFonts w:eastAsia="Calibri" w:cs="Times New Roman"/>
          <w:color w:val="000000"/>
          <w:szCs w:val="28"/>
        </w:rPr>
        <w:t xml:space="preserve"> ir lielākas par 0,1% no IKP</w:t>
      </w:r>
      <w:r w:rsidRPr="008478FF">
        <w:rPr>
          <w:rFonts w:eastAsia="Times New Roman" w:cs="Times New Roman"/>
        </w:rPr>
        <w:t xml:space="preserve"> un attiecīgi </w:t>
      </w:r>
      <w:r>
        <w:rPr>
          <w:rFonts w:eastAsia="Calibri" w:cs="Times New Roman"/>
          <w:color w:val="000000"/>
          <w:szCs w:val="28"/>
        </w:rPr>
        <w:t xml:space="preserve">maksimāli pieļaujami valsts budžeta izdevumi tiek noteikti </w:t>
      </w:r>
      <w:r w:rsidRPr="006F6679">
        <w:rPr>
          <w:rFonts w:eastAsia="Calibri" w:cs="Times New Roman"/>
          <w:color w:val="000000"/>
          <w:szCs w:val="28"/>
        </w:rPr>
        <w:t>saskaņā ar 2.</w:t>
      </w:r>
      <w:r w:rsidR="008D26A0" w:rsidRPr="006F6679">
        <w:rPr>
          <w:rFonts w:eastAsia="Calibri" w:cs="Times New Roman"/>
          <w:color w:val="000000"/>
          <w:szCs w:val="28"/>
        </w:rPr>
        <w:t>15</w:t>
      </w:r>
      <w:r w:rsidRPr="006F6679">
        <w:rPr>
          <w:rFonts w:eastAsia="Calibri" w:cs="Times New Roman"/>
          <w:color w:val="000000"/>
          <w:szCs w:val="28"/>
        </w:rPr>
        <w:t>. tabulu.</w:t>
      </w:r>
      <w:r w:rsidRPr="002D1FA5">
        <w:rPr>
          <w:rFonts w:eastAsia="Times New Roman" w:cs="Times New Roman"/>
        </w:rPr>
        <w:t xml:space="preserve"> </w:t>
      </w:r>
    </w:p>
    <w:p w14:paraId="31CB980A" w14:textId="77777777" w:rsidR="00C603FF" w:rsidRPr="00C603FF" w:rsidRDefault="00C603FF" w:rsidP="00CF43D4">
      <w:pPr>
        <w:spacing w:after="0"/>
        <w:ind w:left="-17" w:firstLine="726"/>
      </w:pPr>
    </w:p>
    <w:p w14:paraId="682E0184" w14:textId="7BB56EE7" w:rsidR="00071293" w:rsidRPr="00D8017D" w:rsidRDefault="00B7775D" w:rsidP="00CF43D4">
      <w:pPr>
        <w:widowControl w:val="0"/>
        <w:spacing w:after="240"/>
        <w:ind w:firstLine="0"/>
        <w:jc w:val="center"/>
        <w:rPr>
          <w:rFonts w:eastAsia="Times New Roman" w:cs="Times New Roman"/>
          <w:b/>
          <w:sz w:val="28"/>
          <w:szCs w:val="24"/>
        </w:rPr>
      </w:pPr>
      <w:r w:rsidRPr="00D8017D">
        <w:rPr>
          <w:rFonts w:eastAsia="Times New Roman" w:cs="Times New Roman"/>
          <w:b/>
          <w:sz w:val="28"/>
          <w:szCs w:val="24"/>
        </w:rPr>
        <w:t>Ietvara m</w:t>
      </w:r>
      <w:r w:rsidR="00071293" w:rsidRPr="00D8017D">
        <w:rPr>
          <w:rFonts w:eastAsia="Times New Roman" w:cs="Times New Roman"/>
          <w:b/>
          <w:sz w:val="28"/>
          <w:szCs w:val="24"/>
        </w:rPr>
        <w:t>aksimāli pieļaujamo valsts budžeta izdevumu precizēšana budžeta izpildes laikā</w:t>
      </w:r>
    </w:p>
    <w:p w14:paraId="5009A071" w14:textId="5959BDDD" w:rsidR="00071293" w:rsidRPr="00D8017D" w:rsidRDefault="001D14A4" w:rsidP="008349F0">
      <w:pPr>
        <w:widowControl w:val="0"/>
        <w:rPr>
          <w:rFonts w:eastAsia="Times New Roman" w:cs="Times New Roman"/>
        </w:rPr>
      </w:pPr>
      <w:r w:rsidRPr="00D8017D">
        <w:rPr>
          <w:rFonts w:eastAsia="Times New Roman" w:cs="Times New Roman"/>
        </w:rPr>
        <w:t>FDL</w:t>
      </w:r>
      <w:r w:rsidR="00071293" w:rsidRPr="00D8017D">
        <w:rPr>
          <w:rFonts w:eastAsia="Times New Roman" w:cs="Times New Roman"/>
        </w:rPr>
        <w:t xml:space="preserve"> 5.</w:t>
      </w:r>
      <w:r w:rsidR="00112C33" w:rsidRPr="00D8017D">
        <w:rPr>
          <w:rFonts w:eastAsia="Times New Roman" w:cs="Times New Roman"/>
        </w:rPr>
        <w:t xml:space="preserve"> </w:t>
      </w:r>
      <w:r w:rsidR="00071293" w:rsidRPr="00D8017D">
        <w:rPr>
          <w:rFonts w:eastAsia="Times New Roman" w:cs="Times New Roman"/>
        </w:rPr>
        <w:t>panta pirmās daļas 1.</w:t>
      </w:r>
      <w:r w:rsidR="00112C33" w:rsidRPr="00D8017D">
        <w:rPr>
          <w:rFonts w:eastAsia="Times New Roman" w:cs="Times New Roman"/>
        </w:rPr>
        <w:t xml:space="preserve"> </w:t>
      </w:r>
      <w:r w:rsidR="00071293" w:rsidRPr="00D8017D">
        <w:rPr>
          <w:rFonts w:eastAsia="Times New Roman" w:cs="Times New Roman"/>
        </w:rPr>
        <w:t xml:space="preserve">punkts nosaka, ka </w:t>
      </w:r>
      <w:r w:rsidR="000848C1" w:rsidRPr="00D8017D">
        <w:rPr>
          <w:rFonts w:eastAsia="Times New Roman" w:cs="Times New Roman"/>
        </w:rPr>
        <w:t>ietvara</w:t>
      </w:r>
      <w:r w:rsidR="00071293" w:rsidRPr="00D8017D">
        <w:rPr>
          <w:rFonts w:eastAsia="Times New Roman" w:cs="Times New Roman"/>
        </w:rPr>
        <w:t xml:space="preserve"> maksimāli pieļaujamos valsts budžeta izdevumus precizē, ja rodas izmaiņas valsts pamatbudžeta izdevumos sakarā ar aktuālākām valsts sociālo pabalstu un pensiju saņēmēju kontingenta prognozēm. </w:t>
      </w:r>
    </w:p>
    <w:p w14:paraId="0FB758EB" w14:textId="736D3419" w:rsidR="00071293" w:rsidRPr="00D8017D" w:rsidRDefault="008364F3" w:rsidP="008349F0">
      <w:pPr>
        <w:widowControl w:val="0"/>
        <w:rPr>
          <w:rFonts w:eastAsia="Times New Roman" w:cs="Times New Roman"/>
        </w:rPr>
      </w:pPr>
      <w:r w:rsidRPr="00D8017D">
        <w:rPr>
          <w:rFonts w:eastAsia="Times New Roman" w:cs="Times New Roman"/>
        </w:rPr>
        <w:t>Lai šo likuma normu varētu pielietot,</w:t>
      </w:r>
      <w:r w:rsidR="00071293" w:rsidRPr="00D8017D">
        <w:rPr>
          <w:rFonts w:eastAsia="Times New Roman" w:cs="Times New Roman"/>
        </w:rPr>
        <w:t xml:space="preserve"> ir nepieciešams fiksēt valsts sociālo pabalstu un pensiju saņēmēju kontingenta prognozes koriģēto maksimāli pieļaujamo valsts budžeta izdevumu aprēķināšanas brīdī, tātad prognozes, saskaņā ar kurām, ir izstrādāts likumprojekts</w:t>
      </w:r>
      <w:r w:rsidR="005735FB" w:rsidRPr="00D8017D">
        <w:rPr>
          <w:rFonts w:eastAsia="Times New Roman" w:cs="Times New Roman"/>
        </w:rPr>
        <w:t xml:space="preserve"> </w:t>
      </w:r>
      <w:r w:rsidR="00071293" w:rsidRPr="00D8017D">
        <w:rPr>
          <w:rFonts w:eastAsia="Times New Roman" w:cs="Times New Roman"/>
        </w:rPr>
        <w:t>“</w:t>
      </w:r>
      <w:r w:rsidRPr="00D8017D">
        <w:rPr>
          <w:rFonts w:eastAsia="Times New Roman" w:cs="Times New Roman"/>
        </w:rPr>
        <w:t>Par valsts budžetu 202</w:t>
      </w:r>
      <w:r w:rsidR="000848C1" w:rsidRPr="00D8017D">
        <w:rPr>
          <w:rFonts w:eastAsia="Times New Roman" w:cs="Times New Roman"/>
        </w:rPr>
        <w:t>6</w:t>
      </w:r>
      <w:r w:rsidRPr="00D8017D">
        <w:rPr>
          <w:rFonts w:eastAsia="Times New Roman" w:cs="Times New Roman"/>
        </w:rPr>
        <w:t>.</w:t>
      </w:r>
      <w:r w:rsidR="003C02EC" w:rsidRPr="00D8017D">
        <w:rPr>
          <w:rFonts w:eastAsia="Times New Roman" w:cs="Times New Roman"/>
        </w:rPr>
        <w:t xml:space="preserve"> </w:t>
      </w:r>
      <w:r w:rsidRPr="00D8017D">
        <w:rPr>
          <w:rFonts w:eastAsia="Times New Roman" w:cs="Times New Roman"/>
        </w:rPr>
        <w:t>gadam un budžeta ietvaru 202</w:t>
      </w:r>
      <w:r w:rsidR="000848C1" w:rsidRPr="00D8017D">
        <w:rPr>
          <w:rFonts w:eastAsia="Times New Roman" w:cs="Times New Roman"/>
        </w:rPr>
        <w:t>6</w:t>
      </w:r>
      <w:r w:rsidRPr="00D8017D">
        <w:rPr>
          <w:rFonts w:eastAsia="Times New Roman" w:cs="Times New Roman"/>
        </w:rPr>
        <w:t>., 202</w:t>
      </w:r>
      <w:r w:rsidR="000848C1" w:rsidRPr="00D8017D">
        <w:rPr>
          <w:rFonts w:eastAsia="Times New Roman" w:cs="Times New Roman"/>
        </w:rPr>
        <w:t>7</w:t>
      </w:r>
      <w:r w:rsidRPr="00D8017D">
        <w:rPr>
          <w:rFonts w:eastAsia="Times New Roman" w:cs="Times New Roman"/>
        </w:rPr>
        <w:t>. un 202</w:t>
      </w:r>
      <w:r w:rsidR="000848C1" w:rsidRPr="00D8017D">
        <w:rPr>
          <w:rFonts w:eastAsia="Times New Roman" w:cs="Times New Roman"/>
        </w:rPr>
        <w:t>8</w:t>
      </w:r>
      <w:r w:rsidRPr="00D8017D">
        <w:rPr>
          <w:rFonts w:eastAsia="Times New Roman" w:cs="Times New Roman"/>
        </w:rPr>
        <w:t>.</w:t>
      </w:r>
      <w:r w:rsidR="003C02EC" w:rsidRPr="00D8017D">
        <w:rPr>
          <w:rFonts w:eastAsia="Times New Roman" w:cs="Times New Roman"/>
        </w:rPr>
        <w:t xml:space="preserve"> </w:t>
      </w:r>
      <w:r w:rsidRPr="00D8017D">
        <w:rPr>
          <w:rFonts w:eastAsia="Times New Roman" w:cs="Times New Roman"/>
        </w:rPr>
        <w:t>gad</w:t>
      </w:r>
      <w:r w:rsidR="00D12940" w:rsidRPr="00D8017D">
        <w:rPr>
          <w:rFonts w:eastAsia="Times New Roman" w:cs="Times New Roman"/>
        </w:rPr>
        <w:t>am</w:t>
      </w:r>
      <w:r w:rsidR="00071293" w:rsidRPr="00D8017D">
        <w:rPr>
          <w:rFonts w:eastAsia="Times New Roman" w:cs="Times New Roman"/>
        </w:rPr>
        <w:t>”. Līdz ar to šo paskaidrojumu:</w:t>
      </w:r>
    </w:p>
    <w:p w14:paraId="07DAEDCA" w14:textId="0CE085E0" w:rsidR="00071293" w:rsidRPr="00D8017D" w:rsidRDefault="00193502" w:rsidP="008349F0">
      <w:pPr>
        <w:pStyle w:val="ListParagraph"/>
        <w:widowControl w:val="0"/>
        <w:numPr>
          <w:ilvl w:val="0"/>
          <w:numId w:val="2"/>
        </w:numPr>
        <w:tabs>
          <w:tab w:val="left" w:pos="720"/>
          <w:tab w:val="left" w:pos="851"/>
        </w:tabs>
        <w:spacing w:after="0"/>
        <w:rPr>
          <w:rFonts w:eastAsia="Times New Roman" w:cs="Times New Roman"/>
        </w:rPr>
      </w:pPr>
      <w:r w:rsidRPr="00D634A9">
        <w:rPr>
          <w:rFonts w:eastAsia="Times New Roman" w:cs="Times New Roman"/>
        </w:rPr>
        <w:t>4</w:t>
      </w:r>
      <w:r w:rsidR="00071293" w:rsidRPr="00D634A9">
        <w:rPr>
          <w:rFonts w:eastAsia="Times New Roman" w:cs="Times New Roman"/>
        </w:rPr>
        <w:t>.</w:t>
      </w:r>
      <w:r w:rsidR="00A359C5">
        <w:rPr>
          <w:rFonts w:eastAsia="Times New Roman" w:cs="Times New Roman"/>
        </w:rPr>
        <w:t xml:space="preserve"> </w:t>
      </w:r>
      <w:r w:rsidR="00071293" w:rsidRPr="00D634A9">
        <w:rPr>
          <w:rFonts w:eastAsia="Times New Roman" w:cs="Times New Roman"/>
        </w:rPr>
        <w:t>pielikumā ir</w:t>
      </w:r>
      <w:r w:rsidR="00071293" w:rsidRPr="00D8017D">
        <w:rPr>
          <w:rFonts w:eastAsia="Times New Roman" w:cs="Times New Roman"/>
        </w:rPr>
        <w:t xml:space="preserve"> sniegta informācija par no Aizsardzības ministrijas pamatbudžeta programmas “Militārpersonu pensiju fonds” izmaksājamo izdienas pensiju saņēmēju prognozēm;</w:t>
      </w:r>
    </w:p>
    <w:p w14:paraId="74E11D9F" w14:textId="4196EA18" w:rsidR="00071293" w:rsidRPr="00D8017D" w:rsidRDefault="00193502" w:rsidP="008349F0">
      <w:pPr>
        <w:pStyle w:val="ListParagraph"/>
        <w:widowControl w:val="0"/>
        <w:numPr>
          <w:ilvl w:val="0"/>
          <w:numId w:val="2"/>
        </w:numPr>
        <w:tabs>
          <w:tab w:val="left" w:pos="720"/>
          <w:tab w:val="left" w:pos="851"/>
        </w:tabs>
        <w:spacing w:after="0"/>
        <w:rPr>
          <w:rFonts w:eastAsia="Times New Roman" w:cs="Times New Roman"/>
        </w:rPr>
      </w:pPr>
      <w:r w:rsidRPr="00D634A9">
        <w:rPr>
          <w:rFonts w:eastAsia="Times New Roman" w:cs="Times New Roman"/>
        </w:rPr>
        <w:lastRenderedPageBreak/>
        <w:t>5</w:t>
      </w:r>
      <w:r w:rsidR="00071293" w:rsidRPr="00D634A9">
        <w:rPr>
          <w:rFonts w:eastAsia="Times New Roman" w:cs="Times New Roman"/>
        </w:rPr>
        <w:t>.</w:t>
      </w:r>
      <w:r w:rsidR="00973305" w:rsidRPr="00D634A9">
        <w:rPr>
          <w:rFonts w:eastAsia="Times New Roman" w:cs="Times New Roman"/>
        </w:rPr>
        <w:t xml:space="preserve"> </w:t>
      </w:r>
      <w:r w:rsidR="00071293" w:rsidRPr="00D634A9">
        <w:rPr>
          <w:rFonts w:eastAsia="Times New Roman" w:cs="Times New Roman"/>
        </w:rPr>
        <w:t xml:space="preserve">pielikumā </w:t>
      </w:r>
      <w:r w:rsidR="00973305" w:rsidRPr="00D634A9">
        <w:rPr>
          <w:rFonts w:eastAsia="Times New Roman" w:cs="Times New Roman"/>
        </w:rPr>
        <w:t>ir sniegta</w:t>
      </w:r>
      <w:r w:rsidR="00973305" w:rsidRPr="00D8017D">
        <w:rPr>
          <w:rFonts w:eastAsia="Times New Roman" w:cs="Times New Roman"/>
        </w:rPr>
        <w:t xml:space="preserve"> informācija par no Labklājības ministrijas</w:t>
      </w:r>
      <w:r w:rsidR="00071293" w:rsidRPr="00D8017D">
        <w:rPr>
          <w:rFonts w:eastAsia="Times New Roman" w:cs="Times New Roman"/>
        </w:rPr>
        <w:t xml:space="preserve"> pamatbudžeta izmaksājamo valsts sociālo pabalstu saņēmēju prognozēm; </w:t>
      </w:r>
    </w:p>
    <w:p w14:paraId="7B3A4249" w14:textId="17EEE312" w:rsidR="00071293" w:rsidRPr="00D8017D" w:rsidRDefault="00193502" w:rsidP="008349F0">
      <w:pPr>
        <w:pStyle w:val="ListParagraph"/>
        <w:widowControl w:val="0"/>
        <w:numPr>
          <w:ilvl w:val="0"/>
          <w:numId w:val="2"/>
        </w:numPr>
        <w:tabs>
          <w:tab w:val="left" w:pos="720"/>
          <w:tab w:val="left" w:pos="851"/>
        </w:tabs>
        <w:spacing w:after="0"/>
        <w:rPr>
          <w:rFonts w:eastAsia="Times New Roman" w:cs="Times New Roman"/>
        </w:rPr>
      </w:pPr>
      <w:r w:rsidRPr="00D634A9">
        <w:rPr>
          <w:rFonts w:eastAsia="Times New Roman" w:cs="Times New Roman"/>
        </w:rPr>
        <w:t>6</w:t>
      </w:r>
      <w:r w:rsidR="00071293" w:rsidRPr="00D634A9">
        <w:rPr>
          <w:rFonts w:eastAsia="Times New Roman" w:cs="Times New Roman"/>
        </w:rPr>
        <w:t>.</w:t>
      </w:r>
      <w:r w:rsidR="00973305" w:rsidRPr="00D634A9">
        <w:rPr>
          <w:rFonts w:eastAsia="Times New Roman" w:cs="Times New Roman"/>
        </w:rPr>
        <w:t xml:space="preserve"> </w:t>
      </w:r>
      <w:r w:rsidR="00071293" w:rsidRPr="00D634A9">
        <w:rPr>
          <w:rFonts w:eastAsia="Times New Roman" w:cs="Times New Roman"/>
        </w:rPr>
        <w:t>pielikumā ir</w:t>
      </w:r>
      <w:r w:rsidR="00071293" w:rsidRPr="00D8017D">
        <w:rPr>
          <w:rFonts w:eastAsia="Times New Roman" w:cs="Times New Roman"/>
        </w:rPr>
        <w:t xml:space="preserve"> sniegta informācija par no </w:t>
      </w:r>
      <w:r w:rsidR="00973305" w:rsidRPr="00D8017D">
        <w:rPr>
          <w:rFonts w:eastAsia="Times New Roman" w:cs="Times New Roman"/>
        </w:rPr>
        <w:t>Labklājības ministrijas</w:t>
      </w:r>
      <w:r w:rsidR="00071293" w:rsidRPr="00D8017D">
        <w:rPr>
          <w:rFonts w:eastAsia="Times New Roman" w:cs="Times New Roman"/>
        </w:rPr>
        <w:t xml:space="preserve"> pamatbudžeta izmaksājamo izdienas pensiju saņēmēju prognozēm;</w:t>
      </w:r>
    </w:p>
    <w:p w14:paraId="050DEF85" w14:textId="21BDB18D" w:rsidR="00071293" w:rsidRPr="00D8017D" w:rsidRDefault="00193502" w:rsidP="008349F0">
      <w:pPr>
        <w:pStyle w:val="ListParagraph"/>
        <w:widowControl w:val="0"/>
        <w:numPr>
          <w:ilvl w:val="0"/>
          <w:numId w:val="2"/>
        </w:numPr>
        <w:tabs>
          <w:tab w:val="left" w:pos="720"/>
          <w:tab w:val="left" w:pos="851"/>
        </w:tabs>
        <w:ind w:hanging="357"/>
        <w:rPr>
          <w:rFonts w:eastAsia="Times New Roman" w:cs="Times New Roman"/>
        </w:rPr>
      </w:pPr>
      <w:r w:rsidRPr="00D634A9">
        <w:rPr>
          <w:rFonts w:eastAsia="Times New Roman" w:cs="Times New Roman"/>
        </w:rPr>
        <w:t>7</w:t>
      </w:r>
      <w:r w:rsidR="00071293" w:rsidRPr="00D634A9">
        <w:rPr>
          <w:rFonts w:eastAsia="Times New Roman" w:cs="Times New Roman"/>
        </w:rPr>
        <w:t>.</w:t>
      </w:r>
      <w:r w:rsidR="00973305" w:rsidRPr="00D634A9">
        <w:rPr>
          <w:rFonts w:eastAsia="Times New Roman" w:cs="Times New Roman"/>
        </w:rPr>
        <w:t xml:space="preserve"> </w:t>
      </w:r>
      <w:r w:rsidR="00071293" w:rsidRPr="00D634A9">
        <w:rPr>
          <w:rFonts w:eastAsia="Times New Roman" w:cs="Times New Roman"/>
        </w:rPr>
        <w:t>pielikumā ir sniegta</w:t>
      </w:r>
      <w:r w:rsidR="00071293" w:rsidRPr="00D8017D">
        <w:rPr>
          <w:rFonts w:eastAsia="Times New Roman" w:cs="Times New Roman"/>
        </w:rPr>
        <w:t xml:space="preserve"> informācija par no </w:t>
      </w:r>
      <w:r w:rsidR="00973305" w:rsidRPr="00D8017D">
        <w:rPr>
          <w:rFonts w:eastAsia="Times New Roman" w:cs="Times New Roman"/>
        </w:rPr>
        <w:t>Labklājības ministrijas</w:t>
      </w:r>
      <w:r w:rsidR="00071293" w:rsidRPr="00D8017D">
        <w:rPr>
          <w:rFonts w:eastAsia="Times New Roman" w:cs="Times New Roman"/>
        </w:rPr>
        <w:t xml:space="preserve"> pamatbudžeta izmaksājamo piemaksu pie vecuma un invaliditātes pensijas saņēmēju prognozēm</w:t>
      </w:r>
      <w:r w:rsidR="009967E7" w:rsidRPr="00D8017D">
        <w:rPr>
          <w:rFonts w:eastAsia="Times New Roman" w:cs="Times New Roman"/>
        </w:rPr>
        <w:t>.</w:t>
      </w:r>
    </w:p>
    <w:p w14:paraId="09B5BF3D" w14:textId="004409A2" w:rsidR="00CF0539" w:rsidRPr="00C96F90" w:rsidRDefault="008364F3" w:rsidP="00C96F90">
      <w:pPr>
        <w:widowControl w:val="0"/>
        <w:rPr>
          <w:rFonts w:eastAsia="Times New Roman" w:cs="Times New Roman"/>
        </w:rPr>
      </w:pPr>
      <w:r w:rsidRPr="00D8017D">
        <w:rPr>
          <w:rFonts w:eastAsia="Times New Roman" w:cs="Times New Roman"/>
        </w:rPr>
        <w:t>FDL</w:t>
      </w:r>
      <w:r w:rsidR="00071293" w:rsidRPr="00D8017D">
        <w:rPr>
          <w:rFonts w:eastAsia="Times New Roman" w:cs="Times New Roman"/>
        </w:rPr>
        <w:t xml:space="preserve"> 5.</w:t>
      </w:r>
      <w:r w:rsidR="00973305" w:rsidRPr="00D8017D">
        <w:rPr>
          <w:rFonts w:eastAsia="Times New Roman" w:cs="Times New Roman"/>
        </w:rPr>
        <w:t xml:space="preserve"> </w:t>
      </w:r>
      <w:r w:rsidR="00071293" w:rsidRPr="00D8017D">
        <w:rPr>
          <w:rFonts w:eastAsia="Times New Roman" w:cs="Times New Roman"/>
        </w:rPr>
        <w:t>panta pirmās daļas 2.</w:t>
      </w:r>
      <w:r w:rsidR="00973305" w:rsidRPr="00D8017D">
        <w:rPr>
          <w:rFonts w:eastAsia="Times New Roman" w:cs="Times New Roman"/>
        </w:rPr>
        <w:t xml:space="preserve"> </w:t>
      </w:r>
      <w:r w:rsidR="00071293" w:rsidRPr="00D8017D">
        <w:rPr>
          <w:rFonts w:eastAsia="Times New Roman" w:cs="Times New Roman"/>
        </w:rPr>
        <w:t xml:space="preserve">punkts nosaka, ka </w:t>
      </w:r>
      <w:r w:rsidR="000848C1" w:rsidRPr="00D8017D">
        <w:rPr>
          <w:rFonts w:eastAsia="Times New Roman" w:cs="Times New Roman"/>
        </w:rPr>
        <w:t>ietvara</w:t>
      </w:r>
      <w:r w:rsidR="00071293" w:rsidRPr="00D8017D">
        <w:rPr>
          <w:rFonts w:eastAsia="Times New Roman" w:cs="Times New Roman"/>
        </w:rPr>
        <w:t xml:space="preserve"> maksimāli pieļaujamos valsts budžeta izdevumus precizē, ja rodas izmaiņas valsts speciālā budžeta izdevumos sakarā ar aktuālākām sociālās apdrošināšanas pakalpojumu saņēmēju kontingenta, kā arī pensiju un pabalstu vidējā apmēra prognozēm. Tādējādi ir nepieciešams fiksēt sociālās apdrošināšanas pakalpojumu saņēmēju kontingenta, kā arī pensiju un pabalstu vidējā apmēra prognozes koriģēto maksimāli pieļaujamo valsts budžeta izdevumu aprēķināšanas brīdī, tātad prognozes, saskaņā ar kurām ir izstrādāts likumprojekts “</w:t>
      </w:r>
      <w:r w:rsidRPr="00D8017D">
        <w:rPr>
          <w:rFonts w:eastAsia="Times New Roman" w:cs="Times New Roman"/>
        </w:rPr>
        <w:t>Par valsts budžetu 202</w:t>
      </w:r>
      <w:r w:rsidR="000848C1" w:rsidRPr="00D8017D">
        <w:rPr>
          <w:rFonts w:eastAsia="Times New Roman" w:cs="Times New Roman"/>
        </w:rPr>
        <w:t>6</w:t>
      </w:r>
      <w:r w:rsidRPr="00D8017D">
        <w:rPr>
          <w:rFonts w:eastAsia="Times New Roman" w:cs="Times New Roman"/>
        </w:rPr>
        <w:t>.</w:t>
      </w:r>
      <w:r w:rsidR="003C02EC" w:rsidRPr="00D8017D">
        <w:rPr>
          <w:rFonts w:eastAsia="Times New Roman" w:cs="Times New Roman"/>
        </w:rPr>
        <w:t xml:space="preserve"> </w:t>
      </w:r>
      <w:r w:rsidRPr="00D8017D">
        <w:rPr>
          <w:rFonts w:eastAsia="Times New Roman" w:cs="Times New Roman"/>
        </w:rPr>
        <w:t>gadam un budžeta ietvaru 202</w:t>
      </w:r>
      <w:r w:rsidR="000848C1" w:rsidRPr="00D8017D">
        <w:rPr>
          <w:rFonts w:eastAsia="Times New Roman" w:cs="Times New Roman"/>
        </w:rPr>
        <w:t>6</w:t>
      </w:r>
      <w:r w:rsidRPr="00D8017D">
        <w:rPr>
          <w:rFonts w:eastAsia="Times New Roman" w:cs="Times New Roman"/>
        </w:rPr>
        <w:t>., 202</w:t>
      </w:r>
      <w:r w:rsidR="000848C1" w:rsidRPr="00D8017D">
        <w:rPr>
          <w:rFonts w:eastAsia="Times New Roman" w:cs="Times New Roman"/>
        </w:rPr>
        <w:t>7</w:t>
      </w:r>
      <w:r w:rsidRPr="00D8017D">
        <w:rPr>
          <w:rFonts w:eastAsia="Times New Roman" w:cs="Times New Roman"/>
        </w:rPr>
        <w:t>. un 202</w:t>
      </w:r>
      <w:r w:rsidR="000848C1" w:rsidRPr="00D8017D">
        <w:rPr>
          <w:rFonts w:eastAsia="Times New Roman" w:cs="Times New Roman"/>
        </w:rPr>
        <w:t>8</w:t>
      </w:r>
      <w:r w:rsidRPr="00D8017D">
        <w:rPr>
          <w:rFonts w:eastAsia="Times New Roman" w:cs="Times New Roman"/>
        </w:rPr>
        <w:t>.</w:t>
      </w:r>
      <w:r w:rsidR="003C02EC" w:rsidRPr="00D8017D">
        <w:rPr>
          <w:rFonts w:eastAsia="Times New Roman" w:cs="Times New Roman"/>
        </w:rPr>
        <w:t xml:space="preserve"> </w:t>
      </w:r>
      <w:r w:rsidRPr="00D8017D">
        <w:rPr>
          <w:rFonts w:eastAsia="Times New Roman" w:cs="Times New Roman"/>
        </w:rPr>
        <w:t>gad</w:t>
      </w:r>
      <w:r w:rsidR="00D57548" w:rsidRPr="00D8017D">
        <w:rPr>
          <w:rFonts w:eastAsia="Times New Roman" w:cs="Times New Roman"/>
        </w:rPr>
        <w:t>a</w:t>
      </w:r>
      <w:r w:rsidRPr="00D8017D">
        <w:rPr>
          <w:rFonts w:eastAsia="Times New Roman" w:cs="Times New Roman"/>
        </w:rPr>
        <w:t>m</w:t>
      </w:r>
      <w:r w:rsidR="00071293" w:rsidRPr="00D8017D">
        <w:rPr>
          <w:rFonts w:eastAsia="Times New Roman" w:cs="Times New Roman"/>
        </w:rPr>
        <w:t xml:space="preserve">”. Šī informācija ir </w:t>
      </w:r>
      <w:r w:rsidR="00071293" w:rsidRPr="00D634A9">
        <w:rPr>
          <w:rFonts w:eastAsia="Times New Roman" w:cs="Times New Roman"/>
        </w:rPr>
        <w:t xml:space="preserve">sniegta </w:t>
      </w:r>
      <w:r w:rsidR="009967E7" w:rsidRPr="00D634A9">
        <w:rPr>
          <w:rFonts w:eastAsia="Times New Roman" w:cs="Times New Roman"/>
        </w:rPr>
        <w:t>8</w:t>
      </w:r>
      <w:r w:rsidR="00071293" w:rsidRPr="00D634A9">
        <w:rPr>
          <w:rFonts w:eastAsia="Times New Roman" w:cs="Times New Roman"/>
        </w:rPr>
        <w:t>.</w:t>
      </w:r>
      <w:r w:rsidR="00973305" w:rsidRPr="00D634A9">
        <w:rPr>
          <w:rFonts w:eastAsia="Times New Roman" w:cs="Times New Roman"/>
        </w:rPr>
        <w:t xml:space="preserve"> pielikumā.</w:t>
      </w:r>
    </w:p>
    <w:p w14:paraId="7AAC84F8" w14:textId="1527834F" w:rsidR="00775F9E" w:rsidRPr="00D8017D" w:rsidRDefault="00775F9E" w:rsidP="00C96F90">
      <w:pPr>
        <w:widowControl w:val="0"/>
        <w:spacing w:before="240"/>
        <w:ind w:firstLine="0"/>
        <w:jc w:val="center"/>
        <w:rPr>
          <w:rFonts w:eastAsia="Times New Roman" w:cs="Times New Roman"/>
          <w:b/>
          <w:sz w:val="28"/>
          <w:szCs w:val="24"/>
        </w:rPr>
      </w:pPr>
      <w:r w:rsidRPr="00D8017D">
        <w:rPr>
          <w:rFonts w:eastAsia="Times New Roman" w:cs="Times New Roman"/>
          <w:b/>
          <w:sz w:val="28"/>
          <w:szCs w:val="24"/>
        </w:rPr>
        <w:t xml:space="preserve">Pasākumu finansēšana virs </w:t>
      </w:r>
      <w:r w:rsidR="00B7775D" w:rsidRPr="00D8017D">
        <w:rPr>
          <w:rFonts w:eastAsia="Times New Roman" w:cs="Times New Roman"/>
          <w:b/>
          <w:sz w:val="28"/>
          <w:szCs w:val="24"/>
        </w:rPr>
        <w:t xml:space="preserve">ietvara </w:t>
      </w:r>
      <w:r w:rsidRPr="00D8017D">
        <w:rPr>
          <w:rFonts w:eastAsia="Times New Roman" w:cs="Times New Roman"/>
          <w:b/>
          <w:sz w:val="28"/>
          <w:szCs w:val="24"/>
        </w:rPr>
        <w:t>maksimāli pieļaujamiem valsts budžeta izdevumiem</w:t>
      </w:r>
    </w:p>
    <w:p w14:paraId="47762A82" w14:textId="77777777" w:rsidR="00775F9E" w:rsidRPr="00D8017D" w:rsidRDefault="00775F9E" w:rsidP="008349F0">
      <w:pPr>
        <w:widowControl w:val="0"/>
        <w:ind w:firstLine="709"/>
        <w:rPr>
          <w:rFonts w:eastAsia="Times New Roman" w:cs="Times New Roman"/>
        </w:rPr>
      </w:pPr>
      <w:r w:rsidRPr="00D8017D">
        <w:rPr>
          <w:rFonts w:eastAsia="Times New Roman" w:cs="Times New Roman"/>
        </w:rPr>
        <w:t>FDL 9. pants nosaka, ka:</w:t>
      </w:r>
    </w:p>
    <w:p w14:paraId="1B49A65B" w14:textId="67A758AC" w:rsidR="00775F9E" w:rsidRPr="00D8017D" w:rsidRDefault="00775F9E" w:rsidP="008349F0">
      <w:pPr>
        <w:widowControl w:val="0"/>
        <w:ind w:firstLine="709"/>
        <w:rPr>
          <w:rFonts w:eastAsia="Times New Roman" w:cs="Times New Roman"/>
        </w:rPr>
      </w:pPr>
      <w:r w:rsidRPr="00D8017D">
        <w:rPr>
          <w:rFonts w:eastAsia="Times New Roman" w:cs="Times New Roman"/>
        </w:rPr>
        <w:t xml:space="preserve">(1) Ja </w:t>
      </w:r>
      <w:r w:rsidR="00801615" w:rsidRPr="00D8017D">
        <w:rPr>
          <w:rFonts w:eastAsia="Times New Roman" w:cs="Times New Roman"/>
        </w:rPr>
        <w:t>MK</w:t>
      </w:r>
      <w:r w:rsidRPr="00D8017D">
        <w:rPr>
          <w:rFonts w:eastAsia="Times New Roman" w:cs="Times New Roman"/>
        </w:rPr>
        <w:t xml:space="preserve"> iesniedz Saeimā izskatīšanai likumprojektu, kas izraisa </w:t>
      </w:r>
      <w:r w:rsidR="009304B0" w:rsidRPr="00D8017D">
        <w:rPr>
          <w:rFonts w:eastAsia="Times New Roman" w:cs="Times New Roman"/>
        </w:rPr>
        <w:t>valsts budžeta</w:t>
      </w:r>
      <w:r w:rsidRPr="00D8017D">
        <w:rPr>
          <w:rFonts w:eastAsia="Times New Roman" w:cs="Times New Roman"/>
        </w:rPr>
        <w:t xml:space="preserve"> likumā noteikto </w:t>
      </w:r>
      <w:r w:rsidR="009304B0" w:rsidRPr="00D8017D">
        <w:rPr>
          <w:rFonts w:eastAsia="Times New Roman" w:cs="Times New Roman"/>
        </w:rPr>
        <w:t>ietvara</w:t>
      </w:r>
      <w:r w:rsidRPr="00D8017D">
        <w:rPr>
          <w:rFonts w:eastAsia="Times New Roman" w:cs="Times New Roman"/>
        </w:rPr>
        <w:t xml:space="preserve"> maksimāli pieļaujamo valsts budžeta izdevumu pārsniegumu, kurš nav saistīts ar FDL 5.</w:t>
      </w:r>
      <w:r w:rsidR="0047535A" w:rsidRPr="00D8017D">
        <w:rPr>
          <w:rFonts w:eastAsia="Times New Roman" w:cs="Times New Roman"/>
        </w:rPr>
        <w:t xml:space="preserve"> </w:t>
      </w:r>
      <w:r w:rsidRPr="00D8017D">
        <w:rPr>
          <w:rFonts w:eastAsia="Times New Roman" w:cs="Times New Roman"/>
        </w:rPr>
        <w:t xml:space="preserve">panta pirmajā daļā minētajiem gadījumiem, vai kas izraisa </w:t>
      </w:r>
      <w:r w:rsidR="009304B0" w:rsidRPr="00D8017D">
        <w:rPr>
          <w:rFonts w:eastAsia="Times New Roman" w:cs="Times New Roman"/>
        </w:rPr>
        <w:t>valsts budžeta</w:t>
      </w:r>
      <w:r w:rsidRPr="00D8017D">
        <w:rPr>
          <w:rFonts w:eastAsia="Times New Roman" w:cs="Times New Roman"/>
        </w:rPr>
        <w:t xml:space="preserve"> likumā plānoto valsts budžeta ieņēmumu samazinājumu, </w:t>
      </w:r>
      <w:r w:rsidR="00801615" w:rsidRPr="00D8017D">
        <w:rPr>
          <w:rFonts w:eastAsia="Times New Roman" w:cs="Times New Roman"/>
        </w:rPr>
        <w:t>MK</w:t>
      </w:r>
      <w:r w:rsidRPr="00D8017D">
        <w:rPr>
          <w:rFonts w:eastAsia="Times New Roman" w:cs="Times New Roman"/>
        </w:rPr>
        <w:t xml:space="preserve"> vienlaikus iesniedz Saeimai arī likumprojektu vai likumprojektus, kas paredz izdevumu pieauguma vai ieņēmumu samazinājuma kompensēšanu. Kompensēšana notiek, palielinot ieņēmumus vai samazinot izdevumus.</w:t>
      </w:r>
    </w:p>
    <w:p w14:paraId="01EF17EC" w14:textId="276AB57E" w:rsidR="00775F9E" w:rsidRPr="00D8017D" w:rsidRDefault="00775F9E" w:rsidP="008349F0">
      <w:pPr>
        <w:widowControl w:val="0"/>
        <w:ind w:firstLine="709"/>
        <w:rPr>
          <w:rFonts w:eastAsia="Times New Roman" w:cs="Times New Roman"/>
        </w:rPr>
      </w:pPr>
      <w:r w:rsidRPr="00D8017D">
        <w:rPr>
          <w:rFonts w:eastAsia="Times New Roman" w:cs="Times New Roman"/>
        </w:rPr>
        <w:t xml:space="preserve">(2) Ja </w:t>
      </w:r>
      <w:r w:rsidR="00801615" w:rsidRPr="00D8017D">
        <w:rPr>
          <w:rFonts w:eastAsia="Times New Roman" w:cs="Times New Roman"/>
        </w:rPr>
        <w:t>MK</w:t>
      </w:r>
      <w:r w:rsidRPr="00D8017D">
        <w:rPr>
          <w:rFonts w:eastAsia="Times New Roman" w:cs="Times New Roman"/>
        </w:rPr>
        <w:t xml:space="preserve"> pieņem normatīvo aktu, kas izraisa </w:t>
      </w:r>
      <w:r w:rsidR="009304B0" w:rsidRPr="00D8017D">
        <w:rPr>
          <w:rFonts w:eastAsia="Times New Roman" w:cs="Times New Roman"/>
        </w:rPr>
        <w:t>valsts budžeta</w:t>
      </w:r>
      <w:r w:rsidRPr="00D8017D">
        <w:rPr>
          <w:rFonts w:eastAsia="Times New Roman" w:cs="Times New Roman"/>
        </w:rPr>
        <w:t xml:space="preserve"> likumā noteikto </w:t>
      </w:r>
      <w:r w:rsidR="009304B0" w:rsidRPr="00D8017D">
        <w:rPr>
          <w:rFonts w:eastAsia="Times New Roman" w:cs="Times New Roman"/>
        </w:rPr>
        <w:t>ietvara</w:t>
      </w:r>
      <w:r w:rsidRPr="00D8017D">
        <w:rPr>
          <w:rFonts w:eastAsia="Times New Roman" w:cs="Times New Roman"/>
        </w:rPr>
        <w:t xml:space="preserve"> maksimāli pieļaujamo valsts budžeta izdevumu pārsniegumu, kurš nav saistīts ar šā likuma 5.</w:t>
      </w:r>
      <w:r w:rsidR="005C2652">
        <w:rPr>
          <w:rFonts w:eastAsia="Times New Roman" w:cs="Times New Roman"/>
        </w:rPr>
        <w:t xml:space="preserve"> </w:t>
      </w:r>
      <w:r w:rsidRPr="00D8017D">
        <w:rPr>
          <w:rFonts w:eastAsia="Times New Roman" w:cs="Times New Roman"/>
        </w:rPr>
        <w:t xml:space="preserve">panta pirmajā daļā minētajiem gadījumiem, vai kas izraisa </w:t>
      </w:r>
      <w:r w:rsidR="009304B0" w:rsidRPr="00D8017D">
        <w:rPr>
          <w:rFonts w:eastAsia="Times New Roman" w:cs="Times New Roman"/>
        </w:rPr>
        <w:t>valsts budžeta</w:t>
      </w:r>
      <w:r w:rsidRPr="00D8017D">
        <w:rPr>
          <w:rFonts w:eastAsia="Times New Roman" w:cs="Times New Roman"/>
        </w:rPr>
        <w:t xml:space="preserve"> likumā plānoto valsts budžeta ieņēmumu samazinājumu, </w:t>
      </w:r>
      <w:r w:rsidR="00801615" w:rsidRPr="00D8017D">
        <w:rPr>
          <w:rFonts w:eastAsia="Times New Roman" w:cs="Times New Roman"/>
        </w:rPr>
        <w:t>MK</w:t>
      </w:r>
      <w:r w:rsidRPr="00D8017D">
        <w:rPr>
          <w:rFonts w:eastAsia="Times New Roman" w:cs="Times New Roman"/>
        </w:rPr>
        <w:t xml:space="preserve"> nodrošina, ka vienlaikus stājas spēkā arī tāds normatīvais akts vai tādi normatīvie akti, kas kompensē izdevumu pieaugumu vai ieņēmumu samazinājumu. Kompensēšana notiek, palielinot ieņēmumus vai samazinot izdevumus.</w:t>
      </w:r>
    </w:p>
    <w:p w14:paraId="7752532A" w14:textId="1C77B18F" w:rsidR="009967E7" w:rsidRPr="00D8017D" w:rsidRDefault="00775F9E" w:rsidP="008349F0">
      <w:pPr>
        <w:widowControl w:val="0"/>
        <w:ind w:firstLine="709"/>
        <w:rPr>
          <w:rFonts w:eastAsia="Times New Roman" w:cs="Times New Roman"/>
        </w:rPr>
      </w:pPr>
      <w:r w:rsidRPr="00D8017D">
        <w:rPr>
          <w:rFonts w:eastAsia="Times New Roman" w:cs="Times New Roman"/>
        </w:rPr>
        <w:t xml:space="preserve">Tā, kā fiskālās politikas stratēģija </w:t>
      </w:r>
      <w:r w:rsidR="009842B3" w:rsidRPr="00D8017D">
        <w:rPr>
          <w:rFonts w:eastAsia="Times New Roman" w:cs="Times New Roman"/>
        </w:rPr>
        <w:t xml:space="preserve">definē vienreizējos pasākumus un nosacījumu, ka attiecīgo pasākumu izdevumus </w:t>
      </w:r>
      <w:r w:rsidRPr="00D8017D">
        <w:rPr>
          <w:rFonts w:eastAsia="Times New Roman" w:cs="Times New Roman"/>
        </w:rPr>
        <w:t>budžeta izpildes gaitā var palielināt, palielinot attiecīgo apropriāciju, ja</w:t>
      </w:r>
      <w:r w:rsidRPr="00D8017D">
        <w:t xml:space="preserve"> </w:t>
      </w:r>
      <w:r w:rsidRPr="00D8017D">
        <w:rPr>
          <w:rFonts w:eastAsia="Times New Roman" w:cs="Times New Roman"/>
        </w:rPr>
        <w:t xml:space="preserve">ir pieņemts attiecīgs </w:t>
      </w:r>
      <w:r w:rsidR="00801615" w:rsidRPr="00D8017D">
        <w:rPr>
          <w:rFonts w:eastAsia="Times New Roman" w:cs="Times New Roman"/>
        </w:rPr>
        <w:t>MK</w:t>
      </w:r>
      <w:r w:rsidRPr="00D8017D">
        <w:rPr>
          <w:rFonts w:eastAsia="Times New Roman" w:cs="Times New Roman"/>
        </w:rPr>
        <w:t xml:space="preserve"> lēmums un Saeimas Budžeta un finanšu (nodokļu) komisija piecu darba dienu laikā no attiecīgās informācijas saņemšanas dienas ir to izskatījusi un nav iebildusi pret apropriācijas palielinājumu, rodas pretruna starp šo normu un FDL 9. pantu. Lai novērstu minēto pretrunu </w:t>
      </w:r>
      <w:r w:rsidR="004A0F03" w:rsidRPr="00D8017D">
        <w:rPr>
          <w:rFonts w:eastAsia="Times New Roman" w:cs="Times New Roman"/>
        </w:rPr>
        <w:t>šā likum</w:t>
      </w:r>
      <w:r w:rsidR="00B7775D" w:rsidRPr="00D8017D">
        <w:rPr>
          <w:rFonts w:eastAsia="Times New Roman" w:cs="Times New Roman"/>
        </w:rPr>
        <w:t>projektā</w:t>
      </w:r>
      <w:r w:rsidR="004A0F03" w:rsidRPr="00D8017D">
        <w:rPr>
          <w:rFonts w:eastAsia="Times New Roman" w:cs="Times New Roman"/>
        </w:rPr>
        <w:t xml:space="preserve"> </w:t>
      </w:r>
      <w:r w:rsidR="009E57DD" w:rsidRPr="001E376C">
        <w:rPr>
          <w:rFonts w:eastAsia="Times New Roman" w:cs="Times New Roman"/>
        </w:rPr>
        <w:t>1</w:t>
      </w:r>
      <w:r w:rsidR="00B7775D" w:rsidRPr="001E376C">
        <w:rPr>
          <w:rFonts w:eastAsia="Times New Roman" w:cs="Times New Roman"/>
        </w:rPr>
        <w:t>1</w:t>
      </w:r>
      <w:r w:rsidR="004A0F03" w:rsidRPr="00D8017D">
        <w:rPr>
          <w:rFonts w:eastAsia="Times New Roman" w:cs="Times New Roman"/>
        </w:rPr>
        <w:t>. pantā</w:t>
      </w:r>
      <w:r w:rsidRPr="00D8017D">
        <w:rPr>
          <w:rFonts w:eastAsia="Times New Roman" w:cs="Times New Roman"/>
        </w:rPr>
        <w:t xml:space="preserve"> tiek noteikts, ka </w:t>
      </w:r>
      <w:r w:rsidR="009304B0" w:rsidRPr="00D8017D">
        <w:rPr>
          <w:rFonts w:eastAsia="Times New Roman" w:cs="Times New Roman"/>
        </w:rPr>
        <w:t>ietvara</w:t>
      </w:r>
      <w:r w:rsidR="00B06408" w:rsidRPr="00D8017D">
        <w:rPr>
          <w:rFonts w:eastAsia="Times New Roman" w:cs="Times New Roman"/>
        </w:rPr>
        <w:t xml:space="preserve"> maksimāli pieļaujamie izdevumi tiek precizēti atbilstoši izmaiņām vienreizējo izdevumu apjomā. Tas nozīmē, ka, ja ir nepieciešams palielināt apropriāciju vienreizējiem pasākumiem, tādā pašā apmērā tiek palielināti </w:t>
      </w:r>
      <w:r w:rsidR="009304B0" w:rsidRPr="00D8017D">
        <w:rPr>
          <w:rFonts w:eastAsia="Times New Roman" w:cs="Times New Roman"/>
        </w:rPr>
        <w:t>ietvara</w:t>
      </w:r>
      <w:r w:rsidR="00B06408" w:rsidRPr="00D8017D">
        <w:rPr>
          <w:rFonts w:eastAsia="Times New Roman" w:cs="Times New Roman"/>
        </w:rPr>
        <w:t xml:space="preserve"> maksimāli pieļaujamie valsts budžeta izdevumi. Analogi – ja vienreizējiem pasākumiem plānotie izdevumi tiek samazināti, attiecīgi tiek samazināt</w:t>
      </w:r>
      <w:r w:rsidR="00297746" w:rsidRPr="00D8017D">
        <w:rPr>
          <w:rFonts w:eastAsia="Times New Roman" w:cs="Times New Roman"/>
        </w:rPr>
        <w:t>i</w:t>
      </w:r>
      <w:r w:rsidR="00B06408" w:rsidRPr="00D8017D">
        <w:rPr>
          <w:rFonts w:eastAsia="Times New Roman" w:cs="Times New Roman"/>
        </w:rPr>
        <w:t xml:space="preserve"> </w:t>
      </w:r>
      <w:r w:rsidR="009304B0" w:rsidRPr="00D8017D">
        <w:rPr>
          <w:rFonts w:eastAsia="Times New Roman" w:cs="Times New Roman"/>
        </w:rPr>
        <w:t>ietvara</w:t>
      </w:r>
      <w:r w:rsidR="00B06408" w:rsidRPr="00D8017D">
        <w:rPr>
          <w:rFonts w:eastAsia="Times New Roman" w:cs="Times New Roman"/>
        </w:rPr>
        <w:t xml:space="preserve"> maksimāli pieļaujamie valsts budžeta izdevumi</w:t>
      </w:r>
      <w:r w:rsidRPr="00D8017D">
        <w:rPr>
          <w:rFonts w:eastAsia="Times New Roman" w:cs="Times New Roman"/>
        </w:rPr>
        <w:t xml:space="preserve">. </w:t>
      </w:r>
    </w:p>
    <w:p w14:paraId="04FC4D10" w14:textId="77777777" w:rsidR="00297746" w:rsidRPr="00D8017D" w:rsidRDefault="00297746" w:rsidP="008349F0">
      <w:pPr>
        <w:widowControl w:val="0"/>
        <w:spacing w:after="0"/>
        <w:ind w:firstLine="709"/>
        <w:rPr>
          <w:rFonts w:eastAsia="Times New Roman" w:cs="Times New Roman"/>
          <w:highlight w:val="lightGray"/>
        </w:rPr>
      </w:pPr>
    </w:p>
    <w:p w14:paraId="7D4BBEFC" w14:textId="67B073AB" w:rsidR="000D4D00" w:rsidRPr="00D8017D" w:rsidRDefault="00D57DD6" w:rsidP="008349F0">
      <w:pPr>
        <w:pStyle w:val="Heading3"/>
        <w:numPr>
          <w:ilvl w:val="0"/>
          <w:numId w:val="0"/>
        </w:numPr>
        <w:spacing w:before="0"/>
      </w:pPr>
      <w:bookmarkStart w:id="48" w:name="_Toc210289884"/>
      <w:r w:rsidRPr="00D8017D">
        <w:t>2.1.3</w:t>
      </w:r>
      <w:r w:rsidR="00E8646E" w:rsidRPr="00D8017D">
        <w:t xml:space="preserve">. </w:t>
      </w:r>
      <w:r w:rsidR="00973305" w:rsidRPr="00D8017D">
        <w:t>Uzkrāto bilanču starpības</w:t>
      </w:r>
      <w:bookmarkEnd w:id="48"/>
    </w:p>
    <w:p w14:paraId="11B7452E" w14:textId="4C17EC16" w:rsidR="009427E1" w:rsidRPr="00C603FF" w:rsidRDefault="008364F3" w:rsidP="00C603FF">
      <w:pPr>
        <w:widowControl w:val="0"/>
        <w:rPr>
          <w:rFonts w:eastAsia="Times New Roman" w:cs="Times New Roman"/>
          <w:color w:val="000000"/>
          <w:szCs w:val="20"/>
        </w:rPr>
      </w:pPr>
      <w:r w:rsidRPr="00D8017D">
        <w:rPr>
          <w:rFonts w:eastAsia="Times New Roman" w:cs="Times New Roman"/>
          <w:color w:val="000000"/>
          <w:szCs w:val="20"/>
        </w:rPr>
        <w:t>FDL</w:t>
      </w:r>
      <w:r w:rsidR="000D4D00" w:rsidRPr="00D8017D">
        <w:rPr>
          <w:rFonts w:eastAsia="Times New Roman" w:cs="Times New Roman"/>
          <w:color w:val="000000"/>
          <w:szCs w:val="20"/>
        </w:rPr>
        <w:t xml:space="preserve"> 11.</w:t>
      </w:r>
      <w:r w:rsidR="00F5298F" w:rsidRPr="00D8017D">
        <w:rPr>
          <w:rFonts w:eastAsia="Times New Roman" w:cs="Times New Roman"/>
          <w:color w:val="000000"/>
          <w:szCs w:val="20"/>
        </w:rPr>
        <w:t xml:space="preserve"> </w:t>
      </w:r>
      <w:r w:rsidR="000D4D00" w:rsidRPr="00D8017D">
        <w:rPr>
          <w:rFonts w:eastAsia="Times New Roman" w:cs="Times New Roman"/>
          <w:color w:val="000000"/>
          <w:szCs w:val="20"/>
        </w:rPr>
        <w:t xml:space="preserve">pants nosaka </w:t>
      </w:r>
      <w:r w:rsidR="000D4D00" w:rsidRPr="00D8017D">
        <w:rPr>
          <w:rFonts w:eastAsia="Times New Roman" w:cs="Times New Roman"/>
          <w:i/>
          <w:color w:val="000000"/>
          <w:szCs w:val="20"/>
        </w:rPr>
        <w:t>ex-post</w:t>
      </w:r>
      <w:r w:rsidR="000D4D00" w:rsidRPr="00D8017D">
        <w:rPr>
          <w:rFonts w:eastAsia="Times New Roman" w:cs="Times New Roman"/>
          <w:color w:val="000000"/>
          <w:szCs w:val="20"/>
        </w:rPr>
        <w:t xml:space="preserve"> korekcijas mehānismu, t.i. minimālās plānojamās vispārējās valdības budžeta strukturālās bilances koriģēšanu, lai nodrošinātu to, ka iepriekšējo gadu faktiskās </w:t>
      </w:r>
      <w:r w:rsidR="000D4D00" w:rsidRPr="00D8017D">
        <w:rPr>
          <w:rFonts w:eastAsia="Times New Roman" w:cs="Times New Roman"/>
          <w:color w:val="000000"/>
          <w:szCs w:val="20"/>
        </w:rPr>
        <w:lastRenderedPageBreak/>
        <w:t>novirzes no bilances nosacījuma (</w:t>
      </w:r>
      <w:r w:rsidRPr="00D8017D">
        <w:rPr>
          <w:rFonts w:eastAsia="Times New Roman" w:cs="Times New Roman"/>
          <w:color w:val="000000"/>
          <w:szCs w:val="20"/>
        </w:rPr>
        <w:t>FDL</w:t>
      </w:r>
      <w:r w:rsidR="00F5298F" w:rsidRPr="00D8017D">
        <w:rPr>
          <w:rFonts w:eastAsia="Times New Roman" w:cs="Times New Roman"/>
          <w:color w:val="000000"/>
          <w:szCs w:val="20"/>
        </w:rPr>
        <w:t xml:space="preserve"> 10. p</w:t>
      </w:r>
      <w:r w:rsidR="000D4D00" w:rsidRPr="00D8017D">
        <w:rPr>
          <w:rFonts w:eastAsia="Times New Roman" w:cs="Times New Roman"/>
          <w:color w:val="000000"/>
          <w:szCs w:val="20"/>
        </w:rPr>
        <w:t>ants) neietekmē budžeta sabalansētību. Ja budžeta izpildes gaitā tiek konstatēts, ka uzkrātā faktisko strukturālo bilanču novirze no plānoto bilanču apmēra ir paslikt</w:t>
      </w:r>
      <w:r w:rsidR="00F5298F" w:rsidRPr="00D8017D">
        <w:rPr>
          <w:rFonts w:eastAsia="Times New Roman" w:cs="Times New Roman"/>
          <w:color w:val="000000"/>
          <w:szCs w:val="20"/>
        </w:rPr>
        <w:t xml:space="preserve">inājusies par vismaz 0,5% no </w:t>
      </w:r>
      <w:r w:rsidR="005B7C54" w:rsidRPr="00D8017D">
        <w:rPr>
          <w:rFonts w:eastAsia="Times New Roman" w:cs="Times New Roman"/>
          <w:color w:val="000000"/>
          <w:szCs w:val="20"/>
        </w:rPr>
        <w:t>IKP</w:t>
      </w:r>
      <w:r w:rsidR="00F5298F" w:rsidRPr="00D8017D">
        <w:rPr>
          <w:rFonts w:eastAsia="Times New Roman" w:cs="Times New Roman"/>
          <w:color w:val="000000"/>
          <w:szCs w:val="20"/>
        </w:rPr>
        <w:t xml:space="preserve">, nākamā vidēja termiņa budžeta likuma </w:t>
      </w:r>
      <w:r w:rsidR="000D4D00" w:rsidRPr="00D8017D">
        <w:rPr>
          <w:rFonts w:eastAsia="Times New Roman" w:cs="Times New Roman"/>
          <w:color w:val="000000"/>
          <w:szCs w:val="20"/>
        </w:rPr>
        <w:t>trešajā gadā vispārējās valdības budžeta strukturālās bilanc</w:t>
      </w:r>
      <w:r w:rsidR="00F5298F" w:rsidRPr="00D8017D">
        <w:rPr>
          <w:rFonts w:eastAsia="Times New Roman" w:cs="Times New Roman"/>
          <w:color w:val="000000"/>
          <w:szCs w:val="20"/>
        </w:rPr>
        <w:t xml:space="preserve">es mērķi nosaka par 0,5% no </w:t>
      </w:r>
      <w:r w:rsidR="00BB74C0" w:rsidRPr="00D8017D">
        <w:rPr>
          <w:rFonts w:eastAsia="Times New Roman" w:cs="Times New Roman"/>
          <w:color w:val="000000"/>
          <w:szCs w:val="20"/>
        </w:rPr>
        <w:t>IKP</w:t>
      </w:r>
      <w:r w:rsidR="00F5298F" w:rsidRPr="00D8017D">
        <w:rPr>
          <w:rFonts w:eastAsia="Times New Roman" w:cs="Times New Roman"/>
          <w:color w:val="000000"/>
          <w:szCs w:val="20"/>
        </w:rPr>
        <w:t xml:space="preserve"> </w:t>
      </w:r>
      <w:r w:rsidR="000D4D00" w:rsidRPr="00D8017D">
        <w:rPr>
          <w:rFonts w:eastAsia="Times New Roman" w:cs="Times New Roman"/>
          <w:color w:val="000000"/>
          <w:szCs w:val="20"/>
        </w:rPr>
        <w:t>lielāku. Lai novērtētu uzkrāto bilanču starpību, tika v</w:t>
      </w:r>
      <w:r w:rsidR="00EE5424" w:rsidRPr="00D8017D">
        <w:rPr>
          <w:rFonts w:eastAsia="Times New Roman" w:cs="Times New Roman"/>
          <w:color w:val="000000"/>
          <w:szCs w:val="20"/>
        </w:rPr>
        <w:t>eikti aprēķini, kas attēloti 2.</w:t>
      </w:r>
      <w:r w:rsidR="000B0C11" w:rsidRPr="00D8017D">
        <w:rPr>
          <w:rFonts w:eastAsia="Times New Roman" w:cs="Times New Roman"/>
          <w:color w:val="000000"/>
          <w:szCs w:val="20"/>
        </w:rPr>
        <w:t>1</w:t>
      </w:r>
      <w:r w:rsidR="000B0C11">
        <w:rPr>
          <w:rFonts w:eastAsia="Times New Roman" w:cs="Times New Roman"/>
          <w:color w:val="000000"/>
          <w:szCs w:val="20"/>
        </w:rPr>
        <w:t>6</w:t>
      </w:r>
      <w:r w:rsidR="000D4D00" w:rsidRPr="00D8017D">
        <w:rPr>
          <w:rFonts w:eastAsia="Times New Roman" w:cs="Times New Roman"/>
          <w:color w:val="000000"/>
          <w:szCs w:val="20"/>
        </w:rPr>
        <w:t>.</w:t>
      </w:r>
      <w:r w:rsidR="00F5298F" w:rsidRPr="00D8017D">
        <w:rPr>
          <w:rFonts w:eastAsia="Times New Roman" w:cs="Times New Roman"/>
          <w:color w:val="000000"/>
          <w:szCs w:val="20"/>
        </w:rPr>
        <w:t xml:space="preserve"> </w:t>
      </w:r>
      <w:r w:rsidR="000D4D00" w:rsidRPr="00D8017D">
        <w:rPr>
          <w:rFonts w:eastAsia="Times New Roman" w:cs="Times New Roman"/>
          <w:color w:val="000000"/>
          <w:szCs w:val="20"/>
        </w:rPr>
        <w:t>tabulā.</w:t>
      </w:r>
      <w:r w:rsidR="00786F22" w:rsidRPr="00D8017D">
        <w:rPr>
          <w:rFonts w:eastAsia="Times New Roman" w:cs="Times New Roman"/>
          <w:color w:val="000000"/>
          <w:szCs w:val="20"/>
        </w:rPr>
        <w:t xml:space="preserve"> Jāatzīmē, ka minimālā plānojamā vispārējās valdības budžeta strukturālā bilance (4. rinda) </w:t>
      </w:r>
      <w:r w:rsidR="008D3E01" w:rsidRPr="00D8017D">
        <w:rPr>
          <w:rFonts w:eastAsia="Times New Roman" w:cs="Times New Roman"/>
          <w:color w:val="000000"/>
          <w:szCs w:val="20"/>
        </w:rPr>
        <w:t xml:space="preserve">2021. un 2022. gadā </w:t>
      </w:r>
      <w:r w:rsidR="00786F22" w:rsidRPr="00D8017D">
        <w:rPr>
          <w:rFonts w:eastAsia="Times New Roman" w:cs="Times New Roman"/>
          <w:color w:val="000000"/>
          <w:szCs w:val="20"/>
        </w:rPr>
        <w:t xml:space="preserve">ir koriģēta, ņemot vērā </w:t>
      </w:r>
      <w:r w:rsidR="008D3E01" w:rsidRPr="00D8017D">
        <w:rPr>
          <w:rFonts w:eastAsia="Times New Roman" w:cs="Times New Roman"/>
          <w:color w:val="000000"/>
          <w:szCs w:val="20"/>
        </w:rPr>
        <w:t xml:space="preserve">apstiprināto Covid-19 krīzes seku novēršanas atbalsta pasākumu fiskālo ietekmi 148,9 milj. </w:t>
      </w:r>
      <w:r w:rsidR="008D3E01" w:rsidRPr="00777DE8">
        <w:rPr>
          <w:rFonts w:eastAsia="Times New Roman" w:cs="Times New Roman"/>
          <w:i/>
          <w:iCs/>
          <w:color w:val="000000"/>
          <w:szCs w:val="20"/>
        </w:rPr>
        <w:t xml:space="preserve">euro </w:t>
      </w:r>
      <w:r w:rsidR="008D3E01" w:rsidRPr="00777DE8">
        <w:rPr>
          <w:rFonts w:eastAsia="Times New Roman" w:cs="Times New Roman"/>
          <w:color w:val="000000"/>
          <w:szCs w:val="20"/>
        </w:rPr>
        <w:t>(0,</w:t>
      </w:r>
      <w:r w:rsidR="00777DE8" w:rsidRPr="00777DE8">
        <w:rPr>
          <w:rFonts w:eastAsia="Times New Roman" w:cs="Times New Roman"/>
          <w:color w:val="000000"/>
          <w:szCs w:val="20"/>
        </w:rPr>
        <w:t>5</w:t>
      </w:r>
      <w:r w:rsidR="008D3E01" w:rsidRPr="00777DE8">
        <w:rPr>
          <w:rFonts w:eastAsia="Times New Roman" w:cs="Times New Roman"/>
          <w:color w:val="000000"/>
          <w:szCs w:val="20"/>
        </w:rPr>
        <w:t xml:space="preserve">% no IKP) un 263,2 milj. </w:t>
      </w:r>
      <w:r w:rsidR="008D3E01" w:rsidRPr="00777DE8">
        <w:rPr>
          <w:rFonts w:eastAsia="Times New Roman" w:cs="Times New Roman"/>
          <w:i/>
          <w:iCs/>
          <w:color w:val="000000"/>
          <w:szCs w:val="20"/>
        </w:rPr>
        <w:t xml:space="preserve">euro </w:t>
      </w:r>
      <w:r w:rsidR="008D3E01" w:rsidRPr="00777DE8">
        <w:rPr>
          <w:rFonts w:eastAsia="Times New Roman" w:cs="Times New Roman"/>
          <w:color w:val="000000"/>
          <w:szCs w:val="20"/>
        </w:rPr>
        <w:t>(0,7% no IKP) attiecīgi.</w:t>
      </w:r>
      <w:r w:rsidR="008D3E01" w:rsidRPr="00D8017D">
        <w:rPr>
          <w:rFonts w:eastAsia="Times New Roman" w:cs="Times New Roman"/>
          <w:color w:val="000000"/>
          <w:szCs w:val="20"/>
        </w:rPr>
        <w:t xml:space="preserve"> </w:t>
      </w:r>
    </w:p>
    <w:p w14:paraId="0F427954" w14:textId="0C3FC7B1" w:rsidR="000D4D00" w:rsidRPr="00777DE8" w:rsidRDefault="00EE5424" w:rsidP="008349F0">
      <w:pPr>
        <w:widowControl w:val="0"/>
        <w:jc w:val="right"/>
        <w:rPr>
          <w:rFonts w:eastAsia="Times New Roman" w:cs="Times New Roman"/>
          <w:b/>
          <w:i/>
          <w:color w:val="000000"/>
          <w:szCs w:val="20"/>
        </w:rPr>
      </w:pPr>
      <w:r w:rsidRPr="00777DE8">
        <w:rPr>
          <w:rFonts w:eastAsia="Times New Roman" w:cs="Times New Roman"/>
          <w:b/>
          <w:i/>
          <w:color w:val="000000"/>
          <w:szCs w:val="20"/>
        </w:rPr>
        <w:t>2.</w:t>
      </w:r>
      <w:r w:rsidR="000B0C11" w:rsidRPr="00777DE8">
        <w:rPr>
          <w:rFonts w:eastAsia="Times New Roman" w:cs="Times New Roman"/>
          <w:b/>
          <w:i/>
          <w:color w:val="000000"/>
          <w:szCs w:val="20"/>
        </w:rPr>
        <w:t>1</w:t>
      </w:r>
      <w:r w:rsidR="000B0C11">
        <w:rPr>
          <w:rFonts w:eastAsia="Times New Roman" w:cs="Times New Roman"/>
          <w:b/>
          <w:i/>
          <w:color w:val="000000"/>
          <w:szCs w:val="20"/>
        </w:rPr>
        <w:t>6</w:t>
      </w:r>
      <w:r w:rsidR="000D4D00" w:rsidRPr="00777DE8">
        <w:rPr>
          <w:rFonts w:eastAsia="Times New Roman" w:cs="Times New Roman"/>
          <w:b/>
          <w:i/>
          <w:color w:val="000000"/>
          <w:szCs w:val="20"/>
        </w:rPr>
        <w:t>.</w:t>
      </w:r>
      <w:r w:rsidR="004614E3" w:rsidRPr="00777DE8">
        <w:rPr>
          <w:rFonts w:eastAsia="Times New Roman" w:cs="Times New Roman"/>
          <w:b/>
          <w:i/>
          <w:color w:val="000000"/>
          <w:szCs w:val="20"/>
        </w:rPr>
        <w:t xml:space="preserve"> </w:t>
      </w:r>
      <w:r w:rsidR="000D4D00" w:rsidRPr="00777DE8">
        <w:rPr>
          <w:rFonts w:eastAsia="Times New Roman" w:cs="Times New Roman"/>
          <w:b/>
          <w:i/>
          <w:color w:val="000000"/>
          <w:szCs w:val="20"/>
        </w:rPr>
        <w:t>tabula. Uzkrāto bilanču starpības aprēķins</w:t>
      </w:r>
    </w:p>
    <w:tbl>
      <w:tblPr>
        <w:tblStyle w:val="TableGrid10"/>
        <w:tblW w:w="10627" w:type="dxa"/>
        <w:jc w:val="center"/>
        <w:tblLayout w:type="fixed"/>
        <w:tblLook w:val="04A0" w:firstRow="1" w:lastRow="0" w:firstColumn="1" w:lastColumn="0" w:noHBand="0" w:noVBand="1"/>
      </w:tblPr>
      <w:tblGrid>
        <w:gridCol w:w="704"/>
        <w:gridCol w:w="1418"/>
        <w:gridCol w:w="680"/>
        <w:gridCol w:w="680"/>
        <w:gridCol w:w="680"/>
        <w:gridCol w:w="680"/>
        <w:gridCol w:w="680"/>
        <w:gridCol w:w="680"/>
        <w:gridCol w:w="680"/>
        <w:gridCol w:w="680"/>
        <w:gridCol w:w="680"/>
        <w:gridCol w:w="684"/>
        <w:gridCol w:w="850"/>
        <w:gridCol w:w="851"/>
      </w:tblGrid>
      <w:tr w:rsidR="00A657C0" w:rsidRPr="00C24622" w14:paraId="73BBD78B" w14:textId="1A63AE87" w:rsidTr="008C0450">
        <w:trPr>
          <w:trHeight w:val="294"/>
          <w:tblHeader/>
          <w:jc w:val="center"/>
        </w:trPr>
        <w:tc>
          <w:tcPr>
            <w:tcW w:w="704" w:type="dxa"/>
            <w:shd w:val="clear" w:color="auto" w:fill="BDD6EE" w:themeFill="accent1" w:themeFillTint="66"/>
            <w:vAlign w:val="center"/>
            <w:hideMark/>
          </w:tcPr>
          <w:p w14:paraId="039DB47F" w14:textId="0713C606" w:rsidR="00A657C0" w:rsidRPr="00C24622" w:rsidRDefault="00A657C0" w:rsidP="00D83C9B">
            <w:pPr>
              <w:ind w:firstLine="0"/>
              <w:jc w:val="center"/>
              <w:rPr>
                <w:rFonts w:cs="Times New Roman"/>
                <w:b/>
                <w:bCs/>
                <w:i/>
                <w:iCs/>
                <w:color w:val="000000" w:themeColor="text1"/>
                <w:sz w:val="16"/>
                <w:szCs w:val="16"/>
              </w:rPr>
            </w:pPr>
          </w:p>
        </w:tc>
        <w:tc>
          <w:tcPr>
            <w:tcW w:w="1418" w:type="dxa"/>
            <w:shd w:val="clear" w:color="auto" w:fill="BDD6EE" w:themeFill="accent1" w:themeFillTint="66"/>
            <w:vAlign w:val="center"/>
            <w:hideMark/>
          </w:tcPr>
          <w:p w14:paraId="54220D2E" w14:textId="1CA08676" w:rsidR="00A657C0" w:rsidRPr="00C24622" w:rsidRDefault="00A657C0" w:rsidP="00D83C9B">
            <w:pPr>
              <w:ind w:firstLine="0"/>
              <w:jc w:val="center"/>
              <w:rPr>
                <w:rFonts w:cs="Times New Roman"/>
                <w:b/>
                <w:bCs/>
                <w:color w:val="000000" w:themeColor="text1"/>
                <w:sz w:val="18"/>
                <w:szCs w:val="18"/>
              </w:rPr>
            </w:pPr>
          </w:p>
        </w:tc>
        <w:tc>
          <w:tcPr>
            <w:tcW w:w="680" w:type="dxa"/>
            <w:shd w:val="clear" w:color="auto" w:fill="BDD6EE" w:themeFill="accent1" w:themeFillTint="66"/>
            <w:vAlign w:val="center"/>
            <w:hideMark/>
          </w:tcPr>
          <w:p w14:paraId="39607B86" w14:textId="77777777"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2013</w:t>
            </w:r>
          </w:p>
        </w:tc>
        <w:tc>
          <w:tcPr>
            <w:tcW w:w="680" w:type="dxa"/>
            <w:shd w:val="clear" w:color="auto" w:fill="BDD6EE" w:themeFill="accent1" w:themeFillTint="66"/>
            <w:vAlign w:val="center"/>
            <w:hideMark/>
          </w:tcPr>
          <w:p w14:paraId="456F870A" w14:textId="77777777"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2014</w:t>
            </w:r>
          </w:p>
        </w:tc>
        <w:tc>
          <w:tcPr>
            <w:tcW w:w="680" w:type="dxa"/>
            <w:shd w:val="clear" w:color="auto" w:fill="BDD6EE" w:themeFill="accent1" w:themeFillTint="66"/>
            <w:vAlign w:val="center"/>
            <w:hideMark/>
          </w:tcPr>
          <w:p w14:paraId="629C6FC9" w14:textId="77777777"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2015</w:t>
            </w:r>
          </w:p>
        </w:tc>
        <w:tc>
          <w:tcPr>
            <w:tcW w:w="680" w:type="dxa"/>
            <w:shd w:val="clear" w:color="auto" w:fill="BDD6EE" w:themeFill="accent1" w:themeFillTint="66"/>
            <w:vAlign w:val="center"/>
            <w:hideMark/>
          </w:tcPr>
          <w:p w14:paraId="2679541A" w14:textId="77777777"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2016</w:t>
            </w:r>
          </w:p>
        </w:tc>
        <w:tc>
          <w:tcPr>
            <w:tcW w:w="680" w:type="dxa"/>
            <w:shd w:val="clear" w:color="auto" w:fill="BDD6EE" w:themeFill="accent1" w:themeFillTint="66"/>
            <w:vAlign w:val="center"/>
            <w:hideMark/>
          </w:tcPr>
          <w:p w14:paraId="179C3A5F" w14:textId="77777777"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2017</w:t>
            </w:r>
          </w:p>
        </w:tc>
        <w:tc>
          <w:tcPr>
            <w:tcW w:w="680" w:type="dxa"/>
            <w:shd w:val="clear" w:color="auto" w:fill="BDD6EE" w:themeFill="accent1" w:themeFillTint="66"/>
            <w:vAlign w:val="center"/>
            <w:hideMark/>
          </w:tcPr>
          <w:p w14:paraId="5F780894" w14:textId="77777777"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2018</w:t>
            </w:r>
          </w:p>
        </w:tc>
        <w:tc>
          <w:tcPr>
            <w:tcW w:w="680" w:type="dxa"/>
            <w:shd w:val="clear" w:color="auto" w:fill="BDD6EE" w:themeFill="accent1" w:themeFillTint="66"/>
            <w:vAlign w:val="center"/>
            <w:hideMark/>
          </w:tcPr>
          <w:p w14:paraId="1AEE0D34" w14:textId="77777777"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2019</w:t>
            </w:r>
          </w:p>
        </w:tc>
        <w:tc>
          <w:tcPr>
            <w:tcW w:w="680" w:type="dxa"/>
            <w:shd w:val="clear" w:color="auto" w:fill="BDD6EE" w:themeFill="accent1" w:themeFillTint="66"/>
            <w:vAlign w:val="center"/>
            <w:hideMark/>
          </w:tcPr>
          <w:p w14:paraId="397D4BE6" w14:textId="77777777"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2020</w:t>
            </w:r>
          </w:p>
        </w:tc>
        <w:tc>
          <w:tcPr>
            <w:tcW w:w="680" w:type="dxa"/>
            <w:shd w:val="clear" w:color="auto" w:fill="BDD6EE" w:themeFill="accent1" w:themeFillTint="66"/>
            <w:vAlign w:val="center"/>
          </w:tcPr>
          <w:p w14:paraId="16D57F63" w14:textId="77777777"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2021</w:t>
            </w:r>
          </w:p>
        </w:tc>
        <w:tc>
          <w:tcPr>
            <w:tcW w:w="684" w:type="dxa"/>
            <w:shd w:val="clear" w:color="auto" w:fill="BDD6EE" w:themeFill="accent1" w:themeFillTint="66"/>
            <w:vAlign w:val="center"/>
          </w:tcPr>
          <w:p w14:paraId="1784C1B9" w14:textId="77777777"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2022</w:t>
            </w:r>
          </w:p>
        </w:tc>
        <w:tc>
          <w:tcPr>
            <w:tcW w:w="850" w:type="dxa"/>
            <w:shd w:val="clear" w:color="auto" w:fill="BDD6EE" w:themeFill="accent1" w:themeFillTint="66"/>
            <w:vAlign w:val="center"/>
          </w:tcPr>
          <w:p w14:paraId="5B0897FE" w14:textId="77777777"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2023</w:t>
            </w:r>
          </w:p>
        </w:tc>
        <w:tc>
          <w:tcPr>
            <w:tcW w:w="851" w:type="dxa"/>
            <w:shd w:val="clear" w:color="auto" w:fill="BDD6EE" w:themeFill="accent1" w:themeFillTint="66"/>
          </w:tcPr>
          <w:p w14:paraId="7D2B2D5B" w14:textId="1C7EC52F" w:rsidR="00A657C0" w:rsidRPr="00C24622" w:rsidRDefault="00A657C0" w:rsidP="00D83C9B">
            <w:pPr>
              <w:ind w:firstLine="0"/>
              <w:jc w:val="center"/>
              <w:rPr>
                <w:rFonts w:cs="Times New Roman"/>
                <w:b/>
                <w:bCs/>
                <w:color w:val="000000" w:themeColor="text1"/>
                <w:sz w:val="18"/>
                <w:szCs w:val="18"/>
              </w:rPr>
            </w:pPr>
            <w:r w:rsidRPr="00C24622">
              <w:rPr>
                <w:rFonts w:cs="Times New Roman"/>
                <w:b/>
                <w:bCs/>
                <w:color w:val="000000" w:themeColor="text1"/>
                <w:sz w:val="18"/>
                <w:szCs w:val="18"/>
              </w:rPr>
              <w:t>2024</w:t>
            </w:r>
          </w:p>
        </w:tc>
      </w:tr>
      <w:tr w:rsidR="00777DE8" w:rsidRPr="00C24622" w14:paraId="25B07FC6" w14:textId="7C7804B9" w:rsidTr="008C0450">
        <w:trPr>
          <w:trHeight w:val="248"/>
          <w:jc w:val="center"/>
        </w:trPr>
        <w:tc>
          <w:tcPr>
            <w:tcW w:w="704" w:type="dxa"/>
            <w:hideMark/>
          </w:tcPr>
          <w:p w14:paraId="0848DB66" w14:textId="77777777" w:rsidR="00777DE8" w:rsidRPr="00C24622" w:rsidRDefault="00777DE8" w:rsidP="00777DE8">
            <w:pPr>
              <w:ind w:firstLine="0"/>
              <w:jc w:val="right"/>
              <w:rPr>
                <w:rFonts w:cs="Times New Roman"/>
                <w:i/>
                <w:iCs/>
                <w:color w:val="000000" w:themeColor="text1"/>
                <w:sz w:val="16"/>
                <w:szCs w:val="16"/>
              </w:rPr>
            </w:pPr>
            <w:r w:rsidRPr="00C24622">
              <w:rPr>
                <w:rFonts w:cs="Times New Roman"/>
                <w:i/>
                <w:iCs/>
                <w:color w:val="000000" w:themeColor="text1"/>
                <w:sz w:val="16"/>
                <w:szCs w:val="16"/>
              </w:rPr>
              <w:t>1</w:t>
            </w:r>
          </w:p>
        </w:tc>
        <w:tc>
          <w:tcPr>
            <w:tcW w:w="1418" w:type="dxa"/>
            <w:hideMark/>
          </w:tcPr>
          <w:p w14:paraId="6E157ABE" w14:textId="77777777" w:rsidR="00777DE8" w:rsidRPr="00C24622" w:rsidRDefault="00777DE8" w:rsidP="00777DE8">
            <w:pPr>
              <w:ind w:firstLine="0"/>
              <w:rPr>
                <w:rFonts w:cs="Times New Roman"/>
                <w:color w:val="000000" w:themeColor="text1"/>
                <w:sz w:val="18"/>
                <w:szCs w:val="18"/>
              </w:rPr>
            </w:pPr>
            <w:r w:rsidRPr="00C24622">
              <w:rPr>
                <w:rFonts w:cs="Times New Roman"/>
                <w:color w:val="000000" w:themeColor="text1"/>
                <w:sz w:val="18"/>
                <w:szCs w:val="18"/>
              </w:rPr>
              <w:t xml:space="preserve">IKP (faktiskajās cenās), milj. </w:t>
            </w:r>
            <w:r w:rsidRPr="00C24622">
              <w:rPr>
                <w:rFonts w:cs="Times New Roman"/>
                <w:i/>
                <w:iCs/>
                <w:color w:val="000000" w:themeColor="text1"/>
                <w:sz w:val="18"/>
                <w:szCs w:val="18"/>
              </w:rPr>
              <w:t>euro</w:t>
            </w:r>
          </w:p>
        </w:tc>
        <w:tc>
          <w:tcPr>
            <w:tcW w:w="680" w:type="dxa"/>
            <w:vAlign w:val="center"/>
          </w:tcPr>
          <w:p w14:paraId="4912CF0C" w14:textId="230DB72D" w:rsidR="00777DE8" w:rsidRPr="00C24622" w:rsidRDefault="00777DE8" w:rsidP="00777DE8">
            <w:pPr>
              <w:ind w:firstLine="0"/>
              <w:jc w:val="center"/>
              <w:rPr>
                <w:rFonts w:cs="Times New Roman"/>
                <w:b/>
                <w:bCs/>
                <w:sz w:val="16"/>
                <w:szCs w:val="16"/>
              </w:rPr>
            </w:pPr>
            <w:r w:rsidRPr="00C24622">
              <w:rPr>
                <w:b/>
                <w:bCs/>
                <w:color w:val="000000"/>
                <w:sz w:val="16"/>
                <w:szCs w:val="16"/>
              </w:rPr>
              <w:t>21 956</w:t>
            </w:r>
          </w:p>
        </w:tc>
        <w:tc>
          <w:tcPr>
            <w:tcW w:w="680" w:type="dxa"/>
            <w:vAlign w:val="center"/>
          </w:tcPr>
          <w:p w14:paraId="719DDB4B" w14:textId="05D06A93" w:rsidR="00777DE8" w:rsidRPr="00C24622" w:rsidRDefault="00777DE8" w:rsidP="00777DE8">
            <w:pPr>
              <w:ind w:firstLine="0"/>
              <w:jc w:val="center"/>
              <w:rPr>
                <w:rFonts w:cs="Times New Roman"/>
                <w:b/>
                <w:bCs/>
                <w:sz w:val="16"/>
                <w:szCs w:val="16"/>
              </w:rPr>
            </w:pPr>
            <w:r w:rsidRPr="00C24622">
              <w:rPr>
                <w:b/>
                <w:bCs/>
                <w:color w:val="000000"/>
                <w:sz w:val="16"/>
                <w:szCs w:val="16"/>
              </w:rPr>
              <w:t>22 791</w:t>
            </w:r>
          </w:p>
        </w:tc>
        <w:tc>
          <w:tcPr>
            <w:tcW w:w="680" w:type="dxa"/>
            <w:vAlign w:val="center"/>
          </w:tcPr>
          <w:p w14:paraId="4FF2C794" w14:textId="230578A5" w:rsidR="00777DE8" w:rsidRPr="00C24622" w:rsidRDefault="00777DE8" w:rsidP="00777DE8">
            <w:pPr>
              <w:ind w:firstLine="0"/>
              <w:jc w:val="center"/>
              <w:rPr>
                <w:rFonts w:cs="Times New Roman"/>
                <w:b/>
                <w:bCs/>
                <w:sz w:val="16"/>
                <w:szCs w:val="16"/>
              </w:rPr>
            </w:pPr>
            <w:r w:rsidRPr="00C24622">
              <w:rPr>
                <w:b/>
                <w:bCs/>
                <w:color w:val="000000"/>
                <w:sz w:val="16"/>
                <w:szCs w:val="16"/>
              </w:rPr>
              <w:t>23 744</w:t>
            </w:r>
          </w:p>
        </w:tc>
        <w:tc>
          <w:tcPr>
            <w:tcW w:w="680" w:type="dxa"/>
            <w:vAlign w:val="center"/>
          </w:tcPr>
          <w:p w14:paraId="2FDF5202" w14:textId="1AA65EEE" w:rsidR="00777DE8" w:rsidRPr="00C24622" w:rsidRDefault="00777DE8" w:rsidP="00777DE8">
            <w:pPr>
              <w:ind w:firstLine="0"/>
              <w:jc w:val="center"/>
              <w:rPr>
                <w:rFonts w:cs="Times New Roman"/>
                <w:b/>
                <w:bCs/>
                <w:sz w:val="16"/>
                <w:szCs w:val="16"/>
              </w:rPr>
            </w:pPr>
            <w:r w:rsidRPr="00C24622">
              <w:rPr>
                <w:b/>
                <w:bCs/>
                <w:color w:val="000000"/>
                <w:sz w:val="16"/>
                <w:szCs w:val="16"/>
              </w:rPr>
              <w:t>24 498</w:t>
            </w:r>
          </w:p>
        </w:tc>
        <w:tc>
          <w:tcPr>
            <w:tcW w:w="680" w:type="dxa"/>
            <w:vAlign w:val="center"/>
          </w:tcPr>
          <w:p w14:paraId="2559D704" w14:textId="0B2C04A6" w:rsidR="00777DE8" w:rsidRPr="00C24622" w:rsidRDefault="00777DE8" w:rsidP="00777DE8">
            <w:pPr>
              <w:ind w:firstLine="0"/>
              <w:jc w:val="center"/>
              <w:rPr>
                <w:rFonts w:cs="Times New Roman"/>
                <w:b/>
                <w:bCs/>
                <w:sz w:val="16"/>
                <w:szCs w:val="16"/>
              </w:rPr>
            </w:pPr>
            <w:r w:rsidRPr="00C24622">
              <w:rPr>
                <w:b/>
                <w:bCs/>
                <w:color w:val="000000"/>
                <w:sz w:val="16"/>
                <w:szCs w:val="16"/>
              </w:rPr>
              <w:t>26 017</w:t>
            </w:r>
          </w:p>
        </w:tc>
        <w:tc>
          <w:tcPr>
            <w:tcW w:w="680" w:type="dxa"/>
            <w:vAlign w:val="center"/>
          </w:tcPr>
          <w:p w14:paraId="029A8874" w14:textId="4BF297A8" w:rsidR="00777DE8" w:rsidRPr="00C24622" w:rsidRDefault="00777DE8" w:rsidP="00777DE8">
            <w:pPr>
              <w:ind w:firstLine="0"/>
              <w:jc w:val="center"/>
              <w:rPr>
                <w:rFonts w:cs="Times New Roman"/>
                <w:b/>
                <w:bCs/>
                <w:sz w:val="16"/>
                <w:szCs w:val="16"/>
              </w:rPr>
            </w:pPr>
            <w:r w:rsidRPr="00C24622">
              <w:rPr>
                <w:b/>
                <w:bCs/>
                <w:color w:val="000000"/>
                <w:sz w:val="16"/>
                <w:szCs w:val="16"/>
              </w:rPr>
              <w:t>28 153</w:t>
            </w:r>
          </w:p>
        </w:tc>
        <w:tc>
          <w:tcPr>
            <w:tcW w:w="680" w:type="dxa"/>
            <w:vAlign w:val="center"/>
          </w:tcPr>
          <w:p w14:paraId="7D716F00" w14:textId="0062FEDC" w:rsidR="00777DE8" w:rsidRPr="00C24622" w:rsidRDefault="00777DE8" w:rsidP="00777DE8">
            <w:pPr>
              <w:ind w:firstLine="0"/>
              <w:jc w:val="center"/>
              <w:rPr>
                <w:rFonts w:cs="Times New Roman"/>
                <w:b/>
                <w:bCs/>
                <w:sz w:val="16"/>
                <w:szCs w:val="16"/>
              </w:rPr>
            </w:pPr>
            <w:r w:rsidRPr="00C24622">
              <w:rPr>
                <w:b/>
                <w:bCs/>
                <w:color w:val="000000"/>
                <w:sz w:val="16"/>
                <w:szCs w:val="16"/>
              </w:rPr>
              <w:t>29 567</w:t>
            </w:r>
          </w:p>
        </w:tc>
        <w:tc>
          <w:tcPr>
            <w:tcW w:w="680" w:type="dxa"/>
            <w:vAlign w:val="center"/>
          </w:tcPr>
          <w:p w14:paraId="03BC614C" w14:textId="28F854D9" w:rsidR="00777DE8" w:rsidRPr="00C24622" w:rsidRDefault="00777DE8" w:rsidP="00777DE8">
            <w:pPr>
              <w:ind w:firstLine="0"/>
              <w:jc w:val="center"/>
              <w:rPr>
                <w:rFonts w:cs="Times New Roman"/>
                <w:b/>
                <w:bCs/>
                <w:sz w:val="16"/>
                <w:szCs w:val="16"/>
              </w:rPr>
            </w:pPr>
            <w:r w:rsidRPr="00C24622">
              <w:rPr>
                <w:b/>
                <w:bCs/>
                <w:color w:val="000000"/>
                <w:sz w:val="16"/>
                <w:szCs w:val="16"/>
              </w:rPr>
              <w:t>29 224</w:t>
            </w:r>
          </w:p>
        </w:tc>
        <w:tc>
          <w:tcPr>
            <w:tcW w:w="680" w:type="dxa"/>
            <w:vAlign w:val="center"/>
          </w:tcPr>
          <w:p w14:paraId="6CED4240" w14:textId="61BC475D" w:rsidR="00777DE8" w:rsidRPr="00C24622" w:rsidRDefault="00777DE8" w:rsidP="00777DE8">
            <w:pPr>
              <w:ind w:firstLine="0"/>
              <w:jc w:val="center"/>
              <w:rPr>
                <w:rFonts w:cs="Times New Roman"/>
                <w:b/>
                <w:bCs/>
                <w:sz w:val="16"/>
                <w:szCs w:val="16"/>
              </w:rPr>
            </w:pPr>
            <w:r w:rsidRPr="00C24622">
              <w:rPr>
                <w:b/>
                <w:bCs/>
                <w:color w:val="000000"/>
                <w:sz w:val="16"/>
                <w:szCs w:val="16"/>
              </w:rPr>
              <w:t>32 284</w:t>
            </w:r>
          </w:p>
        </w:tc>
        <w:tc>
          <w:tcPr>
            <w:tcW w:w="684" w:type="dxa"/>
            <w:vAlign w:val="center"/>
          </w:tcPr>
          <w:p w14:paraId="65138071" w14:textId="276FA7B5" w:rsidR="00777DE8" w:rsidRPr="00C24622" w:rsidRDefault="00777DE8" w:rsidP="00777DE8">
            <w:pPr>
              <w:ind w:firstLine="0"/>
              <w:jc w:val="center"/>
              <w:rPr>
                <w:rFonts w:cs="Times New Roman"/>
                <w:b/>
                <w:bCs/>
                <w:sz w:val="16"/>
                <w:szCs w:val="16"/>
              </w:rPr>
            </w:pPr>
            <w:r w:rsidRPr="00C24622">
              <w:rPr>
                <w:b/>
                <w:bCs/>
                <w:color w:val="000000"/>
                <w:sz w:val="16"/>
                <w:szCs w:val="16"/>
              </w:rPr>
              <w:t>36 100</w:t>
            </w:r>
          </w:p>
        </w:tc>
        <w:tc>
          <w:tcPr>
            <w:tcW w:w="850" w:type="dxa"/>
            <w:vAlign w:val="center"/>
          </w:tcPr>
          <w:p w14:paraId="38335E2C" w14:textId="63C84195" w:rsidR="00777DE8" w:rsidRPr="00C24622" w:rsidRDefault="00777DE8" w:rsidP="00777DE8">
            <w:pPr>
              <w:ind w:firstLine="0"/>
              <w:jc w:val="center"/>
              <w:rPr>
                <w:rFonts w:cs="Times New Roman"/>
                <w:b/>
                <w:bCs/>
                <w:sz w:val="16"/>
                <w:szCs w:val="16"/>
              </w:rPr>
            </w:pPr>
            <w:r w:rsidRPr="00C24622">
              <w:rPr>
                <w:b/>
                <w:bCs/>
                <w:color w:val="000000"/>
                <w:sz w:val="16"/>
                <w:szCs w:val="16"/>
              </w:rPr>
              <w:t>39 372</w:t>
            </w:r>
          </w:p>
        </w:tc>
        <w:tc>
          <w:tcPr>
            <w:tcW w:w="851" w:type="dxa"/>
            <w:vAlign w:val="center"/>
          </w:tcPr>
          <w:p w14:paraId="235A3966" w14:textId="1488D1B7" w:rsidR="00777DE8" w:rsidRPr="00C24622" w:rsidRDefault="00777DE8" w:rsidP="00777DE8">
            <w:pPr>
              <w:ind w:firstLine="0"/>
              <w:jc w:val="center"/>
              <w:rPr>
                <w:b/>
                <w:bCs/>
                <w:sz w:val="16"/>
                <w:szCs w:val="16"/>
              </w:rPr>
            </w:pPr>
            <w:r w:rsidRPr="00C24622">
              <w:rPr>
                <w:b/>
                <w:bCs/>
                <w:color w:val="000000"/>
                <w:sz w:val="16"/>
                <w:szCs w:val="16"/>
              </w:rPr>
              <w:t>40 208</w:t>
            </w:r>
          </w:p>
        </w:tc>
      </w:tr>
      <w:tr w:rsidR="00777DE8" w:rsidRPr="00C24622" w14:paraId="5877FC28" w14:textId="5758D233" w:rsidTr="008C0450">
        <w:trPr>
          <w:trHeight w:val="680"/>
          <w:jc w:val="center"/>
        </w:trPr>
        <w:tc>
          <w:tcPr>
            <w:tcW w:w="704" w:type="dxa"/>
            <w:hideMark/>
          </w:tcPr>
          <w:p w14:paraId="7F2294D6"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2</w:t>
            </w:r>
          </w:p>
        </w:tc>
        <w:tc>
          <w:tcPr>
            <w:tcW w:w="1418" w:type="dxa"/>
            <w:hideMark/>
          </w:tcPr>
          <w:p w14:paraId="6CB4C1A3" w14:textId="77777777" w:rsidR="00777DE8" w:rsidRPr="00C24622" w:rsidRDefault="00777DE8" w:rsidP="00777DE8">
            <w:pPr>
              <w:ind w:firstLine="0"/>
              <w:rPr>
                <w:rFonts w:cs="Times New Roman"/>
                <w:sz w:val="18"/>
                <w:szCs w:val="18"/>
              </w:rPr>
            </w:pPr>
            <w:r w:rsidRPr="00C24622">
              <w:rPr>
                <w:rFonts w:cs="Times New Roman"/>
                <w:sz w:val="18"/>
                <w:szCs w:val="18"/>
              </w:rPr>
              <w:t>Faktiskā vispārējās valdības budžeta strukturālā bilance, % no IKP</w:t>
            </w:r>
          </w:p>
        </w:tc>
        <w:tc>
          <w:tcPr>
            <w:tcW w:w="680" w:type="dxa"/>
            <w:vAlign w:val="center"/>
          </w:tcPr>
          <w:p w14:paraId="6D7579A1" w14:textId="009607F8" w:rsidR="00777DE8" w:rsidRPr="00C24622" w:rsidRDefault="00777DE8" w:rsidP="00777DE8">
            <w:pPr>
              <w:ind w:firstLine="0"/>
              <w:jc w:val="center"/>
              <w:rPr>
                <w:rFonts w:cs="Times New Roman"/>
                <w:b/>
                <w:bCs/>
                <w:sz w:val="16"/>
                <w:szCs w:val="16"/>
              </w:rPr>
            </w:pPr>
            <w:r w:rsidRPr="00C24622">
              <w:rPr>
                <w:b/>
                <w:bCs/>
                <w:color w:val="000000"/>
                <w:sz w:val="18"/>
                <w:szCs w:val="18"/>
              </w:rPr>
              <w:t>-0,2</w:t>
            </w:r>
          </w:p>
        </w:tc>
        <w:tc>
          <w:tcPr>
            <w:tcW w:w="680" w:type="dxa"/>
            <w:vAlign w:val="center"/>
          </w:tcPr>
          <w:p w14:paraId="4EC81996" w14:textId="55D37166" w:rsidR="00777DE8" w:rsidRPr="00C24622" w:rsidRDefault="00777DE8" w:rsidP="00777DE8">
            <w:pPr>
              <w:ind w:firstLine="0"/>
              <w:jc w:val="center"/>
              <w:rPr>
                <w:rFonts w:cs="Times New Roman"/>
                <w:b/>
                <w:bCs/>
                <w:sz w:val="16"/>
                <w:szCs w:val="16"/>
              </w:rPr>
            </w:pPr>
            <w:r w:rsidRPr="00C24622">
              <w:rPr>
                <w:b/>
                <w:bCs/>
                <w:color w:val="000000"/>
                <w:sz w:val="18"/>
                <w:szCs w:val="18"/>
              </w:rPr>
              <w:t>-1,0</w:t>
            </w:r>
          </w:p>
        </w:tc>
        <w:tc>
          <w:tcPr>
            <w:tcW w:w="680" w:type="dxa"/>
            <w:vAlign w:val="center"/>
          </w:tcPr>
          <w:p w14:paraId="6D8A7252" w14:textId="7113213C" w:rsidR="00777DE8" w:rsidRPr="00C24622" w:rsidRDefault="00777DE8" w:rsidP="00777DE8">
            <w:pPr>
              <w:ind w:firstLine="0"/>
              <w:jc w:val="center"/>
              <w:rPr>
                <w:rFonts w:cs="Times New Roman"/>
                <w:b/>
                <w:bCs/>
                <w:sz w:val="16"/>
                <w:szCs w:val="16"/>
              </w:rPr>
            </w:pPr>
            <w:r w:rsidRPr="00C24622">
              <w:rPr>
                <w:b/>
                <w:bCs/>
                <w:color w:val="000000"/>
                <w:sz w:val="18"/>
                <w:szCs w:val="18"/>
              </w:rPr>
              <w:t>-1,5</w:t>
            </w:r>
          </w:p>
        </w:tc>
        <w:tc>
          <w:tcPr>
            <w:tcW w:w="680" w:type="dxa"/>
            <w:vAlign w:val="center"/>
          </w:tcPr>
          <w:p w14:paraId="7350A407" w14:textId="39F81994" w:rsidR="00777DE8" w:rsidRPr="00C24622" w:rsidRDefault="00777DE8" w:rsidP="00777DE8">
            <w:pPr>
              <w:ind w:firstLine="0"/>
              <w:jc w:val="center"/>
              <w:rPr>
                <w:rFonts w:cs="Times New Roman"/>
                <w:b/>
                <w:bCs/>
                <w:sz w:val="16"/>
                <w:szCs w:val="16"/>
              </w:rPr>
            </w:pPr>
            <w:r w:rsidRPr="00C24622">
              <w:rPr>
                <w:b/>
                <w:bCs/>
                <w:color w:val="000000"/>
                <w:sz w:val="18"/>
                <w:szCs w:val="18"/>
              </w:rPr>
              <w:t>-0,4</w:t>
            </w:r>
          </w:p>
        </w:tc>
        <w:tc>
          <w:tcPr>
            <w:tcW w:w="680" w:type="dxa"/>
            <w:vAlign w:val="center"/>
          </w:tcPr>
          <w:p w14:paraId="77B1A4A3" w14:textId="7DFA658E" w:rsidR="00777DE8" w:rsidRPr="00C24622" w:rsidRDefault="00777DE8" w:rsidP="00777DE8">
            <w:pPr>
              <w:ind w:firstLine="0"/>
              <w:jc w:val="center"/>
              <w:rPr>
                <w:rFonts w:cs="Times New Roman"/>
                <w:b/>
                <w:bCs/>
                <w:sz w:val="16"/>
                <w:szCs w:val="16"/>
              </w:rPr>
            </w:pPr>
            <w:r w:rsidRPr="00C24622">
              <w:rPr>
                <w:b/>
                <w:bCs/>
                <w:color w:val="000000"/>
                <w:sz w:val="18"/>
                <w:szCs w:val="18"/>
              </w:rPr>
              <w:t>-1,2</w:t>
            </w:r>
          </w:p>
        </w:tc>
        <w:tc>
          <w:tcPr>
            <w:tcW w:w="680" w:type="dxa"/>
            <w:vAlign w:val="center"/>
          </w:tcPr>
          <w:p w14:paraId="75060A68" w14:textId="2FDFDD49" w:rsidR="00777DE8" w:rsidRPr="00C24622" w:rsidRDefault="00777DE8" w:rsidP="00777DE8">
            <w:pPr>
              <w:ind w:firstLine="0"/>
              <w:jc w:val="center"/>
              <w:rPr>
                <w:rFonts w:cs="Times New Roman"/>
                <w:b/>
                <w:bCs/>
                <w:sz w:val="16"/>
                <w:szCs w:val="16"/>
              </w:rPr>
            </w:pPr>
            <w:r w:rsidRPr="00C24622">
              <w:rPr>
                <w:b/>
                <w:bCs/>
                <w:color w:val="000000"/>
                <w:sz w:val="18"/>
                <w:szCs w:val="18"/>
              </w:rPr>
              <w:t>-2,9</w:t>
            </w:r>
          </w:p>
        </w:tc>
        <w:tc>
          <w:tcPr>
            <w:tcW w:w="680" w:type="dxa"/>
            <w:vAlign w:val="center"/>
          </w:tcPr>
          <w:p w14:paraId="03CA281A" w14:textId="36E58D6B" w:rsidR="00777DE8" w:rsidRPr="00C24622" w:rsidRDefault="00777DE8" w:rsidP="00777DE8">
            <w:pPr>
              <w:ind w:firstLine="0"/>
              <w:jc w:val="center"/>
              <w:rPr>
                <w:rFonts w:cs="Times New Roman"/>
                <w:b/>
                <w:bCs/>
                <w:sz w:val="16"/>
                <w:szCs w:val="16"/>
              </w:rPr>
            </w:pPr>
            <w:r w:rsidRPr="00C24622">
              <w:rPr>
                <w:b/>
                <w:bCs/>
                <w:color w:val="000000"/>
                <w:sz w:val="18"/>
                <w:szCs w:val="18"/>
              </w:rPr>
              <w:t>-0,7</w:t>
            </w:r>
          </w:p>
        </w:tc>
        <w:tc>
          <w:tcPr>
            <w:tcW w:w="680" w:type="dxa"/>
            <w:vAlign w:val="center"/>
          </w:tcPr>
          <w:p w14:paraId="7D712BB5" w14:textId="04618879" w:rsidR="00777DE8" w:rsidRPr="00C24622" w:rsidRDefault="00777DE8" w:rsidP="00777DE8">
            <w:pPr>
              <w:ind w:firstLine="0"/>
              <w:jc w:val="center"/>
              <w:rPr>
                <w:rFonts w:cs="Times New Roman"/>
                <w:b/>
                <w:bCs/>
                <w:sz w:val="16"/>
                <w:szCs w:val="16"/>
              </w:rPr>
            </w:pPr>
            <w:r w:rsidRPr="00C24622">
              <w:rPr>
                <w:b/>
                <w:bCs/>
                <w:color w:val="000000"/>
                <w:sz w:val="18"/>
                <w:szCs w:val="18"/>
              </w:rPr>
              <w:t>0,6</w:t>
            </w:r>
          </w:p>
        </w:tc>
        <w:tc>
          <w:tcPr>
            <w:tcW w:w="680" w:type="dxa"/>
            <w:vAlign w:val="center"/>
          </w:tcPr>
          <w:p w14:paraId="79A6BCC8" w14:textId="7520E384" w:rsidR="00777DE8" w:rsidRPr="00C24622" w:rsidRDefault="00777DE8" w:rsidP="00777DE8">
            <w:pPr>
              <w:ind w:firstLine="0"/>
              <w:jc w:val="center"/>
              <w:rPr>
                <w:rFonts w:cs="Times New Roman"/>
                <w:b/>
                <w:bCs/>
                <w:sz w:val="16"/>
                <w:szCs w:val="16"/>
              </w:rPr>
            </w:pPr>
            <w:r w:rsidRPr="00C24622">
              <w:rPr>
                <w:b/>
                <w:bCs/>
                <w:color w:val="000000"/>
                <w:sz w:val="18"/>
                <w:szCs w:val="18"/>
              </w:rPr>
              <w:t>-1,3</w:t>
            </w:r>
          </w:p>
        </w:tc>
        <w:tc>
          <w:tcPr>
            <w:tcW w:w="684" w:type="dxa"/>
            <w:vAlign w:val="center"/>
          </w:tcPr>
          <w:p w14:paraId="0CA53294" w14:textId="6E14DEDC" w:rsidR="00777DE8" w:rsidRPr="00C24622" w:rsidRDefault="00777DE8" w:rsidP="00777DE8">
            <w:pPr>
              <w:ind w:firstLine="0"/>
              <w:jc w:val="center"/>
              <w:rPr>
                <w:rFonts w:cs="Times New Roman"/>
                <w:b/>
                <w:bCs/>
                <w:sz w:val="16"/>
                <w:szCs w:val="16"/>
              </w:rPr>
            </w:pPr>
            <w:r w:rsidRPr="00C24622">
              <w:rPr>
                <w:b/>
                <w:bCs/>
                <w:color w:val="000000"/>
                <w:sz w:val="18"/>
                <w:szCs w:val="18"/>
              </w:rPr>
              <w:t>0,0</w:t>
            </w:r>
          </w:p>
        </w:tc>
        <w:tc>
          <w:tcPr>
            <w:tcW w:w="850" w:type="dxa"/>
            <w:vAlign w:val="center"/>
          </w:tcPr>
          <w:p w14:paraId="38921D3A" w14:textId="455BA944" w:rsidR="00777DE8" w:rsidRPr="00C24622" w:rsidRDefault="00777DE8" w:rsidP="00777DE8">
            <w:pPr>
              <w:ind w:firstLine="0"/>
              <w:jc w:val="center"/>
              <w:rPr>
                <w:rFonts w:cs="Times New Roman"/>
                <w:b/>
                <w:bCs/>
                <w:sz w:val="16"/>
                <w:szCs w:val="16"/>
              </w:rPr>
            </w:pPr>
            <w:r w:rsidRPr="00C24622">
              <w:rPr>
                <w:b/>
                <w:bCs/>
                <w:color w:val="000000"/>
                <w:sz w:val="18"/>
                <w:szCs w:val="18"/>
              </w:rPr>
              <w:t>-0,9</w:t>
            </w:r>
          </w:p>
        </w:tc>
        <w:tc>
          <w:tcPr>
            <w:tcW w:w="851" w:type="dxa"/>
            <w:vAlign w:val="center"/>
          </w:tcPr>
          <w:p w14:paraId="0584C7B2" w14:textId="687976A8" w:rsidR="00777DE8" w:rsidRPr="00C24622" w:rsidRDefault="00777DE8" w:rsidP="00777DE8">
            <w:pPr>
              <w:ind w:firstLine="0"/>
              <w:jc w:val="center"/>
              <w:rPr>
                <w:b/>
                <w:bCs/>
                <w:color w:val="000000"/>
                <w:sz w:val="16"/>
                <w:szCs w:val="16"/>
              </w:rPr>
            </w:pPr>
            <w:r w:rsidRPr="00C24622">
              <w:rPr>
                <w:b/>
                <w:bCs/>
                <w:color w:val="000000"/>
                <w:sz w:val="18"/>
                <w:szCs w:val="18"/>
              </w:rPr>
              <w:t>0,2</w:t>
            </w:r>
          </w:p>
        </w:tc>
      </w:tr>
      <w:tr w:rsidR="00777DE8" w:rsidRPr="00C24622" w14:paraId="454444A6" w14:textId="51EDB0FC" w:rsidTr="008C0450">
        <w:trPr>
          <w:trHeight w:val="686"/>
          <w:jc w:val="center"/>
        </w:trPr>
        <w:tc>
          <w:tcPr>
            <w:tcW w:w="704" w:type="dxa"/>
            <w:hideMark/>
          </w:tcPr>
          <w:p w14:paraId="0E116C51"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3.</w:t>
            </w:r>
          </w:p>
          <w:p w14:paraId="4D751479"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(1.×2.)</w:t>
            </w:r>
          </w:p>
        </w:tc>
        <w:tc>
          <w:tcPr>
            <w:tcW w:w="1418" w:type="dxa"/>
            <w:hideMark/>
          </w:tcPr>
          <w:p w14:paraId="1F9F56E0" w14:textId="77777777" w:rsidR="00777DE8" w:rsidRPr="00C24622" w:rsidRDefault="00777DE8" w:rsidP="00777DE8">
            <w:pPr>
              <w:ind w:firstLine="0"/>
              <w:rPr>
                <w:rFonts w:cs="Times New Roman"/>
                <w:sz w:val="18"/>
                <w:szCs w:val="18"/>
              </w:rPr>
            </w:pPr>
            <w:r w:rsidRPr="00C24622">
              <w:rPr>
                <w:rFonts w:cs="Times New Roman"/>
                <w:sz w:val="18"/>
                <w:szCs w:val="18"/>
              </w:rPr>
              <w:t xml:space="preserve">Faktiskā vispārējās valdības budžeta strukturālā bilance, milj. </w:t>
            </w:r>
            <w:r w:rsidRPr="00C24622">
              <w:rPr>
                <w:rFonts w:cs="Times New Roman"/>
                <w:i/>
                <w:iCs/>
                <w:sz w:val="18"/>
                <w:szCs w:val="18"/>
              </w:rPr>
              <w:t>euro</w:t>
            </w:r>
          </w:p>
        </w:tc>
        <w:tc>
          <w:tcPr>
            <w:tcW w:w="680" w:type="dxa"/>
            <w:vAlign w:val="center"/>
          </w:tcPr>
          <w:p w14:paraId="3ED49EF3" w14:textId="605D0B9F" w:rsidR="00777DE8" w:rsidRPr="00C24622" w:rsidRDefault="00777DE8" w:rsidP="00777DE8">
            <w:pPr>
              <w:ind w:firstLine="0"/>
              <w:jc w:val="center"/>
              <w:rPr>
                <w:rFonts w:cs="Times New Roman"/>
                <w:sz w:val="16"/>
                <w:szCs w:val="16"/>
              </w:rPr>
            </w:pPr>
            <w:r w:rsidRPr="00C24622">
              <w:rPr>
                <w:color w:val="000000"/>
                <w:sz w:val="16"/>
                <w:szCs w:val="16"/>
              </w:rPr>
              <w:t>-42,8</w:t>
            </w:r>
          </w:p>
        </w:tc>
        <w:tc>
          <w:tcPr>
            <w:tcW w:w="680" w:type="dxa"/>
            <w:vAlign w:val="center"/>
          </w:tcPr>
          <w:p w14:paraId="7DE2A65E" w14:textId="7BE9383B" w:rsidR="00777DE8" w:rsidRPr="00C24622" w:rsidRDefault="00777DE8" w:rsidP="00777DE8">
            <w:pPr>
              <w:ind w:firstLine="0"/>
              <w:jc w:val="center"/>
              <w:rPr>
                <w:rFonts w:cs="Times New Roman"/>
                <w:sz w:val="16"/>
                <w:szCs w:val="16"/>
              </w:rPr>
            </w:pPr>
            <w:r w:rsidRPr="00C24622">
              <w:rPr>
                <w:color w:val="000000"/>
                <w:sz w:val="16"/>
                <w:szCs w:val="16"/>
              </w:rPr>
              <w:t>-219,9</w:t>
            </w:r>
          </w:p>
        </w:tc>
        <w:tc>
          <w:tcPr>
            <w:tcW w:w="680" w:type="dxa"/>
            <w:vAlign w:val="center"/>
          </w:tcPr>
          <w:p w14:paraId="7B155909" w14:textId="6E3FEB4F" w:rsidR="00777DE8" w:rsidRPr="00C24622" w:rsidRDefault="00777DE8" w:rsidP="00777DE8">
            <w:pPr>
              <w:ind w:firstLine="0"/>
              <w:jc w:val="center"/>
              <w:rPr>
                <w:rFonts w:cs="Times New Roman"/>
                <w:sz w:val="16"/>
                <w:szCs w:val="16"/>
              </w:rPr>
            </w:pPr>
            <w:r w:rsidRPr="00C24622">
              <w:rPr>
                <w:color w:val="000000"/>
                <w:sz w:val="16"/>
                <w:szCs w:val="16"/>
              </w:rPr>
              <w:t>-348,4</w:t>
            </w:r>
          </w:p>
        </w:tc>
        <w:tc>
          <w:tcPr>
            <w:tcW w:w="680" w:type="dxa"/>
            <w:vAlign w:val="center"/>
          </w:tcPr>
          <w:p w14:paraId="7D0595E4" w14:textId="34328415" w:rsidR="00777DE8" w:rsidRPr="00C24622" w:rsidRDefault="00777DE8" w:rsidP="00777DE8">
            <w:pPr>
              <w:ind w:firstLine="0"/>
              <w:jc w:val="center"/>
              <w:rPr>
                <w:rFonts w:cs="Times New Roman"/>
                <w:sz w:val="16"/>
                <w:szCs w:val="16"/>
              </w:rPr>
            </w:pPr>
            <w:r w:rsidRPr="00C24622">
              <w:rPr>
                <w:color w:val="000000"/>
                <w:sz w:val="16"/>
                <w:szCs w:val="16"/>
              </w:rPr>
              <w:t>-105,6</w:t>
            </w:r>
          </w:p>
        </w:tc>
        <w:tc>
          <w:tcPr>
            <w:tcW w:w="680" w:type="dxa"/>
            <w:vAlign w:val="center"/>
          </w:tcPr>
          <w:p w14:paraId="5A54541F" w14:textId="12E33466" w:rsidR="00777DE8" w:rsidRPr="00C24622" w:rsidRDefault="00777DE8" w:rsidP="00777DE8">
            <w:pPr>
              <w:ind w:firstLine="0"/>
              <w:jc w:val="center"/>
              <w:rPr>
                <w:rFonts w:cs="Times New Roman"/>
                <w:sz w:val="16"/>
                <w:szCs w:val="16"/>
              </w:rPr>
            </w:pPr>
            <w:r w:rsidRPr="00C24622">
              <w:rPr>
                <w:color w:val="000000"/>
                <w:sz w:val="16"/>
                <w:szCs w:val="16"/>
              </w:rPr>
              <w:t>-303,4</w:t>
            </w:r>
          </w:p>
        </w:tc>
        <w:tc>
          <w:tcPr>
            <w:tcW w:w="680" w:type="dxa"/>
            <w:vAlign w:val="center"/>
          </w:tcPr>
          <w:p w14:paraId="702C12AF" w14:textId="7A086CBD" w:rsidR="00777DE8" w:rsidRPr="00C24622" w:rsidRDefault="00777DE8" w:rsidP="00777DE8">
            <w:pPr>
              <w:ind w:firstLine="0"/>
              <w:jc w:val="center"/>
              <w:rPr>
                <w:rFonts w:cs="Times New Roman"/>
                <w:sz w:val="16"/>
                <w:szCs w:val="16"/>
              </w:rPr>
            </w:pPr>
            <w:r w:rsidRPr="00C24622">
              <w:rPr>
                <w:color w:val="000000"/>
                <w:sz w:val="16"/>
                <w:szCs w:val="16"/>
              </w:rPr>
              <w:t>-824,7</w:t>
            </w:r>
          </w:p>
        </w:tc>
        <w:tc>
          <w:tcPr>
            <w:tcW w:w="680" w:type="dxa"/>
            <w:vAlign w:val="center"/>
          </w:tcPr>
          <w:p w14:paraId="65D5B337" w14:textId="36203858" w:rsidR="00777DE8" w:rsidRPr="00C24622" w:rsidRDefault="00777DE8" w:rsidP="00777DE8">
            <w:pPr>
              <w:ind w:firstLine="0"/>
              <w:jc w:val="center"/>
              <w:rPr>
                <w:rFonts w:cs="Times New Roman"/>
                <w:sz w:val="16"/>
                <w:szCs w:val="16"/>
              </w:rPr>
            </w:pPr>
            <w:r w:rsidRPr="00C24622">
              <w:rPr>
                <w:color w:val="000000"/>
                <w:sz w:val="16"/>
                <w:szCs w:val="16"/>
              </w:rPr>
              <w:t>-193,1</w:t>
            </w:r>
          </w:p>
        </w:tc>
        <w:tc>
          <w:tcPr>
            <w:tcW w:w="680" w:type="dxa"/>
            <w:vAlign w:val="center"/>
          </w:tcPr>
          <w:p w14:paraId="524937B2" w14:textId="5EB8551B" w:rsidR="00777DE8" w:rsidRPr="00C24622" w:rsidRDefault="00777DE8" w:rsidP="00777DE8">
            <w:pPr>
              <w:ind w:firstLine="0"/>
              <w:jc w:val="center"/>
              <w:rPr>
                <w:rFonts w:cs="Times New Roman"/>
                <w:sz w:val="16"/>
                <w:szCs w:val="16"/>
              </w:rPr>
            </w:pPr>
            <w:r w:rsidRPr="00C24622">
              <w:rPr>
                <w:color w:val="000000"/>
                <w:sz w:val="16"/>
                <w:szCs w:val="16"/>
              </w:rPr>
              <w:t>189,5</w:t>
            </w:r>
          </w:p>
        </w:tc>
        <w:tc>
          <w:tcPr>
            <w:tcW w:w="680" w:type="dxa"/>
            <w:vAlign w:val="center"/>
          </w:tcPr>
          <w:p w14:paraId="5DEA8506" w14:textId="562F5888" w:rsidR="00777DE8" w:rsidRPr="00C24622" w:rsidRDefault="00777DE8" w:rsidP="00777DE8">
            <w:pPr>
              <w:ind w:firstLine="0"/>
              <w:jc w:val="center"/>
              <w:rPr>
                <w:rFonts w:cs="Times New Roman"/>
                <w:sz w:val="16"/>
                <w:szCs w:val="16"/>
              </w:rPr>
            </w:pPr>
            <w:r w:rsidRPr="00C24622">
              <w:rPr>
                <w:color w:val="000000"/>
                <w:sz w:val="16"/>
                <w:szCs w:val="16"/>
              </w:rPr>
              <w:t>-430,2</w:t>
            </w:r>
          </w:p>
        </w:tc>
        <w:tc>
          <w:tcPr>
            <w:tcW w:w="684" w:type="dxa"/>
            <w:vAlign w:val="center"/>
          </w:tcPr>
          <w:p w14:paraId="08FE1D76" w14:textId="2D595AB0" w:rsidR="00777DE8" w:rsidRPr="00C24622" w:rsidRDefault="00777DE8" w:rsidP="00777DE8">
            <w:pPr>
              <w:ind w:firstLine="0"/>
              <w:jc w:val="center"/>
              <w:rPr>
                <w:rFonts w:cs="Times New Roman"/>
                <w:sz w:val="16"/>
                <w:szCs w:val="16"/>
              </w:rPr>
            </w:pPr>
            <w:r w:rsidRPr="00C24622">
              <w:rPr>
                <w:color w:val="000000"/>
                <w:sz w:val="16"/>
                <w:szCs w:val="16"/>
              </w:rPr>
              <w:t>-1,6</w:t>
            </w:r>
          </w:p>
        </w:tc>
        <w:tc>
          <w:tcPr>
            <w:tcW w:w="850" w:type="dxa"/>
            <w:vAlign w:val="center"/>
          </w:tcPr>
          <w:p w14:paraId="17BCE906" w14:textId="01635B06" w:rsidR="00777DE8" w:rsidRPr="00C24622" w:rsidRDefault="00777DE8" w:rsidP="00777DE8">
            <w:pPr>
              <w:ind w:firstLine="0"/>
              <w:jc w:val="center"/>
              <w:rPr>
                <w:rFonts w:cs="Times New Roman"/>
                <w:sz w:val="16"/>
                <w:szCs w:val="16"/>
              </w:rPr>
            </w:pPr>
            <w:r w:rsidRPr="00C24622">
              <w:rPr>
                <w:color w:val="000000"/>
                <w:sz w:val="16"/>
                <w:szCs w:val="16"/>
              </w:rPr>
              <w:t>-362,7</w:t>
            </w:r>
          </w:p>
        </w:tc>
        <w:tc>
          <w:tcPr>
            <w:tcW w:w="851" w:type="dxa"/>
            <w:vAlign w:val="center"/>
          </w:tcPr>
          <w:p w14:paraId="26AB8BAA" w14:textId="5BA7A775" w:rsidR="00777DE8" w:rsidRPr="00C24622" w:rsidRDefault="00777DE8" w:rsidP="00777DE8">
            <w:pPr>
              <w:ind w:firstLine="0"/>
              <w:jc w:val="center"/>
              <w:rPr>
                <w:color w:val="000000"/>
                <w:sz w:val="16"/>
                <w:szCs w:val="16"/>
              </w:rPr>
            </w:pPr>
            <w:r w:rsidRPr="00C24622">
              <w:rPr>
                <w:color w:val="000000"/>
                <w:sz w:val="16"/>
                <w:szCs w:val="16"/>
              </w:rPr>
              <w:t>99,3</w:t>
            </w:r>
          </w:p>
        </w:tc>
      </w:tr>
      <w:tr w:rsidR="00777DE8" w:rsidRPr="00C24622" w14:paraId="5F34A59C" w14:textId="1E19C39D" w:rsidTr="008C0450">
        <w:trPr>
          <w:trHeight w:val="686"/>
          <w:jc w:val="center"/>
        </w:trPr>
        <w:tc>
          <w:tcPr>
            <w:tcW w:w="704" w:type="dxa"/>
            <w:hideMark/>
          </w:tcPr>
          <w:p w14:paraId="670A7A5B"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4</w:t>
            </w:r>
          </w:p>
        </w:tc>
        <w:tc>
          <w:tcPr>
            <w:tcW w:w="1418" w:type="dxa"/>
            <w:hideMark/>
          </w:tcPr>
          <w:p w14:paraId="1804DE09" w14:textId="77777777" w:rsidR="00777DE8" w:rsidRPr="00C24622" w:rsidRDefault="00777DE8" w:rsidP="00777DE8">
            <w:pPr>
              <w:ind w:firstLine="0"/>
              <w:rPr>
                <w:rFonts w:cs="Times New Roman"/>
                <w:sz w:val="18"/>
                <w:szCs w:val="18"/>
              </w:rPr>
            </w:pPr>
            <w:r w:rsidRPr="00C24622">
              <w:rPr>
                <w:rFonts w:cs="Times New Roman"/>
                <w:sz w:val="18"/>
                <w:szCs w:val="18"/>
              </w:rPr>
              <w:t>Minimālā plānojamā vispārējās valdības budžeta strukturālā bilance, % no IKP</w:t>
            </w:r>
          </w:p>
        </w:tc>
        <w:tc>
          <w:tcPr>
            <w:tcW w:w="680" w:type="dxa"/>
            <w:vAlign w:val="center"/>
          </w:tcPr>
          <w:p w14:paraId="0DC6C51B" w14:textId="4CED6DFE" w:rsidR="00777DE8" w:rsidRPr="00C24622" w:rsidRDefault="00777DE8" w:rsidP="00777DE8">
            <w:pPr>
              <w:ind w:firstLine="0"/>
              <w:jc w:val="center"/>
              <w:rPr>
                <w:rFonts w:cs="Times New Roman"/>
                <w:b/>
                <w:bCs/>
                <w:sz w:val="16"/>
                <w:szCs w:val="16"/>
              </w:rPr>
            </w:pPr>
            <w:r w:rsidRPr="00C24622">
              <w:rPr>
                <w:b/>
                <w:bCs/>
                <w:color w:val="000000"/>
                <w:sz w:val="16"/>
                <w:szCs w:val="16"/>
              </w:rPr>
              <w:t>-1,3</w:t>
            </w:r>
          </w:p>
        </w:tc>
        <w:tc>
          <w:tcPr>
            <w:tcW w:w="680" w:type="dxa"/>
            <w:vAlign w:val="center"/>
          </w:tcPr>
          <w:p w14:paraId="1D845B60" w14:textId="10186B3A" w:rsidR="00777DE8" w:rsidRPr="00C24622" w:rsidRDefault="00777DE8" w:rsidP="00777DE8">
            <w:pPr>
              <w:ind w:firstLine="0"/>
              <w:jc w:val="center"/>
              <w:rPr>
                <w:rFonts w:cs="Times New Roman"/>
                <w:b/>
                <w:bCs/>
                <w:sz w:val="16"/>
                <w:szCs w:val="16"/>
              </w:rPr>
            </w:pPr>
            <w:r w:rsidRPr="00C24622">
              <w:rPr>
                <w:b/>
                <w:bCs/>
                <w:color w:val="000000"/>
                <w:sz w:val="16"/>
                <w:szCs w:val="16"/>
              </w:rPr>
              <w:t>-1,0</w:t>
            </w:r>
          </w:p>
        </w:tc>
        <w:tc>
          <w:tcPr>
            <w:tcW w:w="680" w:type="dxa"/>
            <w:vAlign w:val="center"/>
          </w:tcPr>
          <w:p w14:paraId="79B23F0C" w14:textId="1C57B5A4" w:rsidR="00777DE8" w:rsidRPr="00C24622" w:rsidRDefault="00777DE8" w:rsidP="00777DE8">
            <w:pPr>
              <w:ind w:firstLine="0"/>
              <w:jc w:val="center"/>
              <w:rPr>
                <w:rFonts w:cs="Times New Roman"/>
                <w:b/>
                <w:bCs/>
                <w:sz w:val="16"/>
                <w:szCs w:val="16"/>
              </w:rPr>
            </w:pPr>
            <w:r w:rsidRPr="00C24622">
              <w:rPr>
                <w:b/>
                <w:bCs/>
                <w:color w:val="000000"/>
                <w:sz w:val="16"/>
                <w:szCs w:val="16"/>
              </w:rPr>
              <w:t>-1,0</w:t>
            </w:r>
          </w:p>
        </w:tc>
        <w:tc>
          <w:tcPr>
            <w:tcW w:w="680" w:type="dxa"/>
            <w:vAlign w:val="center"/>
          </w:tcPr>
          <w:p w14:paraId="4629B302" w14:textId="0CCA10F3" w:rsidR="00777DE8" w:rsidRPr="00C24622" w:rsidRDefault="00777DE8" w:rsidP="00777DE8">
            <w:pPr>
              <w:ind w:firstLine="0"/>
              <w:jc w:val="center"/>
              <w:rPr>
                <w:rFonts w:cs="Times New Roman"/>
                <w:b/>
                <w:bCs/>
                <w:sz w:val="16"/>
                <w:szCs w:val="16"/>
              </w:rPr>
            </w:pPr>
            <w:r w:rsidRPr="00C24622">
              <w:rPr>
                <w:b/>
                <w:bCs/>
                <w:color w:val="000000"/>
                <w:sz w:val="16"/>
                <w:szCs w:val="16"/>
              </w:rPr>
              <w:t>-0,9</w:t>
            </w:r>
          </w:p>
        </w:tc>
        <w:tc>
          <w:tcPr>
            <w:tcW w:w="680" w:type="dxa"/>
            <w:vAlign w:val="center"/>
          </w:tcPr>
          <w:p w14:paraId="48C5331C" w14:textId="718EB6B6" w:rsidR="00777DE8" w:rsidRPr="00C24622" w:rsidRDefault="00777DE8" w:rsidP="00777DE8">
            <w:pPr>
              <w:ind w:firstLine="0"/>
              <w:jc w:val="center"/>
              <w:rPr>
                <w:rFonts w:cs="Times New Roman"/>
                <w:b/>
                <w:bCs/>
                <w:sz w:val="16"/>
                <w:szCs w:val="16"/>
              </w:rPr>
            </w:pPr>
            <w:r w:rsidRPr="00C24622">
              <w:rPr>
                <w:b/>
                <w:bCs/>
                <w:color w:val="000000"/>
                <w:sz w:val="16"/>
                <w:szCs w:val="16"/>
              </w:rPr>
              <w:t>-1,0</w:t>
            </w:r>
          </w:p>
        </w:tc>
        <w:tc>
          <w:tcPr>
            <w:tcW w:w="680" w:type="dxa"/>
            <w:vAlign w:val="center"/>
          </w:tcPr>
          <w:p w14:paraId="50469BC7" w14:textId="3EC95ABB" w:rsidR="00777DE8" w:rsidRPr="00C24622" w:rsidRDefault="00777DE8" w:rsidP="00777DE8">
            <w:pPr>
              <w:ind w:firstLine="0"/>
              <w:jc w:val="center"/>
              <w:rPr>
                <w:rFonts w:cs="Times New Roman"/>
                <w:b/>
                <w:bCs/>
                <w:sz w:val="16"/>
                <w:szCs w:val="16"/>
              </w:rPr>
            </w:pPr>
            <w:r w:rsidRPr="00C24622">
              <w:rPr>
                <w:b/>
                <w:bCs/>
                <w:color w:val="000000"/>
                <w:sz w:val="16"/>
                <w:szCs w:val="16"/>
              </w:rPr>
              <w:t>-1,2</w:t>
            </w:r>
          </w:p>
        </w:tc>
        <w:tc>
          <w:tcPr>
            <w:tcW w:w="680" w:type="dxa"/>
            <w:vAlign w:val="center"/>
          </w:tcPr>
          <w:p w14:paraId="3FD2FCA2" w14:textId="23EF075F" w:rsidR="00777DE8" w:rsidRPr="00C24622" w:rsidRDefault="00777DE8" w:rsidP="00777DE8">
            <w:pPr>
              <w:ind w:firstLine="0"/>
              <w:jc w:val="center"/>
              <w:rPr>
                <w:rFonts w:cs="Times New Roman"/>
                <w:b/>
                <w:bCs/>
                <w:sz w:val="16"/>
                <w:szCs w:val="16"/>
              </w:rPr>
            </w:pPr>
            <w:r w:rsidRPr="00C24622">
              <w:rPr>
                <w:b/>
                <w:bCs/>
                <w:color w:val="000000"/>
                <w:sz w:val="16"/>
                <w:szCs w:val="16"/>
              </w:rPr>
              <w:t>-0,6</w:t>
            </w:r>
          </w:p>
        </w:tc>
        <w:tc>
          <w:tcPr>
            <w:tcW w:w="680" w:type="dxa"/>
            <w:vAlign w:val="center"/>
          </w:tcPr>
          <w:p w14:paraId="1C329670" w14:textId="5D0A9989"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0" w:type="dxa"/>
            <w:vAlign w:val="center"/>
          </w:tcPr>
          <w:p w14:paraId="5BC21A62" w14:textId="73E2D9F8" w:rsidR="00777DE8" w:rsidRPr="00C24622" w:rsidRDefault="00777DE8" w:rsidP="00777DE8">
            <w:pPr>
              <w:ind w:firstLine="0"/>
              <w:jc w:val="center"/>
              <w:rPr>
                <w:rFonts w:cs="Times New Roman"/>
                <w:b/>
                <w:bCs/>
                <w:sz w:val="16"/>
                <w:szCs w:val="16"/>
              </w:rPr>
            </w:pPr>
            <w:r w:rsidRPr="00C24622">
              <w:rPr>
                <w:b/>
                <w:bCs/>
                <w:sz w:val="16"/>
                <w:szCs w:val="16"/>
              </w:rPr>
              <w:t>-1,6</w:t>
            </w:r>
          </w:p>
        </w:tc>
        <w:tc>
          <w:tcPr>
            <w:tcW w:w="684" w:type="dxa"/>
            <w:vAlign w:val="center"/>
          </w:tcPr>
          <w:p w14:paraId="407AF752" w14:textId="4974FFAC" w:rsidR="00777DE8" w:rsidRPr="00C24622" w:rsidRDefault="00777DE8" w:rsidP="00777DE8">
            <w:pPr>
              <w:ind w:firstLine="0"/>
              <w:jc w:val="center"/>
              <w:rPr>
                <w:rFonts w:cs="Times New Roman"/>
                <w:b/>
                <w:bCs/>
                <w:sz w:val="16"/>
                <w:szCs w:val="16"/>
              </w:rPr>
            </w:pPr>
            <w:r w:rsidRPr="00C24622">
              <w:rPr>
                <w:b/>
                <w:bCs/>
                <w:sz w:val="16"/>
                <w:szCs w:val="16"/>
              </w:rPr>
              <w:t>-4,0</w:t>
            </w:r>
          </w:p>
        </w:tc>
        <w:tc>
          <w:tcPr>
            <w:tcW w:w="850" w:type="dxa"/>
            <w:vAlign w:val="center"/>
          </w:tcPr>
          <w:p w14:paraId="486ED6D6" w14:textId="0100C457" w:rsidR="00777DE8" w:rsidRPr="00C24622" w:rsidRDefault="00777DE8" w:rsidP="00777DE8">
            <w:pPr>
              <w:ind w:firstLine="0"/>
              <w:jc w:val="center"/>
              <w:rPr>
                <w:rFonts w:cs="Times New Roman"/>
                <w:b/>
                <w:bCs/>
                <w:sz w:val="16"/>
                <w:szCs w:val="16"/>
              </w:rPr>
            </w:pPr>
            <w:r w:rsidRPr="00C24622">
              <w:rPr>
                <w:b/>
                <w:bCs/>
                <w:sz w:val="16"/>
                <w:szCs w:val="16"/>
              </w:rPr>
              <w:t>-0,5</w:t>
            </w:r>
          </w:p>
        </w:tc>
        <w:tc>
          <w:tcPr>
            <w:tcW w:w="851" w:type="dxa"/>
            <w:vAlign w:val="center"/>
          </w:tcPr>
          <w:p w14:paraId="5D72231E" w14:textId="1578DFC7" w:rsidR="00777DE8" w:rsidRPr="00C24622" w:rsidRDefault="00777DE8" w:rsidP="00777DE8">
            <w:pPr>
              <w:ind w:firstLine="0"/>
              <w:jc w:val="center"/>
              <w:rPr>
                <w:rFonts w:cs="Times New Roman"/>
                <w:sz w:val="16"/>
                <w:szCs w:val="16"/>
              </w:rPr>
            </w:pPr>
            <w:r w:rsidRPr="00C24622">
              <w:rPr>
                <w:b/>
                <w:bCs/>
                <w:sz w:val="16"/>
                <w:szCs w:val="16"/>
              </w:rPr>
              <w:t>-0,5</w:t>
            </w:r>
          </w:p>
        </w:tc>
      </w:tr>
      <w:tr w:rsidR="00777DE8" w:rsidRPr="00C24622" w14:paraId="6B1E0CD4" w14:textId="7EBA21DE" w:rsidTr="008C0450">
        <w:trPr>
          <w:trHeight w:val="686"/>
          <w:jc w:val="center"/>
        </w:trPr>
        <w:tc>
          <w:tcPr>
            <w:tcW w:w="704" w:type="dxa"/>
            <w:hideMark/>
          </w:tcPr>
          <w:p w14:paraId="01C231A9"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5.</w:t>
            </w:r>
          </w:p>
          <w:p w14:paraId="11F7C7A9"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(1.×4.)</w:t>
            </w:r>
          </w:p>
        </w:tc>
        <w:tc>
          <w:tcPr>
            <w:tcW w:w="1418" w:type="dxa"/>
            <w:hideMark/>
          </w:tcPr>
          <w:p w14:paraId="69B358C4" w14:textId="77777777" w:rsidR="00777DE8" w:rsidRPr="00C24622" w:rsidRDefault="00777DE8" w:rsidP="00777DE8">
            <w:pPr>
              <w:ind w:firstLine="0"/>
              <w:rPr>
                <w:rFonts w:cs="Times New Roman"/>
                <w:sz w:val="18"/>
                <w:szCs w:val="18"/>
              </w:rPr>
            </w:pPr>
            <w:r w:rsidRPr="00C24622">
              <w:rPr>
                <w:rFonts w:cs="Times New Roman"/>
                <w:sz w:val="18"/>
                <w:szCs w:val="18"/>
              </w:rPr>
              <w:t xml:space="preserve">Minimālā plānojamā vispārējās valdības budžeta strukturālā bilance, milj. </w:t>
            </w:r>
            <w:r w:rsidRPr="00C24622">
              <w:rPr>
                <w:rFonts w:cs="Times New Roman"/>
                <w:i/>
                <w:iCs/>
                <w:sz w:val="18"/>
                <w:szCs w:val="18"/>
              </w:rPr>
              <w:t>euro</w:t>
            </w:r>
          </w:p>
        </w:tc>
        <w:tc>
          <w:tcPr>
            <w:tcW w:w="680" w:type="dxa"/>
            <w:vAlign w:val="center"/>
          </w:tcPr>
          <w:p w14:paraId="206134CA" w14:textId="41E7D61F" w:rsidR="00777DE8" w:rsidRPr="00C24622" w:rsidRDefault="00777DE8" w:rsidP="00777DE8">
            <w:pPr>
              <w:ind w:firstLine="0"/>
              <w:jc w:val="center"/>
              <w:rPr>
                <w:rFonts w:cs="Times New Roman"/>
                <w:sz w:val="16"/>
                <w:szCs w:val="16"/>
              </w:rPr>
            </w:pPr>
            <w:r w:rsidRPr="00C24622">
              <w:rPr>
                <w:color w:val="000000"/>
                <w:sz w:val="16"/>
                <w:szCs w:val="16"/>
              </w:rPr>
              <w:t>-285,4</w:t>
            </w:r>
          </w:p>
        </w:tc>
        <w:tc>
          <w:tcPr>
            <w:tcW w:w="680" w:type="dxa"/>
            <w:vAlign w:val="center"/>
          </w:tcPr>
          <w:p w14:paraId="4C32FE34" w14:textId="1A454BE3" w:rsidR="00777DE8" w:rsidRPr="00C24622" w:rsidRDefault="00777DE8" w:rsidP="00777DE8">
            <w:pPr>
              <w:ind w:firstLine="0"/>
              <w:jc w:val="center"/>
              <w:rPr>
                <w:rFonts w:cs="Times New Roman"/>
                <w:sz w:val="16"/>
                <w:szCs w:val="16"/>
              </w:rPr>
            </w:pPr>
            <w:r w:rsidRPr="00C24622">
              <w:rPr>
                <w:color w:val="000000"/>
                <w:sz w:val="16"/>
                <w:szCs w:val="16"/>
              </w:rPr>
              <w:t>-227,9</w:t>
            </w:r>
          </w:p>
        </w:tc>
        <w:tc>
          <w:tcPr>
            <w:tcW w:w="680" w:type="dxa"/>
            <w:vAlign w:val="center"/>
          </w:tcPr>
          <w:p w14:paraId="5B4EDC0B" w14:textId="2C811A87" w:rsidR="00777DE8" w:rsidRPr="00C24622" w:rsidRDefault="00777DE8" w:rsidP="00777DE8">
            <w:pPr>
              <w:ind w:firstLine="0"/>
              <w:jc w:val="center"/>
              <w:rPr>
                <w:rFonts w:cs="Times New Roman"/>
                <w:sz w:val="16"/>
                <w:szCs w:val="16"/>
              </w:rPr>
            </w:pPr>
            <w:r w:rsidRPr="00C24622">
              <w:rPr>
                <w:color w:val="000000"/>
                <w:sz w:val="16"/>
                <w:szCs w:val="16"/>
              </w:rPr>
              <w:t>-237,4</w:t>
            </w:r>
          </w:p>
        </w:tc>
        <w:tc>
          <w:tcPr>
            <w:tcW w:w="680" w:type="dxa"/>
            <w:vAlign w:val="center"/>
          </w:tcPr>
          <w:p w14:paraId="7B5C72F3" w14:textId="060DE589" w:rsidR="00777DE8" w:rsidRPr="00C24622" w:rsidRDefault="00777DE8" w:rsidP="00777DE8">
            <w:pPr>
              <w:ind w:firstLine="0"/>
              <w:jc w:val="center"/>
              <w:rPr>
                <w:rFonts w:cs="Times New Roman"/>
                <w:sz w:val="16"/>
                <w:szCs w:val="16"/>
              </w:rPr>
            </w:pPr>
            <w:r w:rsidRPr="00C24622">
              <w:rPr>
                <w:color w:val="000000"/>
                <w:sz w:val="16"/>
                <w:szCs w:val="16"/>
              </w:rPr>
              <w:t>-220,5</w:t>
            </w:r>
          </w:p>
        </w:tc>
        <w:tc>
          <w:tcPr>
            <w:tcW w:w="680" w:type="dxa"/>
            <w:vAlign w:val="center"/>
          </w:tcPr>
          <w:p w14:paraId="24B2D621" w14:textId="45686197" w:rsidR="00777DE8" w:rsidRPr="00C24622" w:rsidRDefault="00777DE8" w:rsidP="00777DE8">
            <w:pPr>
              <w:ind w:firstLine="0"/>
              <w:jc w:val="center"/>
              <w:rPr>
                <w:rFonts w:cs="Times New Roman"/>
                <w:sz w:val="16"/>
                <w:szCs w:val="16"/>
              </w:rPr>
            </w:pPr>
            <w:r w:rsidRPr="00C24622">
              <w:rPr>
                <w:color w:val="000000"/>
                <w:sz w:val="16"/>
                <w:szCs w:val="16"/>
              </w:rPr>
              <w:t>-260,2</w:t>
            </w:r>
          </w:p>
        </w:tc>
        <w:tc>
          <w:tcPr>
            <w:tcW w:w="680" w:type="dxa"/>
            <w:vAlign w:val="center"/>
          </w:tcPr>
          <w:p w14:paraId="7BCD8195" w14:textId="284ABE41" w:rsidR="00777DE8" w:rsidRPr="00C24622" w:rsidRDefault="00777DE8" w:rsidP="00777DE8">
            <w:pPr>
              <w:ind w:firstLine="0"/>
              <w:jc w:val="center"/>
              <w:rPr>
                <w:rFonts w:cs="Times New Roman"/>
                <w:sz w:val="16"/>
                <w:szCs w:val="16"/>
              </w:rPr>
            </w:pPr>
            <w:r w:rsidRPr="00C24622">
              <w:rPr>
                <w:color w:val="000000"/>
                <w:sz w:val="16"/>
                <w:szCs w:val="16"/>
              </w:rPr>
              <w:t>-337,8</w:t>
            </w:r>
          </w:p>
        </w:tc>
        <w:tc>
          <w:tcPr>
            <w:tcW w:w="680" w:type="dxa"/>
            <w:vAlign w:val="center"/>
          </w:tcPr>
          <w:p w14:paraId="15F129EB" w14:textId="5A59FA5F" w:rsidR="00777DE8" w:rsidRPr="00C24622" w:rsidRDefault="00777DE8" w:rsidP="00777DE8">
            <w:pPr>
              <w:ind w:firstLine="0"/>
              <w:jc w:val="center"/>
              <w:rPr>
                <w:rFonts w:cs="Times New Roman"/>
                <w:sz w:val="16"/>
                <w:szCs w:val="16"/>
              </w:rPr>
            </w:pPr>
            <w:r w:rsidRPr="00C24622">
              <w:rPr>
                <w:color w:val="000000"/>
                <w:sz w:val="16"/>
                <w:szCs w:val="16"/>
              </w:rPr>
              <w:t>-167,5</w:t>
            </w:r>
          </w:p>
        </w:tc>
        <w:tc>
          <w:tcPr>
            <w:tcW w:w="680" w:type="dxa"/>
            <w:vAlign w:val="center"/>
          </w:tcPr>
          <w:p w14:paraId="5FE1C85A" w14:textId="5E1ECE59" w:rsidR="00777DE8" w:rsidRPr="00C24622" w:rsidRDefault="00777DE8" w:rsidP="00777DE8">
            <w:pPr>
              <w:ind w:firstLine="0"/>
              <w:jc w:val="center"/>
              <w:rPr>
                <w:rFonts w:cs="Times New Roman"/>
                <w:sz w:val="16"/>
                <w:szCs w:val="16"/>
              </w:rPr>
            </w:pPr>
            <w:r w:rsidRPr="00C24622">
              <w:rPr>
                <w:color w:val="000000"/>
                <w:sz w:val="16"/>
                <w:szCs w:val="16"/>
              </w:rPr>
              <w:t>-135,9</w:t>
            </w:r>
          </w:p>
        </w:tc>
        <w:tc>
          <w:tcPr>
            <w:tcW w:w="680" w:type="dxa"/>
            <w:vAlign w:val="center"/>
          </w:tcPr>
          <w:p w14:paraId="73D0166F" w14:textId="2EDF81EE" w:rsidR="00777DE8" w:rsidRPr="00C24622" w:rsidRDefault="00777DE8" w:rsidP="00777DE8">
            <w:pPr>
              <w:ind w:firstLine="0"/>
              <w:jc w:val="center"/>
              <w:rPr>
                <w:rFonts w:cs="Times New Roman"/>
                <w:sz w:val="16"/>
                <w:szCs w:val="16"/>
              </w:rPr>
            </w:pPr>
            <w:r w:rsidRPr="00C24622">
              <w:rPr>
                <w:color w:val="000000"/>
                <w:sz w:val="16"/>
                <w:szCs w:val="16"/>
              </w:rPr>
              <w:t>-515,2</w:t>
            </w:r>
          </w:p>
        </w:tc>
        <w:tc>
          <w:tcPr>
            <w:tcW w:w="684" w:type="dxa"/>
            <w:vAlign w:val="center"/>
          </w:tcPr>
          <w:p w14:paraId="10F99631" w14:textId="3DB35C86" w:rsidR="00777DE8" w:rsidRPr="00C24622" w:rsidRDefault="00777DE8" w:rsidP="00777DE8">
            <w:pPr>
              <w:ind w:firstLine="0"/>
              <w:jc w:val="center"/>
              <w:rPr>
                <w:rFonts w:cs="Times New Roman"/>
                <w:sz w:val="14"/>
                <w:szCs w:val="14"/>
              </w:rPr>
            </w:pPr>
            <w:r w:rsidRPr="00C24622">
              <w:rPr>
                <w:color w:val="000000"/>
                <w:sz w:val="14"/>
                <w:szCs w:val="14"/>
              </w:rPr>
              <w:t>-1 433,5</w:t>
            </w:r>
          </w:p>
        </w:tc>
        <w:tc>
          <w:tcPr>
            <w:tcW w:w="850" w:type="dxa"/>
            <w:vAlign w:val="center"/>
          </w:tcPr>
          <w:p w14:paraId="52037EA3" w14:textId="5B60E405" w:rsidR="00777DE8" w:rsidRPr="00C24622" w:rsidRDefault="00777DE8" w:rsidP="00777DE8">
            <w:pPr>
              <w:ind w:firstLine="0"/>
              <w:jc w:val="center"/>
              <w:rPr>
                <w:rFonts w:cs="Times New Roman"/>
                <w:sz w:val="16"/>
                <w:szCs w:val="16"/>
              </w:rPr>
            </w:pPr>
            <w:r w:rsidRPr="00C24622">
              <w:rPr>
                <w:color w:val="000000"/>
                <w:sz w:val="16"/>
                <w:szCs w:val="16"/>
              </w:rPr>
              <w:t>-196,9</w:t>
            </w:r>
          </w:p>
        </w:tc>
        <w:tc>
          <w:tcPr>
            <w:tcW w:w="851" w:type="dxa"/>
            <w:vAlign w:val="center"/>
          </w:tcPr>
          <w:p w14:paraId="45B23809" w14:textId="2F187C7E" w:rsidR="00777DE8" w:rsidRPr="00C24622" w:rsidRDefault="00777DE8" w:rsidP="00777DE8">
            <w:pPr>
              <w:ind w:firstLine="0"/>
              <w:jc w:val="center"/>
              <w:rPr>
                <w:color w:val="000000"/>
                <w:sz w:val="16"/>
                <w:szCs w:val="16"/>
              </w:rPr>
            </w:pPr>
            <w:r w:rsidRPr="00C24622">
              <w:rPr>
                <w:color w:val="000000"/>
                <w:sz w:val="16"/>
                <w:szCs w:val="16"/>
              </w:rPr>
              <w:t>-201,0</w:t>
            </w:r>
          </w:p>
        </w:tc>
      </w:tr>
      <w:tr w:rsidR="00777DE8" w:rsidRPr="00C24622" w14:paraId="05E064E2" w14:textId="611C8ACF" w:rsidTr="008C0450">
        <w:trPr>
          <w:trHeight w:val="460"/>
          <w:jc w:val="center"/>
        </w:trPr>
        <w:tc>
          <w:tcPr>
            <w:tcW w:w="704" w:type="dxa"/>
            <w:hideMark/>
          </w:tcPr>
          <w:p w14:paraId="7ADF0424"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6.</w:t>
            </w:r>
          </w:p>
          <w:p w14:paraId="58AEE545"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(3.-5.)</w:t>
            </w:r>
          </w:p>
        </w:tc>
        <w:tc>
          <w:tcPr>
            <w:tcW w:w="1418" w:type="dxa"/>
            <w:hideMark/>
          </w:tcPr>
          <w:p w14:paraId="489E5C36" w14:textId="77777777" w:rsidR="00777DE8" w:rsidRPr="00C24622" w:rsidRDefault="00777DE8" w:rsidP="00777DE8">
            <w:pPr>
              <w:ind w:firstLine="0"/>
              <w:rPr>
                <w:rFonts w:cs="Times New Roman"/>
                <w:sz w:val="18"/>
                <w:szCs w:val="18"/>
              </w:rPr>
            </w:pPr>
            <w:r w:rsidRPr="00C24622">
              <w:rPr>
                <w:rFonts w:cs="Times New Roman"/>
                <w:sz w:val="18"/>
                <w:szCs w:val="18"/>
              </w:rPr>
              <w:t xml:space="preserve">Saimnieciskā gada bilanču starpība, milj. </w:t>
            </w:r>
            <w:r w:rsidRPr="00C24622">
              <w:rPr>
                <w:rFonts w:cs="Times New Roman"/>
                <w:i/>
                <w:iCs/>
                <w:sz w:val="18"/>
                <w:szCs w:val="18"/>
              </w:rPr>
              <w:t>euro</w:t>
            </w:r>
            <w:r w:rsidRPr="00C24622">
              <w:rPr>
                <w:rFonts w:cs="Times New Roman"/>
                <w:sz w:val="18"/>
                <w:szCs w:val="18"/>
              </w:rPr>
              <w:t xml:space="preserve"> </w:t>
            </w:r>
          </w:p>
        </w:tc>
        <w:tc>
          <w:tcPr>
            <w:tcW w:w="680" w:type="dxa"/>
            <w:vAlign w:val="center"/>
          </w:tcPr>
          <w:p w14:paraId="7E445CC7" w14:textId="3BC59422" w:rsidR="00777DE8" w:rsidRPr="00C24622" w:rsidRDefault="00777DE8" w:rsidP="00777DE8">
            <w:pPr>
              <w:ind w:firstLine="0"/>
              <w:jc w:val="center"/>
              <w:rPr>
                <w:rFonts w:cs="Times New Roman"/>
                <w:sz w:val="16"/>
                <w:szCs w:val="16"/>
              </w:rPr>
            </w:pPr>
            <w:r w:rsidRPr="00C24622">
              <w:rPr>
                <w:color w:val="000000"/>
                <w:sz w:val="16"/>
                <w:szCs w:val="16"/>
              </w:rPr>
              <w:t>242,6</w:t>
            </w:r>
          </w:p>
        </w:tc>
        <w:tc>
          <w:tcPr>
            <w:tcW w:w="680" w:type="dxa"/>
            <w:vAlign w:val="center"/>
          </w:tcPr>
          <w:p w14:paraId="1FA84458" w14:textId="50CAFFEA" w:rsidR="00777DE8" w:rsidRPr="00C24622" w:rsidRDefault="00777DE8" w:rsidP="00777DE8">
            <w:pPr>
              <w:ind w:firstLine="0"/>
              <w:jc w:val="center"/>
              <w:rPr>
                <w:rFonts w:cs="Times New Roman"/>
                <w:sz w:val="16"/>
                <w:szCs w:val="16"/>
              </w:rPr>
            </w:pPr>
            <w:r w:rsidRPr="00C24622">
              <w:rPr>
                <w:color w:val="000000"/>
                <w:sz w:val="16"/>
                <w:szCs w:val="16"/>
              </w:rPr>
              <w:t>8,0</w:t>
            </w:r>
          </w:p>
        </w:tc>
        <w:tc>
          <w:tcPr>
            <w:tcW w:w="680" w:type="dxa"/>
            <w:vAlign w:val="center"/>
          </w:tcPr>
          <w:p w14:paraId="155295CD" w14:textId="28A2DC3C" w:rsidR="00777DE8" w:rsidRPr="00C24622" w:rsidRDefault="00777DE8" w:rsidP="00777DE8">
            <w:pPr>
              <w:ind w:firstLine="0"/>
              <w:jc w:val="center"/>
              <w:rPr>
                <w:rFonts w:cs="Times New Roman"/>
                <w:sz w:val="16"/>
                <w:szCs w:val="16"/>
              </w:rPr>
            </w:pPr>
            <w:r w:rsidRPr="00C24622">
              <w:rPr>
                <w:color w:val="000000"/>
                <w:sz w:val="16"/>
                <w:szCs w:val="16"/>
              </w:rPr>
              <w:t>-110,9</w:t>
            </w:r>
          </w:p>
        </w:tc>
        <w:tc>
          <w:tcPr>
            <w:tcW w:w="680" w:type="dxa"/>
            <w:vAlign w:val="center"/>
          </w:tcPr>
          <w:p w14:paraId="1C4984EF" w14:textId="782F370C" w:rsidR="00777DE8" w:rsidRPr="00C24622" w:rsidRDefault="00777DE8" w:rsidP="00777DE8">
            <w:pPr>
              <w:ind w:firstLine="0"/>
              <w:jc w:val="center"/>
              <w:rPr>
                <w:rFonts w:cs="Times New Roman"/>
                <w:sz w:val="16"/>
                <w:szCs w:val="16"/>
              </w:rPr>
            </w:pPr>
            <w:r w:rsidRPr="00C24622">
              <w:rPr>
                <w:color w:val="000000"/>
                <w:sz w:val="16"/>
                <w:szCs w:val="16"/>
              </w:rPr>
              <w:t>114,9</w:t>
            </w:r>
          </w:p>
        </w:tc>
        <w:tc>
          <w:tcPr>
            <w:tcW w:w="680" w:type="dxa"/>
            <w:vAlign w:val="center"/>
          </w:tcPr>
          <w:p w14:paraId="4B7D85C9" w14:textId="633593F5" w:rsidR="00777DE8" w:rsidRPr="00C24622" w:rsidRDefault="00777DE8" w:rsidP="00777DE8">
            <w:pPr>
              <w:ind w:firstLine="0"/>
              <w:jc w:val="center"/>
              <w:rPr>
                <w:rFonts w:cs="Times New Roman"/>
                <w:sz w:val="16"/>
                <w:szCs w:val="16"/>
              </w:rPr>
            </w:pPr>
            <w:r w:rsidRPr="00C24622">
              <w:rPr>
                <w:color w:val="000000"/>
                <w:sz w:val="16"/>
                <w:szCs w:val="16"/>
              </w:rPr>
              <w:t>-43,2</w:t>
            </w:r>
          </w:p>
        </w:tc>
        <w:tc>
          <w:tcPr>
            <w:tcW w:w="680" w:type="dxa"/>
            <w:vAlign w:val="center"/>
          </w:tcPr>
          <w:p w14:paraId="29825C5E" w14:textId="79C96CBF" w:rsidR="00777DE8" w:rsidRPr="00C24622" w:rsidRDefault="00777DE8" w:rsidP="00777DE8">
            <w:pPr>
              <w:ind w:firstLine="0"/>
              <w:jc w:val="center"/>
              <w:rPr>
                <w:rFonts w:cs="Times New Roman"/>
                <w:sz w:val="16"/>
                <w:szCs w:val="16"/>
              </w:rPr>
            </w:pPr>
            <w:r w:rsidRPr="00C24622">
              <w:rPr>
                <w:color w:val="000000"/>
                <w:sz w:val="16"/>
                <w:szCs w:val="16"/>
              </w:rPr>
              <w:t>-486,8</w:t>
            </w:r>
          </w:p>
        </w:tc>
        <w:tc>
          <w:tcPr>
            <w:tcW w:w="680" w:type="dxa"/>
            <w:vAlign w:val="center"/>
          </w:tcPr>
          <w:p w14:paraId="091E4EA7" w14:textId="0D457279" w:rsidR="00777DE8" w:rsidRPr="00C24622" w:rsidRDefault="00777DE8" w:rsidP="00777DE8">
            <w:pPr>
              <w:ind w:firstLine="0"/>
              <w:jc w:val="center"/>
              <w:rPr>
                <w:rFonts w:cs="Times New Roman"/>
                <w:sz w:val="16"/>
                <w:szCs w:val="16"/>
              </w:rPr>
            </w:pPr>
            <w:r w:rsidRPr="00C24622">
              <w:rPr>
                <w:color w:val="000000"/>
                <w:sz w:val="16"/>
                <w:szCs w:val="16"/>
              </w:rPr>
              <w:t>-25,6</w:t>
            </w:r>
          </w:p>
        </w:tc>
        <w:tc>
          <w:tcPr>
            <w:tcW w:w="680" w:type="dxa"/>
            <w:vAlign w:val="center"/>
          </w:tcPr>
          <w:p w14:paraId="6ABC219A" w14:textId="47F872FD" w:rsidR="00777DE8" w:rsidRPr="00C24622" w:rsidRDefault="00777DE8" w:rsidP="00777DE8">
            <w:pPr>
              <w:ind w:firstLine="0"/>
              <w:jc w:val="center"/>
              <w:rPr>
                <w:rFonts w:cs="Times New Roman"/>
                <w:sz w:val="16"/>
                <w:szCs w:val="16"/>
              </w:rPr>
            </w:pPr>
            <w:r w:rsidRPr="00C24622">
              <w:rPr>
                <w:color w:val="000000"/>
                <w:sz w:val="16"/>
                <w:szCs w:val="16"/>
              </w:rPr>
              <w:t>325,4</w:t>
            </w:r>
          </w:p>
        </w:tc>
        <w:tc>
          <w:tcPr>
            <w:tcW w:w="680" w:type="dxa"/>
            <w:vAlign w:val="center"/>
          </w:tcPr>
          <w:p w14:paraId="4E61EEFB" w14:textId="7FD0E70D" w:rsidR="00777DE8" w:rsidRPr="00C24622" w:rsidRDefault="00777DE8" w:rsidP="00777DE8">
            <w:pPr>
              <w:ind w:firstLine="0"/>
              <w:jc w:val="center"/>
              <w:rPr>
                <w:rFonts w:cs="Times New Roman"/>
                <w:sz w:val="16"/>
                <w:szCs w:val="16"/>
              </w:rPr>
            </w:pPr>
            <w:r w:rsidRPr="00C24622">
              <w:rPr>
                <w:color w:val="000000"/>
                <w:sz w:val="16"/>
                <w:szCs w:val="16"/>
              </w:rPr>
              <w:t>85,0</w:t>
            </w:r>
          </w:p>
        </w:tc>
        <w:tc>
          <w:tcPr>
            <w:tcW w:w="684" w:type="dxa"/>
            <w:vAlign w:val="center"/>
          </w:tcPr>
          <w:p w14:paraId="1E19EB74" w14:textId="14E14D05" w:rsidR="00777DE8" w:rsidRPr="00C24622" w:rsidRDefault="00777DE8" w:rsidP="00777DE8">
            <w:pPr>
              <w:ind w:firstLine="0"/>
              <w:jc w:val="center"/>
              <w:rPr>
                <w:rFonts w:cs="Times New Roman"/>
                <w:sz w:val="15"/>
                <w:szCs w:val="15"/>
              </w:rPr>
            </w:pPr>
            <w:r w:rsidRPr="00C24622">
              <w:rPr>
                <w:color w:val="000000"/>
                <w:sz w:val="15"/>
                <w:szCs w:val="15"/>
              </w:rPr>
              <w:t>1 431,9</w:t>
            </w:r>
          </w:p>
        </w:tc>
        <w:tc>
          <w:tcPr>
            <w:tcW w:w="850" w:type="dxa"/>
            <w:vAlign w:val="center"/>
          </w:tcPr>
          <w:p w14:paraId="636A7391" w14:textId="1C2466E9" w:rsidR="00777DE8" w:rsidRPr="00C24622" w:rsidRDefault="00777DE8" w:rsidP="00777DE8">
            <w:pPr>
              <w:ind w:firstLine="0"/>
              <w:jc w:val="center"/>
              <w:rPr>
                <w:rFonts w:cs="Times New Roman"/>
                <w:sz w:val="16"/>
                <w:szCs w:val="16"/>
              </w:rPr>
            </w:pPr>
            <w:r w:rsidRPr="00C24622">
              <w:rPr>
                <w:color w:val="000000"/>
                <w:sz w:val="16"/>
                <w:szCs w:val="16"/>
              </w:rPr>
              <w:t>-165,8</w:t>
            </w:r>
          </w:p>
        </w:tc>
        <w:tc>
          <w:tcPr>
            <w:tcW w:w="851" w:type="dxa"/>
            <w:vAlign w:val="center"/>
          </w:tcPr>
          <w:p w14:paraId="1F06035D" w14:textId="3B8CC55F" w:rsidR="00777DE8" w:rsidRPr="00C24622" w:rsidRDefault="00777DE8" w:rsidP="00777DE8">
            <w:pPr>
              <w:ind w:firstLine="0"/>
              <w:jc w:val="center"/>
              <w:rPr>
                <w:color w:val="000000"/>
                <w:sz w:val="16"/>
                <w:szCs w:val="16"/>
              </w:rPr>
            </w:pPr>
            <w:r w:rsidRPr="00C24622">
              <w:rPr>
                <w:color w:val="000000"/>
                <w:sz w:val="16"/>
                <w:szCs w:val="16"/>
              </w:rPr>
              <w:t>300,3</w:t>
            </w:r>
          </w:p>
        </w:tc>
      </w:tr>
      <w:tr w:rsidR="00777DE8" w:rsidRPr="00C24622" w14:paraId="4892DEF3" w14:textId="44BBCA4C" w:rsidTr="008C0450">
        <w:trPr>
          <w:trHeight w:val="460"/>
          <w:jc w:val="center"/>
        </w:trPr>
        <w:tc>
          <w:tcPr>
            <w:tcW w:w="704" w:type="dxa"/>
            <w:hideMark/>
          </w:tcPr>
          <w:p w14:paraId="0C8AF876"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7.</w:t>
            </w:r>
          </w:p>
          <w:p w14:paraId="4A6A8FD9"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((6.:1.)</w:t>
            </w:r>
          </w:p>
          <w:p w14:paraId="751D4E85"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×100)</w:t>
            </w:r>
          </w:p>
        </w:tc>
        <w:tc>
          <w:tcPr>
            <w:tcW w:w="1418" w:type="dxa"/>
            <w:hideMark/>
          </w:tcPr>
          <w:p w14:paraId="005A4A98" w14:textId="77777777" w:rsidR="00777DE8" w:rsidRPr="00C24622" w:rsidRDefault="00777DE8" w:rsidP="00777DE8">
            <w:pPr>
              <w:ind w:firstLine="0"/>
              <w:rPr>
                <w:rFonts w:cs="Times New Roman"/>
                <w:sz w:val="18"/>
                <w:szCs w:val="18"/>
              </w:rPr>
            </w:pPr>
            <w:r w:rsidRPr="00C24622">
              <w:rPr>
                <w:rFonts w:cs="Times New Roman"/>
                <w:sz w:val="18"/>
                <w:szCs w:val="18"/>
              </w:rPr>
              <w:t>Saimnieciskā gada bilanču starpība, % no IKP</w:t>
            </w:r>
          </w:p>
        </w:tc>
        <w:tc>
          <w:tcPr>
            <w:tcW w:w="680" w:type="dxa"/>
            <w:vAlign w:val="center"/>
          </w:tcPr>
          <w:p w14:paraId="22EC4984" w14:textId="232CF95F" w:rsidR="00777DE8" w:rsidRPr="00C24622" w:rsidRDefault="00777DE8" w:rsidP="00777DE8">
            <w:pPr>
              <w:ind w:firstLine="0"/>
              <w:jc w:val="center"/>
              <w:rPr>
                <w:rFonts w:cs="Times New Roman"/>
                <w:b/>
                <w:bCs/>
                <w:sz w:val="16"/>
                <w:szCs w:val="16"/>
              </w:rPr>
            </w:pPr>
            <w:r w:rsidRPr="00C24622">
              <w:rPr>
                <w:b/>
                <w:bCs/>
                <w:color w:val="000000"/>
                <w:sz w:val="16"/>
                <w:szCs w:val="16"/>
              </w:rPr>
              <w:t>1,1</w:t>
            </w:r>
          </w:p>
        </w:tc>
        <w:tc>
          <w:tcPr>
            <w:tcW w:w="680" w:type="dxa"/>
            <w:vAlign w:val="center"/>
          </w:tcPr>
          <w:p w14:paraId="5DCD0B71" w14:textId="0C88D05D" w:rsidR="00777DE8" w:rsidRPr="00C24622" w:rsidRDefault="00777DE8" w:rsidP="00777DE8">
            <w:pPr>
              <w:ind w:firstLine="0"/>
              <w:jc w:val="center"/>
              <w:rPr>
                <w:rFonts w:cs="Times New Roman"/>
                <w:b/>
                <w:bCs/>
                <w:sz w:val="16"/>
                <w:szCs w:val="16"/>
              </w:rPr>
            </w:pPr>
            <w:r w:rsidRPr="00C24622">
              <w:rPr>
                <w:b/>
                <w:bCs/>
                <w:color w:val="000000"/>
                <w:sz w:val="16"/>
                <w:szCs w:val="16"/>
              </w:rPr>
              <w:t>0,0</w:t>
            </w:r>
          </w:p>
        </w:tc>
        <w:tc>
          <w:tcPr>
            <w:tcW w:w="680" w:type="dxa"/>
            <w:vAlign w:val="center"/>
          </w:tcPr>
          <w:p w14:paraId="1E3CE903" w14:textId="6ED4FB53"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0" w:type="dxa"/>
            <w:vAlign w:val="center"/>
          </w:tcPr>
          <w:p w14:paraId="21C3CE57" w14:textId="3CD46D9B"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0" w:type="dxa"/>
            <w:vAlign w:val="center"/>
          </w:tcPr>
          <w:p w14:paraId="6FCFA68F" w14:textId="3B9965CA" w:rsidR="00777DE8" w:rsidRPr="00C24622" w:rsidRDefault="00777DE8" w:rsidP="00777DE8">
            <w:pPr>
              <w:ind w:firstLine="0"/>
              <w:jc w:val="center"/>
              <w:rPr>
                <w:rFonts w:cs="Times New Roman"/>
                <w:b/>
                <w:bCs/>
                <w:sz w:val="16"/>
                <w:szCs w:val="16"/>
              </w:rPr>
            </w:pPr>
            <w:r w:rsidRPr="00C24622">
              <w:rPr>
                <w:b/>
                <w:bCs/>
                <w:color w:val="000000"/>
                <w:sz w:val="16"/>
                <w:szCs w:val="16"/>
              </w:rPr>
              <w:t>-0,2</w:t>
            </w:r>
          </w:p>
        </w:tc>
        <w:tc>
          <w:tcPr>
            <w:tcW w:w="680" w:type="dxa"/>
            <w:vAlign w:val="center"/>
          </w:tcPr>
          <w:p w14:paraId="0C35BCAE" w14:textId="44C2BEBE" w:rsidR="00777DE8" w:rsidRPr="00C24622" w:rsidRDefault="00777DE8" w:rsidP="00777DE8">
            <w:pPr>
              <w:ind w:firstLine="0"/>
              <w:jc w:val="center"/>
              <w:rPr>
                <w:rFonts w:cs="Times New Roman"/>
                <w:b/>
                <w:bCs/>
                <w:sz w:val="16"/>
                <w:szCs w:val="16"/>
              </w:rPr>
            </w:pPr>
            <w:r w:rsidRPr="00C24622">
              <w:rPr>
                <w:b/>
                <w:bCs/>
                <w:color w:val="000000"/>
                <w:sz w:val="16"/>
                <w:szCs w:val="16"/>
              </w:rPr>
              <w:t>-1,7</w:t>
            </w:r>
          </w:p>
        </w:tc>
        <w:tc>
          <w:tcPr>
            <w:tcW w:w="680" w:type="dxa"/>
            <w:vAlign w:val="center"/>
          </w:tcPr>
          <w:p w14:paraId="04941517" w14:textId="21EE57EC" w:rsidR="00777DE8" w:rsidRPr="00C24622" w:rsidRDefault="00777DE8" w:rsidP="00777DE8">
            <w:pPr>
              <w:ind w:firstLine="0"/>
              <w:jc w:val="center"/>
              <w:rPr>
                <w:rFonts w:cs="Times New Roman"/>
                <w:b/>
                <w:bCs/>
                <w:sz w:val="16"/>
                <w:szCs w:val="16"/>
              </w:rPr>
            </w:pPr>
            <w:r w:rsidRPr="00C24622">
              <w:rPr>
                <w:b/>
                <w:bCs/>
                <w:color w:val="000000"/>
                <w:sz w:val="16"/>
                <w:szCs w:val="16"/>
              </w:rPr>
              <w:t>-0,1</w:t>
            </w:r>
          </w:p>
        </w:tc>
        <w:tc>
          <w:tcPr>
            <w:tcW w:w="680" w:type="dxa"/>
            <w:vAlign w:val="center"/>
          </w:tcPr>
          <w:p w14:paraId="3FF9B779" w14:textId="254B38CE" w:rsidR="00777DE8" w:rsidRPr="00C24622" w:rsidRDefault="00777DE8" w:rsidP="00777DE8">
            <w:pPr>
              <w:ind w:firstLine="0"/>
              <w:jc w:val="center"/>
              <w:rPr>
                <w:rFonts w:cs="Times New Roman"/>
                <w:b/>
                <w:bCs/>
                <w:sz w:val="16"/>
                <w:szCs w:val="16"/>
              </w:rPr>
            </w:pPr>
            <w:r w:rsidRPr="00C24622">
              <w:rPr>
                <w:b/>
                <w:bCs/>
                <w:color w:val="000000"/>
                <w:sz w:val="16"/>
                <w:szCs w:val="16"/>
              </w:rPr>
              <w:t>1,1</w:t>
            </w:r>
          </w:p>
        </w:tc>
        <w:tc>
          <w:tcPr>
            <w:tcW w:w="680" w:type="dxa"/>
            <w:vAlign w:val="center"/>
          </w:tcPr>
          <w:p w14:paraId="6A00658F" w14:textId="0A338E69" w:rsidR="00777DE8" w:rsidRPr="00C24622" w:rsidRDefault="00777DE8" w:rsidP="00777DE8">
            <w:pPr>
              <w:ind w:firstLine="0"/>
              <w:jc w:val="center"/>
              <w:rPr>
                <w:rFonts w:cs="Times New Roman"/>
                <w:b/>
                <w:bCs/>
                <w:sz w:val="16"/>
                <w:szCs w:val="16"/>
              </w:rPr>
            </w:pPr>
            <w:r w:rsidRPr="00C24622">
              <w:rPr>
                <w:b/>
                <w:bCs/>
                <w:color w:val="000000"/>
                <w:sz w:val="16"/>
                <w:szCs w:val="16"/>
              </w:rPr>
              <w:t>0,3</w:t>
            </w:r>
          </w:p>
        </w:tc>
        <w:tc>
          <w:tcPr>
            <w:tcW w:w="684" w:type="dxa"/>
            <w:vAlign w:val="center"/>
          </w:tcPr>
          <w:p w14:paraId="2C451F87" w14:textId="3193F2D0" w:rsidR="00777DE8" w:rsidRPr="00C24622" w:rsidRDefault="00777DE8" w:rsidP="00777DE8">
            <w:pPr>
              <w:ind w:firstLine="0"/>
              <w:jc w:val="center"/>
              <w:rPr>
                <w:rFonts w:cs="Times New Roman"/>
                <w:b/>
                <w:bCs/>
                <w:sz w:val="16"/>
                <w:szCs w:val="16"/>
              </w:rPr>
            </w:pPr>
            <w:r w:rsidRPr="00C24622">
              <w:rPr>
                <w:b/>
                <w:bCs/>
                <w:color w:val="000000"/>
                <w:sz w:val="16"/>
                <w:szCs w:val="16"/>
              </w:rPr>
              <w:t>4,0</w:t>
            </w:r>
          </w:p>
        </w:tc>
        <w:tc>
          <w:tcPr>
            <w:tcW w:w="850" w:type="dxa"/>
            <w:vAlign w:val="center"/>
          </w:tcPr>
          <w:p w14:paraId="72D74C31" w14:textId="37941520" w:rsidR="00777DE8" w:rsidRPr="00C24622" w:rsidRDefault="00777DE8" w:rsidP="00777DE8">
            <w:pPr>
              <w:ind w:firstLine="0"/>
              <w:jc w:val="center"/>
              <w:rPr>
                <w:rFonts w:cs="Times New Roman"/>
                <w:b/>
                <w:bCs/>
                <w:sz w:val="16"/>
                <w:szCs w:val="16"/>
              </w:rPr>
            </w:pPr>
            <w:r w:rsidRPr="00C24622">
              <w:rPr>
                <w:b/>
                <w:bCs/>
                <w:color w:val="000000"/>
                <w:sz w:val="16"/>
                <w:szCs w:val="16"/>
              </w:rPr>
              <w:t>-0,4</w:t>
            </w:r>
          </w:p>
        </w:tc>
        <w:tc>
          <w:tcPr>
            <w:tcW w:w="851" w:type="dxa"/>
            <w:vAlign w:val="center"/>
          </w:tcPr>
          <w:p w14:paraId="734C9255" w14:textId="46FB409F" w:rsidR="00777DE8" w:rsidRPr="00C24622" w:rsidRDefault="00777DE8" w:rsidP="00777DE8">
            <w:pPr>
              <w:ind w:firstLine="0"/>
              <w:jc w:val="center"/>
              <w:rPr>
                <w:b/>
                <w:bCs/>
                <w:color w:val="000000"/>
                <w:sz w:val="16"/>
                <w:szCs w:val="16"/>
              </w:rPr>
            </w:pPr>
            <w:r w:rsidRPr="00C24622">
              <w:rPr>
                <w:b/>
                <w:bCs/>
                <w:color w:val="000000"/>
                <w:sz w:val="16"/>
                <w:szCs w:val="16"/>
              </w:rPr>
              <w:t>0,7</w:t>
            </w:r>
          </w:p>
        </w:tc>
      </w:tr>
      <w:tr w:rsidR="00777DE8" w:rsidRPr="00C24622" w14:paraId="3EEA1BF4" w14:textId="5B96C714" w:rsidTr="008C0450">
        <w:trPr>
          <w:trHeight w:val="460"/>
          <w:jc w:val="center"/>
        </w:trPr>
        <w:tc>
          <w:tcPr>
            <w:tcW w:w="704" w:type="dxa"/>
            <w:hideMark/>
          </w:tcPr>
          <w:p w14:paraId="457FE087"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8.</w:t>
            </w:r>
          </w:p>
          <w:p w14:paraId="55D5631F"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(Σ(6.))</w:t>
            </w:r>
          </w:p>
        </w:tc>
        <w:tc>
          <w:tcPr>
            <w:tcW w:w="1418" w:type="dxa"/>
            <w:hideMark/>
          </w:tcPr>
          <w:p w14:paraId="7648926C" w14:textId="77777777" w:rsidR="00777DE8" w:rsidRPr="00C24622" w:rsidRDefault="00777DE8" w:rsidP="00777DE8">
            <w:pPr>
              <w:ind w:firstLine="0"/>
              <w:rPr>
                <w:rFonts w:cs="Times New Roman"/>
                <w:sz w:val="18"/>
                <w:szCs w:val="18"/>
              </w:rPr>
            </w:pPr>
            <w:r w:rsidRPr="00C24622">
              <w:rPr>
                <w:rFonts w:cs="Times New Roman"/>
                <w:sz w:val="18"/>
                <w:szCs w:val="18"/>
              </w:rPr>
              <w:t xml:space="preserve">Uzkrāto bilanču starpības summa (kumulatīvi), milj. </w:t>
            </w:r>
            <w:r w:rsidRPr="00C24622">
              <w:rPr>
                <w:rFonts w:cs="Times New Roman"/>
                <w:i/>
                <w:iCs/>
                <w:sz w:val="18"/>
                <w:szCs w:val="18"/>
              </w:rPr>
              <w:t xml:space="preserve">euro </w:t>
            </w:r>
          </w:p>
        </w:tc>
        <w:tc>
          <w:tcPr>
            <w:tcW w:w="680" w:type="dxa"/>
            <w:vAlign w:val="center"/>
          </w:tcPr>
          <w:p w14:paraId="5926243B" w14:textId="607977D6" w:rsidR="00777DE8" w:rsidRPr="00C24622" w:rsidRDefault="00777DE8" w:rsidP="00777DE8">
            <w:pPr>
              <w:ind w:firstLine="0"/>
              <w:jc w:val="center"/>
              <w:rPr>
                <w:rFonts w:cs="Times New Roman"/>
                <w:sz w:val="16"/>
                <w:szCs w:val="16"/>
              </w:rPr>
            </w:pPr>
            <w:r w:rsidRPr="00C24622">
              <w:rPr>
                <w:color w:val="000000"/>
                <w:sz w:val="16"/>
                <w:szCs w:val="16"/>
              </w:rPr>
              <w:t>242,6</w:t>
            </w:r>
          </w:p>
        </w:tc>
        <w:tc>
          <w:tcPr>
            <w:tcW w:w="680" w:type="dxa"/>
            <w:vAlign w:val="center"/>
          </w:tcPr>
          <w:p w14:paraId="2748D3F6" w14:textId="5A311811" w:rsidR="00777DE8" w:rsidRPr="00C24622" w:rsidRDefault="00777DE8" w:rsidP="00777DE8">
            <w:pPr>
              <w:ind w:firstLine="0"/>
              <w:jc w:val="center"/>
              <w:rPr>
                <w:rFonts w:cs="Times New Roman"/>
                <w:sz w:val="16"/>
                <w:szCs w:val="16"/>
              </w:rPr>
            </w:pPr>
            <w:r w:rsidRPr="00C24622">
              <w:rPr>
                <w:color w:val="000000"/>
                <w:sz w:val="16"/>
                <w:szCs w:val="16"/>
              </w:rPr>
              <w:t>250,7</w:t>
            </w:r>
          </w:p>
        </w:tc>
        <w:tc>
          <w:tcPr>
            <w:tcW w:w="680" w:type="dxa"/>
            <w:vAlign w:val="center"/>
          </w:tcPr>
          <w:p w14:paraId="2FF846C1" w14:textId="331E0DD2" w:rsidR="00777DE8" w:rsidRPr="00C24622" w:rsidRDefault="00777DE8" w:rsidP="00777DE8">
            <w:pPr>
              <w:ind w:firstLine="0"/>
              <w:jc w:val="center"/>
              <w:rPr>
                <w:rFonts w:cs="Times New Roman"/>
                <w:sz w:val="16"/>
                <w:szCs w:val="16"/>
              </w:rPr>
            </w:pPr>
            <w:r w:rsidRPr="00C24622">
              <w:rPr>
                <w:color w:val="000000"/>
                <w:sz w:val="16"/>
                <w:szCs w:val="16"/>
              </w:rPr>
              <w:t>139,8</w:t>
            </w:r>
          </w:p>
        </w:tc>
        <w:tc>
          <w:tcPr>
            <w:tcW w:w="680" w:type="dxa"/>
            <w:vAlign w:val="center"/>
          </w:tcPr>
          <w:p w14:paraId="62BF3167" w14:textId="11977909" w:rsidR="00777DE8" w:rsidRPr="00C24622" w:rsidRDefault="00777DE8" w:rsidP="00777DE8">
            <w:pPr>
              <w:ind w:firstLine="0"/>
              <w:jc w:val="center"/>
              <w:rPr>
                <w:rFonts w:cs="Times New Roman"/>
                <w:sz w:val="16"/>
                <w:szCs w:val="16"/>
              </w:rPr>
            </w:pPr>
            <w:r w:rsidRPr="00C24622">
              <w:rPr>
                <w:color w:val="000000"/>
                <w:sz w:val="16"/>
                <w:szCs w:val="16"/>
              </w:rPr>
              <w:t>254,7</w:t>
            </w:r>
          </w:p>
        </w:tc>
        <w:tc>
          <w:tcPr>
            <w:tcW w:w="680" w:type="dxa"/>
            <w:vAlign w:val="center"/>
          </w:tcPr>
          <w:p w14:paraId="5BD72DB5" w14:textId="7399082A" w:rsidR="00777DE8" w:rsidRPr="00C24622" w:rsidRDefault="00777DE8" w:rsidP="00777DE8">
            <w:pPr>
              <w:ind w:firstLine="0"/>
              <w:jc w:val="center"/>
              <w:rPr>
                <w:rFonts w:cs="Times New Roman"/>
                <w:sz w:val="16"/>
                <w:szCs w:val="16"/>
              </w:rPr>
            </w:pPr>
            <w:r w:rsidRPr="00C24622">
              <w:rPr>
                <w:color w:val="000000"/>
                <w:sz w:val="16"/>
                <w:szCs w:val="16"/>
              </w:rPr>
              <w:t>211,4</w:t>
            </w:r>
          </w:p>
        </w:tc>
        <w:tc>
          <w:tcPr>
            <w:tcW w:w="680" w:type="dxa"/>
            <w:vAlign w:val="center"/>
          </w:tcPr>
          <w:p w14:paraId="69016B2B" w14:textId="018927B1" w:rsidR="00777DE8" w:rsidRPr="00C24622" w:rsidRDefault="00777DE8" w:rsidP="00777DE8">
            <w:pPr>
              <w:ind w:firstLine="0"/>
              <w:jc w:val="center"/>
              <w:rPr>
                <w:rFonts w:cs="Times New Roman"/>
                <w:sz w:val="16"/>
                <w:szCs w:val="16"/>
              </w:rPr>
            </w:pPr>
            <w:r w:rsidRPr="00C24622">
              <w:rPr>
                <w:color w:val="000000"/>
                <w:sz w:val="16"/>
                <w:szCs w:val="16"/>
              </w:rPr>
              <w:t>-275,4</w:t>
            </w:r>
          </w:p>
        </w:tc>
        <w:tc>
          <w:tcPr>
            <w:tcW w:w="680" w:type="dxa"/>
            <w:vAlign w:val="center"/>
          </w:tcPr>
          <w:p w14:paraId="76793878" w14:textId="59442482" w:rsidR="00777DE8" w:rsidRPr="00C24622" w:rsidRDefault="00777DE8" w:rsidP="00777DE8">
            <w:pPr>
              <w:ind w:firstLine="0"/>
              <w:jc w:val="center"/>
              <w:rPr>
                <w:rFonts w:cs="Times New Roman"/>
                <w:sz w:val="16"/>
                <w:szCs w:val="16"/>
              </w:rPr>
            </w:pPr>
            <w:r w:rsidRPr="00C24622">
              <w:rPr>
                <w:color w:val="000000"/>
                <w:sz w:val="16"/>
                <w:szCs w:val="16"/>
              </w:rPr>
              <w:t>-301,0</w:t>
            </w:r>
          </w:p>
        </w:tc>
        <w:tc>
          <w:tcPr>
            <w:tcW w:w="680" w:type="dxa"/>
            <w:vAlign w:val="center"/>
          </w:tcPr>
          <w:p w14:paraId="23784A5B" w14:textId="07925601" w:rsidR="00777DE8" w:rsidRPr="00C24622" w:rsidRDefault="00777DE8" w:rsidP="00777DE8">
            <w:pPr>
              <w:ind w:firstLine="0"/>
              <w:jc w:val="center"/>
              <w:rPr>
                <w:rFonts w:cs="Times New Roman"/>
                <w:sz w:val="16"/>
                <w:szCs w:val="16"/>
              </w:rPr>
            </w:pPr>
            <w:r w:rsidRPr="00C24622">
              <w:rPr>
                <w:color w:val="000000"/>
                <w:sz w:val="16"/>
                <w:szCs w:val="16"/>
              </w:rPr>
              <w:t>24,4</w:t>
            </w:r>
          </w:p>
        </w:tc>
        <w:tc>
          <w:tcPr>
            <w:tcW w:w="680" w:type="dxa"/>
            <w:vAlign w:val="center"/>
          </w:tcPr>
          <w:p w14:paraId="58C95B26" w14:textId="7A355E83" w:rsidR="00777DE8" w:rsidRPr="00C24622" w:rsidRDefault="00777DE8" w:rsidP="00777DE8">
            <w:pPr>
              <w:ind w:firstLine="0"/>
              <w:jc w:val="center"/>
              <w:rPr>
                <w:rFonts w:cs="Times New Roman"/>
                <w:sz w:val="16"/>
                <w:szCs w:val="16"/>
              </w:rPr>
            </w:pPr>
            <w:r w:rsidRPr="00C24622">
              <w:rPr>
                <w:color w:val="000000"/>
                <w:sz w:val="16"/>
                <w:szCs w:val="16"/>
              </w:rPr>
              <w:t>109,4</w:t>
            </w:r>
          </w:p>
        </w:tc>
        <w:tc>
          <w:tcPr>
            <w:tcW w:w="684" w:type="dxa"/>
            <w:vAlign w:val="center"/>
          </w:tcPr>
          <w:p w14:paraId="3FBAB5B1" w14:textId="46925299" w:rsidR="00777DE8" w:rsidRPr="00C24622" w:rsidRDefault="00777DE8" w:rsidP="00777DE8">
            <w:pPr>
              <w:ind w:firstLine="0"/>
              <w:jc w:val="center"/>
              <w:rPr>
                <w:rFonts w:cs="Times New Roman"/>
                <w:sz w:val="15"/>
                <w:szCs w:val="15"/>
              </w:rPr>
            </w:pPr>
            <w:r w:rsidRPr="00C24622">
              <w:rPr>
                <w:color w:val="000000"/>
                <w:sz w:val="15"/>
                <w:szCs w:val="15"/>
              </w:rPr>
              <w:t>1 541,4</w:t>
            </w:r>
          </w:p>
        </w:tc>
        <w:tc>
          <w:tcPr>
            <w:tcW w:w="850" w:type="dxa"/>
            <w:vAlign w:val="center"/>
          </w:tcPr>
          <w:p w14:paraId="78D92EEC" w14:textId="65999C51" w:rsidR="00777DE8" w:rsidRPr="00C24622" w:rsidRDefault="00777DE8" w:rsidP="00777DE8">
            <w:pPr>
              <w:ind w:firstLine="0"/>
              <w:jc w:val="center"/>
              <w:rPr>
                <w:rFonts w:cs="Times New Roman"/>
                <w:sz w:val="16"/>
                <w:szCs w:val="16"/>
              </w:rPr>
            </w:pPr>
            <w:r w:rsidRPr="00C24622">
              <w:rPr>
                <w:color w:val="000000"/>
                <w:sz w:val="16"/>
                <w:szCs w:val="16"/>
              </w:rPr>
              <w:t>1 375,6</w:t>
            </w:r>
          </w:p>
        </w:tc>
        <w:tc>
          <w:tcPr>
            <w:tcW w:w="851" w:type="dxa"/>
            <w:vAlign w:val="center"/>
          </w:tcPr>
          <w:p w14:paraId="42604260" w14:textId="510EB7F3" w:rsidR="00777DE8" w:rsidRPr="00C24622" w:rsidRDefault="00777DE8" w:rsidP="00777DE8">
            <w:pPr>
              <w:ind w:firstLine="0"/>
              <w:jc w:val="center"/>
              <w:rPr>
                <w:color w:val="000000"/>
                <w:sz w:val="16"/>
                <w:szCs w:val="16"/>
              </w:rPr>
            </w:pPr>
            <w:r w:rsidRPr="00C24622">
              <w:rPr>
                <w:color w:val="000000"/>
                <w:sz w:val="16"/>
                <w:szCs w:val="16"/>
              </w:rPr>
              <w:t>1 675,9</w:t>
            </w:r>
          </w:p>
        </w:tc>
      </w:tr>
      <w:tr w:rsidR="00777DE8" w:rsidRPr="00C24622" w14:paraId="12903835" w14:textId="01DF3D3D" w:rsidTr="008C0450">
        <w:trPr>
          <w:trHeight w:val="374"/>
          <w:jc w:val="center"/>
        </w:trPr>
        <w:tc>
          <w:tcPr>
            <w:tcW w:w="704" w:type="dxa"/>
            <w:hideMark/>
          </w:tcPr>
          <w:p w14:paraId="363F422C"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9.</w:t>
            </w:r>
          </w:p>
          <w:p w14:paraId="33DA665B"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((8./1.)</w:t>
            </w:r>
          </w:p>
          <w:p w14:paraId="5C9578C3"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×100)</w:t>
            </w:r>
          </w:p>
        </w:tc>
        <w:tc>
          <w:tcPr>
            <w:tcW w:w="1418" w:type="dxa"/>
            <w:hideMark/>
          </w:tcPr>
          <w:p w14:paraId="6D46CA85" w14:textId="77777777" w:rsidR="00777DE8" w:rsidRPr="00C24622" w:rsidRDefault="00777DE8" w:rsidP="00777DE8">
            <w:pPr>
              <w:ind w:firstLine="0"/>
              <w:rPr>
                <w:rFonts w:cs="Times New Roman"/>
                <w:sz w:val="18"/>
                <w:szCs w:val="18"/>
              </w:rPr>
            </w:pPr>
            <w:r w:rsidRPr="00C24622">
              <w:rPr>
                <w:rFonts w:cs="Times New Roman"/>
                <w:sz w:val="18"/>
                <w:szCs w:val="18"/>
              </w:rPr>
              <w:t>Uzkrāto bilanču starpības summa, % no IKP</w:t>
            </w:r>
          </w:p>
        </w:tc>
        <w:tc>
          <w:tcPr>
            <w:tcW w:w="680" w:type="dxa"/>
            <w:vAlign w:val="center"/>
          </w:tcPr>
          <w:p w14:paraId="4FD44FEB" w14:textId="58F3B9D5" w:rsidR="00777DE8" w:rsidRPr="00C24622" w:rsidRDefault="00777DE8" w:rsidP="00777DE8">
            <w:pPr>
              <w:ind w:firstLine="0"/>
              <w:jc w:val="center"/>
              <w:rPr>
                <w:rFonts w:cs="Times New Roman"/>
                <w:sz w:val="16"/>
                <w:szCs w:val="16"/>
              </w:rPr>
            </w:pPr>
            <w:r w:rsidRPr="00C24622">
              <w:rPr>
                <w:b/>
                <w:bCs/>
                <w:sz w:val="16"/>
                <w:szCs w:val="16"/>
              </w:rPr>
              <w:t>1,1</w:t>
            </w:r>
          </w:p>
        </w:tc>
        <w:tc>
          <w:tcPr>
            <w:tcW w:w="680" w:type="dxa"/>
            <w:vAlign w:val="center"/>
          </w:tcPr>
          <w:p w14:paraId="1F0AD11A" w14:textId="710BBF89" w:rsidR="00777DE8" w:rsidRPr="00C24622" w:rsidRDefault="00777DE8" w:rsidP="00777DE8">
            <w:pPr>
              <w:ind w:firstLine="0"/>
              <w:jc w:val="center"/>
              <w:rPr>
                <w:rFonts w:cs="Times New Roman"/>
                <w:sz w:val="16"/>
                <w:szCs w:val="16"/>
              </w:rPr>
            </w:pPr>
            <w:r w:rsidRPr="00C24622">
              <w:rPr>
                <w:b/>
                <w:bCs/>
                <w:sz w:val="16"/>
                <w:szCs w:val="16"/>
              </w:rPr>
              <w:t>1,1</w:t>
            </w:r>
          </w:p>
        </w:tc>
        <w:tc>
          <w:tcPr>
            <w:tcW w:w="680" w:type="dxa"/>
            <w:vAlign w:val="center"/>
          </w:tcPr>
          <w:p w14:paraId="7D04870B" w14:textId="5BFFEE4F" w:rsidR="00777DE8" w:rsidRPr="00C24622" w:rsidRDefault="00777DE8" w:rsidP="00777DE8">
            <w:pPr>
              <w:ind w:firstLine="0"/>
              <w:jc w:val="center"/>
              <w:rPr>
                <w:rFonts w:cs="Times New Roman"/>
                <w:sz w:val="16"/>
                <w:szCs w:val="16"/>
              </w:rPr>
            </w:pPr>
            <w:r w:rsidRPr="00C24622">
              <w:rPr>
                <w:b/>
                <w:bCs/>
                <w:sz w:val="16"/>
                <w:szCs w:val="16"/>
              </w:rPr>
              <w:t>0,6</w:t>
            </w:r>
          </w:p>
        </w:tc>
        <w:tc>
          <w:tcPr>
            <w:tcW w:w="680" w:type="dxa"/>
            <w:vAlign w:val="center"/>
          </w:tcPr>
          <w:p w14:paraId="31BD9E78" w14:textId="5F655C58" w:rsidR="00777DE8" w:rsidRPr="00C24622" w:rsidRDefault="00777DE8" w:rsidP="00777DE8">
            <w:pPr>
              <w:ind w:firstLine="0"/>
              <w:jc w:val="center"/>
              <w:rPr>
                <w:rFonts w:cs="Times New Roman"/>
                <w:sz w:val="16"/>
                <w:szCs w:val="16"/>
              </w:rPr>
            </w:pPr>
            <w:r w:rsidRPr="00C24622">
              <w:rPr>
                <w:b/>
                <w:bCs/>
                <w:sz w:val="16"/>
                <w:szCs w:val="16"/>
              </w:rPr>
              <w:t>1,0</w:t>
            </w:r>
          </w:p>
        </w:tc>
        <w:tc>
          <w:tcPr>
            <w:tcW w:w="680" w:type="dxa"/>
            <w:vAlign w:val="center"/>
          </w:tcPr>
          <w:p w14:paraId="5275239B" w14:textId="334417AC" w:rsidR="00777DE8" w:rsidRPr="00C24622" w:rsidRDefault="00777DE8" w:rsidP="00777DE8">
            <w:pPr>
              <w:ind w:firstLine="0"/>
              <w:jc w:val="center"/>
              <w:rPr>
                <w:rFonts w:cs="Times New Roman"/>
                <w:sz w:val="16"/>
                <w:szCs w:val="16"/>
              </w:rPr>
            </w:pPr>
            <w:r w:rsidRPr="00C24622">
              <w:rPr>
                <w:b/>
                <w:bCs/>
                <w:sz w:val="16"/>
                <w:szCs w:val="16"/>
              </w:rPr>
              <w:t>0,8</w:t>
            </w:r>
          </w:p>
        </w:tc>
        <w:tc>
          <w:tcPr>
            <w:tcW w:w="680" w:type="dxa"/>
            <w:vAlign w:val="center"/>
          </w:tcPr>
          <w:p w14:paraId="72E3CC1E" w14:textId="5DF44321" w:rsidR="00777DE8" w:rsidRPr="00C24622" w:rsidRDefault="00777DE8" w:rsidP="00777DE8">
            <w:pPr>
              <w:ind w:firstLine="0"/>
              <w:jc w:val="center"/>
              <w:rPr>
                <w:rFonts w:cs="Times New Roman"/>
                <w:sz w:val="16"/>
                <w:szCs w:val="16"/>
              </w:rPr>
            </w:pPr>
            <w:r w:rsidRPr="00C24622">
              <w:rPr>
                <w:b/>
                <w:bCs/>
                <w:sz w:val="16"/>
                <w:szCs w:val="16"/>
              </w:rPr>
              <w:t>-1,0</w:t>
            </w:r>
          </w:p>
        </w:tc>
        <w:tc>
          <w:tcPr>
            <w:tcW w:w="680" w:type="dxa"/>
            <w:vAlign w:val="center"/>
          </w:tcPr>
          <w:p w14:paraId="281AA0CC" w14:textId="307A1D59" w:rsidR="00777DE8" w:rsidRPr="00C24622" w:rsidRDefault="00777DE8" w:rsidP="00777DE8">
            <w:pPr>
              <w:ind w:firstLine="0"/>
              <w:jc w:val="center"/>
              <w:rPr>
                <w:rFonts w:cs="Times New Roman"/>
                <w:sz w:val="16"/>
                <w:szCs w:val="16"/>
              </w:rPr>
            </w:pPr>
            <w:r w:rsidRPr="00C24622">
              <w:rPr>
                <w:b/>
                <w:bCs/>
                <w:sz w:val="16"/>
                <w:szCs w:val="16"/>
              </w:rPr>
              <w:t>-1,0</w:t>
            </w:r>
          </w:p>
        </w:tc>
        <w:tc>
          <w:tcPr>
            <w:tcW w:w="680" w:type="dxa"/>
            <w:vAlign w:val="center"/>
          </w:tcPr>
          <w:p w14:paraId="20977C5E" w14:textId="2D3ACA1C" w:rsidR="00777DE8" w:rsidRPr="00C24622" w:rsidRDefault="00777DE8" w:rsidP="00777DE8">
            <w:pPr>
              <w:ind w:firstLine="0"/>
              <w:jc w:val="center"/>
              <w:rPr>
                <w:rFonts w:cs="Times New Roman"/>
                <w:sz w:val="16"/>
                <w:szCs w:val="16"/>
              </w:rPr>
            </w:pPr>
            <w:r w:rsidRPr="00C24622">
              <w:rPr>
                <w:b/>
                <w:bCs/>
                <w:sz w:val="16"/>
                <w:szCs w:val="16"/>
              </w:rPr>
              <w:t>0,1</w:t>
            </w:r>
          </w:p>
        </w:tc>
        <w:tc>
          <w:tcPr>
            <w:tcW w:w="680" w:type="dxa"/>
            <w:vAlign w:val="center"/>
          </w:tcPr>
          <w:p w14:paraId="6E8AD5D9" w14:textId="18C9F555" w:rsidR="00777DE8" w:rsidRPr="00C24622" w:rsidRDefault="00777DE8" w:rsidP="00777DE8">
            <w:pPr>
              <w:ind w:firstLine="0"/>
              <w:jc w:val="center"/>
              <w:rPr>
                <w:rFonts w:cs="Times New Roman"/>
                <w:sz w:val="16"/>
                <w:szCs w:val="16"/>
              </w:rPr>
            </w:pPr>
            <w:r w:rsidRPr="00C24622">
              <w:rPr>
                <w:b/>
                <w:bCs/>
                <w:sz w:val="16"/>
                <w:szCs w:val="16"/>
              </w:rPr>
              <w:t>0,3</w:t>
            </w:r>
          </w:p>
        </w:tc>
        <w:tc>
          <w:tcPr>
            <w:tcW w:w="684" w:type="dxa"/>
            <w:vAlign w:val="center"/>
          </w:tcPr>
          <w:p w14:paraId="5F3ACC68" w14:textId="1827E22D" w:rsidR="00777DE8" w:rsidRPr="00C24622" w:rsidRDefault="00777DE8" w:rsidP="00777DE8">
            <w:pPr>
              <w:ind w:firstLine="0"/>
              <w:jc w:val="center"/>
              <w:rPr>
                <w:rFonts w:cs="Times New Roman"/>
                <w:sz w:val="16"/>
                <w:szCs w:val="16"/>
              </w:rPr>
            </w:pPr>
            <w:r w:rsidRPr="00C24622">
              <w:rPr>
                <w:b/>
                <w:bCs/>
                <w:sz w:val="16"/>
                <w:szCs w:val="16"/>
              </w:rPr>
              <w:t>4,3</w:t>
            </w:r>
          </w:p>
        </w:tc>
        <w:tc>
          <w:tcPr>
            <w:tcW w:w="850" w:type="dxa"/>
            <w:vAlign w:val="center"/>
          </w:tcPr>
          <w:p w14:paraId="6DC0A53E" w14:textId="5FA4FBDA" w:rsidR="00777DE8" w:rsidRPr="00C24622" w:rsidRDefault="00777DE8" w:rsidP="00777DE8">
            <w:pPr>
              <w:ind w:firstLine="0"/>
              <w:jc w:val="center"/>
              <w:rPr>
                <w:rFonts w:cs="Times New Roman"/>
                <w:b/>
                <w:bCs/>
                <w:sz w:val="16"/>
                <w:szCs w:val="16"/>
              </w:rPr>
            </w:pPr>
            <w:r w:rsidRPr="00C24622">
              <w:rPr>
                <w:b/>
                <w:bCs/>
                <w:sz w:val="16"/>
                <w:szCs w:val="16"/>
              </w:rPr>
              <w:t>3,5</w:t>
            </w:r>
          </w:p>
        </w:tc>
        <w:tc>
          <w:tcPr>
            <w:tcW w:w="851" w:type="dxa"/>
            <w:vAlign w:val="center"/>
          </w:tcPr>
          <w:p w14:paraId="6C3CF0E6" w14:textId="575EBD06" w:rsidR="00777DE8" w:rsidRPr="00C24622" w:rsidRDefault="00777DE8" w:rsidP="00777DE8">
            <w:pPr>
              <w:ind w:firstLine="0"/>
              <w:jc w:val="center"/>
              <w:rPr>
                <w:b/>
                <w:bCs/>
                <w:sz w:val="16"/>
                <w:szCs w:val="16"/>
              </w:rPr>
            </w:pPr>
            <w:r w:rsidRPr="00C24622">
              <w:rPr>
                <w:b/>
                <w:bCs/>
                <w:sz w:val="16"/>
                <w:szCs w:val="16"/>
              </w:rPr>
              <w:t>4,2</w:t>
            </w:r>
          </w:p>
        </w:tc>
      </w:tr>
      <w:tr w:rsidR="00777DE8" w:rsidRPr="00C24622" w14:paraId="5EBA1599" w14:textId="78F29A0B" w:rsidTr="008C0450">
        <w:trPr>
          <w:trHeight w:val="460"/>
          <w:jc w:val="center"/>
        </w:trPr>
        <w:tc>
          <w:tcPr>
            <w:tcW w:w="704" w:type="dxa"/>
            <w:hideMark/>
          </w:tcPr>
          <w:p w14:paraId="41C90652"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lastRenderedPageBreak/>
              <w:t>10</w:t>
            </w:r>
          </w:p>
        </w:tc>
        <w:tc>
          <w:tcPr>
            <w:tcW w:w="1418" w:type="dxa"/>
            <w:hideMark/>
          </w:tcPr>
          <w:p w14:paraId="5804530D" w14:textId="77777777" w:rsidR="00777DE8" w:rsidRPr="00C24622" w:rsidRDefault="00777DE8" w:rsidP="00777DE8">
            <w:pPr>
              <w:ind w:firstLine="0"/>
              <w:rPr>
                <w:rFonts w:cs="Times New Roman"/>
                <w:sz w:val="18"/>
                <w:szCs w:val="18"/>
              </w:rPr>
            </w:pPr>
            <w:r w:rsidRPr="00C24622">
              <w:rPr>
                <w:rFonts w:cs="Times New Roman"/>
                <w:sz w:val="18"/>
                <w:szCs w:val="18"/>
              </w:rPr>
              <w:t xml:space="preserve">FDL 11. panta nosacījums, % no IKP </w:t>
            </w:r>
          </w:p>
        </w:tc>
        <w:tc>
          <w:tcPr>
            <w:tcW w:w="680" w:type="dxa"/>
            <w:vAlign w:val="center"/>
          </w:tcPr>
          <w:p w14:paraId="38F2FCB4" w14:textId="0AD32FD3"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0" w:type="dxa"/>
            <w:vAlign w:val="center"/>
          </w:tcPr>
          <w:p w14:paraId="5CD55D35" w14:textId="0819DD54"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0" w:type="dxa"/>
            <w:vAlign w:val="center"/>
          </w:tcPr>
          <w:p w14:paraId="00658F9A" w14:textId="0CC0FFAA"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0" w:type="dxa"/>
            <w:vAlign w:val="center"/>
          </w:tcPr>
          <w:p w14:paraId="5342B626" w14:textId="622E4DD2"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0" w:type="dxa"/>
            <w:vAlign w:val="center"/>
          </w:tcPr>
          <w:p w14:paraId="4152BA48" w14:textId="4BC96644"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0" w:type="dxa"/>
            <w:vAlign w:val="center"/>
          </w:tcPr>
          <w:p w14:paraId="1DC1224B" w14:textId="2865C9F0"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0" w:type="dxa"/>
            <w:vAlign w:val="center"/>
          </w:tcPr>
          <w:p w14:paraId="154D4B53" w14:textId="0DC3CBDE"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0" w:type="dxa"/>
            <w:vAlign w:val="center"/>
          </w:tcPr>
          <w:p w14:paraId="514F6BD8" w14:textId="1E19F934"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0" w:type="dxa"/>
            <w:vAlign w:val="center"/>
          </w:tcPr>
          <w:p w14:paraId="6EE91C40" w14:textId="16BB9DCF"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684" w:type="dxa"/>
            <w:vAlign w:val="center"/>
          </w:tcPr>
          <w:p w14:paraId="7FEDBAD5" w14:textId="78252948"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850" w:type="dxa"/>
            <w:vAlign w:val="center"/>
          </w:tcPr>
          <w:p w14:paraId="5E2579AF" w14:textId="554458B8" w:rsidR="00777DE8" w:rsidRPr="00C24622" w:rsidRDefault="00777DE8" w:rsidP="00777DE8">
            <w:pPr>
              <w:ind w:firstLine="0"/>
              <w:jc w:val="center"/>
              <w:rPr>
                <w:rFonts w:cs="Times New Roman"/>
                <w:b/>
                <w:bCs/>
                <w:sz w:val="16"/>
                <w:szCs w:val="16"/>
              </w:rPr>
            </w:pPr>
            <w:r w:rsidRPr="00C24622">
              <w:rPr>
                <w:b/>
                <w:bCs/>
                <w:color w:val="000000"/>
                <w:sz w:val="16"/>
                <w:szCs w:val="16"/>
              </w:rPr>
              <w:t>-0,5</w:t>
            </w:r>
          </w:p>
        </w:tc>
        <w:tc>
          <w:tcPr>
            <w:tcW w:w="851" w:type="dxa"/>
            <w:vAlign w:val="center"/>
          </w:tcPr>
          <w:p w14:paraId="0E0C9DE5" w14:textId="3A0C66B5" w:rsidR="00777DE8" w:rsidRPr="00C24622" w:rsidRDefault="00777DE8" w:rsidP="00777DE8">
            <w:pPr>
              <w:ind w:firstLine="0"/>
              <w:jc w:val="center"/>
              <w:rPr>
                <w:rFonts w:cs="Times New Roman"/>
                <w:sz w:val="16"/>
                <w:szCs w:val="16"/>
              </w:rPr>
            </w:pPr>
            <w:r w:rsidRPr="00C24622">
              <w:rPr>
                <w:b/>
                <w:bCs/>
                <w:color w:val="000000"/>
                <w:sz w:val="16"/>
                <w:szCs w:val="16"/>
              </w:rPr>
              <w:t>-0,5</w:t>
            </w:r>
          </w:p>
        </w:tc>
      </w:tr>
      <w:tr w:rsidR="00777DE8" w:rsidRPr="00D8017D" w14:paraId="65DC3868" w14:textId="15122473" w:rsidTr="008C0450">
        <w:trPr>
          <w:trHeight w:val="137"/>
          <w:jc w:val="center"/>
        </w:trPr>
        <w:tc>
          <w:tcPr>
            <w:tcW w:w="704" w:type="dxa"/>
            <w:hideMark/>
          </w:tcPr>
          <w:p w14:paraId="23DB856C" w14:textId="77777777" w:rsidR="00777DE8" w:rsidRPr="00C24622" w:rsidRDefault="00777DE8" w:rsidP="00777DE8">
            <w:pPr>
              <w:ind w:firstLine="0"/>
              <w:jc w:val="right"/>
              <w:rPr>
                <w:rFonts w:cs="Times New Roman"/>
                <w:i/>
                <w:iCs/>
                <w:sz w:val="16"/>
                <w:szCs w:val="16"/>
              </w:rPr>
            </w:pPr>
            <w:r w:rsidRPr="00C24622">
              <w:rPr>
                <w:rFonts w:cs="Times New Roman"/>
                <w:i/>
                <w:iCs/>
                <w:sz w:val="16"/>
                <w:szCs w:val="16"/>
              </w:rPr>
              <w:t>11</w:t>
            </w:r>
          </w:p>
        </w:tc>
        <w:tc>
          <w:tcPr>
            <w:tcW w:w="1418" w:type="dxa"/>
            <w:hideMark/>
          </w:tcPr>
          <w:p w14:paraId="379A36DC" w14:textId="77777777" w:rsidR="00777DE8" w:rsidRPr="00C24622" w:rsidRDefault="00777DE8" w:rsidP="00777DE8">
            <w:pPr>
              <w:ind w:firstLine="0"/>
              <w:rPr>
                <w:rFonts w:cs="Times New Roman"/>
                <w:sz w:val="18"/>
                <w:szCs w:val="18"/>
              </w:rPr>
            </w:pPr>
            <w:r w:rsidRPr="00C24622">
              <w:rPr>
                <w:rFonts w:cs="Times New Roman"/>
                <w:sz w:val="18"/>
                <w:szCs w:val="18"/>
              </w:rPr>
              <w:t>Ir jākoriģē, ja 9.&lt;10.</w:t>
            </w:r>
          </w:p>
        </w:tc>
        <w:tc>
          <w:tcPr>
            <w:tcW w:w="680" w:type="dxa"/>
            <w:vAlign w:val="center"/>
          </w:tcPr>
          <w:p w14:paraId="3237595C" w14:textId="3AE2F853" w:rsidR="00777DE8" w:rsidRPr="00C24622" w:rsidRDefault="00777DE8" w:rsidP="00777DE8">
            <w:pPr>
              <w:ind w:firstLine="0"/>
              <w:jc w:val="center"/>
              <w:rPr>
                <w:rFonts w:cs="Times New Roman"/>
                <w:sz w:val="16"/>
                <w:szCs w:val="16"/>
              </w:rPr>
            </w:pPr>
            <w:r w:rsidRPr="00C24622">
              <w:rPr>
                <w:rFonts w:ascii="Calibri" w:hAnsi="Calibri" w:cs="Calibri"/>
                <w:color w:val="000000"/>
                <w:sz w:val="22"/>
              </w:rPr>
              <w:t> </w:t>
            </w:r>
          </w:p>
        </w:tc>
        <w:tc>
          <w:tcPr>
            <w:tcW w:w="680" w:type="dxa"/>
            <w:vAlign w:val="center"/>
          </w:tcPr>
          <w:p w14:paraId="106BE42F" w14:textId="094BA189" w:rsidR="00777DE8" w:rsidRPr="00C24622" w:rsidRDefault="00777DE8" w:rsidP="00777DE8">
            <w:pPr>
              <w:ind w:firstLine="0"/>
              <w:jc w:val="center"/>
              <w:rPr>
                <w:rFonts w:cs="Times New Roman"/>
                <w:sz w:val="16"/>
                <w:szCs w:val="16"/>
              </w:rPr>
            </w:pPr>
            <w:r w:rsidRPr="00C24622">
              <w:rPr>
                <w:rFonts w:ascii="Calibri" w:hAnsi="Calibri" w:cs="Calibri"/>
                <w:color w:val="000000"/>
                <w:sz w:val="22"/>
              </w:rPr>
              <w:t> </w:t>
            </w:r>
          </w:p>
        </w:tc>
        <w:tc>
          <w:tcPr>
            <w:tcW w:w="680" w:type="dxa"/>
            <w:vAlign w:val="center"/>
          </w:tcPr>
          <w:p w14:paraId="161D96AD" w14:textId="26F25182" w:rsidR="00777DE8" w:rsidRPr="00C24622" w:rsidRDefault="00777DE8" w:rsidP="00777DE8">
            <w:pPr>
              <w:ind w:firstLine="0"/>
              <w:jc w:val="center"/>
              <w:rPr>
                <w:rFonts w:cs="Times New Roman"/>
                <w:sz w:val="16"/>
                <w:szCs w:val="16"/>
              </w:rPr>
            </w:pPr>
            <w:r w:rsidRPr="00C24622">
              <w:rPr>
                <w:rFonts w:ascii="Calibri" w:hAnsi="Calibri" w:cs="Calibri"/>
                <w:color w:val="000000"/>
                <w:sz w:val="22"/>
              </w:rPr>
              <w:t> </w:t>
            </w:r>
          </w:p>
        </w:tc>
        <w:tc>
          <w:tcPr>
            <w:tcW w:w="680" w:type="dxa"/>
            <w:vAlign w:val="center"/>
          </w:tcPr>
          <w:p w14:paraId="082A15C9" w14:textId="286CFB07" w:rsidR="00777DE8" w:rsidRPr="00C24622" w:rsidRDefault="00777DE8" w:rsidP="00777DE8">
            <w:pPr>
              <w:ind w:firstLine="0"/>
              <w:jc w:val="center"/>
              <w:rPr>
                <w:rFonts w:cs="Times New Roman"/>
                <w:sz w:val="16"/>
                <w:szCs w:val="16"/>
              </w:rPr>
            </w:pPr>
            <w:r w:rsidRPr="00C24622">
              <w:rPr>
                <w:rFonts w:ascii="Calibri" w:hAnsi="Calibri" w:cs="Calibri"/>
                <w:color w:val="000000"/>
                <w:sz w:val="22"/>
              </w:rPr>
              <w:t> </w:t>
            </w:r>
          </w:p>
        </w:tc>
        <w:tc>
          <w:tcPr>
            <w:tcW w:w="680" w:type="dxa"/>
            <w:vAlign w:val="center"/>
          </w:tcPr>
          <w:p w14:paraId="51927691" w14:textId="729D16C7" w:rsidR="00777DE8" w:rsidRPr="00C24622" w:rsidRDefault="00777DE8" w:rsidP="00777DE8">
            <w:pPr>
              <w:ind w:firstLine="0"/>
              <w:jc w:val="center"/>
              <w:rPr>
                <w:rFonts w:cs="Times New Roman"/>
                <w:sz w:val="16"/>
                <w:szCs w:val="16"/>
              </w:rPr>
            </w:pPr>
            <w:r w:rsidRPr="00C24622">
              <w:rPr>
                <w:rFonts w:ascii="Calibri" w:hAnsi="Calibri" w:cs="Calibri"/>
                <w:color w:val="000000"/>
                <w:sz w:val="22"/>
              </w:rPr>
              <w:t> </w:t>
            </w:r>
          </w:p>
        </w:tc>
        <w:tc>
          <w:tcPr>
            <w:tcW w:w="680" w:type="dxa"/>
            <w:vAlign w:val="center"/>
          </w:tcPr>
          <w:p w14:paraId="7ADB7B81" w14:textId="33240444" w:rsidR="00777DE8" w:rsidRPr="00C24622" w:rsidRDefault="00777DE8" w:rsidP="00777DE8">
            <w:pPr>
              <w:ind w:firstLine="0"/>
              <w:jc w:val="center"/>
              <w:rPr>
                <w:rFonts w:cs="Times New Roman"/>
                <w:sz w:val="16"/>
                <w:szCs w:val="16"/>
              </w:rPr>
            </w:pPr>
            <w:r w:rsidRPr="00C24622">
              <w:rPr>
                <w:rFonts w:ascii="Calibri" w:hAnsi="Calibri" w:cs="Calibri"/>
                <w:color w:val="000000"/>
                <w:sz w:val="22"/>
              </w:rPr>
              <w:t> </w:t>
            </w:r>
          </w:p>
        </w:tc>
        <w:tc>
          <w:tcPr>
            <w:tcW w:w="680" w:type="dxa"/>
            <w:vAlign w:val="center"/>
          </w:tcPr>
          <w:p w14:paraId="511DF41B" w14:textId="18B3069C" w:rsidR="00777DE8" w:rsidRPr="00C24622" w:rsidRDefault="00777DE8" w:rsidP="00777DE8">
            <w:pPr>
              <w:ind w:firstLine="0"/>
              <w:jc w:val="center"/>
              <w:rPr>
                <w:rFonts w:cs="Times New Roman"/>
                <w:b/>
                <w:bCs/>
                <w:sz w:val="16"/>
                <w:szCs w:val="16"/>
              </w:rPr>
            </w:pPr>
            <w:r w:rsidRPr="00C24622">
              <w:rPr>
                <w:b/>
                <w:bCs/>
                <w:sz w:val="18"/>
                <w:szCs w:val="18"/>
              </w:rPr>
              <w:t> </w:t>
            </w:r>
          </w:p>
        </w:tc>
        <w:tc>
          <w:tcPr>
            <w:tcW w:w="680" w:type="dxa"/>
            <w:vAlign w:val="center"/>
          </w:tcPr>
          <w:p w14:paraId="052A8D8C" w14:textId="5E42C508" w:rsidR="00777DE8" w:rsidRPr="00C24622" w:rsidRDefault="00777DE8" w:rsidP="00777DE8">
            <w:pPr>
              <w:ind w:firstLine="0"/>
              <w:jc w:val="center"/>
              <w:rPr>
                <w:rFonts w:cs="Times New Roman"/>
                <w:b/>
                <w:bCs/>
                <w:sz w:val="16"/>
                <w:szCs w:val="16"/>
              </w:rPr>
            </w:pPr>
            <w:r w:rsidRPr="00C24622">
              <w:rPr>
                <w:b/>
                <w:bCs/>
                <w:sz w:val="18"/>
                <w:szCs w:val="18"/>
              </w:rPr>
              <w:t> </w:t>
            </w:r>
          </w:p>
        </w:tc>
        <w:tc>
          <w:tcPr>
            <w:tcW w:w="680" w:type="dxa"/>
            <w:vAlign w:val="center"/>
          </w:tcPr>
          <w:p w14:paraId="4C84F040" w14:textId="51DA6CAA" w:rsidR="00777DE8" w:rsidRPr="00C24622" w:rsidRDefault="00777DE8" w:rsidP="00777DE8">
            <w:pPr>
              <w:ind w:firstLine="0"/>
              <w:jc w:val="center"/>
              <w:rPr>
                <w:rFonts w:cs="Times New Roman"/>
                <w:b/>
                <w:bCs/>
                <w:sz w:val="16"/>
                <w:szCs w:val="16"/>
              </w:rPr>
            </w:pPr>
            <w:r w:rsidRPr="00C24622">
              <w:rPr>
                <w:b/>
                <w:bCs/>
                <w:sz w:val="18"/>
                <w:szCs w:val="18"/>
              </w:rPr>
              <w:t> </w:t>
            </w:r>
          </w:p>
        </w:tc>
        <w:tc>
          <w:tcPr>
            <w:tcW w:w="684" w:type="dxa"/>
            <w:vAlign w:val="center"/>
          </w:tcPr>
          <w:p w14:paraId="2301B087" w14:textId="443D7F80" w:rsidR="00777DE8" w:rsidRPr="00C24622" w:rsidRDefault="00777DE8" w:rsidP="00777DE8">
            <w:pPr>
              <w:ind w:firstLine="0"/>
              <w:jc w:val="center"/>
              <w:rPr>
                <w:rFonts w:cs="Times New Roman"/>
                <w:b/>
                <w:bCs/>
                <w:sz w:val="16"/>
                <w:szCs w:val="16"/>
              </w:rPr>
            </w:pPr>
            <w:r w:rsidRPr="00C24622">
              <w:rPr>
                <w:b/>
                <w:bCs/>
                <w:sz w:val="18"/>
                <w:szCs w:val="18"/>
              </w:rPr>
              <w:t> </w:t>
            </w:r>
          </w:p>
        </w:tc>
        <w:tc>
          <w:tcPr>
            <w:tcW w:w="850" w:type="dxa"/>
            <w:vAlign w:val="center"/>
          </w:tcPr>
          <w:p w14:paraId="12DDE664" w14:textId="7556FEFD" w:rsidR="00777DE8" w:rsidRPr="00C24622" w:rsidRDefault="00777DE8" w:rsidP="00777DE8">
            <w:pPr>
              <w:ind w:firstLine="0"/>
              <w:jc w:val="center"/>
              <w:rPr>
                <w:rFonts w:cs="Times New Roman"/>
                <w:b/>
                <w:bCs/>
                <w:sz w:val="16"/>
                <w:szCs w:val="16"/>
              </w:rPr>
            </w:pPr>
            <w:r w:rsidRPr="00C24622">
              <w:rPr>
                <w:b/>
                <w:bCs/>
                <w:sz w:val="18"/>
                <w:szCs w:val="18"/>
              </w:rPr>
              <w:t> </w:t>
            </w:r>
          </w:p>
        </w:tc>
        <w:tc>
          <w:tcPr>
            <w:tcW w:w="851" w:type="dxa"/>
            <w:vAlign w:val="center"/>
          </w:tcPr>
          <w:p w14:paraId="740D037A" w14:textId="2581161D" w:rsidR="00777DE8" w:rsidRPr="008C0450" w:rsidRDefault="00777DE8" w:rsidP="00777DE8">
            <w:pPr>
              <w:ind w:firstLine="0"/>
              <w:jc w:val="center"/>
              <w:rPr>
                <w:rFonts w:cs="Times New Roman"/>
                <w:sz w:val="16"/>
                <w:szCs w:val="16"/>
              </w:rPr>
            </w:pPr>
            <w:r w:rsidRPr="008C0450">
              <w:rPr>
                <w:b/>
                <w:bCs/>
                <w:sz w:val="16"/>
                <w:szCs w:val="16"/>
              </w:rPr>
              <w:t>Nav jākoriģē</w:t>
            </w:r>
          </w:p>
        </w:tc>
      </w:tr>
    </w:tbl>
    <w:p w14:paraId="29B8517B" w14:textId="77777777" w:rsidR="005B7C54" w:rsidRPr="00D8017D" w:rsidRDefault="005B7C54" w:rsidP="00D83C9B">
      <w:pPr>
        <w:spacing w:after="0"/>
        <w:ind w:firstLine="0"/>
        <w:rPr>
          <w:rFonts w:eastAsia="Times New Roman" w:cs="Times New Roman"/>
          <w:szCs w:val="24"/>
          <w:highlight w:val="lightGray"/>
        </w:rPr>
      </w:pPr>
    </w:p>
    <w:p w14:paraId="3E80CC31" w14:textId="3A69FD2B" w:rsidR="000D4D00" w:rsidRPr="00777DE8" w:rsidRDefault="00555C2A" w:rsidP="008349F0">
      <w:pPr>
        <w:rPr>
          <w:rFonts w:eastAsia="Times New Roman" w:cs="Times New Roman"/>
          <w:szCs w:val="24"/>
        </w:rPr>
      </w:pPr>
      <w:r w:rsidRPr="00777DE8">
        <w:rPr>
          <w:rFonts w:eastAsia="Times New Roman" w:cs="Times New Roman"/>
          <w:szCs w:val="24"/>
        </w:rPr>
        <w:t>Salīdzinot ar likumu “</w:t>
      </w:r>
      <w:r w:rsidR="00DD4247" w:rsidRPr="00777DE8">
        <w:rPr>
          <w:rFonts w:eastAsia="Times New Roman" w:cs="Times New Roman"/>
          <w:szCs w:val="24"/>
        </w:rPr>
        <w:t>Par valsts budžetu 202</w:t>
      </w:r>
      <w:r w:rsidR="00777DE8" w:rsidRPr="00777DE8">
        <w:rPr>
          <w:rFonts w:eastAsia="Times New Roman" w:cs="Times New Roman"/>
          <w:szCs w:val="24"/>
        </w:rPr>
        <w:t>5</w:t>
      </w:r>
      <w:r w:rsidR="00DD4247" w:rsidRPr="00777DE8">
        <w:rPr>
          <w:rFonts w:eastAsia="Times New Roman" w:cs="Times New Roman"/>
          <w:szCs w:val="24"/>
        </w:rPr>
        <w:t>. gadam un budžeta ietvaru 202</w:t>
      </w:r>
      <w:r w:rsidR="00777DE8" w:rsidRPr="00777DE8">
        <w:rPr>
          <w:rFonts w:eastAsia="Times New Roman" w:cs="Times New Roman"/>
          <w:szCs w:val="24"/>
        </w:rPr>
        <w:t>5</w:t>
      </w:r>
      <w:r w:rsidR="00DD4247" w:rsidRPr="00777DE8">
        <w:rPr>
          <w:rFonts w:eastAsia="Times New Roman" w:cs="Times New Roman"/>
          <w:szCs w:val="24"/>
        </w:rPr>
        <w:t>., 202</w:t>
      </w:r>
      <w:r w:rsidR="00777DE8" w:rsidRPr="00777DE8">
        <w:rPr>
          <w:rFonts w:eastAsia="Times New Roman" w:cs="Times New Roman"/>
          <w:szCs w:val="24"/>
        </w:rPr>
        <w:t>6</w:t>
      </w:r>
      <w:r w:rsidR="00DD4247" w:rsidRPr="00777DE8">
        <w:rPr>
          <w:rFonts w:eastAsia="Times New Roman" w:cs="Times New Roman"/>
          <w:szCs w:val="24"/>
        </w:rPr>
        <w:t>. un 202</w:t>
      </w:r>
      <w:r w:rsidR="00777DE8" w:rsidRPr="00777DE8">
        <w:rPr>
          <w:rFonts w:eastAsia="Times New Roman" w:cs="Times New Roman"/>
          <w:szCs w:val="24"/>
        </w:rPr>
        <w:t>7</w:t>
      </w:r>
      <w:r w:rsidR="00DD4247" w:rsidRPr="00777DE8">
        <w:rPr>
          <w:rFonts w:eastAsia="Times New Roman" w:cs="Times New Roman"/>
          <w:szCs w:val="24"/>
        </w:rPr>
        <w:t>. gad</w:t>
      </w:r>
      <w:r w:rsidR="00F067FC" w:rsidRPr="00777DE8">
        <w:rPr>
          <w:rFonts w:eastAsia="Times New Roman" w:cs="Times New Roman"/>
          <w:szCs w:val="24"/>
        </w:rPr>
        <w:t>a</w:t>
      </w:r>
      <w:r w:rsidR="00DD4247" w:rsidRPr="00777DE8">
        <w:rPr>
          <w:rFonts w:eastAsia="Times New Roman" w:cs="Times New Roman"/>
          <w:szCs w:val="24"/>
        </w:rPr>
        <w:t>m”</w:t>
      </w:r>
      <w:r w:rsidR="000D4D00" w:rsidRPr="00777DE8">
        <w:rPr>
          <w:rFonts w:eastAsia="Times New Roman" w:cs="Times New Roman"/>
          <w:szCs w:val="24"/>
        </w:rPr>
        <w:t xml:space="preserve"> tika precizēti vispārējās valdības strukturālās bilances faktiskie rādītāji visā apskatāmajā laika periodā. Izmaiņas sk</w:t>
      </w:r>
      <w:r w:rsidRPr="00777DE8">
        <w:rPr>
          <w:rFonts w:eastAsia="Times New Roman" w:cs="Times New Roman"/>
          <w:szCs w:val="24"/>
        </w:rPr>
        <w:t xml:space="preserve">aidrojamas gan ar potenciāla </w:t>
      </w:r>
      <w:r w:rsidR="00BB74C0" w:rsidRPr="00777DE8">
        <w:rPr>
          <w:rFonts w:eastAsia="Times New Roman" w:cs="Times New Roman"/>
          <w:szCs w:val="24"/>
        </w:rPr>
        <w:t>IKP</w:t>
      </w:r>
      <w:r w:rsidR="000D4D00" w:rsidRPr="00777DE8">
        <w:rPr>
          <w:rFonts w:eastAsia="Times New Roman" w:cs="Times New Roman"/>
          <w:szCs w:val="24"/>
        </w:rPr>
        <w:t xml:space="preserve"> pārskatīšanu</w:t>
      </w:r>
      <w:r w:rsidRPr="00777DE8">
        <w:rPr>
          <w:rFonts w:eastAsia="Times New Roman" w:cs="Times New Roman"/>
          <w:szCs w:val="24"/>
        </w:rPr>
        <w:t xml:space="preserve"> no </w:t>
      </w:r>
      <w:r w:rsidR="005B7C54" w:rsidRPr="00777DE8">
        <w:rPr>
          <w:rFonts w:eastAsia="Times New Roman" w:cs="Times New Roman"/>
          <w:szCs w:val="24"/>
        </w:rPr>
        <w:t>FM</w:t>
      </w:r>
      <w:r w:rsidR="000D4D00" w:rsidRPr="00777DE8">
        <w:rPr>
          <w:rFonts w:eastAsia="Times New Roman" w:cs="Times New Roman"/>
          <w:szCs w:val="24"/>
        </w:rPr>
        <w:t xml:space="preserve"> puses, gan ar faktisko </w:t>
      </w:r>
      <w:r w:rsidR="00096F2A" w:rsidRPr="00777DE8">
        <w:rPr>
          <w:rFonts w:eastAsia="Times New Roman" w:cs="Times New Roman"/>
          <w:szCs w:val="24"/>
        </w:rPr>
        <w:t>IKP</w:t>
      </w:r>
      <w:r w:rsidRPr="00777DE8">
        <w:rPr>
          <w:rFonts w:eastAsia="Times New Roman" w:cs="Times New Roman"/>
          <w:szCs w:val="24"/>
        </w:rPr>
        <w:t xml:space="preserve"> datu korekciju, ko veic </w:t>
      </w:r>
      <w:r w:rsidR="005B7C54" w:rsidRPr="00777DE8">
        <w:rPr>
          <w:rFonts w:eastAsia="Times New Roman" w:cs="Times New Roman"/>
          <w:szCs w:val="24"/>
        </w:rPr>
        <w:t>CSP</w:t>
      </w:r>
      <w:r w:rsidR="000D4D00" w:rsidRPr="00777DE8">
        <w:rPr>
          <w:rFonts w:eastAsia="Times New Roman" w:cs="Times New Roman"/>
          <w:szCs w:val="24"/>
        </w:rPr>
        <w:t>, kas ietekmēja cikliskās komponentes rādītājus un līdz ar to arī vispārējās valdības strukturālo bil</w:t>
      </w:r>
      <w:r w:rsidRPr="00777DE8">
        <w:rPr>
          <w:rFonts w:eastAsia="Times New Roman" w:cs="Times New Roman"/>
          <w:szCs w:val="24"/>
        </w:rPr>
        <w:t xml:space="preserve">anci. Rezultātā, </w:t>
      </w:r>
      <w:r w:rsidR="00F067FC" w:rsidRPr="00777DE8">
        <w:rPr>
          <w:rFonts w:eastAsia="Times New Roman" w:cs="Times New Roman"/>
          <w:szCs w:val="24"/>
        </w:rPr>
        <w:t>sa</w:t>
      </w:r>
      <w:r w:rsidRPr="00777DE8">
        <w:rPr>
          <w:rFonts w:eastAsia="Times New Roman" w:cs="Times New Roman"/>
          <w:szCs w:val="24"/>
        </w:rPr>
        <w:t>gatavojot likumprojektu “</w:t>
      </w:r>
      <w:r w:rsidR="007D1798" w:rsidRPr="00777DE8">
        <w:t>Par valsts budžetu 202</w:t>
      </w:r>
      <w:r w:rsidR="00777DE8">
        <w:t>6</w:t>
      </w:r>
      <w:r w:rsidR="007D1798" w:rsidRPr="00777DE8">
        <w:t>.</w:t>
      </w:r>
      <w:r w:rsidR="00811382" w:rsidRPr="00777DE8">
        <w:t xml:space="preserve"> </w:t>
      </w:r>
      <w:r w:rsidR="007D1798" w:rsidRPr="00777DE8">
        <w:t>gadam un budžeta ietvaru 202</w:t>
      </w:r>
      <w:r w:rsidR="00777DE8">
        <w:t>6</w:t>
      </w:r>
      <w:r w:rsidR="007D1798" w:rsidRPr="00777DE8">
        <w:t>., 202</w:t>
      </w:r>
      <w:r w:rsidR="00777DE8">
        <w:t>7</w:t>
      </w:r>
      <w:r w:rsidR="007D1798" w:rsidRPr="00777DE8">
        <w:t>. un 202</w:t>
      </w:r>
      <w:r w:rsidR="00777DE8">
        <w:t>8</w:t>
      </w:r>
      <w:r w:rsidR="007D1798" w:rsidRPr="00777DE8">
        <w:t>.</w:t>
      </w:r>
      <w:r w:rsidR="00811382" w:rsidRPr="00777DE8">
        <w:t xml:space="preserve"> </w:t>
      </w:r>
      <w:r w:rsidR="007D1798" w:rsidRPr="00777DE8">
        <w:t>gad</w:t>
      </w:r>
      <w:r w:rsidR="00F067FC" w:rsidRPr="00777DE8">
        <w:t>a</w:t>
      </w:r>
      <w:r w:rsidR="007D1798" w:rsidRPr="00777DE8">
        <w:t>m</w:t>
      </w:r>
      <w:r w:rsidRPr="00777DE8">
        <w:rPr>
          <w:rFonts w:eastAsia="Times New Roman" w:cs="Times New Roman"/>
          <w:szCs w:val="24"/>
        </w:rPr>
        <w:t xml:space="preserve">” tika </w:t>
      </w:r>
      <w:r w:rsidR="000D4D00" w:rsidRPr="00777DE8">
        <w:rPr>
          <w:rFonts w:eastAsia="Times New Roman" w:cs="Times New Roman"/>
          <w:szCs w:val="24"/>
        </w:rPr>
        <w:t xml:space="preserve">secināts, ka </w:t>
      </w:r>
      <w:r w:rsidR="00E029BE" w:rsidRPr="00777DE8">
        <w:rPr>
          <w:rFonts w:eastAsia="Times New Roman" w:cs="Times New Roman"/>
          <w:szCs w:val="24"/>
        </w:rPr>
        <w:t xml:space="preserve">tikai </w:t>
      </w:r>
      <w:r w:rsidR="006F1997" w:rsidRPr="00777DE8">
        <w:rPr>
          <w:rFonts w:eastAsia="Times New Roman" w:cs="Times New Roman"/>
          <w:szCs w:val="24"/>
        </w:rPr>
        <w:t>2018.</w:t>
      </w:r>
      <w:r w:rsidR="00777DE8">
        <w:rPr>
          <w:rFonts w:eastAsia="Times New Roman" w:cs="Times New Roman"/>
          <w:szCs w:val="24"/>
        </w:rPr>
        <w:t xml:space="preserve"> un</w:t>
      </w:r>
      <w:r w:rsidR="006F1997" w:rsidRPr="00777DE8">
        <w:rPr>
          <w:rFonts w:eastAsia="Times New Roman" w:cs="Times New Roman"/>
          <w:szCs w:val="24"/>
        </w:rPr>
        <w:t xml:space="preserve"> </w:t>
      </w:r>
      <w:r w:rsidR="00E029BE" w:rsidRPr="00777DE8">
        <w:rPr>
          <w:rFonts w:eastAsia="Times New Roman" w:cs="Times New Roman"/>
          <w:szCs w:val="24"/>
        </w:rPr>
        <w:t>2019</w:t>
      </w:r>
      <w:r w:rsidR="00DD4247" w:rsidRPr="00777DE8">
        <w:rPr>
          <w:rFonts w:eastAsia="Times New Roman" w:cs="Times New Roman"/>
          <w:szCs w:val="24"/>
        </w:rPr>
        <w:t>.</w:t>
      </w:r>
      <w:r w:rsidR="00E029BE" w:rsidRPr="00777DE8">
        <w:rPr>
          <w:rFonts w:eastAsia="Times New Roman" w:cs="Times New Roman"/>
          <w:szCs w:val="24"/>
        </w:rPr>
        <w:t xml:space="preserve"> gadā</w:t>
      </w:r>
      <w:r w:rsidR="000D4D00" w:rsidRPr="00777DE8">
        <w:rPr>
          <w:rFonts w:eastAsia="Times New Roman" w:cs="Times New Roman"/>
          <w:szCs w:val="24"/>
        </w:rPr>
        <w:t xml:space="preserve"> uzkrāto bilanču starpības summa pārsniedz pieļaujamo kritēriju. </w:t>
      </w:r>
    </w:p>
    <w:p w14:paraId="6E2644F2" w14:textId="6FBDADFF" w:rsidR="000D4D00" w:rsidRPr="00777DE8" w:rsidRDefault="00555C2A" w:rsidP="008349F0">
      <w:pPr>
        <w:widowControl w:val="0"/>
        <w:rPr>
          <w:rFonts w:eastAsia="Times New Roman" w:cs="Times New Roman"/>
          <w:szCs w:val="24"/>
        </w:rPr>
      </w:pPr>
      <w:r w:rsidRPr="00777DE8">
        <w:rPr>
          <w:rFonts w:eastAsia="Times New Roman" w:cs="Times New Roman"/>
          <w:szCs w:val="24"/>
        </w:rPr>
        <w:t>Atbilstoši</w:t>
      </w:r>
      <w:r w:rsidR="005735FB" w:rsidRPr="00777DE8">
        <w:rPr>
          <w:rFonts w:eastAsia="Times New Roman" w:cs="Times New Roman"/>
          <w:szCs w:val="24"/>
        </w:rPr>
        <w:t xml:space="preserve"> </w:t>
      </w:r>
      <w:r w:rsidR="00E029BE" w:rsidRPr="00777DE8">
        <w:rPr>
          <w:rFonts w:eastAsia="Times New Roman" w:cs="Times New Roman"/>
          <w:szCs w:val="24"/>
        </w:rPr>
        <w:t>FDL</w:t>
      </w:r>
      <w:r w:rsidR="000D4D00" w:rsidRPr="00777DE8">
        <w:rPr>
          <w:rFonts w:eastAsia="Times New Roman" w:cs="Times New Roman"/>
          <w:szCs w:val="24"/>
        </w:rPr>
        <w:t xml:space="preserve"> 11.</w:t>
      </w:r>
      <w:r w:rsidRPr="00777DE8">
        <w:rPr>
          <w:rFonts w:eastAsia="Times New Roman" w:cs="Times New Roman"/>
          <w:szCs w:val="24"/>
        </w:rPr>
        <w:t xml:space="preserve"> </w:t>
      </w:r>
      <w:r w:rsidR="000D4D00" w:rsidRPr="00777DE8">
        <w:rPr>
          <w:rFonts w:eastAsia="Times New Roman" w:cs="Times New Roman"/>
          <w:szCs w:val="24"/>
        </w:rPr>
        <w:t xml:space="preserve">panta ceturtajam punktam, minimālo plānojamo vispārējās valdības budžeta strukturālo bilanci koriģē, ja uzkrāto bilanču starpību summa pārsniedz robežvērtību ietvara likumprojekta sagatavošanas gadā. Uz pašreizējo brīdi pēdējais gads, par kuru ir pieejami faktiskie statistikas dati par nominālo budžeta bilanci ir </w:t>
      </w:r>
      <w:r w:rsidR="00E029BE" w:rsidRPr="00777DE8">
        <w:rPr>
          <w:rFonts w:eastAsia="Times New Roman" w:cs="Times New Roman"/>
          <w:szCs w:val="24"/>
        </w:rPr>
        <w:t>202</w:t>
      </w:r>
      <w:r w:rsidR="00C315BA">
        <w:rPr>
          <w:rFonts w:eastAsia="Times New Roman" w:cs="Times New Roman"/>
          <w:szCs w:val="24"/>
        </w:rPr>
        <w:t>4</w:t>
      </w:r>
      <w:r w:rsidR="000D4D00" w:rsidRPr="00777DE8">
        <w:rPr>
          <w:rFonts w:eastAsia="Times New Roman" w:cs="Times New Roman"/>
          <w:szCs w:val="24"/>
        </w:rPr>
        <w:t>.</w:t>
      </w:r>
      <w:r w:rsidRPr="00777DE8">
        <w:rPr>
          <w:rFonts w:eastAsia="Times New Roman" w:cs="Times New Roman"/>
          <w:szCs w:val="24"/>
        </w:rPr>
        <w:t xml:space="preserve"> </w:t>
      </w:r>
      <w:r w:rsidR="000D4D00" w:rsidRPr="00777DE8">
        <w:rPr>
          <w:rFonts w:eastAsia="Times New Roman" w:cs="Times New Roman"/>
          <w:szCs w:val="24"/>
        </w:rPr>
        <w:t xml:space="preserve">gads, kas attiecīgi tālāk tiek izmantots kā references gads nosacījuma pārbaudei. </w:t>
      </w:r>
      <w:r w:rsidR="005B0C58" w:rsidRPr="00777DE8">
        <w:rPr>
          <w:rFonts w:eastAsia="Times New Roman" w:cs="Times New Roman"/>
          <w:szCs w:val="24"/>
        </w:rPr>
        <w:t>Ņ</w:t>
      </w:r>
      <w:r w:rsidR="000D4D00" w:rsidRPr="00777DE8">
        <w:rPr>
          <w:rFonts w:eastAsia="Times New Roman" w:cs="Times New Roman"/>
          <w:szCs w:val="24"/>
        </w:rPr>
        <w:t>emot vērā statistisko informāciju par vispārējās valdība</w:t>
      </w:r>
      <w:r w:rsidRPr="00777DE8">
        <w:rPr>
          <w:rFonts w:eastAsia="Times New Roman" w:cs="Times New Roman"/>
          <w:szCs w:val="24"/>
        </w:rPr>
        <w:t>s budžeta nominālo bilanci un F</w:t>
      </w:r>
      <w:r w:rsidR="005B7C54" w:rsidRPr="00777DE8">
        <w:rPr>
          <w:rFonts w:eastAsia="Times New Roman" w:cs="Times New Roman"/>
          <w:szCs w:val="24"/>
        </w:rPr>
        <w:t>M</w:t>
      </w:r>
      <w:r w:rsidR="000D4D00" w:rsidRPr="00777DE8">
        <w:rPr>
          <w:rFonts w:eastAsia="Times New Roman" w:cs="Times New Roman"/>
          <w:szCs w:val="24"/>
        </w:rPr>
        <w:t xml:space="preserve"> izlaižu starpības novērtējumu, uzkrāto bilan</w:t>
      </w:r>
      <w:r w:rsidRPr="00777DE8">
        <w:rPr>
          <w:rFonts w:eastAsia="Times New Roman" w:cs="Times New Roman"/>
          <w:szCs w:val="24"/>
        </w:rPr>
        <w:t xml:space="preserve">ču starpību summa </w:t>
      </w:r>
      <w:r w:rsidR="005B0C58" w:rsidRPr="00777DE8">
        <w:rPr>
          <w:rFonts w:eastAsia="Times New Roman" w:cs="Times New Roman"/>
          <w:szCs w:val="24"/>
        </w:rPr>
        <w:t>202</w:t>
      </w:r>
      <w:r w:rsidR="00C315BA">
        <w:rPr>
          <w:rFonts w:eastAsia="Times New Roman" w:cs="Times New Roman"/>
          <w:szCs w:val="24"/>
        </w:rPr>
        <w:t>4</w:t>
      </w:r>
      <w:r w:rsidR="005B0C58" w:rsidRPr="00777DE8">
        <w:rPr>
          <w:rFonts w:eastAsia="Times New Roman" w:cs="Times New Roman"/>
          <w:szCs w:val="24"/>
        </w:rPr>
        <w:t>.</w:t>
      </w:r>
      <w:r w:rsidR="00811382" w:rsidRPr="00777DE8">
        <w:rPr>
          <w:rFonts w:eastAsia="Times New Roman" w:cs="Times New Roman"/>
          <w:szCs w:val="24"/>
        </w:rPr>
        <w:t xml:space="preserve"> </w:t>
      </w:r>
      <w:r w:rsidR="005B0C58" w:rsidRPr="00777DE8">
        <w:rPr>
          <w:rFonts w:eastAsia="Times New Roman" w:cs="Times New Roman"/>
          <w:szCs w:val="24"/>
        </w:rPr>
        <w:t xml:space="preserve">gadā </w:t>
      </w:r>
      <w:r w:rsidR="00E029BE" w:rsidRPr="00777DE8">
        <w:rPr>
          <w:rFonts w:eastAsia="Times New Roman" w:cs="Times New Roman"/>
          <w:szCs w:val="24"/>
        </w:rPr>
        <w:t>ne</w:t>
      </w:r>
      <w:r w:rsidRPr="00777DE8">
        <w:rPr>
          <w:rFonts w:eastAsia="Times New Roman" w:cs="Times New Roman"/>
          <w:szCs w:val="24"/>
        </w:rPr>
        <w:t>pārsniedz</w:t>
      </w:r>
      <w:r w:rsidR="005735FB" w:rsidRPr="00777DE8">
        <w:rPr>
          <w:rFonts w:eastAsia="Times New Roman" w:cs="Times New Roman"/>
          <w:szCs w:val="24"/>
        </w:rPr>
        <w:t xml:space="preserve"> </w:t>
      </w:r>
      <w:r w:rsidR="00E029BE" w:rsidRPr="00777DE8">
        <w:rPr>
          <w:rFonts w:eastAsia="Times New Roman" w:cs="Times New Roman"/>
          <w:szCs w:val="24"/>
        </w:rPr>
        <w:t>FDL</w:t>
      </w:r>
      <w:r w:rsidRPr="00777DE8">
        <w:rPr>
          <w:rFonts w:eastAsia="Times New Roman" w:cs="Times New Roman"/>
          <w:szCs w:val="24"/>
        </w:rPr>
        <w:t xml:space="preserve"> </w:t>
      </w:r>
      <w:r w:rsidR="000D4D00" w:rsidRPr="00777DE8">
        <w:rPr>
          <w:rFonts w:eastAsia="Times New Roman" w:cs="Times New Roman"/>
          <w:szCs w:val="24"/>
        </w:rPr>
        <w:t>noteikto</w:t>
      </w:r>
      <w:r w:rsidRPr="00777DE8">
        <w:rPr>
          <w:rFonts w:eastAsia="Times New Roman" w:cs="Times New Roman"/>
          <w:szCs w:val="24"/>
        </w:rPr>
        <w:t xml:space="preserve"> robežvērtību </w:t>
      </w:r>
      <w:r w:rsidR="005B0C58" w:rsidRPr="00777DE8">
        <w:rPr>
          <w:rFonts w:eastAsia="Times New Roman" w:cs="Times New Roman"/>
          <w:szCs w:val="24"/>
        </w:rPr>
        <w:t xml:space="preserve">-0,5% no IKP </w:t>
      </w:r>
      <w:r w:rsidRPr="00777DE8">
        <w:rPr>
          <w:rFonts w:eastAsia="Times New Roman" w:cs="Times New Roman"/>
          <w:szCs w:val="24"/>
        </w:rPr>
        <w:t>un ir</w:t>
      </w:r>
      <w:r w:rsidR="00E029BE" w:rsidRPr="00777DE8">
        <w:rPr>
          <w:rFonts w:eastAsia="Times New Roman" w:cs="Times New Roman"/>
          <w:szCs w:val="24"/>
        </w:rPr>
        <w:t xml:space="preserve"> </w:t>
      </w:r>
      <w:r w:rsidR="00C315BA">
        <w:rPr>
          <w:rFonts w:eastAsia="Times New Roman" w:cs="Times New Roman"/>
          <w:szCs w:val="24"/>
        </w:rPr>
        <w:t>4,2</w:t>
      </w:r>
      <w:r w:rsidRPr="00777DE8">
        <w:rPr>
          <w:rFonts w:eastAsia="Times New Roman" w:cs="Times New Roman"/>
          <w:szCs w:val="24"/>
        </w:rPr>
        <w:t xml:space="preserve">% </w:t>
      </w:r>
      <w:r w:rsidR="00096F2A" w:rsidRPr="00777DE8">
        <w:rPr>
          <w:rFonts w:eastAsia="Times New Roman" w:cs="Times New Roman"/>
          <w:szCs w:val="24"/>
        </w:rPr>
        <w:t>IKP</w:t>
      </w:r>
      <w:r w:rsidRPr="00777DE8">
        <w:rPr>
          <w:rFonts w:eastAsia="Times New Roman" w:cs="Times New Roman"/>
          <w:szCs w:val="24"/>
        </w:rPr>
        <w:t xml:space="preserve">, tādējādi </w:t>
      </w:r>
      <w:r w:rsidR="00E029BE" w:rsidRPr="00777DE8">
        <w:rPr>
          <w:rFonts w:eastAsia="Times New Roman" w:cs="Times New Roman"/>
          <w:szCs w:val="24"/>
        </w:rPr>
        <w:t>nav</w:t>
      </w:r>
      <w:r w:rsidR="000D4D00" w:rsidRPr="00777DE8">
        <w:rPr>
          <w:rFonts w:eastAsia="Times New Roman" w:cs="Times New Roman"/>
          <w:szCs w:val="24"/>
        </w:rPr>
        <w:t xml:space="preserve"> jāveic strukturālās bilances mērķa korekcijas. </w:t>
      </w:r>
    </w:p>
    <w:p w14:paraId="44378E11" w14:textId="347D311F" w:rsidR="000D4D00" w:rsidRPr="00D8017D" w:rsidRDefault="00D57DD6" w:rsidP="008349F0">
      <w:pPr>
        <w:pStyle w:val="Heading3"/>
        <w:numPr>
          <w:ilvl w:val="0"/>
          <w:numId w:val="0"/>
        </w:numPr>
        <w:ind w:left="426"/>
      </w:pPr>
      <w:bookmarkStart w:id="49" w:name="_Toc210289885"/>
      <w:r w:rsidRPr="00D8017D">
        <w:t>2.1.4</w:t>
      </w:r>
      <w:r w:rsidR="00E8646E" w:rsidRPr="00D8017D">
        <w:t xml:space="preserve">. </w:t>
      </w:r>
      <w:r w:rsidR="000548A5" w:rsidRPr="00D8017D">
        <w:t xml:space="preserve">Vidēja termiņa strukturālās budžeta </w:t>
      </w:r>
      <w:r w:rsidR="007A5D9E" w:rsidRPr="00D8017D">
        <w:t xml:space="preserve">bilances </w:t>
      </w:r>
      <w:r w:rsidR="000548A5" w:rsidRPr="00D8017D">
        <w:t>mēr</w:t>
      </w:r>
      <w:r w:rsidR="007A5D9E" w:rsidRPr="00D8017D">
        <w:t>ķu salīdzinājums</w:t>
      </w:r>
      <w:bookmarkEnd w:id="49"/>
    </w:p>
    <w:p w14:paraId="5663FA67" w14:textId="56C77EF2" w:rsidR="00B23D31" w:rsidRPr="00D8017D" w:rsidRDefault="001529EE" w:rsidP="0027110C">
      <w:pPr>
        <w:rPr>
          <w:rFonts w:eastAsia="Times New Roman" w:cs="Times New Roman"/>
          <w:bCs/>
        </w:rPr>
      </w:pPr>
      <w:r w:rsidRPr="00D8017D">
        <w:rPr>
          <w:rFonts w:eastAsia="Times New Roman" w:cs="Times New Roman"/>
        </w:rPr>
        <w:t>FDL fiskālo nosacījumu piemērošana jāskata kontekstā ar izmaiņām ES fiskālajos noteikumos</w:t>
      </w:r>
      <w:r w:rsidR="00F50E99" w:rsidRPr="00D8017D">
        <w:rPr>
          <w:rFonts w:eastAsia="Times New Roman" w:cs="Times New Roman"/>
        </w:rPr>
        <w:t xml:space="preserve"> un ar </w:t>
      </w:r>
      <w:r w:rsidR="00F50E99" w:rsidRPr="00D8017D">
        <w:rPr>
          <w:rFonts w:eastAsia="Calibri" w:cs="Times New Roman"/>
          <w:bCs/>
          <w:color w:val="000000"/>
        </w:rPr>
        <w:t>FDL pieļaujamā strukturālā deficīta paaugstināšanu no 0,5% no IKP uz 1% no IKP</w:t>
      </w:r>
      <w:r w:rsidR="00A428CC" w:rsidRPr="00D8017D">
        <w:rPr>
          <w:rFonts w:eastAsia="Calibri" w:cs="Times New Roman"/>
          <w:bCs/>
          <w:color w:val="000000"/>
        </w:rPr>
        <w:t xml:space="preserve"> </w:t>
      </w:r>
      <w:r w:rsidR="008C0450">
        <w:rPr>
          <w:rFonts w:eastAsia="Calibri" w:cs="Times New Roman"/>
          <w:bCs/>
          <w:color w:val="000000"/>
        </w:rPr>
        <w:t xml:space="preserve">un valsts izņēmuma klauzulas iedarbināšanu </w:t>
      </w:r>
      <w:r w:rsidR="00A428CC" w:rsidRPr="00D8017D">
        <w:rPr>
          <w:rFonts w:eastAsia="Calibri" w:cs="Times New Roman"/>
          <w:bCs/>
          <w:color w:val="000000"/>
        </w:rPr>
        <w:t>sākot ar 2025. gadu</w:t>
      </w:r>
      <w:r w:rsidR="008C0450">
        <w:rPr>
          <w:rFonts w:eastAsia="Calibri" w:cs="Times New Roman"/>
          <w:bCs/>
          <w:color w:val="000000"/>
        </w:rPr>
        <w:t xml:space="preserve">. </w:t>
      </w:r>
      <w:r w:rsidR="00B23D31" w:rsidRPr="00D8017D">
        <w:rPr>
          <w:rFonts w:eastAsia="Calibri" w:cs="Times New Roman"/>
          <w:bCs/>
          <w:color w:val="000000"/>
        </w:rPr>
        <w:t xml:space="preserve">Kā jau minēts 2.1.1. sadaļā, </w:t>
      </w:r>
      <w:r w:rsidR="00B23D31" w:rsidRPr="00D8017D">
        <w:rPr>
          <w:rFonts w:eastAsia="Times New Roman" w:cs="Times New Roman"/>
          <w:bCs/>
        </w:rPr>
        <w:t>nosakot vispārējās valdības strukturālās bilances mērķi, tiek ņemta vērā arī valsts izņēmuma klauzulas attiecīgā gada fiskālā ietekme.</w:t>
      </w:r>
    </w:p>
    <w:p w14:paraId="4E64CDCD" w14:textId="2C123E97" w:rsidR="00A428CC" w:rsidRPr="00D8017D" w:rsidRDefault="00666D52" w:rsidP="0027110C">
      <w:pPr>
        <w:widowControl w:val="0"/>
        <w:ind w:firstLine="709"/>
        <w:rPr>
          <w:rFonts w:eastAsia="Times New Roman" w:cs="Times New Roman"/>
          <w:color w:val="000000"/>
        </w:rPr>
      </w:pPr>
      <w:r w:rsidRPr="00C24622">
        <w:rPr>
          <w:rFonts w:eastAsia="Times New Roman" w:cs="Times New Roman"/>
          <w:color w:val="000000"/>
        </w:rPr>
        <w:t>2.</w:t>
      </w:r>
      <w:r w:rsidR="000B0C11" w:rsidRPr="00C24622">
        <w:rPr>
          <w:rFonts w:eastAsia="Times New Roman" w:cs="Times New Roman"/>
          <w:color w:val="000000"/>
        </w:rPr>
        <w:t>1</w:t>
      </w:r>
      <w:r w:rsidR="000B0C11">
        <w:rPr>
          <w:rFonts w:eastAsia="Times New Roman" w:cs="Times New Roman"/>
          <w:color w:val="000000"/>
        </w:rPr>
        <w:t>7</w:t>
      </w:r>
      <w:r w:rsidR="000D4D00" w:rsidRPr="00C24622">
        <w:rPr>
          <w:rFonts w:eastAsia="Times New Roman" w:cs="Times New Roman"/>
          <w:color w:val="000000"/>
        </w:rPr>
        <w:t>.</w:t>
      </w:r>
      <w:r w:rsidRPr="00D8017D">
        <w:rPr>
          <w:rFonts w:eastAsia="Times New Roman" w:cs="Times New Roman"/>
          <w:color w:val="000000"/>
        </w:rPr>
        <w:t xml:space="preserve"> </w:t>
      </w:r>
      <w:r w:rsidR="000D4D00" w:rsidRPr="00D8017D">
        <w:rPr>
          <w:rFonts w:eastAsia="Times New Roman" w:cs="Times New Roman"/>
          <w:color w:val="000000"/>
        </w:rPr>
        <w:t>tabulā ir atspoguļots salīdzinājums</w:t>
      </w:r>
      <w:r w:rsidR="00744046" w:rsidRPr="00D8017D">
        <w:rPr>
          <w:rFonts w:eastAsia="Times New Roman" w:cs="Times New Roman"/>
          <w:color w:val="000000"/>
        </w:rPr>
        <w:t xml:space="preserve"> starp likumā “</w:t>
      </w:r>
      <w:r w:rsidR="003D51C1" w:rsidRPr="00D8017D">
        <w:rPr>
          <w:rFonts w:eastAsia="Times New Roman" w:cs="Times New Roman"/>
          <w:color w:val="000000"/>
        </w:rPr>
        <w:t>Par valsts budžetu 202</w:t>
      </w:r>
      <w:r w:rsidR="00A428CC" w:rsidRPr="00D8017D">
        <w:rPr>
          <w:rFonts w:eastAsia="Times New Roman" w:cs="Times New Roman"/>
          <w:color w:val="000000"/>
        </w:rPr>
        <w:t>5</w:t>
      </w:r>
      <w:r w:rsidR="003D51C1" w:rsidRPr="00D8017D">
        <w:rPr>
          <w:rFonts w:eastAsia="Times New Roman" w:cs="Times New Roman"/>
          <w:color w:val="000000"/>
        </w:rPr>
        <w:t>. gadam un budžeta ietvaru 202</w:t>
      </w:r>
      <w:r w:rsidR="00A428CC" w:rsidRPr="00D8017D">
        <w:rPr>
          <w:rFonts w:eastAsia="Times New Roman" w:cs="Times New Roman"/>
          <w:color w:val="000000"/>
        </w:rPr>
        <w:t>5</w:t>
      </w:r>
      <w:r w:rsidR="003D51C1" w:rsidRPr="00D8017D">
        <w:rPr>
          <w:rFonts w:eastAsia="Times New Roman" w:cs="Times New Roman"/>
          <w:color w:val="000000"/>
        </w:rPr>
        <w:t>., 202</w:t>
      </w:r>
      <w:r w:rsidR="00A428CC" w:rsidRPr="00D8017D">
        <w:rPr>
          <w:rFonts w:eastAsia="Times New Roman" w:cs="Times New Roman"/>
          <w:color w:val="000000"/>
        </w:rPr>
        <w:t>6</w:t>
      </w:r>
      <w:r w:rsidR="003D51C1" w:rsidRPr="00D8017D">
        <w:rPr>
          <w:rFonts w:eastAsia="Times New Roman" w:cs="Times New Roman"/>
          <w:color w:val="000000"/>
        </w:rPr>
        <w:t>. un 202</w:t>
      </w:r>
      <w:r w:rsidR="00A428CC" w:rsidRPr="00D8017D">
        <w:rPr>
          <w:rFonts w:eastAsia="Times New Roman" w:cs="Times New Roman"/>
          <w:color w:val="000000"/>
        </w:rPr>
        <w:t>7</w:t>
      </w:r>
      <w:r w:rsidR="003D51C1" w:rsidRPr="00D8017D">
        <w:rPr>
          <w:rFonts w:eastAsia="Times New Roman" w:cs="Times New Roman"/>
          <w:color w:val="000000"/>
        </w:rPr>
        <w:t>. gadam</w:t>
      </w:r>
      <w:r w:rsidR="00744046" w:rsidRPr="00D8017D">
        <w:rPr>
          <w:rFonts w:eastAsia="Times New Roman" w:cs="Times New Roman"/>
          <w:szCs w:val="24"/>
        </w:rPr>
        <w:t>”</w:t>
      </w:r>
      <w:r w:rsidR="000D4D00" w:rsidRPr="00D8017D">
        <w:rPr>
          <w:rFonts w:eastAsia="Times New Roman" w:cs="Times New Roman"/>
          <w:szCs w:val="24"/>
        </w:rPr>
        <w:t xml:space="preserve"> </w:t>
      </w:r>
      <w:r w:rsidR="00744046" w:rsidRPr="00D8017D">
        <w:rPr>
          <w:rFonts w:eastAsia="Times New Roman" w:cs="Times New Roman"/>
          <w:color w:val="000000"/>
        </w:rPr>
        <w:t>un likum</w:t>
      </w:r>
      <w:r w:rsidR="005B0C58" w:rsidRPr="00D8017D">
        <w:rPr>
          <w:rFonts w:eastAsia="Times New Roman" w:cs="Times New Roman"/>
          <w:color w:val="000000"/>
        </w:rPr>
        <w:t>projektā</w:t>
      </w:r>
      <w:r w:rsidR="005735FB" w:rsidRPr="00D8017D">
        <w:rPr>
          <w:rFonts w:eastAsia="Times New Roman" w:cs="Times New Roman"/>
          <w:color w:val="000000"/>
        </w:rPr>
        <w:t xml:space="preserve"> </w:t>
      </w:r>
      <w:r w:rsidR="00744046" w:rsidRPr="00D8017D">
        <w:rPr>
          <w:rFonts w:eastAsia="Times New Roman" w:cs="Times New Roman"/>
          <w:color w:val="000000"/>
        </w:rPr>
        <w:t>“</w:t>
      </w:r>
      <w:r w:rsidR="005B0C58" w:rsidRPr="00D8017D">
        <w:rPr>
          <w:rFonts w:eastAsia="Times New Roman" w:cs="Times New Roman"/>
          <w:color w:val="000000"/>
        </w:rPr>
        <w:t>Par valsts budžetu 202</w:t>
      </w:r>
      <w:r w:rsidR="00A428CC" w:rsidRPr="00D8017D">
        <w:rPr>
          <w:rFonts w:eastAsia="Times New Roman" w:cs="Times New Roman"/>
          <w:color w:val="000000"/>
        </w:rPr>
        <w:t>6</w:t>
      </w:r>
      <w:r w:rsidR="005B0C58" w:rsidRPr="00D8017D">
        <w:rPr>
          <w:rFonts w:eastAsia="Times New Roman" w:cs="Times New Roman"/>
          <w:color w:val="000000"/>
        </w:rPr>
        <w:t>.</w:t>
      </w:r>
      <w:r w:rsidR="00811382" w:rsidRPr="00D8017D">
        <w:rPr>
          <w:rFonts w:eastAsia="Times New Roman" w:cs="Times New Roman"/>
          <w:color w:val="000000"/>
        </w:rPr>
        <w:t xml:space="preserve"> </w:t>
      </w:r>
      <w:r w:rsidR="005B0C58" w:rsidRPr="00D8017D">
        <w:rPr>
          <w:rFonts w:eastAsia="Times New Roman" w:cs="Times New Roman"/>
          <w:color w:val="000000"/>
        </w:rPr>
        <w:t>gadam un budžeta ietvaru 202</w:t>
      </w:r>
      <w:r w:rsidR="00A428CC" w:rsidRPr="00D8017D">
        <w:rPr>
          <w:rFonts w:eastAsia="Times New Roman" w:cs="Times New Roman"/>
          <w:color w:val="000000"/>
        </w:rPr>
        <w:t>6</w:t>
      </w:r>
      <w:r w:rsidR="005B0C58" w:rsidRPr="00D8017D">
        <w:rPr>
          <w:rFonts w:eastAsia="Times New Roman" w:cs="Times New Roman"/>
          <w:color w:val="000000"/>
        </w:rPr>
        <w:t>., 202</w:t>
      </w:r>
      <w:r w:rsidR="00A428CC" w:rsidRPr="00D8017D">
        <w:rPr>
          <w:rFonts w:eastAsia="Times New Roman" w:cs="Times New Roman"/>
          <w:color w:val="000000"/>
        </w:rPr>
        <w:t>7</w:t>
      </w:r>
      <w:r w:rsidR="005B0C58" w:rsidRPr="00D8017D">
        <w:rPr>
          <w:rFonts w:eastAsia="Times New Roman" w:cs="Times New Roman"/>
          <w:color w:val="000000"/>
        </w:rPr>
        <w:t>. un 202</w:t>
      </w:r>
      <w:r w:rsidR="00A428CC" w:rsidRPr="00D8017D">
        <w:rPr>
          <w:rFonts w:eastAsia="Times New Roman" w:cs="Times New Roman"/>
          <w:color w:val="000000"/>
        </w:rPr>
        <w:t>8</w:t>
      </w:r>
      <w:r w:rsidR="005B0C58" w:rsidRPr="00D8017D">
        <w:rPr>
          <w:rFonts w:eastAsia="Times New Roman" w:cs="Times New Roman"/>
          <w:color w:val="000000"/>
        </w:rPr>
        <w:t>.</w:t>
      </w:r>
      <w:r w:rsidR="00811382" w:rsidRPr="00D8017D">
        <w:rPr>
          <w:rFonts w:eastAsia="Times New Roman" w:cs="Times New Roman"/>
          <w:color w:val="000000"/>
        </w:rPr>
        <w:t xml:space="preserve"> </w:t>
      </w:r>
      <w:r w:rsidR="005B0C58" w:rsidRPr="00D8017D">
        <w:rPr>
          <w:rFonts w:eastAsia="Times New Roman" w:cs="Times New Roman"/>
          <w:color w:val="000000"/>
        </w:rPr>
        <w:t>gad</w:t>
      </w:r>
      <w:r w:rsidR="00C8209A" w:rsidRPr="00D8017D">
        <w:rPr>
          <w:rFonts w:eastAsia="Times New Roman" w:cs="Times New Roman"/>
          <w:color w:val="000000"/>
        </w:rPr>
        <w:t>am</w:t>
      </w:r>
      <w:r w:rsidR="005B0C58" w:rsidRPr="00D8017D">
        <w:rPr>
          <w:rFonts w:eastAsia="Times New Roman" w:cs="Times New Roman"/>
          <w:color w:val="000000"/>
        </w:rPr>
        <w:t>”</w:t>
      </w:r>
      <w:r w:rsidR="000D4D00" w:rsidRPr="00D8017D">
        <w:rPr>
          <w:rFonts w:eastAsia="Times New Roman" w:cs="Times New Roman"/>
          <w:szCs w:val="24"/>
        </w:rPr>
        <w:t xml:space="preserve"> </w:t>
      </w:r>
      <w:r w:rsidR="000D4D00" w:rsidRPr="00D8017D">
        <w:rPr>
          <w:rFonts w:eastAsia="Times New Roman" w:cs="Times New Roman"/>
          <w:color w:val="000000"/>
        </w:rPr>
        <w:t>noteiktajiem vispārējās valdības</w:t>
      </w:r>
      <w:r w:rsidR="00811E00" w:rsidRPr="00D8017D">
        <w:rPr>
          <w:rFonts w:eastAsia="Times New Roman" w:cs="Times New Roman"/>
          <w:color w:val="000000"/>
        </w:rPr>
        <w:t xml:space="preserve"> strukturālās bilances mērķiem.</w:t>
      </w:r>
      <w:r w:rsidR="00B23D31" w:rsidRPr="00D8017D">
        <w:rPr>
          <w:rFonts w:eastAsia="Times New Roman" w:cs="Times New Roman"/>
          <w:color w:val="000000"/>
        </w:rPr>
        <w:t xml:space="preserve"> </w:t>
      </w:r>
    </w:p>
    <w:p w14:paraId="2BB27C75" w14:textId="11830FFE" w:rsidR="000D4D00" w:rsidRPr="00D8017D" w:rsidRDefault="004614E3" w:rsidP="00A067CB">
      <w:pPr>
        <w:spacing w:after="0"/>
        <w:ind w:firstLine="0"/>
        <w:jc w:val="right"/>
        <w:rPr>
          <w:rFonts w:eastAsia="Times New Roman" w:cs="Times New Roman"/>
          <w:b/>
          <w:i/>
          <w:color w:val="000000"/>
        </w:rPr>
      </w:pPr>
      <w:r w:rsidRPr="00C24622">
        <w:rPr>
          <w:rFonts w:eastAsia="Times New Roman" w:cs="Times New Roman"/>
          <w:b/>
          <w:i/>
          <w:color w:val="000000"/>
        </w:rPr>
        <w:t>2.</w:t>
      </w:r>
      <w:r w:rsidR="000B0C11" w:rsidRPr="00C24622">
        <w:rPr>
          <w:rFonts w:eastAsia="Times New Roman" w:cs="Times New Roman"/>
          <w:b/>
          <w:i/>
          <w:color w:val="000000"/>
        </w:rPr>
        <w:t>1</w:t>
      </w:r>
      <w:r w:rsidR="000B0C11">
        <w:rPr>
          <w:rFonts w:eastAsia="Times New Roman" w:cs="Times New Roman"/>
          <w:b/>
          <w:i/>
          <w:color w:val="000000"/>
        </w:rPr>
        <w:t>7</w:t>
      </w:r>
      <w:r w:rsidR="000D4D00" w:rsidRPr="00C24622">
        <w:rPr>
          <w:rFonts w:eastAsia="Times New Roman" w:cs="Times New Roman"/>
          <w:b/>
          <w:i/>
          <w:color w:val="000000"/>
        </w:rPr>
        <w:t>.</w:t>
      </w:r>
      <w:r w:rsidR="00744046" w:rsidRPr="00D8017D">
        <w:rPr>
          <w:rFonts w:eastAsia="Times New Roman" w:cs="Times New Roman"/>
          <w:b/>
          <w:i/>
          <w:color w:val="000000"/>
        </w:rPr>
        <w:t xml:space="preserve"> </w:t>
      </w:r>
      <w:r w:rsidR="000D4D00" w:rsidRPr="00D8017D">
        <w:rPr>
          <w:rFonts w:eastAsia="Times New Roman" w:cs="Times New Roman"/>
          <w:b/>
          <w:i/>
          <w:color w:val="000000"/>
        </w:rPr>
        <w:t>tabula. Vispārējās valdības budžeta</w:t>
      </w:r>
      <w:r w:rsidR="00886A0C" w:rsidRPr="00D8017D">
        <w:rPr>
          <w:rFonts w:eastAsia="Times New Roman" w:cs="Times New Roman"/>
          <w:b/>
          <w:i/>
          <w:color w:val="000000"/>
        </w:rPr>
        <w:t xml:space="preserve"> mērķu salīdzinājums starp vidēja termiņa budžeta ietvaru</w:t>
      </w:r>
      <w:r w:rsidR="000D4D00" w:rsidRPr="00D8017D">
        <w:rPr>
          <w:rFonts w:eastAsia="Times New Roman" w:cs="Times New Roman"/>
          <w:b/>
          <w:i/>
          <w:color w:val="000000"/>
        </w:rPr>
        <w:t xml:space="preserve"> </w:t>
      </w:r>
      <w:r w:rsidR="00902165" w:rsidRPr="00D8017D">
        <w:rPr>
          <w:rFonts w:eastAsia="Times New Roman" w:cs="Times New Roman"/>
          <w:b/>
          <w:i/>
          <w:color w:val="000000"/>
        </w:rPr>
        <w:t>202</w:t>
      </w:r>
      <w:r w:rsidR="00A428CC" w:rsidRPr="00D8017D">
        <w:rPr>
          <w:rFonts w:eastAsia="Times New Roman" w:cs="Times New Roman"/>
          <w:b/>
          <w:i/>
          <w:color w:val="000000"/>
        </w:rPr>
        <w:t>5</w:t>
      </w:r>
      <w:r w:rsidR="000D4D00" w:rsidRPr="00D8017D">
        <w:rPr>
          <w:rFonts w:eastAsia="Times New Roman" w:cs="Times New Roman"/>
          <w:b/>
          <w:i/>
          <w:color w:val="000000"/>
        </w:rPr>
        <w:t xml:space="preserve">., </w:t>
      </w:r>
      <w:r w:rsidR="00902165" w:rsidRPr="00D8017D">
        <w:rPr>
          <w:rFonts w:eastAsia="Times New Roman" w:cs="Times New Roman"/>
          <w:b/>
          <w:i/>
          <w:color w:val="000000"/>
        </w:rPr>
        <w:t>202</w:t>
      </w:r>
      <w:r w:rsidR="00A428CC" w:rsidRPr="00D8017D">
        <w:rPr>
          <w:rFonts w:eastAsia="Times New Roman" w:cs="Times New Roman"/>
          <w:b/>
          <w:i/>
          <w:color w:val="000000"/>
        </w:rPr>
        <w:t>6</w:t>
      </w:r>
      <w:r w:rsidR="000D4D00" w:rsidRPr="00D8017D">
        <w:rPr>
          <w:rFonts w:eastAsia="Times New Roman" w:cs="Times New Roman"/>
          <w:b/>
          <w:i/>
          <w:color w:val="000000"/>
        </w:rPr>
        <w:t xml:space="preserve">. un </w:t>
      </w:r>
      <w:r w:rsidR="00902165" w:rsidRPr="00D8017D">
        <w:rPr>
          <w:rFonts w:eastAsia="Times New Roman" w:cs="Times New Roman"/>
          <w:b/>
          <w:i/>
          <w:color w:val="000000"/>
        </w:rPr>
        <w:t>202</w:t>
      </w:r>
      <w:r w:rsidR="00A428CC" w:rsidRPr="00D8017D">
        <w:rPr>
          <w:rFonts w:eastAsia="Times New Roman" w:cs="Times New Roman"/>
          <w:b/>
          <w:i/>
          <w:color w:val="000000"/>
        </w:rPr>
        <w:t>7</w:t>
      </w:r>
      <w:r w:rsidR="000D4D00" w:rsidRPr="00D8017D">
        <w:rPr>
          <w:rFonts w:eastAsia="Times New Roman" w:cs="Times New Roman"/>
          <w:b/>
          <w:i/>
          <w:color w:val="000000"/>
        </w:rPr>
        <w:t>.</w:t>
      </w:r>
      <w:r w:rsidR="002B2F86" w:rsidRPr="00D8017D">
        <w:rPr>
          <w:rFonts w:eastAsia="Times New Roman" w:cs="Times New Roman"/>
          <w:b/>
          <w:i/>
          <w:color w:val="000000"/>
        </w:rPr>
        <w:t xml:space="preserve"> </w:t>
      </w:r>
      <w:r w:rsidR="000D4D00" w:rsidRPr="00D8017D">
        <w:rPr>
          <w:rFonts w:eastAsia="Times New Roman" w:cs="Times New Roman"/>
          <w:b/>
          <w:i/>
          <w:color w:val="000000"/>
        </w:rPr>
        <w:t xml:space="preserve">gadam un </w:t>
      </w:r>
      <w:r w:rsidR="00886A0C" w:rsidRPr="00D8017D">
        <w:rPr>
          <w:rFonts w:eastAsia="Times New Roman" w:cs="Times New Roman"/>
          <w:b/>
          <w:i/>
          <w:color w:val="000000"/>
        </w:rPr>
        <w:t>vidēja termiņa budžeta ietvaru</w:t>
      </w:r>
      <w:r w:rsidR="000D4D00" w:rsidRPr="00D8017D">
        <w:rPr>
          <w:rFonts w:eastAsia="Times New Roman" w:cs="Times New Roman"/>
          <w:b/>
          <w:i/>
          <w:color w:val="000000"/>
        </w:rPr>
        <w:t xml:space="preserve"> </w:t>
      </w:r>
      <w:r w:rsidR="00902165" w:rsidRPr="00D8017D">
        <w:rPr>
          <w:rFonts w:eastAsia="Times New Roman" w:cs="Times New Roman"/>
          <w:b/>
          <w:i/>
          <w:color w:val="000000"/>
        </w:rPr>
        <w:t>202</w:t>
      </w:r>
      <w:r w:rsidR="00A428CC" w:rsidRPr="00D8017D">
        <w:rPr>
          <w:rFonts w:eastAsia="Times New Roman" w:cs="Times New Roman"/>
          <w:b/>
          <w:i/>
          <w:color w:val="000000"/>
        </w:rPr>
        <w:t>6</w:t>
      </w:r>
      <w:r w:rsidR="000D4D00" w:rsidRPr="00D8017D">
        <w:rPr>
          <w:rFonts w:eastAsia="Times New Roman" w:cs="Times New Roman"/>
          <w:b/>
          <w:i/>
          <w:color w:val="000000"/>
        </w:rPr>
        <w:t xml:space="preserve">., </w:t>
      </w:r>
      <w:r w:rsidR="00902165" w:rsidRPr="00D8017D">
        <w:rPr>
          <w:rFonts w:eastAsia="Times New Roman" w:cs="Times New Roman"/>
          <w:b/>
          <w:i/>
          <w:color w:val="000000"/>
        </w:rPr>
        <w:t>202</w:t>
      </w:r>
      <w:r w:rsidR="00A428CC" w:rsidRPr="00D8017D">
        <w:rPr>
          <w:rFonts w:eastAsia="Times New Roman" w:cs="Times New Roman"/>
          <w:b/>
          <w:i/>
          <w:color w:val="000000"/>
        </w:rPr>
        <w:t>7</w:t>
      </w:r>
      <w:r w:rsidR="000D4D00" w:rsidRPr="00D8017D">
        <w:rPr>
          <w:rFonts w:eastAsia="Times New Roman" w:cs="Times New Roman"/>
          <w:b/>
          <w:i/>
          <w:color w:val="000000"/>
        </w:rPr>
        <w:t xml:space="preserve">. un </w:t>
      </w:r>
      <w:r w:rsidR="00902165" w:rsidRPr="00D8017D">
        <w:rPr>
          <w:rFonts w:eastAsia="Times New Roman" w:cs="Times New Roman"/>
          <w:b/>
          <w:i/>
          <w:color w:val="000000"/>
        </w:rPr>
        <w:t>202</w:t>
      </w:r>
      <w:r w:rsidR="00A428CC" w:rsidRPr="00D8017D">
        <w:rPr>
          <w:rFonts w:eastAsia="Times New Roman" w:cs="Times New Roman"/>
          <w:b/>
          <w:i/>
          <w:color w:val="000000"/>
        </w:rPr>
        <w:t>8</w:t>
      </w:r>
      <w:r w:rsidR="000D4D00" w:rsidRPr="00D8017D">
        <w:rPr>
          <w:rFonts w:eastAsia="Times New Roman" w:cs="Times New Roman"/>
          <w:b/>
          <w:i/>
          <w:color w:val="000000"/>
        </w:rPr>
        <w:t>.</w:t>
      </w:r>
      <w:r w:rsidRPr="00D8017D">
        <w:rPr>
          <w:rFonts w:eastAsia="Times New Roman" w:cs="Times New Roman"/>
          <w:b/>
          <w:i/>
          <w:color w:val="000000"/>
        </w:rPr>
        <w:t xml:space="preserve"> </w:t>
      </w:r>
      <w:r w:rsidR="000D4D00" w:rsidRPr="00D8017D">
        <w:rPr>
          <w:rFonts w:eastAsia="Times New Roman" w:cs="Times New Roman"/>
          <w:b/>
          <w:i/>
          <w:color w:val="000000"/>
        </w:rPr>
        <w:t>gadam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 w:type="dxa"/>
          <w:right w:w="10" w:type="dxa"/>
        </w:tblCellMar>
        <w:tblLook w:val="0000" w:firstRow="0" w:lastRow="0" w:firstColumn="0" w:lastColumn="0" w:noHBand="0" w:noVBand="0"/>
      </w:tblPr>
      <w:tblGrid>
        <w:gridCol w:w="628"/>
        <w:gridCol w:w="1726"/>
        <w:gridCol w:w="2244"/>
        <w:gridCol w:w="1727"/>
        <w:gridCol w:w="2004"/>
        <w:gridCol w:w="1015"/>
      </w:tblGrid>
      <w:tr w:rsidR="000D4D00" w:rsidRPr="00D8017D" w14:paraId="0E635C25" w14:textId="77777777" w:rsidTr="00A067CB">
        <w:trPr>
          <w:tblHeader/>
          <w:jc w:val="center"/>
        </w:trPr>
        <w:tc>
          <w:tcPr>
            <w:tcW w:w="0" w:type="auto"/>
            <w:vMerge w:val="restart"/>
            <w:shd w:val="clear" w:color="000000" w:fill="BDD6EE"/>
            <w:tcMar>
              <w:left w:w="108" w:type="dxa"/>
              <w:right w:w="108" w:type="dxa"/>
            </w:tcMar>
            <w:vAlign w:val="center"/>
          </w:tcPr>
          <w:p w14:paraId="795D5457" w14:textId="364D3A5E" w:rsidR="000D4D00" w:rsidRPr="00D8017D" w:rsidRDefault="00D83C9B" w:rsidP="00D83C9B">
            <w:pPr>
              <w:widowControl w:val="0"/>
              <w:ind w:firstLine="0"/>
              <w:jc w:val="center"/>
              <w:rPr>
                <w:rFonts w:eastAsia="Calibri" w:cs="Times New Roman"/>
              </w:rPr>
            </w:pPr>
            <w:r w:rsidRPr="00D8017D">
              <w:rPr>
                <w:rFonts w:eastAsia="Calibri" w:cs="Times New Roman"/>
                <w:sz w:val="20"/>
                <w:szCs w:val="18"/>
              </w:rPr>
              <w:t>Gads</w:t>
            </w:r>
          </w:p>
        </w:tc>
        <w:tc>
          <w:tcPr>
            <w:tcW w:w="0" w:type="auto"/>
            <w:gridSpan w:val="2"/>
            <w:shd w:val="clear" w:color="000000" w:fill="BDD6EE"/>
            <w:tcMar>
              <w:left w:w="108" w:type="dxa"/>
              <w:right w:w="108" w:type="dxa"/>
            </w:tcMar>
            <w:vAlign w:val="center"/>
          </w:tcPr>
          <w:p w14:paraId="0C798485" w14:textId="644F0010" w:rsidR="000D4D00" w:rsidRPr="00D8017D" w:rsidRDefault="00255306" w:rsidP="008349F0">
            <w:pPr>
              <w:widowControl w:val="0"/>
              <w:ind w:firstLine="0"/>
              <w:jc w:val="center"/>
            </w:pPr>
            <w:r w:rsidRPr="00D8017D">
              <w:rPr>
                <w:rFonts w:eastAsia="Times New Roman" w:cs="Times New Roman"/>
                <w:b/>
                <w:color w:val="000000"/>
                <w:sz w:val="20"/>
              </w:rPr>
              <w:t xml:space="preserve">Vidēja termiņa budžeta ietvars </w:t>
            </w:r>
            <w:r w:rsidR="000D4D00" w:rsidRPr="00D8017D">
              <w:rPr>
                <w:rFonts w:eastAsia="Times New Roman" w:cs="Times New Roman"/>
                <w:b/>
                <w:color w:val="000000"/>
                <w:sz w:val="20"/>
              </w:rPr>
              <w:t>202</w:t>
            </w:r>
            <w:r w:rsidR="00A428CC" w:rsidRPr="00D8017D">
              <w:rPr>
                <w:rFonts w:eastAsia="Times New Roman" w:cs="Times New Roman"/>
                <w:b/>
                <w:color w:val="000000"/>
                <w:sz w:val="20"/>
              </w:rPr>
              <w:t>5</w:t>
            </w:r>
            <w:r w:rsidR="000D4D00" w:rsidRPr="00D8017D">
              <w:rPr>
                <w:rFonts w:eastAsia="Times New Roman" w:cs="Times New Roman"/>
                <w:b/>
                <w:color w:val="000000"/>
                <w:sz w:val="20"/>
              </w:rPr>
              <w:t>-</w:t>
            </w:r>
            <w:r w:rsidR="005B0C58" w:rsidRPr="00D8017D">
              <w:rPr>
                <w:rFonts w:eastAsia="Times New Roman" w:cs="Times New Roman"/>
                <w:b/>
                <w:color w:val="000000"/>
                <w:sz w:val="20"/>
              </w:rPr>
              <w:t>202</w:t>
            </w:r>
            <w:r w:rsidR="00A428CC" w:rsidRPr="00D8017D">
              <w:rPr>
                <w:rFonts w:eastAsia="Times New Roman" w:cs="Times New Roman"/>
                <w:b/>
                <w:color w:val="000000"/>
                <w:sz w:val="20"/>
              </w:rPr>
              <w:t>7</w:t>
            </w:r>
          </w:p>
        </w:tc>
        <w:tc>
          <w:tcPr>
            <w:tcW w:w="0" w:type="auto"/>
            <w:gridSpan w:val="2"/>
            <w:shd w:val="clear" w:color="000000" w:fill="BDD6EE"/>
            <w:tcMar>
              <w:left w:w="108" w:type="dxa"/>
              <w:right w:w="108" w:type="dxa"/>
            </w:tcMar>
            <w:vAlign w:val="center"/>
          </w:tcPr>
          <w:p w14:paraId="2F6EF408" w14:textId="77777777" w:rsidR="003D51C1" w:rsidRPr="00D8017D" w:rsidRDefault="00255306" w:rsidP="008349F0">
            <w:pPr>
              <w:widowControl w:val="0"/>
              <w:spacing w:after="0"/>
              <w:ind w:firstLine="0"/>
              <w:jc w:val="center"/>
              <w:rPr>
                <w:rFonts w:eastAsia="Times New Roman" w:cs="Times New Roman"/>
                <w:b/>
                <w:color w:val="000000"/>
                <w:sz w:val="20"/>
              </w:rPr>
            </w:pPr>
            <w:r w:rsidRPr="00D8017D">
              <w:rPr>
                <w:rFonts w:eastAsia="Times New Roman" w:cs="Times New Roman"/>
                <w:b/>
                <w:color w:val="000000"/>
                <w:sz w:val="20"/>
              </w:rPr>
              <w:t>Vidēja termiņa budžeta ietvar</w:t>
            </w:r>
            <w:r w:rsidR="00902165" w:rsidRPr="00D8017D">
              <w:rPr>
                <w:rFonts w:eastAsia="Times New Roman" w:cs="Times New Roman"/>
                <w:b/>
                <w:color w:val="000000"/>
                <w:sz w:val="20"/>
              </w:rPr>
              <w:t>s</w:t>
            </w:r>
            <w:r w:rsidRPr="00D8017D">
              <w:rPr>
                <w:rFonts w:eastAsia="Times New Roman" w:cs="Times New Roman"/>
                <w:b/>
                <w:color w:val="000000"/>
                <w:sz w:val="20"/>
              </w:rPr>
              <w:t xml:space="preserve"> </w:t>
            </w:r>
          </w:p>
          <w:p w14:paraId="2CDD9FFC" w14:textId="07446835" w:rsidR="000D4D00" w:rsidRPr="00D8017D" w:rsidRDefault="000D4D00" w:rsidP="008349F0">
            <w:pPr>
              <w:widowControl w:val="0"/>
              <w:spacing w:after="0"/>
              <w:ind w:firstLine="0"/>
              <w:jc w:val="center"/>
            </w:pPr>
            <w:r w:rsidRPr="00D8017D">
              <w:rPr>
                <w:rFonts w:eastAsia="Times New Roman" w:cs="Times New Roman"/>
                <w:b/>
                <w:color w:val="000000"/>
                <w:sz w:val="20"/>
              </w:rPr>
              <w:t>202</w:t>
            </w:r>
            <w:r w:rsidR="00A428CC" w:rsidRPr="00D8017D">
              <w:rPr>
                <w:rFonts w:eastAsia="Times New Roman" w:cs="Times New Roman"/>
                <w:b/>
                <w:color w:val="000000"/>
                <w:sz w:val="20"/>
              </w:rPr>
              <w:t>6</w:t>
            </w:r>
            <w:r w:rsidRPr="00D8017D">
              <w:rPr>
                <w:rFonts w:eastAsia="Times New Roman" w:cs="Times New Roman"/>
                <w:b/>
                <w:color w:val="000000"/>
                <w:sz w:val="20"/>
              </w:rPr>
              <w:t>-202</w:t>
            </w:r>
            <w:r w:rsidR="00A428CC" w:rsidRPr="00D8017D">
              <w:rPr>
                <w:rFonts w:eastAsia="Times New Roman" w:cs="Times New Roman"/>
                <w:b/>
                <w:color w:val="000000"/>
                <w:sz w:val="20"/>
              </w:rPr>
              <w:t>8</w:t>
            </w:r>
          </w:p>
        </w:tc>
        <w:tc>
          <w:tcPr>
            <w:tcW w:w="0" w:type="auto"/>
            <w:vMerge w:val="restart"/>
            <w:shd w:val="clear" w:color="000000" w:fill="BDD6EE"/>
            <w:tcMar>
              <w:left w:w="108" w:type="dxa"/>
              <w:right w:w="108" w:type="dxa"/>
            </w:tcMar>
            <w:vAlign w:val="center"/>
          </w:tcPr>
          <w:p w14:paraId="4D4F4CD4" w14:textId="77777777" w:rsidR="000D4D00" w:rsidRPr="00D8017D" w:rsidRDefault="000D4D00" w:rsidP="008349F0">
            <w:pPr>
              <w:widowControl w:val="0"/>
              <w:ind w:firstLine="0"/>
              <w:jc w:val="center"/>
              <w:rPr>
                <w:rFonts w:eastAsia="Times New Roman" w:cs="Times New Roman"/>
                <w:b/>
                <w:color w:val="000000"/>
                <w:sz w:val="20"/>
              </w:rPr>
            </w:pPr>
            <w:r w:rsidRPr="00D8017D">
              <w:rPr>
                <w:rFonts w:eastAsia="Times New Roman" w:cs="Times New Roman"/>
                <w:b/>
                <w:color w:val="000000"/>
                <w:sz w:val="20"/>
              </w:rPr>
              <w:t>Starpība</w:t>
            </w:r>
          </w:p>
          <w:p w14:paraId="76434963" w14:textId="77777777" w:rsidR="000D4D00" w:rsidRPr="00D8017D" w:rsidRDefault="000D4D00" w:rsidP="008349F0">
            <w:pPr>
              <w:widowControl w:val="0"/>
              <w:ind w:firstLine="0"/>
              <w:jc w:val="center"/>
            </w:pPr>
            <w:r w:rsidRPr="00D8017D">
              <w:rPr>
                <w:rFonts w:eastAsia="Times New Roman" w:cs="Times New Roman"/>
                <w:b/>
                <w:color w:val="000000"/>
                <w:sz w:val="20"/>
              </w:rPr>
              <w:t>(3)=(2)-(1)</w:t>
            </w:r>
          </w:p>
        </w:tc>
      </w:tr>
      <w:tr w:rsidR="000D4D00" w:rsidRPr="00D8017D" w14:paraId="2B6C05D6" w14:textId="77777777" w:rsidTr="00A067CB">
        <w:trPr>
          <w:jc w:val="center"/>
        </w:trPr>
        <w:tc>
          <w:tcPr>
            <w:tcW w:w="0" w:type="auto"/>
            <w:vMerge/>
            <w:shd w:val="clear" w:color="000000" w:fill="BDD6EE"/>
            <w:tcMar>
              <w:left w:w="108" w:type="dxa"/>
              <w:right w:w="108" w:type="dxa"/>
            </w:tcMar>
            <w:vAlign w:val="center"/>
          </w:tcPr>
          <w:p w14:paraId="14D2B09D" w14:textId="77777777" w:rsidR="000D4D00" w:rsidRPr="00D8017D" w:rsidRDefault="000D4D00" w:rsidP="008349F0">
            <w:pPr>
              <w:rPr>
                <w:rFonts w:ascii="Calibri" w:eastAsia="Calibri" w:hAnsi="Calibri" w:cs="Calibri"/>
              </w:rPr>
            </w:pPr>
          </w:p>
        </w:tc>
        <w:tc>
          <w:tcPr>
            <w:tcW w:w="0" w:type="auto"/>
            <w:shd w:val="clear" w:color="000000" w:fill="BDD6EE"/>
            <w:tcMar>
              <w:left w:w="108" w:type="dxa"/>
              <w:right w:w="108" w:type="dxa"/>
            </w:tcMar>
            <w:vAlign w:val="center"/>
          </w:tcPr>
          <w:p w14:paraId="71CE4136" w14:textId="77777777" w:rsidR="000D4D00" w:rsidRPr="00D8017D" w:rsidRDefault="000D4D00" w:rsidP="008349F0">
            <w:pPr>
              <w:widowControl w:val="0"/>
              <w:ind w:firstLine="28"/>
              <w:jc w:val="center"/>
              <w:rPr>
                <w:rFonts w:eastAsia="Times New Roman" w:cs="Times New Roman"/>
                <w:color w:val="000000"/>
                <w:sz w:val="20"/>
              </w:rPr>
            </w:pPr>
            <w:r w:rsidRPr="00D8017D">
              <w:rPr>
                <w:rFonts w:eastAsia="Times New Roman" w:cs="Times New Roman"/>
                <w:color w:val="000000"/>
                <w:sz w:val="20"/>
              </w:rPr>
              <w:t>Strukturālās bilances mērķis</w:t>
            </w:r>
          </w:p>
          <w:p w14:paraId="10A8AE14" w14:textId="77777777" w:rsidR="000D4D00" w:rsidRPr="00D8017D" w:rsidRDefault="000D4D00" w:rsidP="008349F0">
            <w:pPr>
              <w:widowControl w:val="0"/>
              <w:ind w:firstLine="28"/>
              <w:jc w:val="center"/>
            </w:pPr>
            <w:r w:rsidRPr="00D8017D">
              <w:rPr>
                <w:rFonts w:eastAsia="Times New Roman" w:cs="Times New Roman"/>
                <w:color w:val="000000"/>
                <w:sz w:val="20"/>
              </w:rPr>
              <w:t>(1)</w:t>
            </w:r>
          </w:p>
        </w:tc>
        <w:tc>
          <w:tcPr>
            <w:tcW w:w="0" w:type="auto"/>
            <w:shd w:val="clear" w:color="000000" w:fill="BDD6EE"/>
            <w:tcMar>
              <w:left w:w="108" w:type="dxa"/>
              <w:right w:w="108" w:type="dxa"/>
            </w:tcMar>
            <w:vAlign w:val="center"/>
          </w:tcPr>
          <w:p w14:paraId="322AF9AD" w14:textId="77777777" w:rsidR="000D4D00" w:rsidRPr="00D8017D" w:rsidRDefault="000D4D00" w:rsidP="008349F0">
            <w:pPr>
              <w:widowControl w:val="0"/>
              <w:ind w:firstLine="28"/>
              <w:jc w:val="center"/>
            </w:pPr>
            <w:r w:rsidRPr="00D8017D">
              <w:rPr>
                <w:rFonts w:eastAsia="Times New Roman" w:cs="Times New Roman"/>
                <w:color w:val="000000"/>
                <w:sz w:val="20"/>
              </w:rPr>
              <w:t>Noteicošais fiskālais nosacījums</w:t>
            </w:r>
          </w:p>
        </w:tc>
        <w:tc>
          <w:tcPr>
            <w:tcW w:w="0" w:type="auto"/>
            <w:shd w:val="clear" w:color="000000" w:fill="BDD6EE"/>
            <w:tcMar>
              <w:left w:w="108" w:type="dxa"/>
              <w:right w:w="108" w:type="dxa"/>
            </w:tcMar>
            <w:vAlign w:val="center"/>
          </w:tcPr>
          <w:p w14:paraId="35B93578" w14:textId="77777777" w:rsidR="000D4D00" w:rsidRPr="00D8017D" w:rsidRDefault="000D4D00" w:rsidP="008349F0">
            <w:pPr>
              <w:widowControl w:val="0"/>
              <w:ind w:firstLine="28"/>
              <w:jc w:val="center"/>
              <w:rPr>
                <w:rFonts w:eastAsia="Times New Roman" w:cs="Times New Roman"/>
                <w:color w:val="000000"/>
                <w:sz w:val="20"/>
              </w:rPr>
            </w:pPr>
            <w:r w:rsidRPr="00D8017D">
              <w:rPr>
                <w:rFonts w:eastAsia="Times New Roman" w:cs="Times New Roman"/>
                <w:color w:val="000000"/>
                <w:sz w:val="20"/>
              </w:rPr>
              <w:t>Strukturālās bilances mērķis</w:t>
            </w:r>
          </w:p>
          <w:p w14:paraId="1D450B59" w14:textId="77777777" w:rsidR="000D4D00" w:rsidRPr="00D8017D" w:rsidRDefault="000D4D00" w:rsidP="008349F0">
            <w:pPr>
              <w:widowControl w:val="0"/>
              <w:ind w:firstLine="28"/>
              <w:jc w:val="center"/>
            </w:pPr>
            <w:r w:rsidRPr="00D8017D">
              <w:rPr>
                <w:rFonts w:eastAsia="Times New Roman" w:cs="Times New Roman"/>
                <w:color w:val="000000"/>
                <w:sz w:val="20"/>
              </w:rPr>
              <w:t>(2)</w:t>
            </w:r>
          </w:p>
        </w:tc>
        <w:tc>
          <w:tcPr>
            <w:tcW w:w="0" w:type="auto"/>
            <w:shd w:val="clear" w:color="000000" w:fill="BDD6EE"/>
            <w:tcMar>
              <w:left w:w="108" w:type="dxa"/>
              <w:right w:w="108" w:type="dxa"/>
            </w:tcMar>
            <w:vAlign w:val="center"/>
          </w:tcPr>
          <w:p w14:paraId="7CD10522" w14:textId="77777777" w:rsidR="000D4D00" w:rsidRPr="00D8017D" w:rsidRDefault="000D4D00" w:rsidP="008349F0">
            <w:pPr>
              <w:widowControl w:val="0"/>
              <w:ind w:firstLine="28"/>
              <w:jc w:val="center"/>
            </w:pPr>
            <w:r w:rsidRPr="00D8017D">
              <w:rPr>
                <w:rFonts w:eastAsia="Times New Roman" w:cs="Times New Roman"/>
                <w:color w:val="000000"/>
                <w:sz w:val="20"/>
              </w:rPr>
              <w:t>Noteicošais fiskālais nosacījums</w:t>
            </w:r>
          </w:p>
        </w:tc>
        <w:tc>
          <w:tcPr>
            <w:tcW w:w="0" w:type="auto"/>
            <w:vMerge/>
            <w:shd w:val="clear" w:color="000000" w:fill="BDD6EE"/>
            <w:tcMar>
              <w:left w:w="108" w:type="dxa"/>
              <w:right w:w="108" w:type="dxa"/>
            </w:tcMar>
            <w:vAlign w:val="center"/>
          </w:tcPr>
          <w:p w14:paraId="79BEE534" w14:textId="77777777" w:rsidR="000D4D00" w:rsidRPr="00D8017D" w:rsidRDefault="000D4D00" w:rsidP="008349F0"/>
        </w:tc>
      </w:tr>
      <w:tr w:rsidR="000D4D00" w:rsidRPr="00D8017D" w14:paraId="269B262B" w14:textId="77777777" w:rsidTr="00A067CB">
        <w:trPr>
          <w:trHeight w:val="429"/>
          <w:jc w:val="center"/>
        </w:trPr>
        <w:tc>
          <w:tcPr>
            <w:tcW w:w="0" w:type="auto"/>
            <w:shd w:val="clear" w:color="000000" w:fill="auto"/>
            <w:tcMar>
              <w:left w:w="108" w:type="dxa"/>
              <w:right w:w="108" w:type="dxa"/>
            </w:tcMar>
            <w:vAlign w:val="center"/>
          </w:tcPr>
          <w:p w14:paraId="4DFC9459" w14:textId="375AEC9F" w:rsidR="000D4D00" w:rsidRPr="00D8017D" w:rsidRDefault="000D4D00" w:rsidP="008349F0">
            <w:pPr>
              <w:widowControl w:val="0"/>
              <w:ind w:firstLine="0"/>
              <w:jc w:val="center"/>
              <w:rPr>
                <w:rFonts w:eastAsia="Times New Roman" w:cs="Times New Roman"/>
                <w:b/>
                <w:color w:val="000000"/>
                <w:sz w:val="20"/>
              </w:rPr>
            </w:pPr>
            <w:r w:rsidRPr="00D8017D">
              <w:rPr>
                <w:rFonts w:eastAsia="Times New Roman" w:cs="Times New Roman"/>
                <w:b/>
                <w:color w:val="000000"/>
                <w:sz w:val="20"/>
              </w:rPr>
              <w:t>202</w:t>
            </w:r>
            <w:r w:rsidR="00A428CC" w:rsidRPr="00D8017D">
              <w:rPr>
                <w:rFonts w:eastAsia="Times New Roman" w:cs="Times New Roman"/>
                <w:b/>
                <w:color w:val="000000"/>
                <w:sz w:val="20"/>
              </w:rPr>
              <w:t>5</w:t>
            </w:r>
          </w:p>
        </w:tc>
        <w:tc>
          <w:tcPr>
            <w:tcW w:w="0" w:type="auto"/>
            <w:shd w:val="clear" w:color="000000" w:fill="auto"/>
            <w:tcMar>
              <w:left w:w="108" w:type="dxa"/>
              <w:right w:w="108" w:type="dxa"/>
            </w:tcMar>
            <w:vAlign w:val="center"/>
          </w:tcPr>
          <w:p w14:paraId="6DD3EFE6" w14:textId="18BE28BA" w:rsidR="000D4D00" w:rsidRPr="00D8017D" w:rsidRDefault="003B2ACB" w:rsidP="008349F0">
            <w:pPr>
              <w:widowControl w:val="0"/>
              <w:ind w:firstLine="28"/>
              <w:jc w:val="center"/>
              <w:rPr>
                <w:rFonts w:eastAsia="Times New Roman" w:cs="Times New Roman"/>
                <w:color w:val="000000"/>
                <w:sz w:val="20"/>
              </w:rPr>
            </w:pPr>
            <w:r w:rsidRPr="00D8017D">
              <w:rPr>
                <w:rFonts w:eastAsia="Times New Roman" w:cs="Times New Roman"/>
                <w:color w:val="000000"/>
                <w:sz w:val="20"/>
              </w:rPr>
              <w:t>-0,</w:t>
            </w:r>
            <w:r w:rsidR="00A428CC" w:rsidRPr="00D8017D">
              <w:rPr>
                <w:rFonts w:eastAsia="Times New Roman" w:cs="Times New Roman"/>
                <w:color w:val="000000"/>
                <w:sz w:val="20"/>
              </w:rPr>
              <w:t>82</w:t>
            </w:r>
          </w:p>
        </w:tc>
        <w:tc>
          <w:tcPr>
            <w:tcW w:w="0" w:type="auto"/>
            <w:shd w:val="clear" w:color="000000" w:fill="auto"/>
            <w:tcMar>
              <w:left w:w="108" w:type="dxa"/>
              <w:right w:w="108" w:type="dxa"/>
            </w:tcMar>
            <w:vAlign w:val="center"/>
          </w:tcPr>
          <w:p w14:paraId="76A73506" w14:textId="6AB412C9" w:rsidR="000D4D00" w:rsidRPr="00D8017D" w:rsidRDefault="00A428CC" w:rsidP="008349F0">
            <w:pPr>
              <w:widowControl w:val="0"/>
              <w:ind w:firstLine="28"/>
              <w:jc w:val="center"/>
              <w:rPr>
                <w:rFonts w:eastAsia="Times New Roman" w:cs="Times New Roman"/>
                <w:color w:val="000000"/>
                <w:sz w:val="20"/>
              </w:rPr>
            </w:pPr>
            <w:r w:rsidRPr="00D8017D">
              <w:rPr>
                <w:rFonts w:eastAsia="Times New Roman" w:cs="Times New Roman"/>
                <w:color w:val="000000"/>
                <w:sz w:val="20"/>
                <w:szCs w:val="20"/>
              </w:rPr>
              <w:t>ES strukturālās primārās bilances nosacījums</w:t>
            </w:r>
          </w:p>
        </w:tc>
        <w:tc>
          <w:tcPr>
            <w:tcW w:w="0" w:type="auto"/>
            <w:shd w:val="clear" w:color="000000" w:fill="auto"/>
            <w:tcMar>
              <w:left w:w="108" w:type="dxa"/>
              <w:right w:w="108" w:type="dxa"/>
            </w:tcMar>
            <w:vAlign w:val="center"/>
          </w:tcPr>
          <w:p w14:paraId="07AA2BBB" w14:textId="1CD2635F" w:rsidR="000D4D00" w:rsidRPr="00D8017D" w:rsidRDefault="003B2ACB" w:rsidP="008349F0">
            <w:pPr>
              <w:widowControl w:val="0"/>
              <w:ind w:firstLine="28"/>
              <w:jc w:val="center"/>
              <w:rPr>
                <w:rFonts w:eastAsia="Times New Roman" w:cs="Times New Roman"/>
                <w:color w:val="000000"/>
                <w:sz w:val="20"/>
              </w:rPr>
            </w:pPr>
            <w:r w:rsidRPr="00D8017D">
              <w:rPr>
                <w:rFonts w:eastAsia="Times New Roman" w:cs="Times New Roman"/>
                <w:color w:val="000000"/>
                <w:sz w:val="20"/>
              </w:rPr>
              <w:t>x</w:t>
            </w:r>
          </w:p>
        </w:tc>
        <w:tc>
          <w:tcPr>
            <w:tcW w:w="0" w:type="auto"/>
            <w:shd w:val="clear" w:color="000000" w:fill="auto"/>
            <w:tcMar>
              <w:left w:w="108" w:type="dxa"/>
              <w:right w:w="108" w:type="dxa"/>
            </w:tcMar>
            <w:vAlign w:val="center"/>
          </w:tcPr>
          <w:p w14:paraId="265C64D9" w14:textId="44EA4783" w:rsidR="000D4D00" w:rsidRPr="00D8017D" w:rsidRDefault="003B2ACB" w:rsidP="008349F0">
            <w:pPr>
              <w:widowControl w:val="0"/>
              <w:ind w:firstLine="28"/>
              <w:jc w:val="center"/>
              <w:rPr>
                <w:rFonts w:eastAsia="Times New Roman" w:cs="Times New Roman"/>
                <w:color w:val="000000"/>
                <w:sz w:val="20"/>
              </w:rPr>
            </w:pPr>
            <w:r w:rsidRPr="00D8017D">
              <w:rPr>
                <w:rFonts w:eastAsia="Times New Roman" w:cs="Times New Roman"/>
                <w:color w:val="000000"/>
                <w:sz w:val="20"/>
              </w:rPr>
              <w:t>x</w:t>
            </w:r>
          </w:p>
        </w:tc>
        <w:tc>
          <w:tcPr>
            <w:tcW w:w="0" w:type="auto"/>
            <w:shd w:val="clear" w:color="000000" w:fill="auto"/>
            <w:tcMar>
              <w:left w:w="108" w:type="dxa"/>
              <w:right w:w="108" w:type="dxa"/>
            </w:tcMar>
            <w:vAlign w:val="center"/>
          </w:tcPr>
          <w:p w14:paraId="4195B059" w14:textId="6AC650C4" w:rsidR="000D4D00" w:rsidRPr="00D8017D" w:rsidRDefault="000D4D00" w:rsidP="008349F0">
            <w:pPr>
              <w:widowControl w:val="0"/>
              <w:ind w:right="29" w:firstLine="0"/>
              <w:jc w:val="center"/>
              <w:rPr>
                <w:rFonts w:eastAsia="Times New Roman" w:cs="Times New Roman"/>
                <w:color w:val="000000"/>
                <w:sz w:val="20"/>
                <w:highlight w:val="lightGray"/>
              </w:rPr>
            </w:pPr>
          </w:p>
        </w:tc>
      </w:tr>
      <w:tr w:rsidR="000D4D00" w:rsidRPr="00D8017D" w14:paraId="7A7D6EDC" w14:textId="77777777" w:rsidTr="00A067CB">
        <w:trPr>
          <w:trHeight w:val="429"/>
          <w:jc w:val="center"/>
        </w:trPr>
        <w:tc>
          <w:tcPr>
            <w:tcW w:w="0" w:type="auto"/>
            <w:shd w:val="clear" w:color="000000" w:fill="auto"/>
            <w:tcMar>
              <w:left w:w="108" w:type="dxa"/>
              <w:right w:w="108" w:type="dxa"/>
            </w:tcMar>
            <w:vAlign w:val="center"/>
          </w:tcPr>
          <w:p w14:paraId="2913FF50" w14:textId="5A6330B1" w:rsidR="000D4D00" w:rsidRPr="00D8017D" w:rsidRDefault="000D4D00" w:rsidP="008349F0">
            <w:pPr>
              <w:widowControl w:val="0"/>
              <w:ind w:firstLine="0"/>
              <w:jc w:val="center"/>
              <w:rPr>
                <w:rFonts w:eastAsia="Times New Roman" w:cs="Times New Roman"/>
                <w:b/>
                <w:color w:val="000000"/>
                <w:sz w:val="20"/>
              </w:rPr>
            </w:pPr>
            <w:r w:rsidRPr="00D8017D">
              <w:rPr>
                <w:rFonts w:eastAsia="Times New Roman" w:cs="Times New Roman"/>
                <w:b/>
                <w:color w:val="000000"/>
                <w:sz w:val="20"/>
              </w:rPr>
              <w:t>202</w:t>
            </w:r>
            <w:r w:rsidR="00A428CC" w:rsidRPr="00D8017D">
              <w:rPr>
                <w:rFonts w:eastAsia="Times New Roman" w:cs="Times New Roman"/>
                <w:b/>
                <w:color w:val="000000"/>
                <w:sz w:val="20"/>
              </w:rPr>
              <w:t>6</w:t>
            </w:r>
          </w:p>
        </w:tc>
        <w:tc>
          <w:tcPr>
            <w:tcW w:w="0" w:type="auto"/>
            <w:shd w:val="clear" w:color="000000" w:fill="auto"/>
            <w:tcMar>
              <w:left w:w="108" w:type="dxa"/>
              <w:right w:w="108" w:type="dxa"/>
            </w:tcMar>
            <w:vAlign w:val="center"/>
          </w:tcPr>
          <w:p w14:paraId="7F3662AC" w14:textId="3DC28008" w:rsidR="000D4D00" w:rsidRPr="00D8017D" w:rsidRDefault="003B2ACB" w:rsidP="008349F0">
            <w:pPr>
              <w:widowControl w:val="0"/>
              <w:ind w:firstLine="28"/>
              <w:jc w:val="center"/>
              <w:rPr>
                <w:rFonts w:eastAsia="Times New Roman" w:cs="Times New Roman"/>
                <w:color w:val="000000"/>
                <w:sz w:val="20"/>
              </w:rPr>
            </w:pPr>
            <w:r w:rsidRPr="00D8017D">
              <w:rPr>
                <w:rFonts w:eastAsia="Times New Roman" w:cs="Times New Roman"/>
                <w:color w:val="000000"/>
                <w:sz w:val="20"/>
              </w:rPr>
              <w:t>-0,</w:t>
            </w:r>
            <w:r w:rsidR="00A428CC" w:rsidRPr="00D8017D">
              <w:rPr>
                <w:rFonts w:eastAsia="Times New Roman" w:cs="Times New Roman"/>
                <w:color w:val="000000"/>
                <w:sz w:val="20"/>
              </w:rPr>
              <w:t>75</w:t>
            </w:r>
          </w:p>
        </w:tc>
        <w:tc>
          <w:tcPr>
            <w:tcW w:w="0" w:type="auto"/>
            <w:shd w:val="clear" w:color="000000" w:fill="auto"/>
            <w:tcMar>
              <w:left w:w="108" w:type="dxa"/>
              <w:right w:w="108" w:type="dxa"/>
            </w:tcMar>
            <w:vAlign w:val="center"/>
          </w:tcPr>
          <w:p w14:paraId="64744CAE" w14:textId="33BED599" w:rsidR="000D4D00" w:rsidRPr="00D8017D" w:rsidRDefault="00A428CC" w:rsidP="008349F0">
            <w:pPr>
              <w:widowControl w:val="0"/>
              <w:ind w:firstLine="28"/>
              <w:jc w:val="center"/>
              <w:rPr>
                <w:rFonts w:eastAsia="Times New Roman" w:cs="Times New Roman"/>
                <w:color w:val="000000"/>
                <w:sz w:val="20"/>
              </w:rPr>
            </w:pPr>
            <w:r w:rsidRPr="00D8017D">
              <w:rPr>
                <w:sz w:val="20"/>
                <w:szCs w:val="20"/>
              </w:rPr>
              <w:t>ES izdevumu pieauguma nosacījums</w:t>
            </w:r>
          </w:p>
        </w:tc>
        <w:tc>
          <w:tcPr>
            <w:tcW w:w="0" w:type="auto"/>
            <w:shd w:val="clear" w:color="000000" w:fill="auto"/>
            <w:tcMar>
              <w:left w:w="108" w:type="dxa"/>
              <w:right w:w="108" w:type="dxa"/>
            </w:tcMar>
            <w:vAlign w:val="center"/>
          </w:tcPr>
          <w:p w14:paraId="5CAE9423" w14:textId="65311FE1" w:rsidR="000D4D00" w:rsidRPr="00C24622" w:rsidRDefault="0018367D" w:rsidP="008349F0">
            <w:pPr>
              <w:widowControl w:val="0"/>
              <w:ind w:firstLine="28"/>
              <w:jc w:val="center"/>
              <w:rPr>
                <w:rFonts w:eastAsia="Times New Roman" w:cs="Times New Roman"/>
                <w:color w:val="000000"/>
                <w:sz w:val="20"/>
              </w:rPr>
            </w:pPr>
            <w:r w:rsidRPr="00C24622">
              <w:rPr>
                <w:rFonts w:eastAsia="Times New Roman" w:cs="Times New Roman"/>
                <w:color w:val="000000"/>
                <w:sz w:val="20"/>
              </w:rPr>
              <w:t>-</w:t>
            </w:r>
            <w:r w:rsidR="00C24622" w:rsidRPr="00C24622">
              <w:rPr>
                <w:rFonts w:eastAsia="Times New Roman" w:cs="Times New Roman"/>
                <w:color w:val="000000"/>
                <w:sz w:val="20"/>
              </w:rPr>
              <w:t>1,4</w:t>
            </w:r>
            <w:r w:rsidR="00D103F9">
              <w:rPr>
                <w:rFonts w:eastAsia="Times New Roman" w:cs="Times New Roman"/>
                <w:color w:val="000000"/>
                <w:sz w:val="20"/>
              </w:rPr>
              <w:t>8</w:t>
            </w:r>
          </w:p>
        </w:tc>
        <w:tc>
          <w:tcPr>
            <w:tcW w:w="0" w:type="auto"/>
            <w:shd w:val="clear" w:color="000000" w:fill="auto"/>
            <w:tcMar>
              <w:left w:w="108" w:type="dxa"/>
              <w:right w:w="108" w:type="dxa"/>
            </w:tcMar>
            <w:vAlign w:val="center"/>
          </w:tcPr>
          <w:p w14:paraId="3075F641" w14:textId="45039DC5" w:rsidR="000D4D00" w:rsidRPr="00C24622" w:rsidRDefault="00A428CC" w:rsidP="008349F0">
            <w:pPr>
              <w:widowControl w:val="0"/>
              <w:ind w:firstLine="28"/>
              <w:jc w:val="center"/>
              <w:rPr>
                <w:rFonts w:eastAsia="Times New Roman" w:cs="Times New Roman"/>
                <w:color w:val="000000"/>
                <w:sz w:val="20"/>
                <w:szCs w:val="20"/>
              </w:rPr>
            </w:pPr>
            <w:r w:rsidRPr="00C24622">
              <w:rPr>
                <w:rFonts w:eastAsia="Times New Roman" w:cs="Times New Roman"/>
                <w:color w:val="000000"/>
                <w:sz w:val="20"/>
              </w:rPr>
              <w:t>FDL strukturālās bilances nosacījums</w:t>
            </w:r>
          </w:p>
        </w:tc>
        <w:tc>
          <w:tcPr>
            <w:tcW w:w="0" w:type="auto"/>
            <w:shd w:val="clear" w:color="000000" w:fill="auto"/>
            <w:tcMar>
              <w:left w:w="108" w:type="dxa"/>
              <w:right w:w="108" w:type="dxa"/>
            </w:tcMar>
            <w:vAlign w:val="center"/>
          </w:tcPr>
          <w:p w14:paraId="3874F8E6" w14:textId="7A369F65" w:rsidR="000D4D00" w:rsidRPr="00C24622" w:rsidRDefault="00C24622" w:rsidP="008349F0">
            <w:pPr>
              <w:widowControl w:val="0"/>
              <w:ind w:right="29" w:firstLine="23"/>
              <w:jc w:val="center"/>
              <w:rPr>
                <w:rFonts w:eastAsia="Times New Roman" w:cs="Times New Roman"/>
                <w:color w:val="000000"/>
                <w:sz w:val="20"/>
              </w:rPr>
            </w:pPr>
            <w:r w:rsidRPr="00C24622">
              <w:rPr>
                <w:rFonts w:eastAsia="Times New Roman" w:cs="Times New Roman"/>
                <w:color w:val="000000"/>
                <w:sz w:val="20"/>
              </w:rPr>
              <w:t>-0,73</w:t>
            </w:r>
          </w:p>
        </w:tc>
      </w:tr>
      <w:tr w:rsidR="006A3169" w:rsidRPr="00D8017D" w14:paraId="5E5A68D0" w14:textId="77777777" w:rsidTr="00A067CB">
        <w:trPr>
          <w:trHeight w:val="429"/>
          <w:jc w:val="center"/>
        </w:trPr>
        <w:tc>
          <w:tcPr>
            <w:tcW w:w="0" w:type="auto"/>
            <w:shd w:val="clear" w:color="000000" w:fill="auto"/>
            <w:tcMar>
              <w:left w:w="108" w:type="dxa"/>
              <w:right w:w="108" w:type="dxa"/>
            </w:tcMar>
            <w:vAlign w:val="center"/>
          </w:tcPr>
          <w:p w14:paraId="1A462963" w14:textId="4F317C52" w:rsidR="006A3169" w:rsidRPr="00D8017D" w:rsidRDefault="006A3169" w:rsidP="006A3169">
            <w:pPr>
              <w:widowControl w:val="0"/>
              <w:ind w:firstLine="0"/>
              <w:jc w:val="center"/>
              <w:rPr>
                <w:rFonts w:eastAsia="Times New Roman" w:cs="Times New Roman"/>
                <w:b/>
                <w:color w:val="000000"/>
                <w:sz w:val="20"/>
              </w:rPr>
            </w:pPr>
            <w:r w:rsidRPr="00D8017D">
              <w:rPr>
                <w:rFonts w:eastAsia="Times New Roman" w:cs="Times New Roman"/>
                <w:b/>
                <w:color w:val="000000"/>
                <w:sz w:val="20"/>
              </w:rPr>
              <w:lastRenderedPageBreak/>
              <w:t>202</w:t>
            </w:r>
            <w:r w:rsidR="00A428CC" w:rsidRPr="00D8017D">
              <w:rPr>
                <w:rFonts w:eastAsia="Times New Roman" w:cs="Times New Roman"/>
                <w:b/>
                <w:color w:val="000000"/>
                <w:sz w:val="20"/>
              </w:rPr>
              <w:t>7</w:t>
            </w:r>
          </w:p>
        </w:tc>
        <w:tc>
          <w:tcPr>
            <w:tcW w:w="0" w:type="auto"/>
            <w:shd w:val="clear" w:color="000000" w:fill="auto"/>
            <w:tcMar>
              <w:left w:w="108" w:type="dxa"/>
              <w:right w:w="108" w:type="dxa"/>
            </w:tcMar>
            <w:vAlign w:val="center"/>
          </w:tcPr>
          <w:p w14:paraId="10AE8A51" w14:textId="5A85B52D" w:rsidR="006A3169" w:rsidRPr="00D8017D" w:rsidRDefault="006A3169" w:rsidP="006A3169">
            <w:pPr>
              <w:widowControl w:val="0"/>
              <w:ind w:firstLine="28"/>
              <w:jc w:val="center"/>
              <w:rPr>
                <w:rFonts w:eastAsia="Times New Roman" w:cs="Times New Roman"/>
                <w:color w:val="000000"/>
                <w:sz w:val="20"/>
              </w:rPr>
            </w:pPr>
            <w:r w:rsidRPr="00D8017D">
              <w:rPr>
                <w:rFonts w:eastAsia="Times New Roman" w:cs="Times New Roman"/>
                <w:color w:val="000000"/>
                <w:sz w:val="20"/>
              </w:rPr>
              <w:t>-0,</w:t>
            </w:r>
            <w:r w:rsidR="00A428CC" w:rsidRPr="00D8017D">
              <w:rPr>
                <w:rFonts w:eastAsia="Times New Roman" w:cs="Times New Roman"/>
                <w:color w:val="000000"/>
                <w:sz w:val="20"/>
              </w:rPr>
              <w:t>79</w:t>
            </w:r>
          </w:p>
        </w:tc>
        <w:tc>
          <w:tcPr>
            <w:tcW w:w="0" w:type="auto"/>
            <w:shd w:val="clear" w:color="000000" w:fill="auto"/>
            <w:tcMar>
              <w:left w:w="108" w:type="dxa"/>
              <w:right w:w="108" w:type="dxa"/>
            </w:tcMar>
            <w:vAlign w:val="center"/>
          </w:tcPr>
          <w:p w14:paraId="12FD069E" w14:textId="78195B1C" w:rsidR="006A3169" w:rsidRPr="00D8017D" w:rsidRDefault="00A428CC" w:rsidP="006A3169">
            <w:pPr>
              <w:widowControl w:val="0"/>
              <w:ind w:firstLine="28"/>
              <w:jc w:val="center"/>
              <w:rPr>
                <w:rFonts w:eastAsia="Times New Roman" w:cs="Times New Roman"/>
                <w:color w:val="000000"/>
                <w:sz w:val="20"/>
              </w:rPr>
            </w:pPr>
            <w:r w:rsidRPr="00D8017D">
              <w:rPr>
                <w:sz w:val="20"/>
                <w:szCs w:val="20"/>
              </w:rPr>
              <w:t>ES izdevumu pieauguma nosacījums</w:t>
            </w:r>
          </w:p>
        </w:tc>
        <w:tc>
          <w:tcPr>
            <w:tcW w:w="0" w:type="auto"/>
            <w:shd w:val="clear" w:color="000000" w:fill="auto"/>
            <w:tcMar>
              <w:left w:w="108" w:type="dxa"/>
              <w:right w:w="108" w:type="dxa"/>
            </w:tcMar>
            <w:vAlign w:val="center"/>
          </w:tcPr>
          <w:p w14:paraId="0FF38FED" w14:textId="28A0F88B" w:rsidR="006A3169" w:rsidRPr="00C24622" w:rsidRDefault="006A3169" w:rsidP="006A3169">
            <w:pPr>
              <w:widowControl w:val="0"/>
              <w:ind w:firstLine="28"/>
              <w:jc w:val="center"/>
              <w:rPr>
                <w:rFonts w:eastAsia="Times New Roman" w:cs="Times New Roman"/>
                <w:color w:val="000000"/>
                <w:sz w:val="20"/>
              </w:rPr>
            </w:pPr>
            <w:r w:rsidRPr="00C24622">
              <w:rPr>
                <w:rFonts w:eastAsia="Times New Roman" w:cs="Times New Roman"/>
                <w:color w:val="000000"/>
                <w:sz w:val="20"/>
              </w:rPr>
              <w:t>-</w:t>
            </w:r>
            <w:r w:rsidR="00C24622" w:rsidRPr="00C24622">
              <w:rPr>
                <w:rFonts w:eastAsia="Times New Roman" w:cs="Times New Roman"/>
                <w:color w:val="000000"/>
                <w:sz w:val="20"/>
              </w:rPr>
              <w:t>2,10</w:t>
            </w:r>
          </w:p>
        </w:tc>
        <w:tc>
          <w:tcPr>
            <w:tcW w:w="0" w:type="auto"/>
            <w:shd w:val="clear" w:color="000000" w:fill="auto"/>
            <w:tcMar>
              <w:left w:w="108" w:type="dxa"/>
              <w:right w:w="108" w:type="dxa"/>
            </w:tcMar>
          </w:tcPr>
          <w:p w14:paraId="0DE5373D" w14:textId="26D8696A" w:rsidR="006A3169" w:rsidRPr="00C24622" w:rsidRDefault="00A428CC" w:rsidP="006A3169">
            <w:pPr>
              <w:widowControl w:val="0"/>
              <w:ind w:firstLine="28"/>
              <w:jc w:val="center"/>
              <w:rPr>
                <w:rFonts w:eastAsia="Times New Roman" w:cs="Times New Roman"/>
                <w:color w:val="000000"/>
                <w:sz w:val="20"/>
                <w:szCs w:val="20"/>
              </w:rPr>
            </w:pPr>
            <w:r w:rsidRPr="00C24622">
              <w:rPr>
                <w:rFonts w:eastAsia="Times New Roman" w:cs="Times New Roman"/>
                <w:color w:val="000000"/>
                <w:sz w:val="20"/>
              </w:rPr>
              <w:t>FDL strukturālās bilances nosacījums</w:t>
            </w:r>
          </w:p>
        </w:tc>
        <w:tc>
          <w:tcPr>
            <w:tcW w:w="0" w:type="auto"/>
            <w:shd w:val="clear" w:color="000000" w:fill="auto"/>
            <w:tcMar>
              <w:left w:w="108" w:type="dxa"/>
              <w:right w:w="108" w:type="dxa"/>
            </w:tcMar>
            <w:vAlign w:val="center"/>
          </w:tcPr>
          <w:p w14:paraId="2D84E538" w14:textId="384EDC2E" w:rsidR="006A3169" w:rsidRPr="00C24622" w:rsidRDefault="00C24622" w:rsidP="006A3169">
            <w:pPr>
              <w:widowControl w:val="0"/>
              <w:ind w:right="29" w:firstLine="0"/>
              <w:jc w:val="center"/>
              <w:rPr>
                <w:rFonts w:eastAsia="Times New Roman" w:cs="Times New Roman"/>
                <w:color w:val="000000"/>
                <w:sz w:val="20"/>
              </w:rPr>
            </w:pPr>
            <w:r w:rsidRPr="00C24622">
              <w:rPr>
                <w:rFonts w:eastAsia="Times New Roman" w:cs="Times New Roman"/>
                <w:color w:val="000000"/>
                <w:sz w:val="20"/>
              </w:rPr>
              <w:t>-1,31</w:t>
            </w:r>
          </w:p>
        </w:tc>
      </w:tr>
      <w:tr w:rsidR="006A3169" w:rsidRPr="00D8017D" w14:paraId="5C380CC2" w14:textId="77777777" w:rsidTr="00A067CB">
        <w:trPr>
          <w:trHeight w:val="429"/>
          <w:jc w:val="center"/>
        </w:trPr>
        <w:tc>
          <w:tcPr>
            <w:tcW w:w="0" w:type="auto"/>
            <w:shd w:val="clear" w:color="000000" w:fill="auto"/>
            <w:tcMar>
              <w:left w:w="108" w:type="dxa"/>
              <w:right w:w="108" w:type="dxa"/>
            </w:tcMar>
            <w:vAlign w:val="center"/>
          </w:tcPr>
          <w:p w14:paraId="6BCB7DCD" w14:textId="521DAF8D" w:rsidR="006A3169" w:rsidRPr="00D8017D" w:rsidRDefault="006A3169" w:rsidP="006A3169">
            <w:pPr>
              <w:widowControl w:val="0"/>
              <w:ind w:firstLine="0"/>
              <w:jc w:val="center"/>
              <w:rPr>
                <w:rFonts w:eastAsia="Times New Roman" w:cs="Times New Roman"/>
                <w:b/>
                <w:color w:val="000000"/>
                <w:sz w:val="20"/>
              </w:rPr>
            </w:pPr>
            <w:r w:rsidRPr="00D8017D">
              <w:rPr>
                <w:rFonts w:eastAsia="Times New Roman" w:cs="Times New Roman"/>
                <w:b/>
                <w:color w:val="000000"/>
                <w:sz w:val="20"/>
              </w:rPr>
              <w:t>202</w:t>
            </w:r>
            <w:r w:rsidR="00A428CC" w:rsidRPr="00D8017D">
              <w:rPr>
                <w:rFonts w:eastAsia="Times New Roman" w:cs="Times New Roman"/>
                <w:b/>
                <w:color w:val="000000"/>
                <w:sz w:val="20"/>
              </w:rPr>
              <w:t>8</w:t>
            </w:r>
          </w:p>
        </w:tc>
        <w:tc>
          <w:tcPr>
            <w:tcW w:w="0" w:type="auto"/>
            <w:shd w:val="clear" w:color="000000" w:fill="auto"/>
            <w:tcMar>
              <w:left w:w="108" w:type="dxa"/>
              <w:right w:w="108" w:type="dxa"/>
            </w:tcMar>
            <w:vAlign w:val="center"/>
          </w:tcPr>
          <w:p w14:paraId="78A61EC0" w14:textId="3A37D33A" w:rsidR="006A3169" w:rsidRPr="00D8017D" w:rsidRDefault="006A3169" w:rsidP="006A3169">
            <w:pPr>
              <w:widowControl w:val="0"/>
              <w:ind w:firstLine="28"/>
              <w:jc w:val="center"/>
              <w:rPr>
                <w:rFonts w:eastAsia="Times New Roman" w:cs="Times New Roman"/>
                <w:color w:val="000000"/>
                <w:sz w:val="20"/>
              </w:rPr>
            </w:pPr>
            <w:r w:rsidRPr="00D8017D">
              <w:rPr>
                <w:rFonts w:eastAsia="Times New Roman" w:cs="Times New Roman"/>
                <w:color w:val="000000"/>
                <w:sz w:val="20"/>
              </w:rPr>
              <w:t>x</w:t>
            </w:r>
          </w:p>
        </w:tc>
        <w:tc>
          <w:tcPr>
            <w:tcW w:w="0" w:type="auto"/>
            <w:shd w:val="clear" w:color="000000" w:fill="auto"/>
            <w:tcMar>
              <w:left w:w="108" w:type="dxa"/>
              <w:right w:w="108" w:type="dxa"/>
            </w:tcMar>
            <w:vAlign w:val="center"/>
          </w:tcPr>
          <w:p w14:paraId="17F6A091" w14:textId="0AAF24E0" w:rsidR="006A3169" w:rsidRPr="00D8017D" w:rsidRDefault="006A3169" w:rsidP="006A3169">
            <w:pPr>
              <w:widowControl w:val="0"/>
              <w:ind w:firstLine="28"/>
              <w:jc w:val="center"/>
              <w:rPr>
                <w:rFonts w:eastAsia="Times New Roman" w:cs="Times New Roman"/>
                <w:color w:val="000000"/>
                <w:sz w:val="20"/>
              </w:rPr>
            </w:pPr>
            <w:r w:rsidRPr="00D8017D">
              <w:rPr>
                <w:rFonts w:eastAsia="Times New Roman" w:cs="Times New Roman"/>
                <w:color w:val="000000"/>
                <w:sz w:val="20"/>
              </w:rPr>
              <w:t>x</w:t>
            </w:r>
          </w:p>
        </w:tc>
        <w:tc>
          <w:tcPr>
            <w:tcW w:w="0" w:type="auto"/>
            <w:shd w:val="clear" w:color="000000" w:fill="auto"/>
            <w:tcMar>
              <w:left w:w="108" w:type="dxa"/>
              <w:right w:w="108" w:type="dxa"/>
            </w:tcMar>
            <w:vAlign w:val="center"/>
          </w:tcPr>
          <w:p w14:paraId="6B7A950B" w14:textId="780C54D6" w:rsidR="006A3169" w:rsidRPr="00C24622" w:rsidRDefault="006A3169" w:rsidP="006A3169">
            <w:pPr>
              <w:widowControl w:val="0"/>
              <w:ind w:firstLine="28"/>
              <w:jc w:val="center"/>
              <w:rPr>
                <w:rFonts w:eastAsia="Times New Roman" w:cs="Times New Roman"/>
                <w:color w:val="000000"/>
                <w:sz w:val="20"/>
              </w:rPr>
            </w:pPr>
            <w:r w:rsidRPr="00C24622">
              <w:rPr>
                <w:rFonts w:eastAsia="Times New Roman" w:cs="Times New Roman"/>
                <w:color w:val="000000"/>
                <w:sz w:val="20"/>
              </w:rPr>
              <w:t>-</w:t>
            </w:r>
            <w:r w:rsidR="00D103F9">
              <w:rPr>
                <w:rFonts w:eastAsia="Times New Roman" w:cs="Times New Roman"/>
                <w:color w:val="000000"/>
                <w:sz w:val="20"/>
              </w:rPr>
              <w:t>2,00</w:t>
            </w:r>
          </w:p>
        </w:tc>
        <w:tc>
          <w:tcPr>
            <w:tcW w:w="0" w:type="auto"/>
            <w:shd w:val="clear" w:color="000000" w:fill="auto"/>
            <w:tcMar>
              <w:left w:w="108" w:type="dxa"/>
              <w:right w:w="108" w:type="dxa"/>
            </w:tcMar>
          </w:tcPr>
          <w:p w14:paraId="58B4B3F1" w14:textId="0191EAC4" w:rsidR="006A3169" w:rsidRPr="00C24622" w:rsidRDefault="00A428CC" w:rsidP="006A3169">
            <w:pPr>
              <w:widowControl w:val="0"/>
              <w:ind w:firstLine="28"/>
              <w:jc w:val="center"/>
              <w:rPr>
                <w:rFonts w:eastAsia="Times New Roman" w:cs="Times New Roman"/>
                <w:color w:val="000000"/>
                <w:sz w:val="20"/>
                <w:szCs w:val="20"/>
              </w:rPr>
            </w:pPr>
            <w:r w:rsidRPr="00C24622">
              <w:rPr>
                <w:rFonts w:eastAsia="Times New Roman" w:cs="Times New Roman"/>
                <w:color w:val="000000"/>
                <w:sz w:val="20"/>
              </w:rPr>
              <w:t>FDL strukturālās bilances nosacījums</w:t>
            </w:r>
          </w:p>
        </w:tc>
        <w:tc>
          <w:tcPr>
            <w:tcW w:w="0" w:type="auto"/>
            <w:shd w:val="clear" w:color="000000" w:fill="auto"/>
            <w:tcMar>
              <w:left w:w="108" w:type="dxa"/>
              <w:right w:w="108" w:type="dxa"/>
            </w:tcMar>
            <w:vAlign w:val="center"/>
          </w:tcPr>
          <w:p w14:paraId="27680296" w14:textId="0A96D2DD" w:rsidR="006A3169" w:rsidRPr="00C24622" w:rsidRDefault="006A3169" w:rsidP="006A3169">
            <w:pPr>
              <w:widowControl w:val="0"/>
              <w:ind w:right="29" w:firstLine="0"/>
              <w:jc w:val="center"/>
              <w:rPr>
                <w:rFonts w:eastAsia="Times New Roman" w:cs="Times New Roman"/>
                <w:color w:val="000000"/>
                <w:sz w:val="20"/>
              </w:rPr>
            </w:pPr>
            <w:r w:rsidRPr="00C24622">
              <w:rPr>
                <w:rFonts w:eastAsia="Times New Roman" w:cs="Times New Roman"/>
                <w:color w:val="000000"/>
                <w:sz w:val="20"/>
              </w:rPr>
              <w:t>x</w:t>
            </w:r>
          </w:p>
        </w:tc>
      </w:tr>
    </w:tbl>
    <w:p w14:paraId="2111554F" w14:textId="75FA4E7A" w:rsidR="007F305B" w:rsidRPr="00D8017D" w:rsidRDefault="00D57DD6" w:rsidP="008349F0">
      <w:pPr>
        <w:pStyle w:val="Heading3"/>
        <w:numPr>
          <w:ilvl w:val="0"/>
          <w:numId w:val="0"/>
        </w:numPr>
        <w:ind w:left="426"/>
      </w:pPr>
      <w:bookmarkStart w:id="50" w:name="_Toc210289886"/>
      <w:r w:rsidRPr="00D8017D">
        <w:t>2.1.5</w:t>
      </w:r>
      <w:r w:rsidR="00E8646E" w:rsidRPr="00D8017D">
        <w:t xml:space="preserve">. </w:t>
      </w:r>
      <w:r w:rsidR="007F305B" w:rsidRPr="00D8017D">
        <w:t>Vispārējās valdības sektorā klasif</w:t>
      </w:r>
      <w:r w:rsidR="005715BC" w:rsidRPr="00D8017D">
        <w:t>icēto kapitālsabiedrību faktiskā ietekme</w:t>
      </w:r>
      <w:r w:rsidR="007F305B" w:rsidRPr="00D8017D">
        <w:t xml:space="preserve"> uz vispārējās valdības budžeta bilanci un parādu</w:t>
      </w:r>
      <w:bookmarkEnd w:id="50"/>
    </w:p>
    <w:p w14:paraId="58C21657" w14:textId="37882397" w:rsidR="0052019B" w:rsidRPr="00D8017D" w:rsidRDefault="00914AA7" w:rsidP="008349F0">
      <w:r w:rsidRPr="00D8017D">
        <w:t>Saskaņā ar FDL 5. panta ceturtās daļas 7.</w:t>
      </w:r>
      <w:r w:rsidRPr="00D8017D">
        <w:rPr>
          <w:vertAlign w:val="superscript"/>
        </w:rPr>
        <w:t>1</w:t>
      </w:r>
      <w:r w:rsidRPr="00D8017D">
        <w:t xml:space="preserve"> pantu, l</w:t>
      </w:r>
      <w:r w:rsidR="00EB7D26" w:rsidRPr="00D8017D">
        <w:t>ikumprojekt</w:t>
      </w:r>
      <w:r w:rsidR="00096F2A" w:rsidRPr="00D8017D">
        <w:t>a</w:t>
      </w:r>
      <w:r w:rsidR="00EB7D26" w:rsidRPr="00D8017D">
        <w:t xml:space="preserve"> “</w:t>
      </w:r>
      <w:r w:rsidR="00322105" w:rsidRPr="00D8017D">
        <w:t>Par valsts budžetu 202</w:t>
      </w:r>
      <w:r w:rsidRPr="00D8017D">
        <w:t>6</w:t>
      </w:r>
      <w:r w:rsidR="00322105" w:rsidRPr="00D8017D">
        <w:t>.</w:t>
      </w:r>
      <w:r w:rsidR="00096F2A" w:rsidRPr="00D8017D">
        <w:t xml:space="preserve"> </w:t>
      </w:r>
      <w:r w:rsidR="00322105" w:rsidRPr="00D8017D">
        <w:t>gadam un budžeta ietvaru 202</w:t>
      </w:r>
      <w:r w:rsidRPr="00D8017D">
        <w:t>6</w:t>
      </w:r>
      <w:r w:rsidR="00322105" w:rsidRPr="00D8017D">
        <w:t>., 202</w:t>
      </w:r>
      <w:r w:rsidRPr="00D8017D">
        <w:t>7</w:t>
      </w:r>
      <w:r w:rsidR="00322105" w:rsidRPr="00D8017D">
        <w:t>. un 202</w:t>
      </w:r>
      <w:r w:rsidRPr="00D8017D">
        <w:t>8</w:t>
      </w:r>
      <w:r w:rsidR="00322105" w:rsidRPr="00D8017D">
        <w:t>.</w:t>
      </w:r>
      <w:r w:rsidR="00096F2A" w:rsidRPr="00D8017D">
        <w:t xml:space="preserve"> </w:t>
      </w:r>
      <w:r w:rsidR="00322105" w:rsidRPr="00D8017D">
        <w:t>gad</w:t>
      </w:r>
      <w:r w:rsidR="00C8209A" w:rsidRPr="00D8017D">
        <w:t>am</w:t>
      </w:r>
      <w:r w:rsidR="00EB7D26" w:rsidRPr="00D8017D">
        <w:t xml:space="preserve">” </w:t>
      </w:r>
      <w:r w:rsidR="001E376C">
        <w:t>19</w:t>
      </w:r>
      <w:r w:rsidR="00096F2A" w:rsidRPr="00D8017D">
        <w:t>. pantā</w:t>
      </w:r>
      <w:r w:rsidR="00117F48" w:rsidRPr="00D8017D">
        <w:t xml:space="preserve"> </w:t>
      </w:r>
      <w:r w:rsidR="00EB7D26" w:rsidRPr="00D8017D">
        <w:t>ir noteikts, ka informācija par vispārējās valdības sektorā iekļauto kapitālsabiedrību faktisko</w:t>
      </w:r>
      <w:r w:rsidR="005A53E8" w:rsidRPr="00D8017D">
        <w:t xml:space="preserve"> </w:t>
      </w:r>
      <w:r w:rsidR="00EB7D26" w:rsidRPr="00D8017D">
        <w:t xml:space="preserve">un prognozēto ietekmi uz vispārējās valdības izdevumiem, ieņēmumiem, budžeta bilanci un parādu ir publiski pieejama </w:t>
      </w:r>
      <w:r w:rsidR="00EB7D26" w:rsidRPr="00CE3984">
        <w:t xml:space="preserve">un </w:t>
      </w:r>
      <w:r w:rsidR="005B7C54" w:rsidRPr="00CE3984">
        <w:t>FM</w:t>
      </w:r>
      <w:r w:rsidR="00EB7D26" w:rsidRPr="00CE3984">
        <w:t xml:space="preserve"> to iekļauj likuma paskaidrojumos. Informācija par vispārējā valdības sektorā iekļauto kapitālsabiedrību faktisko ietekmi uz vispārējās valdības neto aizdevumiem vai aizņēmumiem (B.9) un parādu 20</w:t>
      </w:r>
      <w:r w:rsidR="005A53E8" w:rsidRPr="00CE3984">
        <w:t>2</w:t>
      </w:r>
      <w:r w:rsidRPr="00CE3984">
        <w:t>2</w:t>
      </w:r>
      <w:r w:rsidR="00EB7D26" w:rsidRPr="00CE3984">
        <w:t>., 20</w:t>
      </w:r>
      <w:r w:rsidR="00322105" w:rsidRPr="00CE3984">
        <w:t>2</w:t>
      </w:r>
      <w:r w:rsidRPr="00CE3984">
        <w:t>3</w:t>
      </w:r>
      <w:r w:rsidR="00EB7D26" w:rsidRPr="00CE3984">
        <w:t>. un 202</w:t>
      </w:r>
      <w:r w:rsidRPr="00CE3984">
        <w:t>4</w:t>
      </w:r>
      <w:r w:rsidR="00EB7D26" w:rsidRPr="00CE3984">
        <w:t xml:space="preserve">. gadā tiek atspoguļota </w:t>
      </w:r>
      <w:r w:rsidR="00322105" w:rsidRPr="00CE3984">
        <w:t>1</w:t>
      </w:r>
      <w:r w:rsidR="00EB7D26" w:rsidRPr="00CE3984">
        <w:t>.</w:t>
      </w:r>
      <w:r w:rsidR="002B2F86" w:rsidRPr="00CE3984">
        <w:t xml:space="preserve"> </w:t>
      </w:r>
      <w:r w:rsidR="00EB7D26" w:rsidRPr="00CE3984">
        <w:t>pielikumā. Informācija par vispārējās valdības sektorā iekļauto kapitālsabiedrību prognozēto ietekmi vispārējās valdības neto aizdevumiem vai</w:t>
      </w:r>
      <w:r w:rsidR="005735FB" w:rsidRPr="00CE3984">
        <w:t xml:space="preserve"> </w:t>
      </w:r>
      <w:r w:rsidR="00EB7D26" w:rsidRPr="00CE3984">
        <w:t xml:space="preserve">aizņēmumiem (B.9) </w:t>
      </w:r>
      <w:r w:rsidR="00322105" w:rsidRPr="00CE3984">
        <w:t>202</w:t>
      </w:r>
      <w:r w:rsidRPr="00CE3984">
        <w:t>6</w:t>
      </w:r>
      <w:r w:rsidR="00EB7D26" w:rsidRPr="00CE3984">
        <w:t xml:space="preserve">., </w:t>
      </w:r>
      <w:r w:rsidR="00322105" w:rsidRPr="00CE3984">
        <w:t>202</w:t>
      </w:r>
      <w:r w:rsidRPr="00CE3984">
        <w:t>7</w:t>
      </w:r>
      <w:r w:rsidR="00EB7D26" w:rsidRPr="00CE3984">
        <w:t xml:space="preserve">. un </w:t>
      </w:r>
      <w:r w:rsidR="00322105" w:rsidRPr="00CE3984">
        <w:t>202</w:t>
      </w:r>
      <w:r w:rsidRPr="00CE3984">
        <w:t>8</w:t>
      </w:r>
      <w:r w:rsidR="00EB7D26" w:rsidRPr="00CE3984">
        <w:t xml:space="preserve">. gadā atrodama 2. pielikumā, un informācija par vispārējās valdības sektorā iekļauto kapitālsabiedrību prognozēto ietekmi uz vispārējās valdības parādu </w:t>
      </w:r>
      <w:r w:rsidR="00322105" w:rsidRPr="00CE3984">
        <w:t>202</w:t>
      </w:r>
      <w:r w:rsidRPr="00CE3984">
        <w:t>6</w:t>
      </w:r>
      <w:r w:rsidR="00EB7D26" w:rsidRPr="00CE3984">
        <w:t xml:space="preserve">., </w:t>
      </w:r>
      <w:r w:rsidR="00322105" w:rsidRPr="00CE3984">
        <w:t>202</w:t>
      </w:r>
      <w:r w:rsidRPr="00CE3984">
        <w:t>7</w:t>
      </w:r>
      <w:r w:rsidR="00EB7D26" w:rsidRPr="00CE3984">
        <w:t xml:space="preserve">. un </w:t>
      </w:r>
      <w:r w:rsidR="00322105" w:rsidRPr="00CE3984">
        <w:t>202</w:t>
      </w:r>
      <w:r w:rsidRPr="00CE3984">
        <w:t>8</w:t>
      </w:r>
      <w:r w:rsidR="00EB7D26" w:rsidRPr="00CE3984">
        <w:t>. gadā atrodama 3. pielikumā.</w:t>
      </w:r>
    </w:p>
    <w:p w14:paraId="10D09C2C" w14:textId="4D6BF033" w:rsidR="00322C7C" w:rsidRPr="00E67A69" w:rsidRDefault="00DD5211" w:rsidP="008349F0">
      <w:pPr>
        <w:pStyle w:val="Heading2"/>
      </w:pPr>
      <w:bookmarkStart w:id="51" w:name="_Toc210289887"/>
      <w:r w:rsidRPr="00E67A69">
        <w:t xml:space="preserve">2.2. </w:t>
      </w:r>
      <w:r w:rsidR="000548A5" w:rsidRPr="00E67A69">
        <w:t xml:space="preserve">Vispārējās valdības budžeta </w:t>
      </w:r>
      <w:r w:rsidR="004E6359" w:rsidRPr="00E67A69">
        <w:t>galvenie fiskālie rādītāji</w:t>
      </w:r>
      <w:bookmarkEnd w:id="51"/>
    </w:p>
    <w:p w14:paraId="09389F70" w14:textId="301C49C4" w:rsidR="003F3FCD" w:rsidRPr="00E67A69" w:rsidRDefault="005D361F" w:rsidP="008349F0">
      <w:pPr>
        <w:pStyle w:val="Heading3"/>
        <w:numPr>
          <w:ilvl w:val="0"/>
          <w:numId w:val="0"/>
        </w:numPr>
      </w:pPr>
      <w:bookmarkStart w:id="52" w:name="_Toc210289888"/>
      <w:r w:rsidRPr="00E67A69">
        <w:t xml:space="preserve">2.2.1. </w:t>
      </w:r>
      <w:r w:rsidR="000548A5" w:rsidRPr="00E67A69">
        <w:t>Vispārējās valdības budžeta struktūra</w:t>
      </w:r>
      <w:bookmarkEnd w:id="52"/>
    </w:p>
    <w:p w14:paraId="74D3D92A" w14:textId="77777777" w:rsidR="00E67A69" w:rsidRDefault="00E67A69" w:rsidP="00E67A69">
      <w:pPr>
        <w:spacing w:before="240"/>
        <w:rPr>
          <w:rFonts w:eastAsia="Times New Roman" w:cs="Times New Roman"/>
          <w:szCs w:val="28"/>
          <w:lang w:eastAsia="en-US"/>
        </w:rPr>
      </w:pPr>
      <w:bookmarkStart w:id="53" w:name="_Toc210289889"/>
      <w:r w:rsidRPr="00892340">
        <w:rPr>
          <w:rFonts w:eastAsia="Times New Roman" w:cs="Times New Roman"/>
          <w:szCs w:val="28"/>
          <w:lang w:eastAsia="en-US"/>
        </w:rPr>
        <w:t>ES dalībvalstīs makroekonomisko rādītāju un publisko finanšu statistiku uzskaita atbilstoši vienotai un harmonizētai metodoloģijai – Eiropas nacionālo un reģionālo kontu sistēmai (turpmāk – EKS)</w:t>
      </w:r>
      <w:r w:rsidRPr="00892340">
        <w:rPr>
          <w:rFonts w:eastAsia="Times New Roman" w:cs="Times New Roman"/>
          <w:szCs w:val="28"/>
          <w:vertAlign w:val="superscript"/>
          <w:lang w:eastAsia="en-US"/>
        </w:rPr>
        <w:footnoteReference w:id="26"/>
      </w:r>
      <w:r w:rsidRPr="00892340">
        <w:rPr>
          <w:rFonts w:eastAsia="Times New Roman" w:cs="Times New Roman"/>
          <w:szCs w:val="28"/>
          <w:lang w:eastAsia="en-US"/>
        </w:rPr>
        <w:t>. 2014. gada septembrī ES tika ieviesta pārskatītā un atjaunotā EKS 2010, savukārt līdz tam nacionālo kontu sistēmas aprēķinos lietoja EKS 95, kas balstījās uz ANO 1993. gadā pieņemtajām nacionālo kontu sistēmas metodoloģijas rekomendācijām.</w:t>
      </w:r>
    </w:p>
    <w:p w14:paraId="7E3F1BF6" w14:textId="460E0F80" w:rsidR="00E67A69" w:rsidRPr="00892340" w:rsidRDefault="00E67A69" w:rsidP="00E67A69">
      <w:pPr>
        <w:rPr>
          <w:rFonts w:eastAsia="Times New Roman" w:cs="Times New Roman"/>
          <w:szCs w:val="28"/>
          <w:lang w:eastAsia="en-US"/>
        </w:rPr>
      </w:pPr>
      <w:r w:rsidRPr="00892340">
        <w:rPr>
          <w:rFonts w:eastAsia="Times New Roman" w:cs="Times New Roman"/>
          <w:szCs w:val="28"/>
          <w:lang w:eastAsia="en-US"/>
        </w:rPr>
        <w:t xml:space="preserve">EKS ir starptautiski atzīts gan vispārēju ekonomikas procesu, gan atsevišķu ekonomikas sektoru, piemēram, valdības finanšu uzskaites standarts. EKS piemēro Māstrihtas kritēriju izpildes novērtēšanai, un tā ir ES fiskālās </w:t>
      </w:r>
      <w:r w:rsidR="00410827">
        <w:rPr>
          <w:rFonts w:eastAsia="Times New Roman" w:cs="Times New Roman"/>
          <w:szCs w:val="28"/>
          <w:lang w:eastAsia="en-US"/>
        </w:rPr>
        <w:t>uzraudzības</w:t>
      </w:r>
      <w:r w:rsidRPr="00892340">
        <w:rPr>
          <w:rFonts w:eastAsia="Times New Roman" w:cs="Times New Roman"/>
          <w:szCs w:val="28"/>
          <w:lang w:eastAsia="en-US"/>
        </w:rPr>
        <w:t xml:space="preserve"> pamatā.</w:t>
      </w:r>
    </w:p>
    <w:p w14:paraId="5620A85F" w14:textId="77777777" w:rsidR="00E67A69" w:rsidRPr="00892340" w:rsidRDefault="00E67A69" w:rsidP="00E67A69">
      <w:pPr>
        <w:rPr>
          <w:rFonts w:eastAsia="Times New Roman" w:cs="Times New Roman"/>
          <w:szCs w:val="28"/>
          <w:lang w:eastAsia="en-US"/>
        </w:rPr>
      </w:pPr>
      <w:r w:rsidRPr="00892340">
        <w:rPr>
          <w:rFonts w:eastAsia="Times New Roman" w:cs="Times New Roman"/>
          <w:szCs w:val="28"/>
          <w:lang w:eastAsia="en-US"/>
        </w:rPr>
        <w:t>Ja Latvijā publisko finanšu vadībai izmanto naudas plūsmā balstītu nacionālo metodoloģiju, tad EKS mērķis ir, ievērojot detalizētus metodiskus nosacījumus, transformēt naudas plūsmas ieņēmumus un izdevumus uz EKS ieņēmumiem un izdevumiem. Tādējādi arī budžeta deficītu vai pārpalikumu var izteikt kā:</w:t>
      </w:r>
    </w:p>
    <w:p w14:paraId="3DE83607" w14:textId="77777777" w:rsidR="00E67A69" w:rsidRPr="00892340" w:rsidRDefault="00E67A69" w:rsidP="00E67A69">
      <w:pPr>
        <w:numPr>
          <w:ilvl w:val="0"/>
          <w:numId w:val="6"/>
        </w:numPr>
        <w:rPr>
          <w:rFonts w:eastAsia="Times New Roman" w:cs="Times New Roman"/>
          <w:szCs w:val="28"/>
          <w:lang w:eastAsia="en-US"/>
        </w:rPr>
      </w:pPr>
      <w:r w:rsidRPr="00892340">
        <w:rPr>
          <w:rFonts w:eastAsia="Times New Roman" w:cs="Times New Roman"/>
          <w:szCs w:val="28"/>
          <w:lang w:eastAsia="en-US"/>
        </w:rPr>
        <w:t>konsolidētā kopbudžeta bilanci (nacionālā metodoloģija) vai</w:t>
      </w:r>
    </w:p>
    <w:p w14:paraId="106D8B81" w14:textId="77777777" w:rsidR="00E67A69" w:rsidRPr="00892340" w:rsidRDefault="00E67A69" w:rsidP="00E67A69">
      <w:pPr>
        <w:numPr>
          <w:ilvl w:val="0"/>
          <w:numId w:val="6"/>
        </w:numPr>
        <w:rPr>
          <w:rFonts w:eastAsia="Times New Roman" w:cs="Times New Roman"/>
          <w:szCs w:val="28"/>
          <w:lang w:eastAsia="en-US"/>
        </w:rPr>
      </w:pPr>
      <w:r w:rsidRPr="00892340">
        <w:rPr>
          <w:rFonts w:eastAsia="Times New Roman" w:cs="Times New Roman"/>
          <w:szCs w:val="28"/>
          <w:lang w:eastAsia="en-US"/>
        </w:rPr>
        <w:lastRenderedPageBreak/>
        <w:t>vispārējās valdības budžeta bilanci (EKS metodoloģija).</w:t>
      </w:r>
    </w:p>
    <w:p w14:paraId="558D88FD" w14:textId="77777777" w:rsidR="00E67A69" w:rsidRPr="00892340" w:rsidRDefault="00E67A69" w:rsidP="00E67A69">
      <w:pPr>
        <w:spacing w:before="60"/>
        <w:ind w:firstLine="0"/>
        <w:jc w:val="center"/>
        <w:rPr>
          <w:rFonts w:eastAsia="Times New Roman" w:cs="Times New Roman"/>
          <w:b/>
          <w:i/>
          <w:szCs w:val="24"/>
          <w:lang w:eastAsia="en-US"/>
        </w:rPr>
      </w:pPr>
      <w:r w:rsidRPr="00892340">
        <w:rPr>
          <w:rFonts w:eastAsia="Times New Roman" w:cs="Times New Roman"/>
          <w:b/>
          <w:i/>
          <w:noProof/>
          <w:szCs w:val="24"/>
          <w:lang w:eastAsia="en-US"/>
        </w:rPr>
        <w:drawing>
          <wp:inline distT="0" distB="0" distL="0" distR="0" wp14:anchorId="49167BFC" wp14:editId="5B7D58F0">
            <wp:extent cx="5157470" cy="3243580"/>
            <wp:effectExtent l="0" t="0" r="5080" b="0"/>
            <wp:docPr id="1573467541" name="Picture 3" descr="A diagram of a company's financial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67541" name="Picture 3" descr="A diagram of a company's financial system&#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57470" cy="3243580"/>
                    </a:xfrm>
                    <a:prstGeom prst="rect">
                      <a:avLst/>
                    </a:prstGeom>
                    <a:noFill/>
                  </pic:spPr>
                </pic:pic>
              </a:graphicData>
            </a:graphic>
          </wp:inline>
        </w:drawing>
      </w:r>
    </w:p>
    <w:p w14:paraId="31CD236F" w14:textId="77777777" w:rsidR="00E67A69" w:rsidRPr="00892340" w:rsidRDefault="00E67A69" w:rsidP="00E67A69">
      <w:pPr>
        <w:spacing w:before="60"/>
        <w:ind w:firstLine="0"/>
        <w:jc w:val="center"/>
        <w:rPr>
          <w:rFonts w:eastAsia="Times New Roman" w:cs="Times New Roman"/>
          <w:b/>
          <w:i/>
          <w:szCs w:val="24"/>
          <w:lang w:eastAsia="en-US"/>
        </w:rPr>
      </w:pPr>
      <w:r w:rsidRPr="00E67A69">
        <w:rPr>
          <w:rFonts w:eastAsia="Times New Roman" w:cs="Times New Roman"/>
          <w:b/>
          <w:i/>
          <w:szCs w:val="24"/>
          <w:lang w:eastAsia="en-US"/>
        </w:rPr>
        <w:t>2.1. att.</w:t>
      </w:r>
      <w:r w:rsidRPr="00892340">
        <w:rPr>
          <w:rFonts w:eastAsia="Times New Roman" w:cs="Times New Roman"/>
          <w:b/>
          <w:i/>
          <w:szCs w:val="24"/>
          <w:lang w:eastAsia="en-US"/>
        </w:rPr>
        <w:t xml:space="preserve"> Vispārējās valdības budžeta struktūra (S130000)</w:t>
      </w:r>
    </w:p>
    <w:p w14:paraId="25D524C7" w14:textId="77777777" w:rsidR="00E67A69" w:rsidRPr="00892340" w:rsidRDefault="00E67A69" w:rsidP="00E67A69">
      <w:pPr>
        <w:spacing w:after="0"/>
        <w:rPr>
          <w:rFonts w:eastAsia="Times New Roman" w:cs="Times New Roman"/>
          <w:szCs w:val="28"/>
          <w:lang w:eastAsia="en-US"/>
        </w:rPr>
      </w:pPr>
    </w:p>
    <w:p w14:paraId="7CF0BCC2" w14:textId="77777777" w:rsidR="00E67A69" w:rsidRPr="00892340" w:rsidRDefault="00E67A69" w:rsidP="00E67A69">
      <w:pPr>
        <w:rPr>
          <w:rFonts w:eastAsia="Times New Roman" w:cs="Times New Roman"/>
          <w:szCs w:val="28"/>
          <w:lang w:eastAsia="en-US"/>
        </w:rPr>
      </w:pPr>
      <w:r w:rsidRPr="001613FA">
        <w:rPr>
          <w:rFonts w:eastAsia="Times New Roman" w:cs="Times New Roman"/>
          <w:szCs w:val="28"/>
          <w:lang w:eastAsia="en-US"/>
        </w:rPr>
        <w:t>Lai nodrošinātu pāreju no nacionālās kopbudžeta uzskaites uz vienoto EKS standartu, konsolidētā kopbudžeta bilance tiek koriģēta, piemērojot EKS korekcijas, kas atspoguļo uzskaites metodoloģijas atšķirības.</w:t>
      </w:r>
      <w:r>
        <w:rPr>
          <w:rFonts w:eastAsia="Times New Roman" w:cs="Times New Roman"/>
          <w:szCs w:val="28"/>
          <w:lang w:eastAsia="en-US"/>
        </w:rPr>
        <w:t xml:space="preserve"> </w:t>
      </w:r>
      <w:r w:rsidRPr="00892340">
        <w:rPr>
          <w:rFonts w:eastAsia="Times New Roman" w:cs="Times New Roman"/>
          <w:szCs w:val="28"/>
          <w:lang w:eastAsia="en-US"/>
        </w:rPr>
        <w:t>Būtiskākās EKS publisko finanšu statistikas metodoloģijas atšķirības salīdzinājumā ar nacionālo metodoloģiju ir šādas:</w:t>
      </w:r>
    </w:p>
    <w:p w14:paraId="3A864FD8" w14:textId="77777777" w:rsidR="00E67A69" w:rsidRPr="00892340" w:rsidRDefault="00E67A69" w:rsidP="00E67A69">
      <w:pPr>
        <w:numPr>
          <w:ilvl w:val="0"/>
          <w:numId w:val="7"/>
        </w:numPr>
        <w:ind w:hanging="357"/>
        <w:rPr>
          <w:rFonts w:eastAsia="Times New Roman" w:cs="Times New Roman"/>
          <w:szCs w:val="28"/>
          <w:lang w:eastAsia="en-US"/>
        </w:rPr>
      </w:pPr>
      <w:r w:rsidRPr="00892340">
        <w:rPr>
          <w:rFonts w:eastAsia="Times New Roman" w:cs="Times New Roman"/>
          <w:szCs w:val="28"/>
          <w:lang w:eastAsia="en-US"/>
        </w:rPr>
        <w:t>EKS uzskaites pamatā ir uzkrājuma princips, savukārt nacionālajā budžeta vadībā ievēro naudas plūsmas principu;</w:t>
      </w:r>
    </w:p>
    <w:p w14:paraId="4DB1E490" w14:textId="77777777" w:rsidR="00E67A69" w:rsidRPr="00892340" w:rsidRDefault="00E67A69" w:rsidP="00E67A69">
      <w:pPr>
        <w:numPr>
          <w:ilvl w:val="0"/>
          <w:numId w:val="7"/>
        </w:numPr>
        <w:ind w:hanging="357"/>
        <w:rPr>
          <w:rFonts w:eastAsia="Times New Roman" w:cs="Times New Roman"/>
          <w:noProof/>
          <w:szCs w:val="28"/>
          <w:lang w:eastAsia="en-US"/>
        </w:rPr>
      </w:pPr>
      <w:r w:rsidRPr="00892340">
        <w:rPr>
          <w:rFonts w:eastAsia="Times New Roman" w:cs="Times New Roman"/>
          <w:noProof/>
          <w:szCs w:val="28"/>
          <w:lang w:eastAsia="en-US"/>
        </w:rPr>
        <w:t xml:space="preserve">nacionālajā uzskaitē </w:t>
      </w:r>
      <w:r w:rsidRPr="00892340">
        <w:rPr>
          <w:rFonts w:eastAsia="Times New Roman" w:cs="Times New Roman"/>
          <w:szCs w:val="28"/>
          <w:lang w:eastAsia="en-US"/>
        </w:rPr>
        <w:t xml:space="preserve">atsevišķu veidu finanšu darījumi (aizdevumi u.tml.) EKS izpratnē var būt </w:t>
      </w:r>
      <w:r w:rsidRPr="00892340">
        <w:rPr>
          <w:rFonts w:eastAsia="Times New Roman" w:cs="Times New Roman"/>
          <w:noProof/>
          <w:szCs w:val="28"/>
          <w:lang w:eastAsia="en-US"/>
        </w:rPr>
        <w:t>nefinanšu darījumi, attiecīgi ietekmējot budžeta izdevumus;</w:t>
      </w:r>
    </w:p>
    <w:p w14:paraId="3C9A5303" w14:textId="77777777" w:rsidR="00E67A69" w:rsidRPr="00892340" w:rsidRDefault="00E67A69" w:rsidP="00E67A69">
      <w:pPr>
        <w:numPr>
          <w:ilvl w:val="0"/>
          <w:numId w:val="7"/>
        </w:numPr>
        <w:ind w:hanging="357"/>
        <w:rPr>
          <w:rFonts w:eastAsia="Times New Roman" w:cs="Times New Roman"/>
          <w:szCs w:val="28"/>
          <w:lang w:eastAsia="en-US"/>
        </w:rPr>
      </w:pPr>
      <w:r w:rsidRPr="00892340">
        <w:rPr>
          <w:rFonts w:eastAsia="Times New Roman" w:cs="Times New Roman"/>
          <w:noProof/>
          <w:szCs w:val="28"/>
          <w:lang w:eastAsia="en-US"/>
        </w:rPr>
        <w:t>EKS ir plašāks sektorālais</w:t>
      </w:r>
      <w:r w:rsidRPr="00892340">
        <w:rPr>
          <w:rFonts w:eastAsia="Times New Roman" w:cs="Times New Roman"/>
          <w:szCs w:val="28"/>
          <w:lang w:eastAsia="en-US"/>
        </w:rPr>
        <w:t xml:space="preserve"> tvērums – tas ir attiecināms uz visu vispārējās valdības institucionālo sektoru, tajā skaitā uz valsts vai pašvaldību kontrolētām un finansētām komercsabiedrībām</w:t>
      </w:r>
      <w:r>
        <w:rPr>
          <w:rStyle w:val="FootnoteReference"/>
          <w:rFonts w:eastAsia="Times New Roman" w:cs="Times New Roman"/>
          <w:szCs w:val="28"/>
          <w:lang w:eastAsia="en-US"/>
        </w:rPr>
        <w:footnoteReference w:id="27"/>
      </w:r>
      <w:r w:rsidRPr="00892340">
        <w:rPr>
          <w:rFonts w:eastAsia="Times New Roman" w:cs="Times New Roman"/>
          <w:szCs w:val="28"/>
          <w:lang w:eastAsia="en-US"/>
        </w:rPr>
        <w:t>, taču nacionālā budžeta uzskaite aptver vien tipiskās budžeta iestādes.</w:t>
      </w:r>
    </w:p>
    <w:p w14:paraId="076F66BF" w14:textId="77777777" w:rsidR="00E67A69" w:rsidRPr="00892340" w:rsidRDefault="00E67A69" w:rsidP="00E67A69">
      <w:pPr>
        <w:rPr>
          <w:rFonts w:eastAsia="Times New Roman" w:cs="Times New Roman"/>
          <w:szCs w:val="28"/>
          <w:lang w:eastAsia="en-US"/>
        </w:rPr>
      </w:pPr>
      <w:r w:rsidRPr="00892340">
        <w:rPr>
          <w:rFonts w:eastAsia="Times New Roman" w:cs="Times New Roman"/>
          <w:szCs w:val="28"/>
          <w:lang w:eastAsia="en-US"/>
        </w:rPr>
        <w:t>Valsts finanšu uzskaiti atbilstoši EKS metodoloģijai Latvijā veic CSP. Savukārt FM izstrādā vispārējās valdības budžeta prognozes, ievērojot CSP izmantoto EKS metodiku, tādējādi nodrošinot prognozēto rādītāju metodoloģisku atbilstību vienotajiem EKS pamatprincipiem.</w:t>
      </w:r>
    </w:p>
    <w:p w14:paraId="57C559E5" w14:textId="77777777" w:rsidR="00E67A69" w:rsidRPr="00D64F4A" w:rsidRDefault="00E67A69" w:rsidP="00E67A69">
      <w:pPr>
        <w:rPr>
          <w:rFonts w:eastAsia="Times New Roman" w:cs="Times New Roman"/>
          <w:szCs w:val="28"/>
          <w:lang w:eastAsia="en-US"/>
        </w:rPr>
      </w:pPr>
      <w:r w:rsidRPr="00892340">
        <w:rPr>
          <w:rFonts w:eastAsia="Times New Roman" w:cs="Times New Roman"/>
          <w:szCs w:val="28"/>
          <w:lang w:eastAsia="en-US"/>
        </w:rPr>
        <w:t>FM, veidojot vispārējās valdības budžeta bilances prognozes, veic pieklasificēto valsts un pašvaldību komersantu aptauju. Aptaujās tiek apkopota informācija par visu vispārējās valdības sektorā ietilpstošo valsts un pēc apgrozījuma lielāko pašvaldību komersantu plānoto saimniecisko darbību. Apkopotā informācija ļauj FM aprēķināt šo komersantu saimnieciskās darbības rezultāta ietekmi uz vispārējās valdības budžeta bilanci.</w:t>
      </w:r>
    </w:p>
    <w:p w14:paraId="54FCAB8B" w14:textId="25998ADF" w:rsidR="003F3FCD" w:rsidRPr="00E67A69" w:rsidRDefault="006C030A" w:rsidP="008349F0">
      <w:pPr>
        <w:pStyle w:val="Heading3"/>
        <w:numPr>
          <w:ilvl w:val="0"/>
          <w:numId w:val="0"/>
        </w:numPr>
      </w:pPr>
      <w:r w:rsidRPr="00E67A69">
        <w:lastRenderedPageBreak/>
        <w:t xml:space="preserve">2.2.2. </w:t>
      </w:r>
      <w:r w:rsidR="000548A5" w:rsidRPr="00E67A69">
        <w:t>Vispārējās valdības budžeta bilance</w:t>
      </w:r>
      <w:bookmarkEnd w:id="53"/>
    </w:p>
    <w:p w14:paraId="410C1D92" w14:textId="77777777" w:rsidR="00E67A69" w:rsidRPr="00E67A69" w:rsidRDefault="00E67A69" w:rsidP="00E67A69">
      <w:pPr>
        <w:rPr>
          <w:rFonts w:eastAsia="Times New Roman" w:cs="Times New Roman"/>
          <w:szCs w:val="28"/>
          <w:lang w:eastAsia="en-US"/>
        </w:rPr>
      </w:pPr>
      <w:bookmarkStart w:id="54" w:name="_Hlk83887434"/>
      <w:r w:rsidRPr="00E67A69">
        <w:rPr>
          <w:rFonts w:eastAsia="Times New Roman" w:cs="Times New Roman"/>
          <w:szCs w:val="28"/>
          <w:lang w:eastAsia="en-US"/>
        </w:rPr>
        <w:t>MK 2025. gada 19. augusta sēdē tika izskatīts FM sagatavotais informatīvais ziņojums “</w:t>
      </w:r>
      <w:r w:rsidRPr="00E67A69">
        <w:rPr>
          <w:rFonts w:eastAsia="Calibri" w:cs="Times New Roman"/>
          <w:bCs/>
          <w:szCs w:val="24"/>
        </w:rPr>
        <w:t>Par makroekonomisko rādītāju, ieņēmumu un vispārējās valdības budžeta bilances prognozēm 2026., 2027., 2028. un 2029. gadā</w:t>
      </w:r>
      <w:r w:rsidRPr="00E67A69">
        <w:rPr>
          <w:rFonts w:eastAsia="Times New Roman" w:cs="Times New Roman"/>
          <w:szCs w:val="28"/>
          <w:lang w:eastAsia="en-US"/>
        </w:rPr>
        <w:t>”, kurā tika iekļautas vispārējās valdības budžeta prognozes vidējam termiņam pie nemainīgas politikas. Prognozes tika sagatavotas, par pamatu ņemot budžeta izpildi 2025. gada sešos mēnešos un 2025. gada jūlijā aktualizētās ieņēmumu un izdevumu prognozes atbilstoši jūnijā atjaunotajam makroekonomiskās attīstības scenārijam, kā arī ņemot vērā vispārējās valdības komersantu jūnijā-jūlijā iesniegtās prognozes par to saimnieciskās un finanšu darbības rezultāta ietekmi uz bilanci, kā arī pašvaldību un citu atvasināto publisko personu budžetu iespējamo attīstību turpmākajos gados.</w:t>
      </w:r>
    </w:p>
    <w:p w14:paraId="08D750D8" w14:textId="77777777" w:rsidR="00E67A69" w:rsidRPr="00E67A69" w:rsidRDefault="00E67A69" w:rsidP="00E67A69">
      <w:pPr>
        <w:rPr>
          <w:color w:val="000000" w:themeColor="text1"/>
        </w:rPr>
      </w:pPr>
      <w:r w:rsidRPr="00E67A69">
        <w:rPr>
          <w:color w:val="000000" w:themeColor="text1"/>
        </w:rPr>
        <w:t xml:space="preserve">FM 2025. gada oktobrī ir aktualizējusi vispārējās valdības budžeta bilances, ņemot vērā valdības pieņemtos lēmumus augustā un septembrī attiecībā uz publiskā sektora izdevumu samazināšanu un prioritārajiem pasākumiem, galvenokārt novirzot papildu finansējumu valsts drošības stiprināšanai, kā arī atbalstam ģimenēm ar bērniem un izglītībai. </w:t>
      </w:r>
    </w:p>
    <w:p w14:paraId="47452A09" w14:textId="77777777" w:rsidR="00E67A69" w:rsidRPr="00E67A69" w:rsidRDefault="00E67A69" w:rsidP="00E67A69">
      <w:pPr>
        <w:rPr>
          <w:color w:val="000000" w:themeColor="text1"/>
        </w:rPr>
      </w:pPr>
      <w:r w:rsidRPr="00E67A69">
        <w:rPr>
          <w:color w:val="000000" w:themeColor="text1"/>
        </w:rPr>
        <w:t xml:space="preserve">Atbilstoši FM novērtējumam </w:t>
      </w:r>
      <w:r w:rsidRPr="00E67A69">
        <w:rPr>
          <w:b/>
          <w:bCs/>
          <w:color w:val="000000" w:themeColor="text1"/>
        </w:rPr>
        <w:t>vispārējās valdības budžeta deficīts 2025. gadā sasniegs 2,9% no IKP</w:t>
      </w:r>
      <w:r w:rsidRPr="00E67A69">
        <w:rPr>
          <w:color w:val="000000" w:themeColor="text1"/>
        </w:rPr>
        <w:t>, un tas ir par 0,2 pp zemāks nekā tika prognozēts 2025. gada aprīļa sākumā, izstrādājot Latvijas Fiskāli strukturālā plāna 2025.-2028. gadam 2025. gada Progresa ziņojumu. Šis deficīta līmenis atbilst pieļaujamajam vispārējās valdības budžeta deficītam, kas noteikts likumā “Par valsts budžetu 2025. gadam un budžeta ietvaru 2025., 2026. un 2027. gadam”.</w:t>
      </w:r>
    </w:p>
    <w:p w14:paraId="020FD391" w14:textId="4C695F9B" w:rsidR="00E67A69" w:rsidRDefault="00FD0F93" w:rsidP="0027110C">
      <w:pPr>
        <w:rPr>
          <w:noProof/>
          <w:color w:val="000000" w:themeColor="text1"/>
        </w:rPr>
      </w:pPr>
      <w:r w:rsidRPr="00E67A69">
        <w:rPr>
          <w:rFonts w:eastAsia="Times New Roman" w:cs="Times New Roman"/>
          <w:b/>
          <w:i/>
          <w:noProof/>
          <w:color w:val="000000" w:themeColor="text1"/>
          <w:szCs w:val="24"/>
          <w:lang w:eastAsia="en-US"/>
        </w:rPr>
        <w:drawing>
          <wp:anchor distT="0" distB="0" distL="114300" distR="114300" simplePos="0" relativeHeight="251674624" behindDoc="0" locked="0" layoutInCell="1" allowOverlap="1" wp14:anchorId="255EDB38" wp14:editId="05744108">
            <wp:simplePos x="0" y="0"/>
            <wp:positionH relativeFrom="column">
              <wp:posOffset>3188970</wp:posOffset>
            </wp:positionH>
            <wp:positionV relativeFrom="paragraph">
              <wp:posOffset>926465</wp:posOffset>
            </wp:positionV>
            <wp:extent cx="3029585" cy="2266950"/>
            <wp:effectExtent l="0" t="0" r="0" b="0"/>
            <wp:wrapSquare wrapText="bothSides"/>
            <wp:docPr id="626951089" name="Picture 1" descr="A graph with numbers and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951089" name="Picture 1" descr="A graph with numbers and a number of people&#10;&#10;AI-generated content may be incorrect."/>
                    <pic:cNvPicPr/>
                  </pic:nvPicPr>
                  <pic:blipFill rotWithShape="1">
                    <a:blip r:embed="rId41">
                      <a:extLst>
                        <a:ext uri="{28A0092B-C50C-407E-A947-70E740481C1C}">
                          <a14:useLocalDpi xmlns:a14="http://schemas.microsoft.com/office/drawing/2010/main" val="0"/>
                        </a:ext>
                      </a:extLst>
                    </a:blip>
                    <a:srcRect t="4891"/>
                    <a:stretch>
                      <a:fillRect/>
                    </a:stretch>
                  </pic:blipFill>
                  <pic:spPr bwMode="auto">
                    <a:xfrm>
                      <a:off x="0" y="0"/>
                      <a:ext cx="3029585" cy="2266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67A69">
        <w:rPr>
          <w:rFonts w:eastAsia="Times New Roman" w:cs="Times New Roman"/>
          <w:b/>
          <w:i/>
          <w:noProof/>
          <w:szCs w:val="24"/>
          <w:lang w:eastAsia="en-US"/>
        </w:rPr>
        <w:drawing>
          <wp:anchor distT="0" distB="0" distL="114300" distR="114300" simplePos="0" relativeHeight="251673600" behindDoc="0" locked="0" layoutInCell="1" allowOverlap="1" wp14:anchorId="59A1BE5A" wp14:editId="7BE20B89">
            <wp:simplePos x="0" y="0"/>
            <wp:positionH relativeFrom="margin">
              <wp:align>left</wp:align>
            </wp:positionH>
            <wp:positionV relativeFrom="paragraph">
              <wp:posOffset>1015365</wp:posOffset>
            </wp:positionV>
            <wp:extent cx="3051810" cy="2209800"/>
            <wp:effectExtent l="0" t="0" r="0" b="0"/>
            <wp:wrapTopAndBottom/>
            <wp:docPr id="631905072" name="Picture 1" descr="A graph of numbers and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905072" name="Picture 1" descr="A graph of numbers and a number of people&#10;&#10;AI-generated content may be incorrect."/>
                    <pic:cNvPicPr/>
                  </pic:nvPicPr>
                  <pic:blipFill rotWithShape="1">
                    <a:blip r:embed="rId42">
                      <a:extLst>
                        <a:ext uri="{28A0092B-C50C-407E-A947-70E740481C1C}">
                          <a14:useLocalDpi xmlns:a14="http://schemas.microsoft.com/office/drawing/2010/main" val="0"/>
                        </a:ext>
                      </a:extLst>
                    </a:blip>
                    <a:srcRect t="8452"/>
                    <a:stretch>
                      <a:fillRect/>
                    </a:stretch>
                  </pic:blipFill>
                  <pic:spPr bwMode="auto">
                    <a:xfrm>
                      <a:off x="0" y="0"/>
                      <a:ext cx="3051810" cy="2209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67A69" w:rsidRPr="00E67A69">
        <w:rPr>
          <w:color w:val="000000" w:themeColor="text1"/>
        </w:rPr>
        <w:t xml:space="preserve">Salīdzinot ar apstiprināto budžetu, 2025. gadā tiek prognozēti zemāki nodokļu ieņēmumi mērenākas tautsaimniecības izaugsmes dēļ, kā arī augstāks nacionālā līdzfinansējuma apjoms ĀFP projektiem saistībā ar zemāku ārvalstu finanšu atbalsta intensitāti. Vienlaikus bilanci pozitīvi ietekmē </w:t>
      </w:r>
      <w:r w:rsidR="00E67A69" w:rsidRPr="00E67A69">
        <w:rPr>
          <w:noProof/>
          <w:color w:val="000000" w:themeColor="text1"/>
        </w:rPr>
        <w:t>ietaupījumi valsts pamatbudžeta pamatfunkciju izdevumos un augstāki, nekā plānots, nenodokļu ieņēmumi.</w:t>
      </w:r>
    </w:p>
    <w:p w14:paraId="4DC8C315" w14:textId="4CBCA7A9" w:rsidR="00FD0F93" w:rsidRDefault="00FD0F93" w:rsidP="0027110C">
      <w:pPr>
        <w:rPr>
          <w:noProof/>
          <w:color w:val="000000" w:themeColor="text1"/>
        </w:rPr>
      </w:pPr>
    </w:p>
    <w:p w14:paraId="686E8A12" w14:textId="4C19A20B" w:rsidR="00FD0F93" w:rsidRPr="00E67A69" w:rsidRDefault="00FD0F93" w:rsidP="0027110C">
      <w:pPr>
        <w:rPr>
          <w:noProof/>
          <w:color w:val="000000" w:themeColor="text1"/>
        </w:rPr>
        <w:sectPr w:rsidR="00FD0F93" w:rsidRPr="00E67A69" w:rsidSect="003534D9">
          <w:headerReference w:type="default" r:id="rId43"/>
          <w:footerReference w:type="default" r:id="rId44"/>
          <w:headerReference w:type="first" r:id="rId45"/>
          <w:footerReference w:type="first" r:id="rId46"/>
          <w:pgSz w:w="11906" w:h="16838" w:code="9"/>
          <w:pgMar w:top="1134" w:right="1134" w:bottom="1701" w:left="1418" w:header="709" w:footer="709" w:gutter="0"/>
          <w:pgNumType w:start="8"/>
          <w:cols w:space="708"/>
          <w:docGrid w:linePitch="360"/>
        </w:sectPr>
      </w:pPr>
    </w:p>
    <w:p w14:paraId="1BDF7832" w14:textId="09420080" w:rsidR="0027110C" w:rsidRPr="00FD0F93" w:rsidRDefault="00E67A69" w:rsidP="00E67A69">
      <w:pPr>
        <w:ind w:firstLine="0"/>
        <w:rPr>
          <w:rFonts w:eastAsia="Times New Roman" w:cs="Times New Roman"/>
          <w:b/>
          <w:i/>
          <w:noProof/>
          <w:color w:val="000000" w:themeColor="text1"/>
          <w:szCs w:val="24"/>
          <w:lang w:eastAsia="en-US"/>
        </w:rPr>
      </w:pPr>
      <w:r w:rsidRPr="00FD0F93">
        <w:rPr>
          <w:rFonts w:eastAsia="Times New Roman" w:cs="Times New Roman"/>
          <w:b/>
          <w:i/>
          <w:szCs w:val="24"/>
          <w:lang w:eastAsia="en-US"/>
        </w:rPr>
        <w:t xml:space="preserve">2.2. att. </w:t>
      </w:r>
      <w:r w:rsidRPr="00FD0F93">
        <w:rPr>
          <w:rFonts w:eastAsia="Times New Roman" w:cs="Times New Roman"/>
          <w:b/>
          <w:i/>
          <w:color w:val="000000" w:themeColor="text1"/>
          <w:szCs w:val="24"/>
          <w:lang w:eastAsia="en-US"/>
        </w:rPr>
        <w:t xml:space="preserve">Vispārējās valdības bilance sadalījumā </w:t>
      </w:r>
      <w:r w:rsidRPr="00FD0F93">
        <w:rPr>
          <w:rFonts w:eastAsia="Times New Roman" w:cs="Times New Roman"/>
          <w:b/>
          <w:i/>
          <w:noProof/>
          <w:color w:val="000000" w:themeColor="text1"/>
          <w:szCs w:val="24"/>
          <w:lang w:eastAsia="en-US"/>
        </w:rPr>
        <w:t>pa apakšsektoriem, % no IKP (Datu avots: Eurostat 2025. gada aprīļa</w:t>
      </w:r>
      <w:r w:rsidRPr="00FD0F93">
        <w:rPr>
          <w:i/>
          <w:noProof/>
          <w:szCs w:val="24"/>
        </w:rPr>
        <w:t xml:space="preserve"> </w:t>
      </w:r>
      <w:r w:rsidRPr="00FD0F93">
        <w:rPr>
          <w:rFonts w:eastAsia="Times New Roman" w:cs="Times New Roman"/>
          <w:b/>
          <w:i/>
          <w:noProof/>
          <w:color w:val="000000" w:themeColor="text1"/>
          <w:szCs w:val="24"/>
          <w:lang w:eastAsia="en-US"/>
        </w:rPr>
        <w:t xml:space="preserve">notifikācija, FM) </w:t>
      </w:r>
      <w:r w:rsidRPr="00FD0F93">
        <w:rPr>
          <w:rFonts w:eastAsia="Times New Roman" w:cs="Times New Roman"/>
          <w:b/>
          <w:i/>
          <w:noProof/>
          <w:color w:val="000000" w:themeColor="text1"/>
          <w:szCs w:val="24"/>
          <w:lang w:eastAsia="en-US"/>
        </w:rPr>
        <w:tab/>
      </w:r>
    </w:p>
    <w:p w14:paraId="2CEA5404" w14:textId="6712C9F0" w:rsidR="00E67A69" w:rsidRPr="00FD0F93" w:rsidRDefault="00E67A69" w:rsidP="0027110C">
      <w:pPr>
        <w:ind w:firstLine="0"/>
        <w:rPr>
          <w:rFonts w:eastAsia="Times New Roman" w:cs="Times New Roman"/>
          <w:b/>
          <w:i/>
          <w:szCs w:val="24"/>
          <w:lang w:eastAsia="en-US"/>
        </w:rPr>
        <w:sectPr w:rsidR="00E67A69" w:rsidRPr="00FD0F93" w:rsidSect="00E67A69">
          <w:type w:val="continuous"/>
          <w:pgSz w:w="11906" w:h="16838" w:code="9"/>
          <w:pgMar w:top="1134" w:right="1134" w:bottom="1701" w:left="1418" w:header="709" w:footer="709" w:gutter="0"/>
          <w:cols w:num="2" w:space="708"/>
          <w:docGrid w:linePitch="360"/>
        </w:sectPr>
      </w:pPr>
      <w:r w:rsidRPr="00FD0F93">
        <w:rPr>
          <w:rFonts w:eastAsia="Times New Roman" w:cs="Times New Roman"/>
          <w:b/>
          <w:i/>
          <w:color w:val="000000" w:themeColor="text1"/>
          <w:szCs w:val="24"/>
          <w:lang w:eastAsia="en-US"/>
        </w:rPr>
        <w:t>2.3</w:t>
      </w:r>
      <w:r w:rsidRPr="00FD0F93">
        <w:rPr>
          <w:i/>
          <w:noProof/>
          <w:szCs w:val="24"/>
        </w:rPr>
        <w:t>. </w:t>
      </w:r>
      <w:r w:rsidRPr="00FD0F93">
        <w:rPr>
          <w:rFonts w:eastAsia="Times New Roman" w:cs="Times New Roman"/>
          <w:b/>
          <w:i/>
          <w:color w:val="000000" w:themeColor="text1"/>
          <w:szCs w:val="24"/>
          <w:lang w:eastAsia="en-US"/>
        </w:rPr>
        <w:t xml:space="preserve">att. Vispārējās valdības ieņēmumi, % no IKP </w:t>
      </w:r>
      <w:r w:rsidRPr="00FD0F93">
        <w:rPr>
          <w:rFonts w:eastAsia="Times New Roman" w:cs="Times New Roman"/>
          <w:b/>
          <w:i/>
          <w:szCs w:val="24"/>
          <w:lang w:eastAsia="en-US"/>
        </w:rPr>
        <w:t xml:space="preserve"> (Datu avots: </w:t>
      </w:r>
      <w:r w:rsidRPr="00FD0F93">
        <w:rPr>
          <w:rFonts w:eastAsia="Times New Roman" w:cs="Times New Roman"/>
          <w:b/>
          <w:i/>
          <w:noProof/>
          <w:szCs w:val="24"/>
          <w:lang w:eastAsia="en-US"/>
        </w:rPr>
        <w:t>Eurostat 2025. gada aprīļa notifikācija, FM</w:t>
      </w:r>
      <w:r w:rsidRPr="00FD0F93">
        <w:rPr>
          <w:rFonts w:eastAsia="Times New Roman" w:cs="Times New Roman"/>
          <w:b/>
          <w:i/>
          <w:szCs w:val="24"/>
          <w:lang w:eastAsia="en-US"/>
        </w:rPr>
        <w:t>)</w:t>
      </w:r>
    </w:p>
    <w:p w14:paraId="0FF0A992" w14:textId="77777777" w:rsidR="00E67A69" w:rsidRPr="00E67A69" w:rsidRDefault="00E67A69" w:rsidP="00E67A69">
      <w:pPr>
        <w:rPr>
          <w:color w:val="000000" w:themeColor="text1"/>
        </w:rPr>
        <w:sectPr w:rsidR="00E67A69" w:rsidRPr="00E67A69" w:rsidSect="00E67A69">
          <w:type w:val="continuous"/>
          <w:pgSz w:w="11906" w:h="16838" w:code="9"/>
          <w:pgMar w:top="1134" w:right="1134" w:bottom="1701" w:left="1418" w:header="709" w:footer="709" w:gutter="0"/>
          <w:cols w:num="2" w:space="708"/>
          <w:docGrid w:linePitch="360"/>
        </w:sectPr>
      </w:pPr>
    </w:p>
    <w:p w14:paraId="1BA8217E" w14:textId="4E2F8A45" w:rsidR="00A84C7F" w:rsidRPr="00E67A69" w:rsidRDefault="005F6C47" w:rsidP="00A84C7F">
      <w:pPr>
        <w:rPr>
          <w:noProof/>
          <w:color w:val="000000" w:themeColor="text1"/>
        </w:rPr>
      </w:pPr>
      <w:r w:rsidRPr="00525261">
        <w:rPr>
          <w:noProof/>
        </w:rPr>
        <w:lastRenderedPageBreak/>
        <w:drawing>
          <wp:anchor distT="0" distB="0" distL="114300" distR="114300" simplePos="0" relativeHeight="251681792" behindDoc="0" locked="0" layoutInCell="1" allowOverlap="1" wp14:anchorId="39C2FD72" wp14:editId="538EB14C">
            <wp:simplePos x="0" y="0"/>
            <wp:positionH relativeFrom="column">
              <wp:posOffset>3119120</wp:posOffset>
            </wp:positionH>
            <wp:positionV relativeFrom="page">
              <wp:posOffset>1155700</wp:posOffset>
            </wp:positionV>
            <wp:extent cx="3241675" cy="2838450"/>
            <wp:effectExtent l="0" t="0" r="0" b="0"/>
            <wp:wrapTopAndBottom/>
            <wp:docPr id="10347793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a:extLst>
                        <a:ext uri="{28A0092B-C50C-407E-A947-70E740481C1C}">
                          <a14:useLocalDpi xmlns:a14="http://schemas.microsoft.com/office/drawing/2010/main" val="0"/>
                        </a:ext>
                      </a:extLst>
                    </a:blip>
                    <a:srcRect b="5706"/>
                    <a:stretch>
                      <a:fillRect/>
                    </a:stretch>
                  </pic:blipFill>
                  <pic:spPr bwMode="auto">
                    <a:xfrm>
                      <a:off x="0" y="0"/>
                      <a:ext cx="3241675" cy="28384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40119D" w:rsidRPr="00A54609">
        <w:rPr>
          <w:noProof/>
        </w:rPr>
        <w:drawing>
          <wp:anchor distT="0" distB="0" distL="114300" distR="114300" simplePos="0" relativeHeight="251679744" behindDoc="0" locked="0" layoutInCell="1" allowOverlap="1" wp14:anchorId="5CEBBAB4" wp14:editId="2214B877">
            <wp:simplePos x="0" y="0"/>
            <wp:positionH relativeFrom="margin">
              <wp:posOffset>-354330</wp:posOffset>
            </wp:positionH>
            <wp:positionV relativeFrom="page">
              <wp:posOffset>1168400</wp:posOffset>
            </wp:positionV>
            <wp:extent cx="3378200" cy="2838450"/>
            <wp:effectExtent l="0" t="0" r="0" b="0"/>
            <wp:wrapTopAndBottom/>
            <wp:docPr id="1669210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8">
                      <a:extLst>
                        <a:ext uri="{28A0092B-C50C-407E-A947-70E740481C1C}">
                          <a14:useLocalDpi xmlns:a14="http://schemas.microsoft.com/office/drawing/2010/main" val="0"/>
                        </a:ext>
                      </a:extLst>
                    </a:blip>
                    <a:srcRect r="2266" b="4961"/>
                    <a:stretch>
                      <a:fillRect/>
                    </a:stretch>
                  </pic:blipFill>
                  <pic:spPr bwMode="auto">
                    <a:xfrm>
                      <a:off x="0" y="0"/>
                      <a:ext cx="3378200" cy="2838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19A369" w14:textId="77777777" w:rsidR="00A84C7F" w:rsidRPr="00E67A69" w:rsidRDefault="00A84C7F" w:rsidP="00A84C7F">
      <w:pPr>
        <w:ind w:firstLine="0"/>
        <w:rPr>
          <w:rFonts w:eastAsia="Times New Roman" w:cs="Times New Roman"/>
          <w:b/>
          <w:i/>
          <w:szCs w:val="24"/>
          <w:highlight w:val="yellow"/>
          <w:lang w:eastAsia="en-US"/>
        </w:rPr>
        <w:sectPr w:rsidR="00A84C7F" w:rsidRPr="00E67A69" w:rsidSect="00A84C7F">
          <w:headerReference w:type="default" r:id="rId49"/>
          <w:footerReference w:type="default" r:id="rId50"/>
          <w:headerReference w:type="first" r:id="rId51"/>
          <w:footerReference w:type="first" r:id="rId52"/>
          <w:pgSz w:w="11906" w:h="16838" w:code="9"/>
          <w:pgMar w:top="1134" w:right="1134" w:bottom="1701" w:left="1418" w:header="709" w:footer="709" w:gutter="0"/>
          <w:cols w:space="708"/>
          <w:docGrid w:linePitch="360"/>
        </w:sectPr>
      </w:pPr>
    </w:p>
    <w:p w14:paraId="111F5F27" w14:textId="3D7D312B" w:rsidR="005E1DE2" w:rsidRPr="00C96F90" w:rsidRDefault="00A84C7F" w:rsidP="0040119D">
      <w:pPr>
        <w:spacing w:before="240" w:after="0"/>
        <w:ind w:firstLine="0"/>
        <w:rPr>
          <w:rFonts w:eastAsia="Times New Roman" w:cs="Times New Roman"/>
          <w:b/>
          <w:i/>
          <w:szCs w:val="24"/>
          <w:lang w:eastAsia="en-US"/>
        </w:rPr>
      </w:pPr>
      <w:r w:rsidRPr="00C96F90">
        <w:rPr>
          <w:rFonts w:eastAsia="Times New Roman" w:cs="Times New Roman"/>
          <w:b/>
          <w:i/>
          <w:szCs w:val="24"/>
          <w:lang w:eastAsia="en-US"/>
        </w:rPr>
        <w:t xml:space="preserve">2.4. att. </w:t>
      </w:r>
      <w:r w:rsidRPr="00C96F90">
        <w:rPr>
          <w:rFonts w:eastAsia="Times New Roman" w:cs="Times New Roman"/>
          <w:b/>
          <w:i/>
          <w:color w:val="000000" w:themeColor="text1"/>
          <w:szCs w:val="24"/>
          <w:lang w:eastAsia="en-US"/>
        </w:rPr>
        <w:t>Vispārējās valdības izdevumi ekonomiskās klasifikācijas sadalījumā</w:t>
      </w:r>
      <w:r w:rsidRPr="00C96F90">
        <w:rPr>
          <w:rFonts w:eastAsia="Times New Roman" w:cs="Times New Roman"/>
          <w:b/>
          <w:i/>
          <w:szCs w:val="24"/>
          <w:lang w:eastAsia="en-US"/>
        </w:rPr>
        <w:t xml:space="preserve">, % no IKP (Datu avots: </w:t>
      </w:r>
      <w:r w:rsidRPr="00C96F90">
        <w:rPr>
          <w:rFonts w:eastAsia="Times New Roman" w:cs="Times New Roman"/>
          <w:b/>
          <w:i/>
          <w:noProof/>
          <w:szCs w:val="24"/>
          <w:lang w:eastAsia="en-US"/>
        </w:rPr>
        <w:t>Eurostat 2025. gada aprīļa notifikācija, FM</w:t>
      </w:r>
      <w:r w:rsidRPr="00C96F90">
        <w:rPr>
          <w:rFonts w:eastAsia="Times New Roman" w:cs="Times New Roman"/>
          <w:b/>
          <w:i/>
          <w:szCs w:val="24"/>
          <w:lang w:eastAsia="en-US"/>
        </w:rPr>
        <w:t>)</w:t>
      </w:r>
    </w:p>
    <w:p w14:paraId="1E9EB54F" w14:textId="6A470E58" w:rsidR="00A84C7F" w:rsidRPr="00E67A69" w:rsidRDefault="00A84C7F" w:rsidP="005E1DE2">
      <w:pPr>
        <w:spacing w:after="0"/>
        <w:ind w:firstLine="0"/>
        <w:rPr>
          <w:rFonts w:eastAsia="Times New Roman" w:cs="Times New Roman"/>
          <w:b/>
          <w:i/>
          <w:szCs w:val="24"/>
          <w:lang w:eastAsia="en-US"/>
        </w:rPr>
      </w:pPr>
      <w:r w:rsidRPr="00C96F90">
        <w:rPr>
          <w:rFonts w:eastAsia="Times New Roman" w:cs="Times New Roman"/>
          <w:b/>
          <w:i/>
          <w:szCs w:val="24"/>
          <w:lang w:eastAsia="en-US"/>
        </w:rPr>
        <w:t>2.5. att</w:t>
      </w:r>
      <w:r w:rsidRPr="00BE0E2C">
        <w:rPr>
          <w:rFonts w:eastAsia="Times New Roman" w:cs="Times New Roman"/>
          <w:b/>
          <w:i/>
          <w:szCs w:val="24"/>
          <w:lang w:eastAsia="en-US"/>
        </w:rPr>
        <w:t>.</w:t>
      </w:r>
      <w:r w:rsidRPr="00BE0E2C">
        <w:rPr>
          <w:rFonts w:eastAsia="Times New Roman" w:cs="Times New Roman"/>
          <w:b/>
          <w:i/>
          <w:color w:val="000000" w:themeColor="text1"/>
          <w:szCs w:val="24"/>
          <w:lang w:eastAsia="en-US"/>
        </w:rPr>
        <w:t xml:space="preserve"> </w:t>
      </w:r>
      <w:r w:rsidRPr="000539A2">
        <w:rPr>
          <w:rFonts w:eastAsia="Times New Roman" w:cs="Times New Roman"/>
          <w:b/>
          <w:i/>
          <w:color w:val="000000" w:themeColor="text1"/>
          <w:szCs w:val="24"/>
          <w:lang w:eastAsia="en-US"/>
        </w:rPr>
        <w:t xml:space="preserve">Vispārējās valdības izdevumi </w:t>
      </w:r>
      <w:r>
        <w:rPr>
          <w:rFonts w:eastAsia="Times New Roman" w:cs="Times New Roman"/>
          <w:b/>
          <w:i/>
          <w:color w:val="000000" w:themeColor="text1"/>
          <w:szCs w:val="24"/>
          <w:lang w:eastAsia="en-US"/>
        </w:rPr>
        <w:t xml:space="preserve">valdības funkciju (COFOG) </w:t>
      </w:r>
      <w:r w:rsidRPr="000539A2">
        <w:rPr>
          <w:rFonts w:eastAsia="Times New Roman" w:cs="Times New Roman"/>
          <w:b/>
          <w:i/>
          <w:color w:val="000000" w:themeColor="text1"/>
          <w:szCs w:val="24"/>
          <w:lang w:eastAsia="en-US"/>
        </w:rPr>
        <w:t xml:space="preserve">sadalījumā, % no IKP </w:t>
      </w:r>
      <w:r w:rsidRPr="000539A2">
        <w:rPr>
          <w:rFonts w:eastAsia="Times New Roman" w:cs="Times New Roman"/>
          <w:b/>
          <w:i/>
          <w:szCs w:val="24"/>
          <w:lang w:eastAsia="en-US"/>
        </w:rPr>
        <w:t xml:space="preserve"> (Datu avots: </w:t>
      </w:r>
      <w:r w:rsidRPr="000539A2">
        <w:rPr>
          <w:rFonts w:eastAsia="Times New Roman" w:cs="Times New Roman"/>
          <w:b/>
          <w:i/>
          <w:noProof/>
          <w:szCs w:val="24"/>
          <w:lang w:eastAsia="en-US"/>
        </w:rPr>
        <w:t>Eurostat</w:t>
      </w:r>
      <w:r>
        <w:rPr>
          <w:rFonts w:eastAsia="Times New Roman" w:cs="Times New Roman"/>
          <w:b/>
          <w:i/>
          <w:noProof/>
          <w:szCs w:val="24"/>
          <w:lang w:eastAsia="en-US"/>
        </w:rPr>
        <w:t xml:space="preserve"> </w:t>
      </w:r>
      <w:r w:rsidRPr="000539A2">
        <w:rPr>
          <w:rFonts w:eastAsia="Times New Roman" w:cs="Times New Roman"/>
          <w:b/>
          <w:i/>
          <w:noProof/>
          <w:szCs w:val="24"/>
          <w:lang w:eastAsia="en-US"/>
        </w:rPr>
        <w:t>2025.</w:t>
      </w:r>
      <w:r>
        <w:rPr>
          <w:rFonts w:eastAsia="Times New Roman" w:cs="Times New Roman"/>
          <w:b/>
          <w:i/>
          <w:noProof/>
          <w:szCs w:val="24"/>
          <w:lang w:eastAsia="en-US"/>
        </w:rPr>
        <w:t> </w:t>
      </w:r>
      <w:r w:rsidRPr="000539A2">
        <w:rPr>
          <w:rFonts w:eastAsia="Times New Roman" w:cs="Times New Roman"/>
          <w:b/>
          <w:i/>
          <w:noProof/>
          <w:szCs w:val="24"/>
          <w:lang w:eastAsia="en-US"/>
        </w:rPr>
        <w:t>gada aprīļa notifikācija, FM</w:t>
      </w:r>
      <w:r w:rsidRPr="00E67A69">
        <w:rPr>
          <w:rFonts w:eastAsia="Times New Roman" w:cs="Times New Roman"/>
          <w:b/>
          <w:i/>
          <w:szCs w:val="24"/>
          <w:lang w:eastAsia="en-US"/>
        </w:rPr>
        <w:t>)</w:t>
      </w:r>
    </w:p>
    <w:p w14:paraId="27DE990C" w14:textId="77777777" w:rsidR="005E1DE2" w:rsidRDefault="005E1DE2" w:rsidP="00A84C7F">
      <w:pPr>
        <w:rPr>
          <w:color w:val="000000" w:themeColor="text1"/>
          <w:highlight w:val="yellow"/>
        </w:rPr>
      </w:pPr>
    </w:p>
    <w:p w14:paraId="35D84D5D" w14:textId="77777777" w:rsidR="00A84C7F" w:rsidRDefault="00A84C7F" w:rsidP="00A84C7F">
      <w:pPr>
        <w:rPr>
          <w:color w:val="000000" w:themeColor="text1"/>
        </w:rPr>
        <w:sectPr w:rsidR="00A84C7F" w:rsidSect="00A84C7F">
          <w:type w:val="continuous"/>
          <w:pgSz w:w="11906" w:h="16838" w:code="9"/>
          <w:pgMar w:top="1134" w:right="1134" w:bottom="1701" w:left="1418" w:header="709" w:footer="709" w:gutter="0"/>
          <w:cols w:num="2" w:space="708"/>
          <w:docGrid w:linePitch="360"/>
        </w:sectPr>
      </w:pPr>
    </w:p>
    <w:p w14:paraId="1EA5F2A0" w14:textId="5D7EA237" w:rsidR="00E67A69" w:rsidRPr="00E67A69" w:rsidRDefault="005F6C47" w:rsidP="00E67A69">
      <w:pPr>
        <w:rPr>
          <w:noProof/>
          <w:color w:val="000000" w:themeColor="text1"/>
        </w:rPr>
      </w:pPr>
      <w:r>
        <w:rPr>
          <w:color w:val="000000" w:themeColor="text1"/>
        </w:rPr>
        <w:t>Bu</w:t>
      </w:r>
      <w:r w:rsidR="00E67A69" w:rsidRPr="00E67A69">
        <w:rPr>
          <w:color w:val="000000" w:themeColor="text1"/>
        </w:rPr>
        <w:t>džeta deficīta negatīvo dinamiku vidējā termiņā nosaka nepieciešamība kāpināt finansējumu aizsardzībai. Salīdzinot ar likumu “Par valsts budžetu 2025. gadam un budžeta ietvaru 2025., 2026. un 2027. gadam”, vispārējās valdības budžeta deficīts tiek prognozēts augstāks – 2026. gadā par 0,</w:t>
      </w:r>
      <w:r w:rsidR="00E67A69" w:rsidRPr="00E67A69">
        <w:rPr>
          <w:noProof/>
          <w:color w:val="000000" w:themeColor="text1"/>
        </w:rPr>
        <w:t xml:space="preserve">7 pp un 2027. gadā par 1,4 pp. Kopumā </w:t>
      </w:r>
      <w:r w:rsidR="00E67A69" w:rsidRPr="00E67A69">
        <w:rPr>
          <w:b/>
          <w:bCs/>
          <w:noProof/>
          <w:color w:val="000000" w:themeColor="text1"/>
        </w:rPr>
        <w:t xml:space="preserve">vispārējās valdības budžeta </w:t>
      </w:r>
      <w:r w:rsidR="00E67A69" w:rsidRPr="00E67A69">
        <w:rPr>
          <w:b/>
          <w:bCs/>
          <w:noProof/>
        </w:rPr>
        <w:t>deficīts 2026. gadā tiek prognozēts 3,3% no IKP, 2027. gadā 3,9% no IKP un 2028. gadā 3,6% no IKP.</w:t>
      </w:r>
    </w:p>
    <w:p w14:paraId="5F599A85" w14:textId="77777777" w:rsidR="00E67A69" w:rsidRPr="00E67A69" w:rsidRDefault="00E67A69" w:rsidP="00E67A69">
      <w:pPr>
        <w:rPr>
          <w:rFonts w:eastAsia="Times New Roman" w:cs="Times New Roman"/>
          <w:noProof/>
          <w:szCs w:val="20"/>
          <w:lang w:eastAsia="en-US"/>
        </w:rPr>
      </w:pPr>
      <w:r w:rsidRPr="00E67A69">
        <w:rPr>
          <w:rFonts w:eastAsia="Times New Roman" w:cs="Times New Roman"/>
          <w:noProof/>
          <w:szCs w:val="20"/>
          <w:lang w:eastAsia="en-US"/>
        </w:rPr>
        <w:t>Sagatavojot vispārējās valdības budžeta bilances prognozes vidējam termiņam, tika ņemti vērā šādi valdības lēmumi:</w:t>
      </w:r>
    </w:p>
    <w:p w14:paraId="0B89DB94" w14:textId="77777777" w:rsidR="00E67A69" w:rsidRPr="00E67A69" w:rsidRDefault="00E67A69" w:rsidP="00E67A69">
      <w:pPr>
        <w:numPr>
          <w:ilvl w:val="0"/>
          <w:numId w:val="8"/>
        </w:numPr>
        <w:spacing w:after="60"/>
        <w:ind w:left="1066" w:hanging="357"/>
        <w:rPr>
          <w:rFonts w:eastAsia="Times New Roman" w:cs="Times New Roman"/>
          <w:noProof/>
          <w:sz w:val="22"/>
        </w:rPr>
      </w:pPr>
      <w:r w:rsidRPr="00E67A69">
        <w:rPr>
          <w:rFonts w:eastAsiaTheme="majorEastAsia" w:cs="Times New Roman"/>
          <w:noProof/>
          <w:szCs w:val="24"/>
        </w:rPr>
        <w:t xml:space="preserve">Finansējuma palielinājums aizsardzībai. Kopumā nākamgad aizsardzības izdevumi pēc COFOG (EKS) metodoloģijas veidos 4,2% no IKP, 2027. gadā – 5,2% no IKP, bet 2028. gadā – 5,1% no IKP, ievērojami pārsniedzot izdevumu līmeni aizsardzībai iepriekšējos gados; </w:t>
      </w:r>
    </w:p>
    <w:p w14:paraId="42B96886" w14:textId="77777777" w:rsidR="00E67A69" w:rsidRPr="00E67A69" w:rsidRDefault="00E67A69" w:rsidP="00E67A69">
      <w:pPr>
        <w:numPr>
          <w:ilvl w:val="0"/>
          <w:numId w:val="8"/>
        </w:numPr>
        <w:spacing w:after="60"/>
        <w:ind w:left="1066" w:hanging="357"/>
        <w:rPr>
          <w:rFonts w:eastAsia="Times New Roman" w:cs="Times New Roman"/>
          <w:noProof/>
          <w:szCs w:val="24"/>
        </w:rPr>
      </w:pPr>
      <w:r w:rsidRPr="00E67A69">
        <w:rPr>
          <w:rFonts w:eastAsia="Times New Roman" w:cs="Times New Roman"/>
          <w:noProof/>
          <w:szCs w:val="24"/>
        </w:rPr>
        <w:t xml:space="preserve">Atbalsta sniegšanas Ukrainas civiliedzīvotājiem Latvijas Republikā turpināšana 2026. gadā, kam piešķirti 39,7 milj. </w:t>
      </w:r>
      <w:r w:rsidRPr="00E67A69">
        <w:rPr>
          <w:rFonts w:eastAsia="Times New Roman" w:cs="Times New Roman"/>
          <w:i/>
          <w:iCs/>
          <w:noProof/>
          <w:szCs w:val="24"/>
        </w:rPr>
        <w:t>euro</w:t>
      </w:r>
      <w:r w:rsidRPr="00E67A69">
        <w:rPr>
          <w:rFonts w:eastAsia="Times New Roman" w:cs="Times New Roman"/>
          <w:noProof/>
          <w:szCs w:val="24"/>
        </w:rPr>
        <w:t>;</w:t>
      </w:r>
    </w:p>
    <w:p w14:paraId="5DEBB984" w14:textId="77777777" w:rsidR="00E67A69" w:rsidRPr="00E67A69" w:rsidRDefault="00E67A69" w:rsidP="00E67A69">
      <w:pPr>
        <w:numPr>
          <w:ilvl w:val="0"/>
          <w:numId w:val="8"/>
        </w:numPr>
        <w:spacing w:after="60"/>
        <w:rPr>
          <w:rFonts w:eastAsia="Times New Roman" w:cs="Times New Roman"/>
          <w:noProof/>
          <w:sz w:val="22"/>
        </w:rPr>
      </w:pPr>
      <w:r w:rsidRPr="00E67A69">
        <w:rPr>
          <w:rFonts w:eastAsiaTheme="majorEastAsia" w:cs="Times New Roman"/>
          <w:noProof/>
          <w:szCs w:val="24"/>
        </w:rPr>
        <w:t xml:space="preserve">2026. gadā tiek palielināts dažāda veida atbalsts strādājošajiem iedzīvotājiem, kā arī sociāli mazāk aizsargātajai sabiedrības daļai. Attiecīgi neapliekamais minimums pieaugs no 510 līdz 550 </w:t>
      </w:r>
      <w:r w:rsidRPr="00E67A69">
        <w:rPr>
          <w:rFonts w:eastAsiaTheme="majorEastAsia" w:cs="Times New Roman"/>
          <w:i/>
          <w:iCs/>
          <w:noProof/>
          <w:szCs w:val="24"/>
        </w:rPr>
        <w:t>euro</w:t>
      </w:r>
      <w:r w:rsidRPr="00E67A69">
        <w:rPr>
          <w:rFonts w:eastAsiaTheme="majorEastAsia" w:cs="Times New Roman"/>
          <w:noProof/>
          <w:szCs w:val="24"/>
        </w:rPr>
        <w:t xml:space="preserve"> mēnesī, bet minimālā alga pieaugs no 740 līdz 780 </w:t>
      </w:r>
      <w:r w:rsidRPr="00E67A69">
        <w:rPr>
          <w:rFonts w:eastAsiaTheme="majorEastAsia" w:cs="Times New Roman"/>
          <w:i/>
          <w:iCs/>
          <w:noProof/>
          <w:szCs w:val="24"/>
        </w:rPr>
        <w:t>euro</w:t>
      </w:r>
      <w:r w:rsidRPr="00E67A69">
        <w:rPr>
          <w:rFonts w:eastAsiaTheme="majorEastAsia" w:cs="Times New Roman"/>
          <w:noProof/>
          <w:szCs w:val="24"/>
        </w:rPr>
        <w:t xml:space="preserve"> mēnesī. Arī turpmākajos gados paredzēts minimālās algas ikgadējs pieaugums;</w:t>
      </w:r>
    </w:p>
    <w:p w14:paraId="3738D8D1" w14:textId="77777777" w:rsidR="00E67A69" w:rsidRPr="00E67A69" w:rsidRDefault="00E67A69" w:rsidP="00E67A69">
      <w:pPr>
        <w:numPr>
          <w:ilvl w:val="0"/>
          <w:numId w:val="8"/>
        </w:numPr>
        <w:spacing w:after="60"/>
        <w:rPr>
          <w:rFonts w:eastAsia="Times New Roman" w:cs="Times New Roman"/>
          <w:noProof/>
          <w:sz w:val="22"/>
        </w:rPr>
      </w:pPr>
      <w:r w:rsidRPr="00E67A69">
        <w:rPr>
          <w:rFonts w:eastAsiaTheme="majorEastAsia" w:cs="Times New Roman"/>
          <w:noProof/>
          <w:szCs w:val="24"/>
        </w:rPr>
        <w:t xml:space="preserve">Izglītības kvalitātes uzlabošanai un finansēšanas modeļa “Programma skolā” ieviešanai no 2026. gada 1. septembra tika piešķirti 45 milj. </w:t>
      </w:r>
      <w:r w:rsidRPr="00E67A69">
        <w:rPr>
          <w:rFonts w:eastAsiaTheme="majorEastAsia" w:cs="Times New Roman"/>
          <w:i/>
          <w:iCs/>
          <w:noProof/>
          <w:szCs w:val="24"/>
        </w:rPr>
        <w:t>euro</w:t>
      </w:r>
      <w:r w:rsidRPr="00E67A69">
        <w:rPr>
          <w:rFonts w:eastAsiaTheme="majorEastAsia" w:cs="Times New Roman"/>
          <w:noProof/>
          <w:szCs w:val="24"/>
        </w:rPr>
        <w:t>, bet 2027. un 2028. gadā finansējums sasniegs attiecīgi 90,6 milj</w:t>
      </w:r>
      <w:r w:rsidRPr="00E67A69">
        <w:rPr>
          <w:rFonts w:eastAsiaTheme="majorEastAsia" w:cs="Times New Roman"/>
          <w:i/>
          <w:iCs/>
          <w:noProof/>
          <w:szCs w:val="24"/>
        </w:rPr>
        <w:t xml:space="preserve">. euro </w:t>
      </w:r>
      <w:r w:rsidRPr="00E67A69">
        <w:rPr>
          <w:rFonts w:eastAsiaTheme="majorEastAsia" w:cs="Times New Roman"/>
          <w:noProof/>
          <w:szCs w:val="24"/>
        </w:rPr>
        <w:t>un 86,6 milj</w:t>
      </w:r>
      <w:r w:rsidRPr="00E67A69">
        <w:rPr>
          <w:rFonts w:eastAsiaTheme="majorEastAsia" w:cs="Times New Roman"/>
          <w:i/>
          <w:iCs/>
          <w:noProof/>
          <w:szCs w:val="24"/>
        </w:rPr>
        <w:t>. euro</w:t>
      </w:r>
      <w:r w:rsidRPr="00E67A69">
        <w:rPr>
          <w:rFonts w:eastAsiaTheme="majorEastAsia" w:cs="Times New Roman"/>
          <w:noProof/>
          <w:szCs w:val="24"/>
        </w:rPr>
        <w:t xml:space="preserve">; </w:t>
      </w:r>
    </w:p>
    <w:p w14:paraId="1AE297EE" w14:textId="77777777" w:rsidR="00E67A69" w:rsidRPr="00E67A69" w:rsidRDefault="00E67A69" w:rsidP="00E67A69">
      <w:pPr>
        <w:numPr>
          <w:ilvl w:val="0"/>
          <w:numId w:val="8"/>
        </w:numPr>
        <w:spacing w:after="60"/>
        <w:rPr>
          <w:rFonts w:eastAsia="Times New Roman" w:cs="Times New Roman"/>
          <w:noProof/>
          <w:sz w:val="22"/>
        </w:rPr>
      </w:pPr>
      <w:r w:rsidRPr="00E67A69">
        <w:rPr>
          <w:rFonts w:eastAsia="Times New Roman" w:cs="Times New Roman"/>
          <w:noProof/>
          <w:szCs w:val="24"/>
        </w:rPr>
        <w:t xml:space="preserve">Pasākumiem, kas paredzēti atbalstam ģimenēm ar bērniem, 2026. gadā paredzēts papildu finansējums 94,8 milj. </w:t>
      </w:r>
      <w:r w:rsidRPr="00E67A69">
        <w:rPr>
          <w:rFonts w:eastAsia="Times New Roman" w:cs="Times New Roman"/>
          <w:i/>
          <w:iCs/>
          <w:noProof/>
          <w:szCs w:val="24"/>
        </w:rPr>
        <w:t>euro</w:t>
      </w:r>
      <w:r w:rsidRPr="00E67A69">
        <w:rPr>
          <w:rFonts w:eastAsia="Times New Roman" w:cs="Times New Roman"/>
          <w:noProof/>
          <w:szCs w:val="24"/>
        </w:rPr>
        <w:t xml:space="preserve"> apmērā, 2027. gadā 88,9 milj. </w:t>
      </w:r>
      <w:r w:rsidRPr="00E67A69">
        <w:rPr>
          <w:rFonts w:eastAsia="Times New Roman" w:cs="Times New Roman"/>
          <w:i/>
          <w:iCs/>
          <w:noProof/>
          <w:szCs w:val="24"/>
        </w:rPr>
        <w:t xml:space="preserve">euro </w:t>
      </w:r>
      <w:r w:rsidRPr="00E67A69">
        <w:rPr>
          <w:rFonts w:eastAsia="Times New Roman" w:cs="Times New Roman"/>
          <w:noProof/>
          <w:szCs w:val="24"/>
        </w:rPr>
        <w:t>un</w:t>
      </w:r>
      <w:r w:rsidRPr="00E67A69">
        <w:rPr>
          <w:rFonts w:eastAsia="Times New Roman" w:cs="Times New Roman"/>
          <w:i/>
          <w:iCs/>
          <w:noProof/>
          <w:szCs w:val="24"/>
        </w:rPr>
        <w:t xml:space="preserve"> </w:t>
      </w:r>
      <w:r w:rsidRPr="00E67A69">
        <w:rPr>
          <w:rFonts w:eastAsia="Times New Roman" w:cs="Times New Roman"/>
          <w:noProof/>
          <w:szCs w:val="24"/>
        </w:rPr>
        <w:t xml:space="preserve">2028. gadā 107,7 milj. </w:t>
      </w:r>
      <w:r w:rsidRPr="00E67A69">
        <w:rPr>
          <w:rFonts w:eastAsia="Times New Roman" w:cs="Times New Roman"/>
          <w:i/>
          <w:iCs/>
          <w:noProof/>
          <w:szCs w:val="24"/>
        </w:rPr>
        <w:t>euro</w:t>
      </w:r>
      <w:r w:rsidRPr="00E67A69">
        <w:rPr>
          <w:rFonts w:eastAsia="Times New Roman" w:cs="Times New Roman"/>
          <w:noProof/>
          <w:szCs w:val="24"/>
        </w:rPr>
        <w:t>;</w:t>
      </w:r>
    </w:p>
    <w:p w14:paraId="01EB3C50" w14:textId="62493CCC" w:rsidR="00E67A69" w:rsidRPr="00F62CC7" w:rsidRDefault="00E67A69" w:rsidP="00F62CC7">
      <w:pPr>
        <w:pStyle w:val="ListParagraph"/>
        <w:numPr>
          <w:ilvl w:val="0"/>
          <w:numId w:val="8"/>
        </w:numPr>
        <w:rPr>
          <w:rFonts w:eastAsiaTheme="majorEastAsia" w:cs="Times New Roman"/>
          <w:noProof/>
          <w:szCs w:val="24"/>
        </w:rPr>
      </w:pPr>
      <w:r w:rsidRPr="00F62CC7">
        <w:rPr>
          <w:rFonts w:eastAsiaTheme="majorEastAsia" w:cs="Times New Roman"/>
          <w:noProof/>
          <w:szCs w:val="24"/>
        </w:rPr>
        <w:lastRenderedPageBreak/>
        <w:t xml:space="preserve">No 2026. gada 1. jūlija uz vienu gadu kā pilotprojekts tiks samazināta pievienotās vērtības nodokļa likme no 21% uz 12% būtiskākajiem pārtikas produktiem – </w:t>
      </w:r>
      <w:r w:rsidR="00F62CC7" w:rsidRPr="00F62CC7">
        <w:rPr>
          <w:rFonts w:eastAsiaTheme="majorEastAsia" w:cs="Times New Roman"/>
          <w:noProof/>
          <w:szCs w:val="24"/>
        </w:rPr>
        <w:t>maizes, svaiga, sterilizēta vai pasterizēta piena, mājputnu svaigu olu (čaumalās) un svaigas atdzesētas mājputnu gaļas piegādēm;</w:t>
      </w:r>
    </w:p>
    <w:p w14:paraId="38757B0A" w14:textId="77777777" w:rsidR="00E67A69" w:rsidRPr="00E67A69" w:rsidRDefault="00E67A69" w:rsidP="00E67A69">
      <w:pPr>
        <w:numPr>
          <w:ilvl w:val="0"/>
          <w:numId w:val="8"/>
        </w:numPr>
        <w:spacing w:after="60"/>
        <w:rPr>
          <w:rFonts w:eastAsia="Times New Roman" w:cs="Times New Roman"/>
          <w:noProof/>
          <w:sz w:val="22"/>
        </w:rPr>
      </w:pPr>
      <w:r w:rsidRPr="00E67A69">
        <w:rPr>
          <w:rFonts w:eastAsia="Times New Roman" w:cs="Times New Roman"/>
          <w:noProof/>
          <w:szCs w:val="24"/>
        </w:rPr>
        <w:t xml:space="preserve">2026. gadā saglabāsies valsts budžeta atbalsts lauksaimniekiem, nozarei paredzot papildu 59,3 milj. </w:t>
      </w:r>
      <w:r w:rsidRPr="00E67A69">
        <w:rPr>
          <w:rFonts w:eastAsia="Times New Roman" w:cs="Times New Roman"/>
          <w:i/>
          <w:iCs/>
          <w:noProof/>
          <w:szCs w:val="24"/>
        </w:rPr>
        <w:t>euro</w:t>
      </w:r>
      <w:r w:rsidRPr="00E67A69">
        <w:rPr>
          <w:rFonts w:eastAsia="Times New Roman" w:cs="Times New Roman"/>
          <w:noProof/>
          <w:szCs w:val="24"/>
        </w:rPr>
        <w:t xml:space="preserve"> finansējumu</w:t>
      </w:r>
      <w:r w:rsidRPr="00E67A69">
        <w:rPr>
          <w:rFonts w:eastAsiaTheme="majorEastAsia" w:cs="Times New Roman"/>
          <w:noProof/>
          <w:szCs w:val="24"/>
        </w:rPr>
        <w:t>.</w:t>
      </w:r>
    </w:p>
    <w:p w14:paraId="0DFE0E66" w14:textId="42E24CA8" w:rsidR="00E67A69" w:rsidRPr="00E67A69" w:rsidRDefault="00E67A69" w:rsidP="0040119D">
      <w:pPr>
        <w:spacing w:before="240"/>
        <w:ind w:firstLine="0"/>
        <w:jc w:val="right"/>
        <w:rPr>
          <w:rFonts w:eastAsia="Times New Roman" w:cs="Times New Roman"/>
          <w:b/>
          <w:sz w:val="28"/>
          <w:szCs w:val="32"/>
          <w:lang w:eastAsia="en-US"/>
        </w:rPr>
      </w:pPr>
      <w:bookmarkStart w:id="55" w:name="_Hlk83887487"/>
      <w:bookmarkEnd w:id="54"/>
      <w:r w:rsidRPr="00E67A69">
        <w:rPr>
          <w:rFonts w:eastAsia="Times New Roman" w:cs="Times New Roman"/>
          <w:b/>
          <w:i/>
          <w:szCs w:val="24"/>
          <w:lang w:eastAsia="en-US"/>
        </w:rPr>
        <w:t>2.1</w:t>
      </w:r>
      <w:r w:rsidR="0040119D" w:rsidRPr="0040119D">
        <w:rPr>
          <w:rFonts w:eastAsia="Times New Roman" w:cs="Times New Roman"/>
          <w:b/>
          <w:i/>
          <w:szCs w:val="24"/>
          <w:lang w:eastAsia="en-US"/>
        </w:rPr>
        <w:t>8</w:t>
      </w:r>
      <w:r w:rsidRPr="00E67A69">
        <w:rPr>
          <w:rFonts w:eastAsia="Times New Roman" w:cs="Times New Roman"/>
          <w:b/>
          <w:i/>
          <w:szCs w:val="24"/>
          <w:lang w:eastAsia="en-US"/>
        </w:rPr>
        <w:t>. tabula. Vispārējās valdības budžeta un konsolidētā kopbudžeta bilance 2024. </w:t>
      </w:r>
      <w:r w:rsidRPr="00E67A69">
        <w:rPr>
          <w:rFonts w:eastAsia="Times New Roman" w:cs="Times New Roman"/>
          <w:b/>
          <w:i/>
          <w:szCs w:val="24"/>
          <w:lang w:eastAsia="en-US"/>
        </w:rPr>
        <w:noBreakHyphen/>
        <w:t xml:space="preserve"> 2028. gadā, milj. </w:t>
      </w:r>
      <w:r w:rsidRPr="00E67A69">
        <w:rPr>
          <w:rFonts w:eastAsia="Times New Roman" w:cs="Times New Roman"/>
          <w:b/>
          <w:i/>
          <w:noProof/>
          <w:szCs w:val="24"/>
          <w:lang w:eastAsia="en-US"/>
        </w:rPr>
        <w:t>euro</w:t>
      </w:r>
      <w:r w:rsidRPr="00E67A69">
        <w:rPr>
          <w:rFonts w:eastAsia="Times New Roman" w:cs="Times New Roman"/>
          <w:b/>
          <w:i/>
          <w:szCs w:val="24"/>
          <w:lang w:eastAsia="en-US"/>
        </w:rPr>
        <w:t xml:space="preserve"> un % no IKP</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868"/>
        <w:gridCol w:w="868"/>
        <w:gridCol w:w="868"/>
        <w:gridCol w:w="869"/>
        <w:gridCol w:w="868"/>
        <w:gridCol w:w="868"/>
        <w:gridCol w:w="868"/>
        <w:gridCol w:w="869"/>
      </w:tblGrid>
      <w:tr w:rsidR="00E67A69" w:rsidRPr="00E67A69" w14:paraId="3F75CCF2" w14:textId="77777777" w:rsidTr="00C217B4">
        <w:trPr>
          <w:trHeight w:val="20"/>
          <w:tblHeader/>
          <w:jc w:val="center"/>
        </w:trPr>
        <w:tc>
          <w:tcPr>
            <w:tcW w:w="2263" w:type="dxa"/>
            <w:vMerge w:val="restart"/>
            <w:shd w:val="clear" w:color="auto" w:fill="BDD6EE" w:themeFill="accent1" w:themeFillTint="66"/>
            <w:noWrap/>
            <w:vAlign w:val="center"/>
            <w:hideMark/>
          </w:tcPr>
          <w:p w14:paraId="667B086A" w14:textId="77777777" w:rsidR="00E67A69" w:rsidRPr="00E67A69" w:rsidRDefault="00E67A69" w:rsidP="00E67A69">
            <w:pPr>
              <w:spacing w:after="0"/>
              <w:ind w:firstLine="0"/>
              <w:contextualSpacing/>
              <w:jc w:val="left"/>
              <w:rPr>
                <w:rFonts w:eastAsia="Times New Roman" w:cs="Times New Roman"/>
                <w:color w:val="000000"/>
                <w:sz w:val="18"/>
                <w:szCs w:val="18"/>
              </w:rPr>
            </w:pPr>
            <w:r w:rsidRPr="00E67A69">
              <w:rPr>
                <w:rFonts w:eastAsia="Times New Roman" w:cs="Times New Roman"/>
                <w:color w:val="000000"/>
                <w:sz w:val="18"/>
                <w:szCs w:val="18"/>
              </w:rPr>
              <w:t> </w:t>
            </w:r>
          </w:p>
          <w:p w14:paraId="18FEAE8A" w14:textId="77777777" w:rsidR="00E67A69" w:rsidRPr="00E67A69" w:rsidRDefault="00E67A69" w:rsidP="00E67A69">
            <w:pPr>
              <w:spacing w:after="0"/>
              <w:ind w:firstLine="709"/>
              <w:contextualSpacing/>
              <w:jc w:val="left"/>
              <w:rPr>
                <w:rFonts w:eastAsia="Times New Roman" w:cs="Times New Roman"/>
                <w:color w:val="000000"/>
                <w:sz w:val="18"/>
                <w:szCs w:val="18"/>
              </w:rPr>
            </w:pPr>
            <w:r w:rsidRPr="00E67A69">
              <w:rPr>
                <w:rFonts w:eastAsia="Times New Roman" w:cs="Times New Roman"/>
                <w:b/>
                <w:bCs/>
                <w:color w:val="000000"/>
                <w:sz w:val="18"/>
                <w:szCs w:val="18"/>
              </w:rPr>
              <w:t> </w:t>
            </w:r>
          </w:p>
        </w:tc>
        <w:tc>
          <w:tcPr>
            <w:tcW w:w="868" w:type="dxa"/>
            <w:shd w:val="clear" w:color="auto" w:fill="BDD6EE" w:themeFill="accent1" w:themeFillTint="66"/>
            <w:noWrap/>
            <w:vAlign w:val="center"/>
            <w:hideMark/>
          </w:tcPr>
          <w:p w14:paraId="7D7AAA6A" w14:textId="77777777" w:rsidR="00E67A69" w:rsidRPr="00E67A69" w:rsidRDefault="00E67A69" w:rsidP="00E67A69">
            <w:pPr>
              <w:spacing w:after="0"/>
              <w:ind w:firstLine="0"/>
              <w:contextualSpacing/>
              <w:jc w:val="center"/>
              <w:rPr>
                <w:rFonts w:eastAsia="Times New Roman" w:cs="Times New Roman"/>
                <w:b/>
                <w:bCs/>
                <w:color w:val="000000"/>
                <w:sz w:val="18"/>
                <w:szCs w:val="18"/>
              </w:rPr>
            </w:pPr>
            <w:r w:rsidRPr="00E67A69">
              <w:rPr>
                <w:rFonts w:eastAsia="Times New Roman" w:cs="Times New Roman"/>
                <w:b/>
                <w:bCs/>
                <w:color w:val="000000"/>
                <w:sz w:val="18"/>
                <w:szCs w:val="18"/>
              </w:rPr>
              <w:t>2024</w:t>
            </w:r>
          </w:p>
        </w:tc>
        <w:tc>
          <w:tcPr>
            <w:tcW w:w="868" w:type="dxa"/>
            <w:shd w:val="clear" w:color="auto" w:fill="BDD6EE" w:themeFill="accent1" w:themeFillTint="66"/>
            <w:noWrap/>
            <w:vAlign w:val="center"/>
            <w:hideMark/>
          </w:tcPr>
          <w:p w14:paraId="65E88CE2" w14:textId="77777777" w:rsidR="00E67A69" w:rsidRPr="00E67A69" w:rsidRDefault="00E67A69" w:rsidP="00E67A69">
            <w:pPr>
              <w:spacing w:after="0"/>
              <w:ind w:firstLine="0"/>
              <w:contextualSpacing/>
              <w:jc w:val="center"/>
              <w:rPr>
                <w:rFonts w:eastAsia="Times New Roman" w:cs="Times New Roman"/>
                <w:b/>
                <w:bCs/>
                <w:color w:val="000000"/>
                <w:sz w:val="18"/>
                <w:szCs w:val="18"/>
              </w:rPr>
            </w:pPr>
            <w:r w:rsidRPr="00E67A69">
              <w:rPr>
                <w:rFonts w:eastAsia="Times New Roman" w:cs="Times New Roman"/>
                <w:b/>
                <w:bCs/>
                <w:color w:val="000000"/>
                <w:sz w:val="18"/>
                <w:szCs w:val="18"/>
              </w:rPr>
              <w:t>2025</w:t>
            </w:r>
          </w:p>
        </w:tc>
        <w:tc>
          <w:tcPr>
            <w:tcW w:w="868" w:type="dxa"/>
            <w:shd w:val="clear" w:color="auto" w:fill="BDD6EE" w:themeFill="accent1" w:themeFillTint="66"/>
            <w:noWrap/>
            <w:vAlign w:val="center"/>
            <w:hideMark/>
          </w:tcPr>
          <w:p w14:paraId="257194FE" w14:textId="77777777" w:rsidR="00E67A69" w:rsidRPr="00E67A69" w:rsidRDefault="00E67A69" w:rsidP="00E67A69">
            <w:pPr>
              <w:spacing w:after="0"/>
              <w:ind w:firstLine="0"/>
              <w:contextualSpacing/>
              <w:jc w:val="center"/>
              <w:rPr>
                <w:rFonts w:eastAsia="Times New Roman" w:cs="Times New Roman"/>
                <w:b/>
                <w:bCs/>
                <w:color w:val="000000"/>
                <w:sz w:val="18"/>
                <w:szCs w:val="18"/>
              </w:rPr>
            </w:pPr>
            <w:r w:rsidRPr="00E67A69">
              <w:rPr>
                <w:rFonts w:eastAsia="Times New Roman" w:cs="Times New Roman"/>
                <w:b/>
                <w:bCs/>
                <w:color w:val="000000"/>
                <w:sz w:val="18"/>
                <w:szCs w:val="18"/>
              </w:rPr>
              <w:t>2026</w:t>
            </w:r>
          </w:p>
        </w:tc>
        <w:tc>
          <w:tcPr>
            <w:tcW w:w="869" w:type="dxa"/>
            <w:shd w:val="clear" w:color="auto" w:fill="BDD6EE" w:themeFill="accent1" w:themeFillTint="66"/>
            <w:noWrap/>
            <w:vAlign w:val="center"/>
            <w:hideMark/>
          </w:tcPr>
          <w:p w14:paraId="116D946A" w14:textId="77777777" w:rsidR="00E67A69" w:rsidRPr="00E67A69" w:rsidRDefault="00E67A69" w:rsidP="00E67A69">
            <w:pPr>
              <w:spacing w:after="0"/>
              <w:ind w:firstLine="0"/>
              <w:contextualSpacing/>
              <w:jc w:val="center"/>
              <w:rPr>
                <w:rFonts w:eastAsia="Times New Roman" w:cs="Times New Roman"/>
                <w:b/>
                <w:bCs/>
                <w:color w:val="000000"/>
                <w:sz w:val="18"/>
                <w:szCs w:val="18"/>
              </w:rPr>
            </w:pPr>
            <w:r w:rsidRPr="00E67A69">
              <w:rPr>
                <w:rFonts w:eastAsia="Times New Roman" w:cs="Times New Roman"/>
                <w:b/>
                <w:bCs/>
                <w:color w:val="000000"/>
                <w:sz w:val="18"/>
                <w:szCs w:val="18"/>
              </w:rPr>
              <w:t>2027</w:t>
            </w:r>
          </w:p>
        </w:tc>
        <w:tc>
          <w:tcPr>
            <w:tcW w:w="868" w:type="dxa"/>
            <w:shd w:val="clear" w:color="auto" w:fill="BDD6EE" w:themeFill="accent1" w:themeFillTint="66"/>
          </w:tcPr>
          <w:p w14:paraId="33E36C91" w14:textId="77777777" w:rsidR="00E67A69" w:rsidRPr="00E67A69" w:rsidRDefault="00E67A69" w:rsidP="00E67A69">
            <w:pPr>
              <w:spacing w:after="0"/>
              <w:ind w:firstLine="0"/>
              <w:contextualSpacing/>
              <w:jc w:val="center"/>
              <w:rPr>
                <w:rFonts w:eastAsia="Times New Roman" w:cs="Times New Roman"/>
                <w:b/>
                <w:bCs/>
                <w:color w:val="000000"/>
                <w:sz w:val="18"/>
                <w:szCs w:val="18"/>
              </w:rPr>
            </w:pPr>
            <w:r w:rsidRPr="00E67A69">
              <w:rPr>
                <w:rFonts w:eastAsia="Times New Roman" w:cs="Times New Roman"/>
                <w:b/>
                <w:bCs/>
                <w:color w:val="000000"/>
                <w:sz w:val="18"/>
                <w:szCs w:val="18"/>
              </w:rPr>
              <w:t>2028</w:t>
            </w:r>
          </w:p>
        </w:tc>
        <w:tc>
          <w:tcPr>
            <w:tcW w:w="868" w:type="dxa"/>
            <w:shd w:val="clear" w:color="auto" w:fill="BDD6EE" w:themeFill="accent1" w:themeFillTint="66"/>
            <w:noWrap/>
            <w:vAlign w:val="center"/>
            <w:hideMark/>
          </w:tcPr>
          <w:p w14:paraId="36C8CA26" w14:textId="77777777" w:rsidR="00E67A69" w:rsidRPr="00E67A69" w:rsidRDefault="00E67A69" w:rsidP="00E67A69">
            <w:pPr>
              <w:spacing w:after="0"/>
              <w:ind w:firstLine="0"/>
              <w:contextualSpacing/>
              <w:jc w:val="center"/>
              <w:rPr>
                <w:rFonts w:eastAsia="Times New Roman" w:cs="Times New Roman"/>
                <w:b/>
                <w:bCs/>
                <w:color w:val="000000"/>
                <w:sz w:val="18"/>
                <w:szCs w:val="18"/>
              </w:rPr>
            </w:pPr>
            <w:r w:rsidRPr="00E67A69">
              <w:rPr>
                <w:rFonts w:eastAsia="Times New Roman" w:cs="Times New Roman"/>
                <w:b/>
                <w:bCs/>
                <w:color w:val="000000"/>
                <w:sz w:val="18"/>
                <w:szCs w:val="18"/>
              </w:rPr>
              <w:t>2026</w:t>
            </w:r>
          </w:p>
        </w:tc>
        <w:tc>
          <w:tcPr>
            <w:tcW w:w="868" w:type="dxa"/>
            <w:shd w:val="clear" w:color="auto" w:fill="BDD6EE" w:themeFill="accent1" w:themeFillTint="66"/>
            <w:noWrap/>
            <w:vAlign w:val="center"/>
            <w:hideMark/>
          </w:tcPr>
          <w:p w14:paraId="4FFFD49E" w14:textId="77777777" w:rsidR="00E67A69" w:rsidRPr="00E67A69" w:rsidRDefault="00E67A69" w:rsidP="00E67A69">
            <w:pPr>
              <w:spacing w:after="0"/>
              <w:ind w:firstLine="0"/>
              <w:contextualSpacing/>
              <w:jc w:val="center"/>
              <w:rPr>
                <w:rFonts w:eastAsia="Times New Roman" w:cs="Times New Roman"/>
                <w:b/>
                <w:bCs/>
                <w:color w:val="000000"/>
                <w:sz w:val="18"/>
                <w:szCs w:val="18"/>
              </w:rPr>
            </w:pPr>
            <w:r w:rsidRPr="00E67A69">
              <w:rPr>
                <w:rFonts w:eastAsia="Times New Roman" w:cs="Times New Roman"/>
                <w:b/>
                <w:bCs/>
                <w:color w:val="000000"/>
                <w:sz w:val="18"/>
                <w:szCs w:val="18"/>
              </w:rPr>
              <w:t>2027</w:t>
            </w:r>
          </w:p>
        </w:tc>
        <w:tc>
          <w:tcPr>
            <w:tcW w:w="869" w:type="dxa"/>
            <w:shd w:val="clear" w:color="auto" w:fill="BDD6EE" w:themeFill="accent1" w:themeFillTint="66"/>
            <w:noWrap/>
            <w:hideMark/>
          </w:tcPr>
          <w:p w14:paraId="248C8FCF" w14:textId="77777777" w:rsidR="00E67A69" w:rsidRPr="00E67A69" w:rsidRDefault="00E67A69" w:rsidP="00E67A69">
            <w:pPr>
              <w:spacing w:after="0"/>
              <w:ind w:firstLine="0"/>
              <w:contextualSpacing/>
              <w:jc w:val="center"/>
              <w:rPr>
                <w:rFonts w:eastAsia="Times New Roman" w:cs="Times New Roman"/>
                <w:b/>
                <w:bCs/>
                <w:color w:val="000000"/>
                <w:sz w:val="18"/>
                <w:szCs w:val="18"/>
              </w:rPr>
            </w:pPr>
            <w:r w:rsidRPr="00E67A69">
              <w:rPr>
                <w:rFonts w:eastAsia="Times New Roman" w:cs="Times New Roman"/>
                <w:b/>
                <w:bCs/>
                <w:color w:val="000000"/>
                <w:sz w:val="18"/>
                <w:szCs w:val="18"/>
              </w:rPr>
              <w:t>2028</w:t>
            </w:r>
          </w:p>
        </w:tc>
      </w:tr>
      <w:tr w:rsidR="00E67A69" w:rsidRPr="00E67A69" w14:paraId="7EABA0B7" w14:textId="77777777" w:rsidTr="00C217B4">
        <w:trPr>
          <w:trHeight w:val="20"/>
          <w:tblHeader/>
          <w:jc w:val="center"/>
        </w:trPr>
        <w:tc>
          <w:tcPr>
            <w:tcW w:w="2263" w:type="dxa"/>
            <w:vMerge/>
            <w:shd w:val="clear" w:color="auto" w:fill="BDD6EE" w:themeFill="accent1" w:themeFillTint="66"/>
            <w:noWrap/>
            <w:vAlign w:val="center"/>
            <w:hideMark/>
          </w:tcPr>
          <w:p w14:paraId="2544241A" w14:textId="77777777" w:rsidR="00E67A69" w:rsidRPr="00E67A69" w:rsidRDefault="00E67A69" w:rsidP="00E67A69">
            <w:pPr>
              <w:spacing w:after="0"/>
              <w:ind w:firstLine="0"/>
              <w:contextualSpacing/>
              <w:jc w:val="left"/>
              <w:rPr>
                <w:rFonts w:eastAsia="Times New Roman" w:cs="Times New Roman"/>
                <w:b/>
                <w:bCs/>
                <w:color w:val="000000"/>
                <w:sz w:val="18"/>
                <w:szCs w:val="18"/>
              </w:rPr>
            </w:pPr>
          </w:p>
        </w:tc>
        <w:tc>
          <w:tcPr>
            <w:tcW w:w="868" w:type="dxa"/>
            <w:shd w:val="clear" w:color="auto" w:fill="BDD6EE" w:themeFill="accent1" w:themeFillTint="66"/>
            <w:noWrap/>
            <w:vAlign w:val="center"/>
            <w:hideMark/>
          </w:tcPr>
          <w:p w14:paraId="4229B829" w14:textId="77777777" w:rsidR="00E67A69" w:rsidRPr="00E67A69" w:rsidRDefault="00E67A69" w:rsidP="00E67A69">
            <w:pPr>
              <w:spacing w:after="0"/>
              <w:ind w:firstLine="0"/>
              <w:contextualSpacing/>
              <w:jc w:val="center"/>
              <w:rPr>
                <w:rFonts w:eastAsia="Times New Roman" w:cs="Times New Roman"/>
                <w:b/>
                <w:color w:val="000000"/>
                <w:sz w:val="18"/>
                <w:szCs w:val="18"/>
              </w:rPr>
            </w:pPr>
            <w:r w:rsidRPr="00E67A69">
              <w:rPr>
                <w:rFonts w:eastAsia="Times New Roman" w:cs="Times New Roman"/>
                <w:b/>
                <w:color w:val="000000"/>
                <w:sz w:val="18"/>
                <w:szCs w:val="18"/>
              </w:rPr>
              <w:t>Fakts</w:t>
            </w:r>
            <w:r w:rsidRPr="00E67A69">
              <w:rPr>
                <w:rFonts w:eastAsia="Times New Roman" w:cs="Times New Roman"/>
                <w:b/>
                <w:color w:val="000000"/>
                <w:sz w:val="18"/>
                <w:szCs w:val="18"/>
                <w:vertAlign w:val="superscript"/>
              </w:rPr>
              <w:footnoteReference w:id="28"/>
            </w:r>
          </w:p>
        </w:tc>
        <w:tc>
          <w:tcPr>
            <w:tcW w:w="868" w:type="dxa"/>
            <w:shd w:val="clear" w:color="auto" w:fill="BDD6EE" w:themeFill="accent1" w:themeFillTint="66"/>
            <w:vAlign w:val="center"/>
          </w:tcPr>
          <w:p w14:paraId="558AD802" w14:textId="77777777" w:rsidR="00E67A69" w:rsidRPr="00E67A69" w:rsidRDefault="00E67A69" w:rsidP="00E67A69">
            <w:pPr>
              <w:spacing w:after="0"/>
              <w:ind w:firstLine="0"/>
              <w:contextualSpacing/>
              <w:jc w:val="center"/>
              <w:rPr>
                <w:rFonts w:eastAsia="Times New Roman" w:cs="Times New Roman"/>
                <w:b/>
                <w:color w:val="000000"/>
                <w:sz w:val="18"/>
                <w:szCs w:val="18"/>
              </w:rPr>
            </w:pPr>
            <w:r w:rsidRPr="00E67A69">
              <w:rPr>
                <w:rFonts w:eastAsia="Times New Roman" w:cs="Times New Roman"/>
                <w:b/>
                <w:color w:val="000000"/>
                <w:sz w:val="18"/>
                <w:szCs w:val="18"/>
              </w:rPr>
              <w:t>Novērt.</w:t>
            </w:r>
            <w:r w:rsidRPr="00E67A69">
              <w:rPr>
                <w:rFonts w:eastAsia="Times New Roman" w:cs="Times New Roman"/>
                <w:b/>
                <w:color w:val="000000"/>
                <w:sz w:val="18"/>
                <w:szCs w:val="18"/>
                <w:vertAlign w:val="superscript"/>
              </w:rPr>
              <w:footnoteReference w:id="29"/>
            </w:r>
          </w:p>
        </w:tc>
        <w:tc>
          <w:tcPr>
            <w:tcW w:w="2605" w:type="dxa"/>
            <w:gridSpan w:val="3"/>
            <w:shd w:val="clear" w:color="auto" w:fill="BDD6EE" w:themeFill="accent1" w:themeFillTint="66"/>
            <w:vAlign w:val="center"/>
          </w:tcPr>
          <w:p w14:paraId="4A8D99C5" w14:textId="77777777" w:rsidR="00E67A69" w:rsidRPr="00E67A69" w:rsidRDefault="00E67A69" w:rsidP="00E67A69">
            <w:pPr>
              <w:spacing w:after="0"/>
              <w:ind w:firstLine="0"/>
              <w:contextualSpacing/>
              <w:jc w:val="center"/>
              <w:rPr>
                <w:rFonts w:eastAsia="Times New Roman" w:cs="Times New Roman"/>
                <w:b/>
                <w:color w:val="000000"/>
                <w:sz w:val="18"/>
                <w:szCs w:val="18"/>
              </w:rPr>
            </w:pPr>
            <w:r w:rsidRPr="00E67A69">
              <w:rPr>
                <w:rFonts w:eastAsia="Times New Roman" w:cs="Times New Roman"/>
                <w:b/>
                <w:color w:val="000000"/>
                <w:sz w:val="18"/>
                <w:szCs w:val="18"/>
              </w:rPr>
              <w:t>Prognoze</w:t>
            </w:r>
            <w:r w:rsidRPr="00E67A69">
              <w:rPr>
                <w:rFonts w:eastAsia="Times New Roman" w:cs="Times New Roman"/>
                <w:b/>
                <w:color w:val="000000"/>
                <w:sz w:val="18"/>
                <w:szCs w:val="18"/>
              </w:rPr>
              <w:br/>
              <w:t>(pie nemainīgas politikas)</w:t>
            </w:r>
            <w:r w:rsidRPr="00E67A69">
              <w:rPr>
                <w:rFonts w:eastAsia="Times New Roman" w:cs="Times New Roman"/>
                <w:b/>
                <w:color w:val="000000"/>
                <w:sz w:val="18"/>
                <w:szCs w:val="18"/>
                <w:vertAlign w:val="superscript"/>
              </w:rPr>
              <w:footnoteReference w:id="30"/>
            </w:r>
          </w:p>
        </w:tc>
        <w:tc>
          <w:tcPr>
            <w:tcW w:w="2605" w:type="dxa"/>
            <w:gridSpan w:val="3"/>
            <w:shd w:val="clear" w:color="auto" w:fill="BDD6EE" w:themeFill="accent1" w:themeFillTint="66"/>
            <w:vAlign w:val="center"/>
          </w:tcPr>
          <w:p w14:paraId="3550FAA0" w14:textId="77777777" w:rsidR="00E67A69" w:rsidRPr="00E67A69" w:rsidRDefault="00E67A69" w:rsidP="00E67A69">
            <w:pPr>
              <w:spacing w:after="0"/>
              <w:ind w:firstLine="0"/>
              <w:contextualSpacing/>
              <w:jc w:val="center"/>
              <w:rPr>
                <w:rFonts w:eastAsia="Times New Roman" w:cs="Times New Roman"/>
                <w:b/>
                <w:color w:val="000000"/>
                <w:sz w:val="18"/>
                <w:szCs w:val="18"/>
              </w:rPr>
            </w:pPr>
            <w:r w:rsidRPr="00E67A69">
              <w:rPr>
                <w:rFonts w:eastAsia="Times New Roman" w:cs="Times New Roman"/>
                <w:b/>
                <w:color w:val="000000"/>
                <w:sz w:val="18"/>
                <w:szCs w:val="18"/>
              </w:rPr>
              <w:t xml:space="preserve">Prognoze </w:t>
            </w:r>
          </w:p>
        </w:tc>
      </w:tr>
      <w:tr w:rsidR="00E67A69" w:rsidRPr="00E67A69" w14:paraId="75D3B7FD" w14:textId="77777777" w:rsidTr="00C217B4">
        <w:trPr>
          <w:trHeight w:val="20"/>
          <w:jc w:val="center"/>
        </w:trPr>
        <w:tc>
          <w:tcPr>
            <w:tcW w:w="2263" w:type="dxa"/>
            <w:vAlign w:val="center"/>
            <w:hideMark/>
          </w:tcPr>
          <w:p w14:paraId="19418F75" w14:textId="77777777" w:rsidR="00E67A69" w:rsidRPr="00E67A69" w:rsidRDefault="00E67A69" w:rsidP="00E67A69">
            <w:pPr>
              <w:spacing w:after="0"/>
              <w:ind w:firstLine="0"/>
              <w:contextualSpacing/>
              <w:jc w:val="left"/>
              <w:rPr>
                <w:rFonts w:eastAsia="Times New Roman" w:cs="Times New Roman"/>
                <w:b/>
                <w:bCs/>
                <w:color w:val="000000"/>
                <w:sz w:val="18"/>
                <w:szCs w:val="18"/>
              </w:rPr>
            </w:pPr>
            <w:r w:rsidRPr="00E67A69">
              <w:rPr>
                <w:rFonts w:eastAsia="Times New Roman" w:cs="Times New Roman"/>
                <w:b/>
                <w:bCs/>
                <w:color w:val="000000"/>
                <w:sz w:val="18"/>
                <w:szCs w:val="18"/>
              </w:rPr>
              <w:t>Vispārējās valdības budžeta bilance, % no IKP</w:t>
            </w:r>
          </w:p>
        </w:tc>
        <w:tc>
          <w:tcPr>
            <w:tcW w:w="868" w:type="dxa"/>
            <w:noWrap/>
            <w:vAlign w:val="center"/>
            <w:hideMark/>
          </w:tcPr>
          <w:p w14:paraId="03294277" w14:textId="77777777" w:rsidR="00E67A69" w:rsidRPr="00E67A69" w:rsidRDefault="00E67A69" w:rsidP="00E67A69">
            <w:pPr>
              <w:spacing w:after="0"/>
              <w:ind w:firstLine="0"/>
              <w:jc w:val="right"/>
              <w:rPr>
                <w:rFonts w:eastAsia="Times New Roman" w:cs="Times New Roman"/>
                <w:b/>
                <w:bCs/>
                <w:sz w:val="18"/>
                <w:szCs w:val="18"/>
              </w:rPr>
            </w:pPr>
            <w:r w:rsidRPr="00E67A69">
              <w:rPr>
                <w:rFonts w:cs="Times New Roman"/>
                <w:b/>
                <w:bCs/>
                <w:sz w:val="18"/>
                <w:szCs w:val="18"/>
              </w:rPr>
              <w:t xml:space="preserve">-1,8 </w:t>
            </w:r>
          </w:p>
        </w:tc>
        <w:tc>
          <w:tcPr>
            <w:tcW w:w="868" w:type="dxa"/>
            <w:noWrap/>
            <w:vAlign w:val="center"/>
            <w:hideMark/>
          </w:tcPr>
          <w:p w14:paraId="60E7833B" w14:textId="77777777" w:rsidR="00E67A69" w:rsidRPr="00E67A69" w:rsidRDefault="00E67A69" w:rsidP="00E67A69">
            <w:pPr>
              <w:spacing w:after="0"/>
              <w:ind w:firstLine="0"/>
              <w:contextualSpacing/>
              <w:jc w:val="right"/>
              <w:rPr>
                <w:rFonts w:eastAsia="Times New Roman" w:cs="Times New Roman"/>
                <w:b/>
                <w:bCs/>
                <w:sz w:val="18"/>
                <w:szCs w:val="18"/>
              </w:rPr>
            </w:pPr>
            <w:r w:rsidRPr="00E67A69">
              <w:rPr>
                <w:b/>
                <w:bCs/>
                <w:sz w:val="18"/>
                <w:szCs w:val="18"/>
              </w:rPr>
              <w:t>-2,9</w:t>
            </w:r>
          </w:p>
        </w:tc>
        <w:tc>
          <w:tcPr>
            <w:tcW w:w="868" w:type="dxa"/>
            <w:noWrap/>
            <w:vAlign w:val="center"/>
            <w:hideMark/>
          </w:tcPr>
          <w:p w14:paraId="2CA24A86" w14:textId="77777777" w:rsidR="00E67A69" w:rsidRPr="00E67A69" w:rsidRDefault="00E67A69" w:rsidP="00E67A69">
            <w:pPr>
              <w:spacing w:after="0"/>
              <w:ind w:firstLine="0"/>
              <w:jc w:val="right"/>
              <w:rPr>
                <w:rFonts w:eastAsia="Times New Roman" w:cs="Times New Roman"/>
                <w:b/>
                <w:bCs/>
                <w:sz w:val="18"/>
                <w:szCs w:val="18"/>
              </w:rPr>
            </w:pPr>
            <w:r w:rsidRPr="00E67A69">
              <w:rPr>
                <w:b/>
                <w:bCs/>
                <w:sz w:val="18"/>
                <w:szCs w:val="18"/>
              </w:rPr>
              <w:t xml:space="preserve">-3,0 </w:t>
            </w:r>
          </w:p>
        </w:tc>
        <w:tc>
          <w:tcPr>
            <w:tcW w:w="869" w:type="dxa"/>
            <w:noWrap/>
            <w:vAlign w:val="center"/>
            <w:hideMark/>
          </w:tcPr>
          <w:p w14:paraId="6911CA39" w14:textId="77777777" w:rsidR="00E67A69" w:rsidRPr="00E67A69" w:rsidRDefault="00E67A69" w:rsidP="00E67A69">
            <w:pPr>
              <w:spacing w:after="0"/>
              <w:ind w:firstLine="0"/>
              <w:contextualSpacing/>
              <w:jc w:val="right"/>
              <w:rPr>
                <w:rFonts w:eastAsia="Times New Roman" w:cs="Times New Roman"/>
                <w:b/>
                <w:bCs/>
                <w:sz w:val="18"/>
                <w:szCs w:val="18"/>
              </w:rPr>
            </w:pPr>
            <w:r w:rsidRPr="00E67A69">
              <w:rPr>
                <w:b/>
                <w:bCs/>
                <w:sz w:val="18"/>
                <w:szCs w:val="18"/>
              </w:rPr>
              <w:t xml:space="preserve">-4,1 </w:t>
            </w:r>
          </w:p>
        </w:tc>
        <w:tc>
          <w:tcPr>
            <w:tcW w:w="868" w:type="dxa"/>
            <w:vAlign w:val="center"/>
          </w:tcPr>
          <w:p w14:paraId="6A87DAD9" w14:textId="77777777" w:rsidR="00E67A69" w:rsidRPr="00E67A69" w:rsidRDefault="00E67A69" w:rsidP="00E67A69">
            <w:pPr>
              <w:spacing w:after="0"/>
              <w:ind w:firstLine="0"/>
              <w:contextualSpacing/>
              <w:jc w:val="right"/>
              <w:rPr>
                <w:rFonts w:eastAsia="Times New Roman" w:cs="Times New Roman"/>
                <w:b/>
                <w:bCs/>
                <w:sz w:val="18"/>
                <w:szCs w:val="18"/>
              </w:rPr>
            </w:pPr>
            <w:r w:rsidRPr="00E67A69">
              <w:rPr>
                <w:b/>
                <w:bCs/>
                <w:sz w:val="18"/>
                <w:szCs w:val="18"/>
              </w:rPr>
              <w:t xml:space="preserve">-3,7 </w:t>
            </w:r>
          </w:p>
        </w:tc>
        <w:tc>
          <w:tcPr>
            <w:tcW w:w="868" w:type="dxa"/>
            <w:noWrap/>
            <w:vAlign w:val="center"/>
            <w:hideMark/>
          </w:tcPr>
          <w:p w14:paraId="78E3B77B" w14:textId="77777777" w:rsidR="00E67A69" w:rsidRPr="00E67A69" w:rsidRDefault="00E67A69" w:rsidP="00E67A69">
            <w:pPr>
              <w:spacing w:after="0"/>
              <w:ind w:firstLine="0"/>
              <w:contextualSpacing/>
              <w:jc w:val="right"/>
              <w:rPr>
                <w:rFonts w:eastAsia="Times New Roman" w:cs="Times New Roman"/>
                <w:b/>
                <w:bCs/>
                <w:sz w:val="18"/>
                <w:szCs w:val="18"/>
              </w:rPr>
            </w:pPr>
            <w:r w:rsidRPr="00E67A69">
              <w:rPr>
                <w:b/>
                <w:bCs/>
                <w:sz w:val="18"/>
                <w:szCs w:val="18"/>
              </w:rPr>
              <w:t xml:space="preserve">-3,3 </w:t>
            </w:r>
          </w:p>
        </w:tc>
        <w:tc>
          <w:tcPr>
            <w:tcW w:w="868" w:type="dxa"/>
            <w:noWrap/>
            <w:vAlign w:val="center"/>
            <w:hideMark/>
          </w:tcPr>
          <w:p w14:paraId="5302E52A" w14:textId="77777777" w:rsidR="00E67A69" w:rsidRPr="00E67A69" w:rsidRDefault="00E67A69" w:rsidP="00E67A69">
            <w:pPr>
              <w:spacing w:after="0"/>
              <w:ind w:firstLine="0"/>
              <w:contextualSpacing/>
              <w:jc w:val="right"/>
              <w:rPr>
                <w:rFonts w:eastAsia="Times New Roman" w:cs="Times New Roman"/>
                <w:b/>
                <w:bCs/>
                <w:sz w:val="18"/>
                <w:szCs w:val="18"/>
              </w:rPr>
            </w:pPr>
            <w:r w:rsidRPr="00E67A69">
              <w:rPr>
                <w:b/>
                <w:bCs/>
                <w:sz w:val="18"/>
                <w:szCs w:val="18"/>
              </w:rPr>
              <w:t xml:space="preserve">-3,9 </w:t>
            </w:r>
          </w:p>
        </w:tc>
        <w:tc>
          <w:tcPr>
            <w:tcW w:w="869" w:type="dxa"/>
            <w:noWrap/>
            <w:vAlign w:val="center"/>
            <w:hideMark/>
          </w:tcPr>
          <w:p w14:paraId="311E6349" w14:textId="77777777" w:rsidR="00E67A69" w:rsidRPr="00E67A69" w:rsidRDefault="00E67A69" w:rsidP="00E67A69">
            <w:pPr>
              <w:spacing w:after="0"/>
              <w:ind w:firstLine="0"/>
              <w:contextualSpacing/>
              <w:jc w:val="right"/>
              <w:rPr>
                <w:rFonts w:eastAsia="Times New Roman" w:cs="Times New Roman"/>
                <w:b/>
                <w:bCs/>
                <w:sz w:val="18"/>
                <w:szCs w:val="18"/>
              </w:rPr>
            </w:pPr>
            <w:r w:rsidRPr="00E67A69">
              <w:rPr>
                <w:b/>
                <w:bCs/>
                <w:sz w:val="18"/>
                <w:szCs w:val="18"/>
              </w:rPr>
              <w:t xml:space="preserve">-3,6 </w:t>
            </w:r>
          </w:p>
        </w:tc>
      </w:tr>
      <w:tr w:rsidR="00E67A69" w:rsidRPr="00E67A69" w14:paraId="37F25D9A" w14:textId="77777777" w:rsidTr="00C217B4">
        <w:trPr>
          <w:trHeight w:val="20"/>
          <w:jc w:val="center"/>
        </w:trPr>
        <w:tc>
          <w:tcPr>
            <w:tcW w:w="2263" w:type="dxa"/>
            <w:vAlign w:val="center"/>
            <w:hideMark/>
          </w:tcPr>
          <w:p w14:paraId="56466842" w14:textId="77777777" w:rsidR="00E67A69" w:rsidRPr="00E67A69" w:rsidRDefault="00E67A69" w:rsidP="00E67A69">
            <w:pPr>
              <w:spacing w:after="0"/>
              <w:ind w:firstLine="0"/>
              <w:contextualSpacing/>
              <w:jc w:val="left"/>
              <w:rPr>
                <w:rFonts w:eastAsia="Times New Roman" w:cs="Times New Roman"/>
                <w:b/>
                <w:bCs/>
                <w:color w:val="000000"/>
                <w:sz w:val="18"/>
                <w:szCs w:val="18"/>
              </w:rPr>
            </w:pPr>
            <w:r w:rsidRPr="00E67A69">
              <w:rPr>
                <w:rFonts w:eastAsia="Times New Roman" w:cs="Times New Roman"/>
                <w:b/>
                <w:bCs/>
                <w:color w:val="000000"/>
                <w:sz w:val="18"/>
                <w:szCs w:val="18"/>
              </w:rPr>
              <w:t>Vispārējās valdības budžeta bilance</w:t>
            </w:r>
          </w:p>
        </w:tc>
        <w:tc>
          <w:tcPr>
            <w:tcW w:w="868" w:type="dxa"/>
            <w:noWrap/>
            <w:vAlign w:val="center"/>
            <w:hideMark/>
          </w:tcPr>
          <w:p w14:paraId="661A95D9" w14:textId="77777777" w:rsidR="00E67A69" w:rsidRPr="00E67A69" w:rsidRDefault="00E67A69" w:rsidP="00E67A69">
            <w:pPr>
              <w:spacing w:after="0"/>
              <w:ind w:firstLine="0"/>
              <w:jc w:val="right"/>
              <w:rPr>
                <w:rFonts w:cs="Times New Roman"/>
                <w:b/>
                <w:bCs/>
                <w:sz w:val="18"/>
                <w:szCs w:val="18"/>
              </w:rPr>
            </w:pPr>
            <w:r w:rsidRPr="00E67A69">
              <w:rPr>
                <w:rFonts w:cs="Times New Roman"/>
                <w:b/>
                <w:bCs/>
                <w:sz w:val="18"/>
                <w:szCs w:val="18"/>
              </w:rPr>
              <w:t>-706,2</w:t>
            </w:r>
          </w:p>
        </w:tc>
        <w:tc>
          <w:tcPr>
            <w:tcW w:w="868" w:type="dxa"/>
            <w:noWrap/>
            <w:vAlign w:val="center"/>
            <w:hideMark/>
          </w:tcPr>
          <w:p w14:paraId="24F398ED" w14:textId="77777777" w:rsidR="00E67A69" w:rsidRPr="00E67A69" w:rsidRDefault="00E67A69" w:rsidP="00E67A69">
            <w:pPr>
              <w:spacing w:after="0"/>
              <w:ind w:firstLine="0"/>
              <w:contextualSpacing/>
              <w:jc w:val="right"/>
              <w:rPr>
                <w:b/>
                <w:bCs/>
                <w:sz w:val="18"/>
                <w:szCs w:val="18"/>
              </w:rPr>
            </w:pPr>
            <w:r w:rsidRPr="00E67A69">
              <w:rPr>
                <w:b/>
                <w:bCs/>
                <w:sz w:val="18"/>
                <w:szCs w:val="18"/>
              </w:rPr>
              <w:t>-1 220,8</w:t>
            </w:r>
          </w:p>
        </w:tc>
        <w:tc>
          <w:tcPr>
            <w:tcW w:w="868" w:type="dxa"/>
            <w:noWrap/>
            <w:vAlign w:val="center"/>
            <w:hideMark/>
          </w:tcPr>
          <w:p w14:paraId="303E6F93" w14:textId="77777777" w:rsidR="00E67A69" w:rsidRPr="00E67A69" w:rsidRDefault="00E67A69" w:rsidP="00E67A69">
            <w:pPr>
              <w:spacing w:after="0"/>
              <w:ind w:firstLine="0"/>
              <w:contextualSpacing/>
              <w:jc w:val="center"/>
              <w:rPr>
                <w:b/>
                <w:bCs/>
                <w:sz w:val="18"/>
                <w:szCs w:val="18"/>
              </w:rPr>
            </w:pPr>
            <w:r w:rsidRPr="00E67A69">
              <w:rPr>
                <w:b/>
                <w:bCs/>
                <w:sz w:val="18"/>
                <w:szCs w:val="18"/>
              </w:rPr>
              <w:t>-1 326,1</w:t>
            </w:r>
          </w:p>
        </w:tc>
        <w:tc>
          <w:tcPr>
            <w:tcW w:w="869" w:type="dxa"/>
            <w:noWrap/>
            <w:vAlign w:val="center"/>
            <w:hideMark/>
          </w:tcPr>
          <w:p w14:paraId="664B2C12" w14:textId="77777777" w:rsidR="00E67A69" w:rsidRPr="00E67A69" w:rsidRDefault="00E67A69" w:rsidP="00E67A69">
            <w:pPr>
              <w:spacing w:after="0"/>
              <w:ind w:firstLine="0"/>
              <w:contextualSpacing/>
              <w:jc w:val="center"/>
              <w:rPr>
                <w:b/>
                <w:bCs/>
                <w:sz w:val="18"/>
                <w:szCs w:val="18"/>
              </w:rPr>
            </w:pPr>
            <w:r w:rsidRPr="00E67A69">
              <w:rPr>
                <w:b/>
                <w:bCs/>
                <w:sz w:val="18"/>
                <w:szCs w:val="18"/>
              </w:rPr>
              <w:t>-1 864,1</w:t>
            </w:r>
          </w:p>
        </w:tc>
        <w:tc>
          <w:tcPr>
            <w:tcW w:w="868" w:type="dxa"/>
            <w:vAlign w:val="center"/>
          </w:tcPr>
          <w:p w14:paraId="6CE6AE4A" w14:textId="77777777" w:rsidR="00E67A69" w:rsidRPr="00E67A69" w:rsidRDefault="00E67A69" w:rsidP="00E67A69">
            <w:pPr>
              <w:spacing w:after="0"/>
              <w:ind w:firstLine="0"/>
              <w:contextualSpacing/>
              <w:jc w:val="center"/>
              <w:rPr>
                <w:b/>
                <w:bCs/>
                <w:sz w:val="18"/>
                <w:szCs w:val="18"/>
              </w:rPr>
            </w:pPr>
            <w:r w:rsidRPr="00E67A69">
              <w:rPr>
                <w:b/>
                <w:bCs/>
                <w:sz w:val="18"/>
                <w:szCs w:val="18"/>
              </w:rPr>
              <w:t>-1 800,4</w:t>
            </w:r>
          </w:p>
        </w:tc>
        <w:tc>
          <w:tcPr>
            <w:tcW w:w="868" w:type="dxa"/>
            <w:noWrap/>
            <w:vAlign w:val="center"/>
            <w:hideMark/>
          </w:tcPr>
          <w:p w14:paraId="68B94178" w14:textId="77777777" w:rsidR="00E67A69" w:rsidRPr="00E67A69" w:rsidRDefault="00E67A69" w:rsidP="00E67A69">
            <w:pPr>
              <w:spacing w:after="0"/>
              <w:ind w:firstLine="0"/>
              <w:contextualSpacing/>
              <w:jc w:val="right"/>
              <w:rPr>
                <w:b/>
                <w:bCs/>
                <w:color w:val="EE0000"/>
                <w:sz w:val="18"/>
                <w:szCs w:val="18"/>
              </w:rPr>
            </w:pPr>
            <w:r w:rsidRPr="00E67A69">
              <w:rPr>
                <w:b/>
                <w:bCs/>
                <w:color w:val="000000"/>
                <w:sz w:val="18"/>
                <w:szCs w:val="18"/>
              </w:rPr>
              <w:t>-1 467,4</w:t>
            </w:r>
          </w:p>
        </w:tc>
        <w:tc>
          <w:tcPr>
            <w:tcW w:w="868" w:type="dxa"/>
            <w:noWrap/>
            <w:vAlign w:val="center"/>
            <w:hideMark/>
          </w:tcPr>
          <w:p w14:paraId="26118AB6" w14:textId="77777777" w:rsidR="00E67A69" w:rsidRPr="00E67A69" w:rsidRDefault="00E67A69" w:rsidP="00E67A69">
            <w:pPr>
              <w:spacing w:after="0"/>
              <w:ind w:firstLine="0"/>
              <w:contextualSpacing/>
              <w:jc w:val="right"/>
              <w:rPr>
                <w:b/>
                <w:bCs/>
                <w:color w:val="EE0000"/>
                <w:sz w:val="18"/>
                <w:szCs w:val="18"/>
              </w:rPr>
            </w:pPr>
            <w:r w:rsidRPr="00E67A69">
              <w:rPr>
                <w:b/>
                <w:bCs/>
                <w:color w:val="000000"/>
                <w:sz w:val="18"/>
                <w:szCs w:val="18"/>
              </w:rPr>
              <w:t>-1 785,5</w:t>
            </w:r>
          </w:p>
        </w:tc>
        <w:tc>
          <w:tcPr>
            <w:tcW w:w="869" w:type="dxa"/>
            <w:noWrap/>
            <w:vAlign w:val="center"/>
            <w:hideMark/>
          </w:tcPr>
          <w:p w14:paraId="0A033419" w14:textId="77777777" w:rsidR="00E67A69" w:rsidRPr="00E67A69" w:rsidRDefault="00E67A69" w:rsidP="00E67A69">
            <w:pPr>
              <w:spacing w:after="0"/>
              <w:ind w:firstLine="0"/>
              <w:contextualSpacing/>
              <w:jc w:val="right"/>
              <w:rPr>
                <w:b/>
                <w:bCs/>
                <w:color w:val="EE0000"/>
                <w:sz w:val="18"/>
                <w:szCs w:val="18"/>
              </w:rPr>
            </w:pPr>
            <w:r w:rsidRPr="00E67A69">
              <w:rPr>
                <w:b/>
                <w:bCs/>
                <w:color w:val="000000"/>
                <w:sz w:val="18"/>
                <w:szCs w:val="18"/>
              </w:rPr>
              <w:t>-1 719,2</w:t>
            </w:r>
          </w:p>
        </w:tc>
      </w:tr>
      <w:tr w:rsidR="00E67A69" w:rsidRPr="00E67A69" w14:paraId="59F81703" w14:textId="77777777" w:rsidTr="00C217B4">
        <w:trPr>
          <w:trHeight w:val="20"/>
          <w:jc w:val="center"/>
        </w:trPr>
        <w:tc>
          <w:tcPr>
            <w:tcW w:w="2263" w:type="dxa"/>
            <w:vAlign w:val="center"/>
          </w:tcPr>
          <w:p w14:paraId="67FDB176" w14:textId="77777777" w:rsidR="00E67A69" w:rsidRPr="00E67A69" w:rsidRDefault="00E67A69" w:rsidP="00E67A69">
            <w:pPr>
              <w:spacing w:after="0"/>
              <w:ind w:firstLineChars="100" w:firstLine="180"/>
              <w:contextualSpacing/>
              <w:jc w:val="left"/>
              <w:rPr>
                <w:rFonts w:eastAsia="Times New Roman" w:cs="Times New Roman"/>
                <w:b/>
                <w:bCs/>
                <w:color w:val="000000"/>
                <w:sz w:val="18"/>
                <w:szCs w:val="18"/>
              </w:rPr>
            </w:pPr>
            <w:r w:rsidRPr="00E67A69">
              <w:rPr>
                <w:rFonts w:eastAsia="Times New Roman" w:cs="Times New Roman"/>
                <w:color w:val="000000"/>
                <w:sz w:val="18"/>
                <w:szCs w:val="18"/>
              </w:rPr>
              <w:t>Ieņēmumi</w:t>
            </w:r>
          </w:p>
        </w:tc>
        <w:tc>
          <w:tcPr>
            <w:tcW w:w="868" w:type="dxa"/>
            <w:noWrap/>
          </w:tcPr>
          <w:p w14:paraId="0A8DF7E1" w14:textId="77777777" w:rsidR="00E67A69" w:rsidRPr="00E67A69" w:rsidRDefault="00E67A69" w:rsidP="00E67A69">
            <w:pPr>
              <w:spacing w:after="0"/>
              <w:ind w:firstLine="0"/>
              <w:contextualSpacing/>
              <w:jc w:val="right"/>
              <w:rPr>
                <w:sz w:val="18"/>
                <w:szCs w:val="18"/>
              </w:rPr>
            </w:pPr>
            <w:r w:rsidRPr="00E67A69">
              <w:rPr>
                <w:sz w:val="18"/>
                <w:szCs w:val="18"/>
              </w:rPr>
              <w:t xml:space="preserve">17 660,3 </w:t>
            </w:r>
          </w:p>
        </w:tc>
        <w:tc>
          <w:tcPr>
            <w:tcW w:w="868" w:type="dxa"/>
            <w:noWrap/>
          </w:tcPr>
          <w:p w14:paraId="036B1775" w14:textId="77777777" w:rsidR="00E67A69" w:rsidRPr="00E67A69" w:rsidRDefault="00E67A69" w:rsidP="00E67A69">
            <w:pPr>
              <w:spacing w:after="0"/>
              <w:ind w:firstLine="0"/>
              <w:contextualSpacing/>
              <w:jc w:val="right"/>
              <w:rPr>
                <w:sz w:val="18"/>
                <w:szCs w:val="18"/>
              </w:rPr>
            </w:pPr>
            <w:r w:rsidRPr="00E67A69">
              <w:rPr>
                <w:sz w:val="18"/>
                <w:szCs w:val="18"/>
              </w:rPr>
              <w:t xml:space="preserve">18 739,8 </w:t>
            </w:r>
          </w:p>
        </w:tc>
        <w:tc>
          <w:tcPr>
            <w:tcW w:w="868" w:type="dxa"/>
            <w:noWrap/>
          </w:tcPr>
          <w:p w14:paraId="3E6F9721" w14:textId="77777777" w:rsidR="00E67A69" w:rsidRPr="00E67A69" w:rsidRDefault="00E67A69" w:rsidP="00E67A69">
            <w:pPr>
              <w:spacing w:after="0"/>
              <w:ind w:firstLine="0"/>
              <w:contextualSpacing/>
              <w:jc w:val="right"/>
              <w:rPr>
                <w:sz w:val="18"/>
                <w:szCs w:val="18"/>
              </w:rPr>
            </w:pPr>
            <w:r w:rsidRPr="00E67A69">
              <w:rPr>
                <w:sz w:val="18"/>
                <w:szCs w:val="18"/>
              </w:rPr>
              <w:t xml:space="preserve">19 135,0 </w:t>
            </w:r>
          </w:p>
        </w:tc>
        <w:tc>
          <w:tcPr>
            <w:tcW w:w="869" w:type="dxa"/>
            <w:noWrap/>
          </w:tcPr>
          <w:p w14:paraId="5A05AC98" w14:textId="77777777" w:rsidR="00E67A69" w:rsidRPr="00E67A69" w:rsidRDefault="00E67A69" w:rsidP="00E67A69">
            <w:pPr>
              <w:spacing w:after="0"/>
              <w:ind w:firstLine="0"/>
              <w:contextualSpacing/>
              <w:jc w:val="right"/>
              <w:rPr>
                <w:sz w:val="18"/>
                <w:szCs w:val="18"/>
              </w:rPr>
            </w:pPr>
            <w:r w:rsidRPr="00E67A69">
              <w:rPr>
                <w:sz w:val="18"/>
                <w:szCs w:val="18"/>
              </w:rPr>
              <w:t xml:space="preserve">19 511,4 </w:t>
            </w:r>
          </w:p>
        </w:tc>
        <w:tc>
          <w:tcPr>
            <w:tcW w:w="868" w:type="dxa"/>
          </w:tcPr>
          <w:p w14:paraId="26BB3ABB" w14:textId="77777777" w:rsidR="00E67A69" w:rsidRPr="00E67A69" w:rsidRDefault="00E67A69" w:rsidP="00E67A69">
            <w:pPr>
              <w:spacing w:after="0"/>
              <w:ind w:firstLine="0"/>
              <w:contextualSpacing/>
              <w:jc w:val="right"/>
              <w:rPr>
                <w:sz w:val="18"/>
                <w:szCs w:val="18"/>
              </w:rPr>
            </w:pPr>
            <w:r w:rsidRPr="00E67A69">
              <w:rPr>
                <w:sz w:val="18"/>
                <w:szCs w:val="18"/>
              </w:rPr>
              <w:t xml:space="preserve">20 063,4 </w:t>
            </w:r>
          </w:p>
        </w:tc>
        <w:tc>
          <w:tcPr>
            <w:tcW w:w="868" w:type="dxa"/>
            <w:noWrap/>
            <w:vAlign w:val="bottom"/>
          </w:tcPr>
          <w:p w14:paraId="77C8E6E8" w14:textId="77777777" w:rsidR="00E67A69" w:rsidRPr="00E67A69" w:rsidRDefault="00E67A69" w:rsidP="00E67A69">
            <w:pPr>
              <w:spacing w:after="0"/>
              <w:ind w:firstLine="0"/>
              <w:contextualSpacing/>
              <w:jc w:val="right"/>
              <w:rPr>
                <w:color w:val="EE0000"/>
                <w:sz w:val="18"/>
                <w:szCs w:val="18"/>
              </w:rPr>
            </w:pPr>
            <w:r w:rsidRPr="00E67A69">
              <w:rPr>
                <w:color w:val="000000"/>
                <w:sz w:val="18"/>
                <w:szCs w:val="18"/>
              </w:rPr>
              <w:t>19 211,8</w:t>
            </w:r>
          </w:p>
        </w:tc>
        <w:tc>
          <w:tcPr>
            <w:tcW w:w="868" w:type="dxa"/>
            <w:noWrap/>
            <w:vAlign w:val="bottom"/>
          </w:tcPr>
          <w:p w14:paraId="714F3D5A" w14:textId="77777777" w:rsidR="00E67A69" w:rsidRPr="00E67A69" w:rsidRDefault="00E67A69" w:rsidP="00E67A69">
            <w:pPr>
              <w:spacing w:after="0"/>
              <w:ind w:firstLine="0"/>
              <w:contextualSpacing/>
              <w:jc w:val="right"/>
              <w:rPr>
                <w:color w:val="EE0000"/>
                <w:sz w:val="18"/>
                <w:szCs w:val="18"/>
              </w:rPr>
            </w:pPr>
            <w:r w:rsidRPr="00E67A69">
              <w:rPr>
                <w:color w:val="000000"/>
                <w:sz w:val="18"/>
                <w:szCs w:val="18"/>
              </w:rPr>
              <w:t>19 632,2</w:t>
            </w:r>
          </w:p>
        </w:tc>
        <w:tc>
          <w:tcPr>
            <w:tcW w:w="869" w:type="dxa"/>
            <w:noWrap/>
            <w:vAlign w:val="bottom"/>
          </w:tcPr>
          <w:p w14:paraId="07F19544" w14:textId="77777777" w:rsidR="00E67A69" w:rsidRPr="00E67A69" w:rsidRDefault="00E67A69" w:rsidP="00E67A69">
            <w:pPr>
              <w:spacing w:after="0"/>
              <w:ind w:firstLine="0"/>
              <w:contextualSpacing/>
              <w:jc w:val="right"/>
              <w:rPr>
                <w:color w:val="000000"/>
                <w:sz w:val="18"/>
                <w:szCs w:val="18"/>
              </w:rPr>
            </w:pPr>
            <w:r w:rsidRPr="00E67A69">
              <w:rPr>
                <w:color w:val="000000"/>
                <w:sz w:val="18"/>
                <w:szCs w:val="18"/>
              </w:rPr>
              <w:t>20 223,9</w:t>
            </w:r>
          </w:p>
        </w:tc>
      </w:tr>
      <w:tr w:rsidR="00E67A69" w:rsidRPr="00E67A69" w14:paraId="1754EB2C" w14:textId="77777777" w:rsidTr="00C217B4">
        <w:trPr>
          <w:trHeight w:val="20"/>
          <w:jc w:val="center"/>
        </w:trPr>
        <w:tc>
          <w:tcPr>
            <w:tcW w:w="2263" w:type="dxa"/>
            <w:vAlign w:val="center"/>
          </w:tcPr>
          <w:p w14:paraId="1D97A89B" w14:textId="77777777" w:rsidR="00E67A69" w:rsidRPr="00E67A69" w:rsidRDefault="00E67A69" w:rsidP="00E67A69">
            <w:pPr>
              <w:spacing w:after="0"/>
              <w:ind w:firstLineChars="100" w:firstLine="180"/>
              <w:contextualSpacing/>
              <w:jc w:val="left"/>
              <w:rPr>
                <w:rFonts w:eastAsia="Times New Roman" w:cs="Times New Roman"/>
                <w:b/>
                <w:bCs/>
                <w:color w:val="000000"/>
                <w:sz w:val="18"/>
                <w:szCs w:val="18"/>
              </w:rPr>
            </w:pPr>
            <w:r w:rsidRPr="00E67A69">
              <w:rPr>
                <w:rFonts w:eastAsia="Times New Roman" w:cs="Times New Roman"/>
                <w:color w:val="000000"/>
                <w:sz w:val="18"/>
                <w:szCs w:val="18"/>
              </w:rPr>
              <w:t>Izdevumi</w:t>
            </w:r>
          </w:p>
        </w:tc>
        <w:tc>
          <w:tcPr>
            <w:tcW w:w="868" w:type="dxa"/>
            <w:noWrap/>
          </w:tcPr>
          <w:p w14:paraId="5E2C05F8" w14:textId="77777777" w:rsidR="00E67A69" w:rsidRPr="00E67A69" w:rsidRDefault="00E67A69" w:rsidP="00E67A69">
            <w:pPr>
              <w:spacing w:after="0"/>
              <w:ind w:firstLine="0"/>
              <w:contextualSpacing/>
              <w:jc w:val="right"/>
              <w:rPr>
                <w:sz w:val="18"/>
                <w:szCs w:val="18"/>
              </w:rPr>
            </w:pPr>
            <w:r w:rsidRPr="00E67A69">
              <w:rPr>
                <w:sz w:val="18"/>
                <w:szCs w:val="18"/>
              </w:rPr>
              <w:t xml:space="preserve">18 366,4 </w:t>
            </w:r>
          </w:p>
        </w:tc>
        <w:tc>
          <w:tcPr>
            <w:tcW w:w="868" w:type="dxa"/>
            <w:noWrap/>
          </w:tcPr>
          <w:p w14:paraId="59EDD5C1" w14:textId="77777777" w:rsidR="00E67A69" w:rsidRPr="00E67A69" w:rsidRDefault="00E67A69" w:rsidP="00E67A69">
            <w:pPr>
              <w:spacing w:after="0"/>
              <w:ind w:firstLine="0"/>
              <w:contextualSpacing/>
              <w:jc w:val="right"/>
              <w:rPr>
                <w:sz w:val="18"/>
                <w:szCs w:val="18"/>
              </w:rPr>
            </w:pPr>
            <w:r w:rsidRPr="00E67A69">
              <w:rPr>
                <w:sz w:val="18"/>
                <w:szCs w:val="18"/>
              </w:rPr>
              <w:t xml:space="preserve">19 960,6 </w:t>
            </w:r>
          </w:p>
        </w:tc>
        <w:tc>
          <w:tcPr>
            <w:tcW w:w="868" w:type="dxa"/>
            <w:noWrap/>
          </w:tcPr>
          <w:p w14:paraId="142E4514" w14:textId="77777777" w:rsidR="00E67A69" w:rsidRPr="00E67A69" w:rsidRDefault="00E67A69" w:rsidP="00E67A69">
            <w:pPr>
              <w:spacing w:after="0"/>
              <w:ind w:firstLine="0"/>
              <w:contextualSpacing/>
              <w:jc w:val="right"/>
              <w:rPr>
                <w:sz w:val="18"/>
                <w:szCs w:val="18"/>
              </w:rPr>
            </w:pPr>
            <w:r w:rsidRPr="00E67A69">
              <w:rPr>
                <w:sz w:val="18"/>
                <w:szCs w:val="18"/>
              </w:rPr>
              <w:t xml:space="preserve">20 461,2 </w:t>
            </w:r>
          </w:p>
        </w:tc>
        <w:tc>
          <w:tcPr>
            <w:tcW w:w="869" w:type="dxa"/>
            <w:noWrap/>
          </w:tcPr>
          <w:p w14:paraId="4E1CBC53" w14:textId="77777777" w:rsidR="00E67A69" w:rsidRPr="00E67A69" w:rsidRDefault="00E67A69" w:rsidP="00E67A69">
            <w:pPr>
              <w:spacing w:after="0"/>
              <w:ind w:firstLine="0"/>
              <w:contextualSpacing/>
              <w:jc w:val="right"/>
              <w:rPr>
                <w:sz w:val="18"/>
                <w:szCs w:val="18"/>
              </w:rPr>
            </w:pPr>
            <w:r w:rsidRPr="00E67A69">
              <w:rPr>
                <w:sz w:val="18"/>
                <w:szCs w:val="18"/>
              </w:rPr>
              <w:t xml:space="preserve">21 375,5 </w:t>
            </w:r>
          </w:p>
        </w:tc>
        <w:tc>
          <w:tcPr>
            <w:tcW w:w="868" w:type="dxa"/>
          </w:tcPr>
          <w:p w14:paraId="3F718E80" w14:textId="77777777" w:rsidR="00E67A69" w:rsidRPr="00E67A69" w:rsidRDefault="00E67A69" w:rsidP="00E67A69">
            <w:pPr>
              <w:spacing w:after="0"/>
              <w:ind w:firstLine="0"/>
              <w:contextualSpacing/>
              <w:jc w:val="right"/>
              <w:rPr>
                <w:sz w:val="18"/>
                <w:szCs w:val="18"/>
              </w:rPr>
            </w:pPr>
            <w:r w:rsidRPr="00E67A69">
              <w:rPr>
                <w:sz w:val="18"/>
                <w:szCs w:val="18"/>
              </w:rPr>
              <w:t xml:space="preserve">21 863,8 </w:t>
            </w:r>
          </w:p>
        </w:tc>
        <w:tc>
          <w:tcPr>
            <w:tcW w:w="868" w:type="dxa"/>
            <w:noWrap/>
            <w:vAlign w:val="bottom"/>
          </w:tcPr>
          <w:p w14:paraId="02748FE2" w14:textId="77777777" w:rsidR="00E67A69" w:rsidRPr="00E67A69" w:rsidRDefault="00E67A69" w:rsidP="00E67A69">
            <w:pPr>
              <w:spacing w:after="0"/>
              <w:ind w:firstLine="0"/>
              <w:contextualSpacing/>
              <w:jc w:val="right"/>
              <w:rPr>
                <w:color w:val="EE0000"/>
                <w:sz w:val="18"/>
                <w:szCs w:val="18"/>
              </w:rPr>
            </w:pPr>
            <w:r w:rsidRPr="00E67A69">
              <w:rPr>
                <w:color w:val="000000"/>
                <w:sz w:val="18"/>
                <w:szCs w:val="18"/>
              </w:rPr>
              <w:t>20 679,1</w:t>
            </w:r>
          </w:p>
        </w:tc>
        <w:tc>
          <w:tcPr>
            <w:tcW w:w="868" w:type="dxa"/>
            <w:noWrap/>
            <w:vAlign w:val="bottom"/>
          </w:tcPr>
          <w:p w14:paraId="4CC07A3D" w14:textId="77777777" w:rsidR="00E67A69" w:rsidRPr="00E67A69" w:rsidRDefault="00E67A69" w:rsidP="00E67A69">
            <w:pPr>
              <w:spacing w:after="0"/>
              <w:ind w:firstLine="0"/>
              <w:contextualSpacing/>
              <w:jc w:val="right"/>
              <w:rPr>
                <w:color w:val="EE0000"/>
                <w:sz w:val="18"/>
                <w:szCs w:val="18"/>
              </w:rPr>
            </w:pPr>
            <w:r w:rsidRPr="00E67A69">
              <w:rPr>
                <w:color w:val="000000"/>
                <w:sz w:val="18"/>
                <w:szCs w:val="18"/>
              </w:rPr>
              <w:t>21 417,7</w:t>
            </w:r>
          </w:p>
        </w:tc>
        <w:tc>
          <w:tcPr>
            <w:tcW w:w="869" w:type="dxa"/>
            <w:noWrap/>
            <w:vAlign w:val="bottom"/>
          </w:tcPr>
          <w:p w14:paraId="0F1E454A" w14:textId="77777777" w:rsidR="00E67A69" w:rsidRPr="00E67A69" w:rsidRDefault="00E67A69" w:rsidP="00E67A69">
            <w:pPr>
              <w:spacing w:after="0"/>
              <w:ind w:firstLine="0"/>
              <w:contextualSpacing/>
              <w:jc w:val="right"/>
              <w:rPr>
                <w:color w:val="000000"/>
                <w:sz w:val="18"/>
                <w:szCs w:val="18"/>
              </w:rPr>
            </w:pPr>
            <w:r w:rsidRPr="00E67A69">
              <w:rPr>
                <w:color w:val="000000"/>
                <w:sz w:val="18"/>
                <w:szCs w:val="18"/>
              </w:rPr>
              <w:t>21 943,1</w:t>
            </w:r>
          </w:p>
        </w:tc>
      </w:tr>
      <w:tr w:rsidR="00E67A69" w:rsidRPr="00E67A69" w14:paraId="560468B4" w14:textId="77777777" w:rsidTr="00C217B4">
        <w:trPr>
          <w:trHeight w:val="20"/>
          <w:jc w:val="center"/>
        </w:trPr>
        <w:tc>
          <w:tcPr>
            <w:tcW w:w="2263" w:type="dxa"/>
            <w:vAlign w:val="center"/>
          </w:tcPr>
          <w:p w14:paraId="2FCEAECF" w14:textId="77777777" w:rsidR="00E67A69" w:rsidRPr="00E67A69" w:rsidRDefault="00E67A69" w:rsidP="00E67A69">
            <w:pPr>
              <w:spacing w:after="0"/>
              <w:ind w:firstLine="0"/>
              <w:contextualSpacing/>
              <w:jc w:val="left"/>
              <w:rPr>
                <w:rFonts w:eastAsia="Times New Roman" w:cs="Times New Roman"/>
                <w:b/>
                <w:bCs/>
                <w:color w:val="000000"/>
                <w:sz w:val="18"/>
                <w:szCs w:val="18"/>
              </w:rPr>
            </w:pPr>
            <w:r w:rsidRPr="00E67A69">
              <w:rPr>
                <w:rFonts w:eastAsia="Times New Roman" w:cs="Times New Roman"/>
                <w:b/>
                <w:bCs/>
                <w:color w:val="000000"/>
                <w:sz w:val="18"/>
                <w:szCs w:val="18"/>
              </w:rPr>
              <w:t xml:space="preserve">     Centrālā valdība</w:t>
            </w:r>
          </w:p>
        </w:tc>
        <w:tc>
          <w:tcPr>
            <w:tcW w:w="868" w:type="dxa"/>
            <w:noWrap/>
            <w:vAlign w:val="center"/>
          </w:tcPr>
          <w:p w14:paraId="2714FB0A"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-1 127,3</w:t>
            </w:r>
          </w:p>
        </w:tc>
        <w:tc>
          <w:tcPr>
            <w:tcW w:w="868" w:type="dxa"/>
            <w:noWrap/>
            <w:vAlign w:val="center"/>
          </w:tcPr>
          <w:p w14:paraId="6AEF7F2E"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-1 570,6</w:t>
            </w:r>
          </w:p>
        </w:tc>
        <w:tc>
          <w:tcPr>
            <w:tcW w:w="868" w:type="dxa"/>
            <w:noWrap/>
            <w:vAlign w:val="center"/>
          </w:tcPr>
          <w:p w14:paraId="00EEEBAB"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-1 746,2</w:t>
            </w:r>
          </w:p>
        </w:tc>
        <w:tc>
          <w:tcPr>
            <w:tcW w:w="869" w:type="dxa"/>
            <w:noWrap/>
            <w:vAlign w:val="center"/>
          </w:tcPr>
          <w:p w14:paraId="68D3BE95"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-2 192,9</w:t>
            </w:r>
          </w:p>
        </w:tc>
        <w:tc>
          <w:tcPr>
            <w:tcW w:w="868" w:type="dxa"/>
            <w:vAlign w:val="center"/>
          </w:tcPr>
          <w:p w14:paraId="1E435491"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-2 073,2</w:t>
            </w:r>
          </w:p>
        </w:tc>
        <w:tc>
          <w:tcPr>
            <w:tcW w:w="868" w:type="dxa"/>
            <w:noWrap/>
            <w:vAlign w:val="center"/>
          </w:tcPr>
          <w:p w14:paraId="180FF5FA" w14:textId="77777777" w:rsidR="00E67A69" w:rsidRPr="00E67A69" w:rsidRDefault="00E67A69" w:rsidP="00E67A69">
            <w:pPr>
              <w:spacing w:after="0"/>
              <w:ind w:firstLine="0"/>
              <w:contextualSpacing/>
              <w:jc w:val="right"/>
              <w:rPr>
                <w:rFonts w:cs="Times New Roman"/>
                <w:b/>
                <w:bCs/>
                <w:color w:val="000000" w:themeColor="text1"/>
                <w:sz w:val="18"/>
                <w:szCs w:val="18"/>
              </w:rPr>
            </w:pPr>
            <w:r w:rsidRPr="00E67A69">
              <w:rPr>
                <w:rFonts w:cs="Times New Roman"/>
                <w:b/>
                <w:bCs/>
                <w:color w:val="000000" w:themeColor="text1"/>
                <w:sz w:val="18"/>
                <w:szCs w:val="18"/>
              </w:rPr>
              <w:t>-1 892,4</w:t>
            </w:r>
          </w:p>
        </w:tc>
        <w:tc>
          <w:tcPr>
            <w:tcW w:w="868" w:type="dxa"/>
            <w:noWrap/>
            <w:vAlign w:val="center"/>
          </w:tcPr>
          <w:p w14:paraId="375C2D3F" w14:textId="77777777" w:rsidR="00E67A69" w:rsidRPr="00E67A69" w:rsidRDefault="00E67A69" w:rsidP="00E67A69">
            <w:pPr>
              <w:spacing w:after="0"/>
              <w:ind w:firstLine="0"/>
              <w:contextualSpacing/>
              <w:jc w:val="right"/>
              <w:rPr>
                <w:rFonts w:cs="Times New Roman"/>
                <w:b/>
                <w:bCs/>
                <w:color w:val="000000" w:themeColor="text1"/>
                <w:sz w:val="18"/>
                <w:szCs w:val="18"/>
              </w:rPr>
            </w:pPr>
            <w:r w:rsidRPr="00E67A69">
              <w:rPr>
                <w:rFonts w:cs="Times New Roman"/>
                <w:b/>
                <w:bCs/>
                <w:color w:val="000000" w:themeColor="text1"/>
                <w:sz w:val="18"/>
                <w:szCs w:val="18"/>
              </w:rPr>
              <w:t>-2 134,9</w:t>
            </w:r>
          </w:p>
        </w:tc>
        <w:tc>
          <w:tcPr>
            <w:tcW w:w="869" w:type="dxa"/>
            <w:noWrap/>
            <w:vAlign w:val="center"/>
          </w:tcPr>
          <w:p w14:paraId="664090EB" w14:textId="77777777" w:rsidR="00E67A69" w:rsidRPr="00E67A69" w:rsidRDefault="00E67A69" w:rsidP="00E67A69">
            <w:pPr>
              <w:spacing w:after="0"/>
              <w:ind w:firstLine="0"/>
              <w:contextualSpacing/>
              <w:jc w:val="right"/>
              <w:rPr>
                <w:rFonts w:cs="Times New Roman"/>
                <w:b/>
                <w:bCs/>
                <w:color w:val="000000" w:themeColor="text1"/>
                <w:sz w:val="18"/>
                <w:szCs w:val="18"/>
              </w:rPr>
            </w:pPr>
            <w:r w:rsidRPr="00E67A69">
              <w:rPr>
                <w:rFonts w:cs="Times New Roman"/>
                <w:b/>
                <w:bCs/>
                <w:color w:val="000000" w:themeColor="text1"/>
                <w:sz w:val="18"/>
                <w:szCs w:val="18"/>
              </w:rPr>
              <w:t>-2 008,3</w:t>
            </w:r>
          </w:p>
        </w:tc>
      </w:tr>
      <w:tr w:rsidR="00E67A69" w:rsidRPr="00E67A69" w14:paraId="76FD09E8" w14:textId="77777777" w:rsidTr="00C217B4">
        <w:trPr>
          <w:trHeight w:val="20"/>
          <w:jc w:val="center"/>
        </w:trPr>
        <w:tc>
          <w:tcPr>
            <w:tcW w:w="2263" w:type="dxa"/>
            <w:vAlign w:val="center"/>
          </w:tcPr>
          <w:p w14:paraId="0231995C" w14:textId="77777777" w:rsidR="00E67A69" w:rsidRPr="00E67A69" w:rsidRDefault="00E67A69" w:rsidP="00E67A69">
            <w:pPr>
              <w:spacing w:after="0"/>
              <w:ind w:firstLine="0"/>
              <w:contextualSpacing/>
              <w:jc w:val="right"/>
              <w:rPr>
                <w:rFonts w:eastAsia="Times New Roman" w:cs="Times New Roman"/>
                <w:bCs/>
                <w:i/>
                <w:color w:val="000000"/>
                <w:sz w:val="18"/>
                <w:szCs w:val="18"/>
              </w:rPr>
            </w:pPr>
            <w:r w:rsidRPr="00E67A69">
              <w:rPr>
                <w:rFonts w:eastAsia="Times New Roman" w:cs="Times New Roman"/>
                <w:bCs/>
                <w:i/>
                <w:color w:val="000000"/>
                <w:sz w:val="18"/>
                <w:szCs w:val="18"/>
              </w:rPr>
              <w:t>t.sk. komersanti</w:t>
            </w:r>
          </w:p>
        </w:tc>
        <w:tc>
          <w:tcPr>
            <w:tcW w:w="868" w:type="dxa"/>
            <w:noWrap/>
            <w:vAlign w:val="center"/>
          </w:tcPr>
          <w:p w14:paraId="43D51B57" w14:textId="77777777" w:rsidR="00E67A69" w:rsidRPr="00E67A69" w:rsidRDefault="00E67A69" w:rsidP="00E67A69">
            <w:pPr>
              <w:spacing w:after="0"/>
              <w:ind w:firstLine="0"/>
              <w:contextualSpacing/>
              <w:jc w:val="right"/>
              <w:rPr>
                <w:rFonts w:cs="Times New Roman"/>
                <w:color w:val="000000"/>
                <w:sz w:val="18"/>
                <w:szCs w:val="18"/>
              </w:rPr>
            </w:pPr>
            <w:r w:rsidRPr="00E67A69">
              <w:rPr>
                <w:rFonts w:cs="Times New Roman"/>
                <w:color w:val="000000"/>
                <w:sz w:val="18"/>
                <w:szCs w:val="18"/>
              </w:rPr>
              <w:t>-95,7</w:t>
            </w:r>
          </w:p>
        </w:tc>
        <w:tc>
          <w:tcPr>
            <w:tcW w:w="868" w:type="dxa"/>
            <w:noWrap/>
            <w:vAlign w:val="center"/>
          </w:tcPr>
          <w:p w14:paraId="6186A5EF" w14:textId="77777777" w:rsidR="00E67A69" w:rsidRPr="00E67A69" w:rsidRDefault="00E67A69" w:rsidP="00E67A69">
            <w:pPr>
              <w:spacing w:after="0"/>
              <w:ind w:firstLine="0"/>
              <w:contextualSpacing/>
              <w:jc w:val="right"/>
              <w:rPr>
                <w:rFonts w:cs="Times New Roman"/>
                <w:color w:val="000000"/>
                <w:sz w:val="18"/>
                <w:szCs w:val="18"/>
              </w:rPr>
            </w:pPr>
            <w:r w:rsidRPr="00E67A69">
              <w:rPr>
                <w:rFonts w:cs="Times New Roman"/>
                <w:color w:val="000000"/>
                <w:sz w:val="18"/>
                <w:szCs w:val="18"/>
              </w:rPr>
              <w:t>-57,7</w:t>
            </w:r>
          </w:p>
        </w:tc>
        <w:tc>
          <w:tcPr>
            <w:tcW w:w="868" w:type="dxa"/>
            <w:noWrap/>
            <w:vAlign w:val="center"/>
          </w:tcPr>
          <w:p w14:paraId="05989DB1" w14:textId="77777777" w:rsidR="00E67A69" w:rsidRPr="00E67A69" w:rsidRDefault="00E67A69" w:rsidP="00E67A69">
            <w:pPr>
              <w:spacing w:after="0"/>
              <w:ind w:firstLine="0"/>
              <w:contextualSpacing/>
              <w:jc w:val="right"/>
              <w:rPr>
                <w:rFonts w:cs="Times New Roman"/>
                <w:color w:val="000000"/>
                <w:sz w:val="18"/>
                <w:szCs w:val="18"/>
              </w:rPr>
            </w:pPr>
            <w:r w:rsidRPr="00E67A69">
              <w:rPr>
                <w:rFonts w:cs="Times New Roman"/>
                <w:color w:val="000000"/>
                <w:sz w:val="18"/>
                <w:szCs w:val="18"/>
              </w:rPr>
              <w:t>-56,3</w:t>
            </w:r>
          </w:p>
        </w:tc>
        <w:tc>
          <w:tcPr>
            <w:tcW w:w="869" w:type="dxa"/>
            <w:noWrap/>
            <w:vAlign w:val="center"/>
          </w:tcPr>
          <w:p w14:paraId="4AE636F0" w14:textId="77777777" w:rsidR="00E67A69" w:rsidRPr="00E67A69" w:rsidRDefault="00E67A69" w:rsidP="00E67A69">
            <w:pPr>
              <w:spacing w:after="0"/>
              <w:ind w:firstLine="0"/>
              <w:contextualSpacing/>
              <w:jc w:val="right"/>
              <w:rPr>
                <w:rFonts w:cs="Times New Roman"/>
                <w:color w:val="000000"/>
                <w:sz w:val="18"/>
                <w:szCs w:val="18"/>
              </w:rPr>
            </w:pPr>
            <w:r w:rsidRPr="00E67A69">
              <w:rPr>
                <w:rFonts w:cs="Times New Roman"/>
                <w:color w:val="000000"/>
                <w:sz w:val="18"/>
                <w:szCs w:val="18"/>
              </w:rPr>
              <w:t>-49,5</w:t>
            </w:r>
          </w:p>
        </w:tc>
        <w:tc>
          <w:tcPr>
            <w:tcW w:w="868" w:type="dxa"/>
            <w:vAlign w:val="center"/>
          </w:tcPr>
          <w:p w14:paraId="7CD67265" w14:textId="77777777" w:rsidR="00E67A69" w:rsidRPr="00E67A69" w:rsidRDefault="00E67A69" w:rsidP="00E67A69">
            <w:pPr>
              <w:spacing w:after="0"/>
              <w:ind w:firstLine="0"/>
              <w:contextualSpacing/>
              <w:jc w:val="right"/>
              <w:rPr>
                <w:rFonts w:cs="Times New Roman"/>
                <w:color w:val="000000"/>
                <w:sz w:val="18"/>
                <w:szCs w:val="18"/>
              </w:rPr>
            </w:pPr>
            <w:r w:rsidRPr="00E67A69">
              <w:rPr>
                <w:rFonts w:cs="Times New Roman"/>
                <w:color w:val="000000"/>
                <w:sz w:val="18"/>
                <w:szCs w:val="18"/>
              </w:rPr>
              <w:t>-33,9</w:t>
            </w:r>
          </w:p>
        </w:tc>
        <w:tc>
          <w:tcPr>
            <w:tcW w:w="868" w:type="dxa"/>
            <w:noWrap/>
            <w:vAlign w:val="center"/>
          </w:tcPr>
          <w:p w14:paraId="49EF8B65" w14:textId="77777777" w:rsidR="00E67A69" w:rsidRPr="00E67A69" w:rsidRDefault="00E67A69" w:rsidP="00E67A69">
            <w:pPr>
              <w:spacing w:after="0"/>
              <w:ind w:firstLine="0"/>
              <w:contextualSpacing/>
              <w:jc w:val="right"/>
              <w:rPr>
                <w:rFonts w:cs="Times New Roman"/>
                <w:color w:val="000000" w:themeColor="text1"/>
                <w:sz w:val="18"/>
                <w:szCs w:val="18"/>
              </w:rPr>
            </w:pPr>
            <w:r w:rsidRPr="00E67A69">
              <w:rPr>
                <w:rFonts w:cs="Times New Roman"/>
                <w:color w:val="000000" w:themeColor="text1"/>
                <w:sz w:val="18"/>
                <w:szCs w:val="18"/>
              </w:rPr>
              <w:t>-29,4</w:t>
            </w:r>
          </w:p>
        </w:tc>
        <w:tc>
          <w:tcPr>
            <w:tcW w:w="868" w:type="dxa"/>
            <w:noWrap/>
            <w:vAlign w:val="center"/>
          </w:tcPr>
          <w:p w14:paraId="05C38187" w14:textId="77777777" w:rsidR="00E67A69" w:rsidRPr="00E67A69" w:rsidRDefault="00E67A69" w:rsidP="00E67A69">
            <w:pPr>
              <w:spacing w:after="0"/>
              <w:ind w:firstLine="0"/>
              <w:contextualSpacing/>
              <w:jc w:val="right"/>
              <w:rPr>
                <w:rFonts w:cs="Times New Roman"/>
                <w:color w:val="000000" w:themeColor="text1"/>
                <w:sz w:val="18"/>
                <w:szCs w:val="18"/>
              </w:rPr>
            </w:pPr>
            <w:r w:rsidRPr="00E67A69">
              <w:rPr>
                <w:rFonts w:cs="Times New Roman"/>
                <w:color w:val="000000" w:themeColor="text1"/>
                <w:sz w:val="18"/>
                <w:szCs w:val="18"/>
              </w:rPr>
              <w:t>-39,4</w:t>
            </w:r>
          </w:p>
        </w:tc>
        <w:tc>
          <w:tcPr>
            <w:tcW w:w="869" w:type="dxa"/>
            <w:noWrap/>
            <w:vAlign w:val="center"/>
          </w:tcPr>
          <w:p w14:paraId="384CD7BC" w14:textId="77777777" w:rsidR="00E67A69" w:rsidRPr="00E67A69" w:rsidRDefault="00E67A69" w:rsidP="00E67A69">
            <w:pPr>
              <w:spacing w:after="0"/>
              <w:ind w:firstLine="0"/>
              <w:contextualSpacing/>
              <w:jc w:val="right"/>
              <w:rPr>
                <w:rFonts w:cs="Times New Roman"/>
                <w:color w:val="000000" w:themeColor="text1"/>
                <w:sz w:val="18"/>
                <w:szCs w:val="18"/>
              </w:rPr>
            </w:pPr>
            <w:r w:rsidRPr="00E67A69">
              <w:rPr>
                <w:rFonts w:cs="Times New Roman"/>
                <w:color w:val="000000" w:themeColor="text1"/>
                <w:sz w:val="18"/>
                <w:szCs w:val="18"/>
              </w:rPr>
              <w:t>-30,8</w:t>
            </w:r>
          </w:p>
        </w:tc>
      </w:tr>
      <w:tr w:rsidR="00E67A69" w:rsidRPr="00E67A69" w14:paraId="7D268F90" w14:textId="77777777" w:rsidTr="00C217B4">
        <w:trPr>
          <w:trHeight w:val="20"/>
          <w:jc w:val="center"/>
        </w:trPr>
        <w:tc>
          <w:tcPr>
            <w:tcW w:w="2263" w:type="dxa"/>
            <w:vAlign w:val="center"/>
          </w:tcPr>
          <w:p w14:paraId="6471F57A" w14:textId="77777777" w:rsidR="00E67A69" w:rsidRPr="00E67A69" w:rsidRDefault="00E67A69" w:rsidP="00E67A69">
            <w:pPr>
              <w:spacing w:after="0"/>
              <w:ind w:firstLine="0"/>
              <w:contextualSpacing/>
              <w:jc w:val="left"/>
              <w:rPr>
                <w:rFonts w:eastAsia="Times New Roman" w:cs="Times New Roman"/>
                <w:b/>
                <w:bCs/>
                <w:color w:val="000000"/>
                <w:sz w:val="18"/>
                <w:szCs w:val="18"/>
              </w:rPr>
            </w:pPr>
            <w:r w:rsidRPr="00E67A69">
              <w:rPr>
                <w:rFonts w:eastAsia="Times New Roman" w:cs="Times New Roman"/>
                <w:b/>
                <w:bCs/>
                <w:color w:val="000000"/>
                <w:sz w:val="18"/>
                <w:szCs w:val="18"/>
              </w:rPr>
              <w:t xml:space="preserve">     Vietējā valdība</w:t>
            </w:r>
          </w:p>
        </w:tc>
        <w:tc>
          <w:tcPr>
            <w:tcW w:w="868" w:type="dxa"/>
            <w:noWrap/>
            <w:vAlign w:val="center"/>
          </w:tcPr>
          <w:p w14:paraId="02E32E41"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68,6</w:t>
            </w:r>
          </w:p>
        </w:tc>
        <w:tc>
          <w:tcPr>
            <w:tcW w:w="868" w:type="dxa"/>
            <w:noWrap/>
            <w:vAlign w:val="center"/>
          </w:tcPr>
          <w:p w14:paraId="60721A6D"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-6,8</w:t>
            </w:r>
          </w:p>
        </w:tc>
        <w:tc>
          <w:tcPr>
            <w:tcW w:w="868" w:type="dxa"/>
            <w:noWrap/>
            <w:vAlign w:val="center"/>
          </w:tcPr>
          <w:p w14:paraId="146CA4E4"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60,6</w:t>
            </w:r>
          </w:p>
        </w:tc>
        <w:tc>
          <w:tcPr>
            <w:tcW w:w="869" w:type="dxa"/>
            <w:noWrap/>
            <w:vAlign w:val="center"/>
          </w:tcPr>
          <w:p w14:paraId="26FE686A"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74,1</w:t>
            </w:r>
          </w:p>
        </w:tc>
        <w:tc>
          <w:tcPr>
            <w:tcW w:w="868" w:type="dxa"/>
            <w:vAlign w:val="center"/>
          </w:tcPr>
          <w:p w14:paraId="08F87D15"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70,1</w:t>
            </w:r>
          </w:p>
        </w:tc>
        <w:tc>
          <w:tcPr>
            <w:tcW w:w="868" w:type="dxa"/>
            <w:noWrap/>
            <w:vAlign w:val="center"/>
          </w:tcPr>
          <w:p w14:paraId="3FE3488C" w14:textId="77777777" w:rsidR="00E67A69" w:rsidRPr="00E67A69" w:rsidRDefault="00E67A69" w:rsidP="00E67A69">
            <w:pPr>
              <w:spacing w:after="0"/>
              <w:ind w:firstLine="0"/>
              <w:contextualSpacing/>
              <w:jc w:val="right"/>
              <w:rPr>
                <w:rFonts w:cs="Times New Roman"/>
                <w:b/>
                <w:bCs/>
                <w:color w:val="000000" w:themeColor="text1"/>
                <w:sz w:val="18"/>
                <w:szCs w:val="18"/>
              </w:rPr>
            </w:pPr>
            <w:r w:rsidRPr="00E67A69">
              <w:rPr>
                <w:rFonts w:cs="Times New Roman"/>
                <w:b/>
                <w:bCs/>
                <w:color w:val="000000" w:themeColor="text1"/>
                <w:sz w:val="18"/>
                <w:szCs w:val="18"/>
              </w:rPr>
              <w:t>62,8</w:t>
            </w:r>
          </w:p>
        </w:tc>
        <w:tc>
          <w:tcPr>
            <w:tcW w:w="868" w:type="dxa"/>
            <w:noWrap/>
            <w:vAlign w:val="center"/>
          </w:tcPr>
          <w:p w14:paraId="0D630C5D" w14:textId="77777777" w:rsidR="00E67A69" w:rsidRPr="00E67A69" w:rsidRDefault="00E67A69" w:rsidP="00E67A69">
            <w:pPr>
              <w:spacing w:after="0"/>
              <w:ind w:firstLine="0"/>
              <w:contextualSpacing/>
              <w:jc w:val="right"/>
              <w:rPr>
                <w:rFonts w:cs="Times New Roman"/>
                <w:b/>
                <w:bCs/>
                <w:color w:val="000000" w:themeColor="text1"/>
                <w:sz w:val="18"/>
                <w:szCs w:val="18"/>
              </w:rPr>
            </w:pPr>
            <w:r w:rsidRPr="00E67A69">
              <w:rPr>
                <w:rFonts w:cs="Times New Roman"/>
                <w:b/>
                <w:bCs/>
                <w:color w:val="000000" w:themeColor="text1"/>
                <w:sz w:val="18"/>
                <w:szCs w:val="18"/>
              </w:rPr>
              <w:t>67,3</w:t>
            </w:r>
          </w:p>
        </w:tc>
        <w:tc>
          <w:tcPr>
            <w:tcW w:w="869" w:type="dxa"/>
            <w:noWrap/>
            <w:vAlign w:val="center"/>
          </w:tcPr>
          <w:p w14:paraId="2BDDF5AC" w14:textId="77777777" w:rsidR="00E67A69" w:rsidRPr="00E67A69" w:rsidRDefault="00E67A69" w:rsidP="00E67A69">
            <w:pPr>
              <w:spacing w:after="0"/>
              <w:ind w:firstLine="0"/>
              <w:contextualSpacing/>
              <w:jc w:val="right"/>
              <w:rPr>
                <w:rFonts w:cs="Times New Roman"/>
                <w:b/>
                <w:bCs/>
                <w:color w:val="000000" w:themeColor="text1"/>
                <w:sz w:val="18"/>
                <w:szCs w:val="18"/>
              </w:rPr>
            </w:pPr>
            <w:r w:rsidRPr="00E67A69">
              <w:rPr>
                <w:rFonts w:cs="Times New Roman"/>
                <w:b/>
                <w:bCs/>
                <w:color w:val="000000" w:themeColor="text1"/>
                <w:sz w:val="18"/>
                <w:szCs w:val="18"/>
              </w:rPr>
              <w:t>55,5</w:t>
            </w:r>
          </w:p>
        </w:tc>
      </w:tr>
      <w:tr w:rsidR="00E67A69" w:rsidRPr="00E67A69" w14:paraId="1B5AFA80" w14:textId="77777777" w:rsidTr="00C217B4">
        <w:trPr>
          <w:trHeight w:val="20"/>
          <w:jc w:val="center"/>
        </w:trPr>
        <w:tc>
          <w:tcPr>
            <w:tcW w:w="2263" w:type="dxa"/>
            <w:vAlign w:val="center"/>
          </w:tcPr>
          <w:p w14:paraId="4B5E7D79" w14:textId="77777777" w:rsidR="00E67A69" w:rsidRPr="00E67A69" w:rsidRDefault="00E67A69" w:rsidP="00E67A69">
            <w:pPr>
              <w:spacing w:after="0"/>
              <w:ind w:firstLine="0"/>
              <w:contextualSpacing/>
              <w:jc w:val="right"/>
              <w:rPr>
                <w:rFonts w:eastAsia="Times New Roman" w:cs="Times New Roman"/>
                <w:b/>
                <w:bCs/>
                <w:color w:val="000000"/>
                <w:sz w:val="18"/>
                <w:szCs w:val="18"/>
              </w:rPr>
            </w:pPr>
            <w:r w:rsidRPr="00E67A69">
              <w:rPr>
                <w:rFonts w:eastAsia="Times New Roman" w:cs="Times New Roman"/>
                <w:bCs/>
                <w:i/>
                <w:color w:val="000000"/>
                <w:sz w:val="18"/>
                <w:szCs w:val="18"/>
              </w:rPr>
              <w:t>t.sk. komersanti</w:t>
            </w:r>
          </w:p>
        </w:tc>
        <w:tc>
          <w:tcPr>
            <w:tcW w:w="868" w:type="dxa"/>
            <w:noWrap/>
            <w:vAlign w:val="center"/>
          </w:tcPr>
          <w:p w14:paraId="03007609" w14:textId="77777777" w:rsidR="00E67A69" w:rsidRPr="00E67A69" w:rsidRDefault="00E67A69" w:rsidP="00E67A69">
            <w:pPr>
              <w:spacing w:after="0"/>
              <w:ind w:firstLine="0"/>
              <w:contextualSpacing/>
              <w:jc w:val="right"/>
              <w:rPr>
                <w:rFonts w:cs="Times New Roman"/>
                <w:color w:val="000000"/>
                <w:sz w:val="18"/>
                <w:szCs w:val="18"/>
              </w:rPr>
            </w:pPr>
            <w:r w:rsidRPr="00E67A69">
              <w:rPr>
                <w:rFonts w:cs="Times New Roman"/>
                <w:color w:val="000000"/>
                <w:sz w:val="18"/>
                <w:szCs w:val="18"/>
              </w:rPr>
              <w:t>13,9</w:t>
            </w:r>
          </w:p>
        </w:tc>
        <w:tc>
          <w:tcPr>
            <w:tcW w:w="868" w:type="dxa"/>
            <w:noWrap/>
            <w:vAlign w:val="center"/>
          </w:tcPr>
          <w:p w14:paraId="43BCDA09" w14:textId="77777777" w:rsidR="00E67A69" w:rsidRPr="00E67A69" w:rsidRDefault="00E67A69" w:rsidP="00E67A69">
            <w:pPr>
              <w:spacing w:after="0"/>
              <w:ind w:firstLine="0"/>
              <w:contextualSpacing/>
              <w:jc w:val="right"/>
              <w:rPr>
                <w:rFonts w:cs="Times New Roman"/>
                <w:color w:val="000000"/>
                <w:sz w:val="18"/>
                <w:szCs w:val="18"/>
              </w:rPr>
            </w:pPr>
            <w:r w:rsidRPr="00E67A69">
              <w:rPr>
                <w:rFonts w:cs="Times New Roman"/>
                <w:color w:val="000000"/>
                <w:sz w:val="18"/>
                <w:szCs w:val="18"/>
              </w:rPr>
              <w:t>-8,2</w:t>
            </w:r>
          </w:p>
        </w:tc>
        <w:tc>
          <w:tcPr>
            <w:tcW w:w="868" w:type="dxa"/>
            <w:noWrap/>
            <w:vAlign w:val="center"/>
          </w:tcPr>
          <w:p w14:paraId="3F056FE7" w14:textId="77777777" w:rsidR="00E67A69" w:rsidRPr="00E67A69" w:rsidRDefault="00E67A69" w:rsidP="00E67A69">
            <w:pPr>
              <w:spacing w:after="0"/>
              <w:ind w:firstLine="0"/>
              <w:contextualSpacing/>
              <w:jc w:val="right"/>
              <w:rPr>
                <w:rFonts w:cs="Times New Roman"/>
                <w:color w:val="000000"/>
                <w:sz w:val="18"/>
                <w:szCs w:val="18"/>
              </w:rPr>
            </w:pPr>
            <w:r w:rsidRPr="00E67A69">
              <w:rPr>
                <w:rFonts w:cs="Times New Roman"/>
                <w:color w:val="000000"/>
                <w:sz w:val="18"/>
                <w:szCs w:val="18"/>
              </w:rPr>
              <w:t>-1,6</w:t>
            </w:r>
          </w:p>
        </w:tc>
        <w:tc>
          <w:tcPr>
            <w:tcW w:w="869" w:type="dxa"/>
            <w:noWrap/>
            <w:vAlign w:val="center"/>
          </w:tcPr>
          <w:p w14:paraId="4EA2B939" w14:textId="77777777" w:rsidR="00E67A69" w:rsidRPr="00E67A69" w:rsidRDefault="00E67A69" w:rsidP="00E67A69">
            <w:pPr>
              <w:spacing w:after="0"/>
              <w:ind w:firstLine="0"/>
              <w:contextualSpacing/>
              <w:jc w:val="right"/>
              <w:rPr>
                <w:rFonts w:cs="Times New Roman"/>
                <w:color w:val="000000"/>
                <w:sz w:val="18"/>
                <w:szCs w:val="18"/>
              </w:rPr>
            </w:pPr>
            <w:r w:rsidRPr="00E67A69">
              <w:rPr>
                <w:rFonts w:cs="Times New Roman"/>
                <w:color w:val="000000"/>
                <w:sz w:val="18"/>
                <w:szCs w:val="18"/>
              </w:rPr>
              <w:t>5,4</w:t>
            </w:r>
          </w:p>
        </w:tc>
        <w:tc>
          <w:tcPr>
            <w:tcW w:w="868" w:type="dxa"/>
            <w:vAlign w:val="center"/>
          </w:tcPr>
          <w:p w14:paraId="53A8A469" w14:textId="77777777" w:rsidR="00E67A69" w:rsidRPr="00E67A69" w:rsidRDefault="00E67A69" w:rsidP="00E67A69">
            <w:pPr>
              <w:spacing w:after="0"/>
              <w:ind w:firstLine="0"/>
              <w:contextualSpacing/>
              <w:jc w:val="right"/>
              <w:rPr>
                <w:rFonts w:cs="Times New Roman"/>
                <w:color w:val="000000"/>
                <w:sz w:val="18"/>
                <w:szCs w:val="18"/>
              </w:rPr>
            </w:pPr>
            <w:r w:rsidRPr="00E67A69">
              <w:rPr>
                <w:rFonts w:cs="Times New Roman"/>
                <w:color w:val="000000"/>
                <w:sz w:val="18"/>
                <w:szCs w:val="18"/>
              </w:rPr>
              <w:t>-0,1</w:t>
            </w:r>
          </w:p>
        </w:tc>
        <w:tc>
          <w:tcPr>
            <w:tcW w:w="868" w:type="dxa"/>
            <w:noWrap/>
            <w:vAlign w:val="center"/>
          </w:tcPr>
          <w:p w14:paraId="07B82EC8" w14:textId="77777777" w:rsidR="00E67A69" w:rsidRPr="00E67A69" w:rsidRDefault="00E67A69" w:rsidP="00E67A69">
            <w:pPr>
              <w:spacing w:after="0"/>
              <w:ind w:firstLine="0"/>
              <w:contextualSpacing/>
              <w:jc w:val="right"/>
              <w:rPr>
                <w:rFonts w:eastAsia="Times New Roman" w:cs="Times New Roman"/>
                <w:bCs/>
                <w:color w:val="000000" w:themeColor="text1"/>
                <w:sz w:val="18"/>
                <w:szCs w:val="18"/>
              </w:rPr>
            </w:pPr>
            <w:r w:rsidRPr="00E67A69">
              <w:rPr>
                <w:rFonts w:cs="Times New Roman"/>
                <w:color w:val="000000" w:themeColor="text1"/>
                <w:sz w:val="18"/>
                <w:szCs w:val="18"/>
              </w:rPr>
              <w:t>-1,6</w:t>
            </w:r>
          </w:p>
        </w:tc>
        <w:tc>
          <w:tcPr>
            <w:tcW w:w="868" w:type="dxa"/>
            <w:noWrap/>
            <w:vAlign w:val="center"/>
          </w:tcPr>
          <w:p w14:paraId="3FE771F1" w14:textId="77777777" w:rsidR="00E67A69" w:rsidRPr="00E67A69" w:rsidRDefault="00E67A69" w:rsidP="00E67A69">
            <w:pPr>
              <w:spacing w:after="0"/>
              <w:ind w:firstLine="0"/>
              <w:contextualSpacing/>
              <w:jc w:val="right"/>
              <w:rPr>
                <w:rFonts w:eastAsia="Times New Roman" w:cs="Times New Roman"/>
                <w:bCs/>
                <w:color w:val="000000" w:themeColor="text1"/>
                <w:sz w:val="18"/>
                <w:szCs w:val="18"/>
              </w:rPr>
            </w:pPr>
            <w:r w:rsidRPr="00E67A69">
              <w:rPr>
                <w:rFonts w:cs="Times New Roman"/>
                <w:color w:val="000000" w:themeColor="text1"/>
                <w:sz w:val="18"/>
                <w:szCs w:val="18"/>
              </w:rPr>
              <w:t>5,4</w:t>
            </w:r>
          </w:p>
        </w:tc>
        <w:tc>
          <w:tcPr>
            <w:tcW w:w="869" w:type="dxa"/>
            <w:noWrap/>
            <w:vAlign w:val="center"/>
          </w:tcPr>
          <w:p w14:paraId="2D0B08BD" w14:textId="77777777" w:rsidR="00E67A69" w:rsidRPr="00E67A69" w:rsidRDefault="00E67A69" w:rsidP="00E67A69">
            <w:pPr>
              <w:spacing w:after="0"/>
              <w:ind w:firstLine="0"/>
              <w:contextualSpacing/>
              <w:jc w:val="right"/>
              <w:rPr>
                <w:rFonts w:eastAsia="Times New Roman" w:cs="Times New Roman"/>
                <w:bCs/>
                <w:color w:val="000000" w:themeColor="text1"/>
                <w:sz w:val="18"/>
                <w:szCs w:val="18"/>
              </w:rPr>
            </w:pPr>
            <w:r w:rsidRPr="00E67A69">
              <w:rPr>
                <w:rFonts w:cs="Times New Roman"/>
                <w:color w:val="000000" w:themeColor="text1"/>
                <w:sz w:val="18"/>
                <w:szCs w:val="18"/>
              </w:rPr>
              <w:t>-0,1</w:t>
            </w:r>
          </w:p>
        </w:tc>
      </w:tr>
      <w:tr w:rsidR="00E67A69" w:rsidRPr="00E67A69" w14:paraId="197B6594" w14:textId="77777777" w:rsidTr="00C217B4">
        <w:trPr>
          <w:trHeight w:val="20"/>
          <w:jc w:val="center"/>
        </w:trPr>
        <w:tc>
          <w:tcPr>
            <w:tcW w:w="2263" w:type="dxa"/>
            <w:vAlign w:val="center"/>
          </w:tcPr>
          <w:p w14:paraId="0C48D10D" w14:textId="77777777" w:rsidR="00E67A69" w:rsidRPr="00E67A69" w:rsidRDefault="00E67A69" w:rsidP="00E67A69">
            <w:pPr>
              <w:spacing w:after="0"/>
              <w:ind w:firstLine="0"/>
              <w:contextualSpacing/>
              <w:jc w:val="left"/>
              <w:rPr>
                <w:rFonts w:eastAsia="Times New Roman" w:cs="Times New Roman"/>
                <w:b/>
                <w:bCs/>
                <w:color w:val="000000"/>
                <w:sz w:val="18"/>
                <w:szCs w:val="18"/>
              </w:rPr>
            </w:pPr>
            <w:r w:rsidRPr="00E67A69">
              <w:rPr>
                <w:rFonts w:eastAsia="Times New Roman" w:cs="Times New Roman"/>
                <w:b/>
                <w:bCs/>
                <w:color w:val="000000"/>
                <w:sz w:val="18"/>
                <w:szCs w:val="18"/>
              </w:rPr>
              <w:t xml:space="preserve">     Sociālās nodrošināšanas fondi</w:t>
            </w:r>
          </w:p>
        </w:tc>
        <w:tc>
          <w:tcPr>
            <w:tcW w:w="868" w:type="dxa"/>
            <w:noWrap/>
            <w:vAlign w:val="center"/>
          </w:tcPr>
          <w:p w14:paraId="60889D50"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352,5</w:t>
            </w:r>
          </w:p>
        </w:tc>
        <w:tc>
          <w:tcPr>
            <w:tcW w:w="868" w:type="dxa"/>
            <w:noWrap/>
            <w:vAlign w:val="center"/>
          </w:tcPr>
          <w:p w14:paraId="7407EBBD"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356,7</w:t>
            </w:r>
          </w:p>
        </w:tc>
        <w:tc>
          <w:tcPr>
            <w:tcW w:w="868" w:type="dxa"/>
            <w:noWrap/>
            <w:vAlign w:val="center"/>
          </w:tcPr>
          <w:p w14:paraId="6EEB9E27"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359,4</w:t>
            </w:r>
          </w:p>
        </w:tc>
        <w:tc>
          <w:tcPr>
            <w:tcW w:w="869" w:type="dxa"/>
            <w:noWrap/>
            <w:vAlign w:val="center"/>
          </w:tcPr>
          <w:p w14:paraId="601F3EF8"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254,7</w:t>
            </w:r>
          </w:p>
        </w:tc>
        <w:tc>
          <w:tcPr>
            <w:tcW w:w="868" w:type="dxa"/>
            <w:vAlign w:val="center"/>
          </w:tcPr>
          <w:p w14:paraId="29BF933A" w14:textId="77777777" w:rsidR="00E67A69" w:rsidRPr="00E67A69" w:rsidRDefault="00E67A69" w:rsidP="00E67A69">
            <w:pPr>
              <w:spacing w:after="0"/>
              <w:ind w:firstLine="0"/>
              <w:contextualSpacing/>
              <w:jc w:val="right"/>
              <w:rPr>
                <w:rFonts w:cs="Times New Roman"/>
                <w:b/>
                <w:bCs/>
                <w:color w:val="000000"/>
                <w:sz w:val="18"/>
                <w:szCs w:val="18"/>
              </w:rPr>
            </w:pPr>
            <w:r w:rsidRPr="00E67A69">
              <w:rPr>
                <w:rFonts w:cs="Times New Roman"/>
                <w:b/>
                <w:bCs/>
                <w:color w:val="000000"/>
                <w:sz w:val="18"/>
                <w:szCs w:val="18"/>
              </w:rPr>
              <w:t>202,8</w:t>
            </w:r>
          </w:p>
        </w:tc>
        <w:tc>
          <w:tcPr>
            <w:tcW w:w="868" w:type="dxa"/>
            <w:noWrap/>
            <w:vAlign w:val="center"/>
          </w:tcPr>
          <w:p w14:paraId="357FD776" w14:textId="77777777" w:rsidR="00E67A69" w:rsidRPr="00E67A69" w:rsidRDefault="00E67A69" w:rsidP="00E67A69">
            <w:pPr>
              <w:spacing w:after="0"/>
              <w:ind w:firstLine="0"/>
              <w:contextualSpacing/>
              <w:jc w:val="right"/>
              <w:rPr>
                <w:rFonts w:cs="Times New Roman"/>
                <w:b/>
                <w:bCs/>
                <w:color w:val="000000" w:themeColor="text1"/>
                <w:sz w:val="18"/>
                <w:szCs w:val="18"/>
              </w:rPr>
            </w:pPr>
            <w:r w:rsidRPr="00E67A69">
              <w:rPr>
                <w:rFonts w:cs="Times New Roman"/>
                <w:b/>
                <w:bCs/>
                <w:color w:val="000000" w:themeColor="text1"/>
                <w:sz w:val="18"/>
                <w:szCs w:val="18"/>
              </w:rPr>
              <w:t>362,2</w:t>
            </w:r>
          </w:p>
        </w:tc>
        <w:tc>
          <w:tcPr>
            <w:tcW w:w="868" w:type="dxa"/>
            <w:noWrap/>
            <w:vAlign w:val="center"/>
          </w:tcPr>
          <w:p w14:paraId="047996F9" w14:textId="77777777" w:rsidR="00E67A69" w:rsidRPr="00E67A69" w:rsidRDefault="00E67A69" w:rsidP="00E67A69">
            <w:pPr>
              <w:spacing w:after="0"/>
              <w:ind w:firstLine="0"/>
              <w:contextualSpacing/>
              <w:jc w:val="right"/>
              <w:rPr>
                <w:rFonts w:cs="Times New Roman"/>
                <w:b/>
                <w:bCs/>
                <w:color w:val="000000" w:themeColor="text1"/>
                <w:sz w:val="18"/>
                <w:szCs w:val="18"/>
              </w:rPr>
            </w:pPr>
            <w:r w:rsidRPr="00E67A69">
              <w:rPr>
                <w:rFonts w:cs="Times New Roman"/>
                <w:b/>
                <w:bCs/>
                <w:color w:val="000000" w:themeColor="text1"/>
                <w:sz w:val="18"/>
                <w:szCs w:val="18"/>
              </w:rPr>
              <w:t>282,1</w:t>
            </w:r>
          </w:p>
        </w:tc>
        <w:tc>
          <w:tcPr>
            <w:tcW w:w="869" w:type="dxa"/>
            <w:noWrap/>
            <w:vAlign w:val="center"/>
          </w:tcPr>
          <w:p w14:paraId="47A17E69" w14:textId="77777777" w:rsidR="00E67A69" w:rsidRPr="00E67A69" w:rsidRDefault="00E67A69" w:rsidP="00E67A69">
            <w:pPr>
              <w:spacing w:after="0"/>
              <w:ind w:firstLine="0"/>
              <w:contextualSpacing/>
              <w:jc w:val="right"/>
              <w:rPr>
                <w:rFonts w:cs="Times New Roman"/>
                <w:b/>
                <w:bCs/>
                <w:color w:val="000000" w:themeColor="text1"/>
                <w:sz w:val="18"/>
                <w:szCs w:val="18"/>
              </w:rPr>
            </w:pPr>
            <w:r w:rsidRPr="00E67A69">
              <w:rPr>
                <w:rFonts w:cs="Times New Roman"/>
                <w:b/>
                <w:bCs/>
                <w:color w:val="000000" w:themeColor="text1"/>
                <w:sz w:val="18"/>
                <w:szCs w:val="18"/>
              </w:rPr>
              <w:t>233,5</w:t>
            </w:r>
          </w:p>
        </w:tc>
      </w:tr>
      <w:tr w:rsidR="00E67A69" w:rsidRPr="00E67A69" w14:paraId="12DFD443" w14:textId="77777777" w:rsidTr="00C217B4">
        <w:trPr>
          <w:trHeight w:val="20"/>
          <w:jc w:val="center"/>
        </w:trPr>
        <w:tc>
          <w:tcPr>
            <w:tcW w:w="2263" w:type="dxa"/>
            <w:noWrap/>
            <w:vAlign w:val="center"/>
            <w:hideMark/>
          </w:tcPr>
          <w:p w14:paraId="2DF493AB" w14:textId="77777777" w:rsidR="00E67A69" w:rsidRPr="00E67A69" w:rsidRDefault="00E67A69" w:rsidP="00E67A69">
            <w:pPr>
              <w:spacing w:after="0"/>
              <w:ind w:firstLine="0"/>
              <w:contextualSpacing/>
              <w:jc w:val="left"/>
              <w:rPr>
                <w:rFonts w:eastAsia="Times New Roman" w:cs="Times New Roman"/>
                <w:color w:val="000000"/>
                <w:sz w:val="18"/>
                <w:szCs w:val="18"/>
              </w:rPr>
            </w:pPr>
            <w:r w:rsidRPr="00E67A69">
              <w:rPr>
                <w:rFonts w:eastAsia="Times New Roman" w:cs="Times New Roman"/>
                <w:color w:val="000000"/>
                <w:sz w:val="18"/>
                <w:szCs w:val="18"/>
              </w:rPr>
              <w:t>EKS korekcijas</w:t>
            </w:r>
          </w:p>
        </w:tc>
        <w:tc>
          <w:tcPr>
            <w:tcW w:w="868" w:type="dxa"/>
            <w:noWrap/>
            <w:vAlign w:val="center"/>
            <w:hideMark/>
          </w:tcPr>
          <w:p w14:paraId="1AD1C3BE" w14:textId="77777777" w:rsidR="00E67A69" w:rsidRPr="00E67A69" w:rsidRDefault="00E67A69" w:rsidP="00E67A69">
            <w:pPr>
              <w:spacing w:after="0"/>
              <w:ind w:firstLine="0"/>
              <w:contextualSpacing/>
              <w:jc w:val="right"/>
              <w:rPr>
                <w:sz w:val="18"/>
                <w:szCs w:val="18"/>
              </w:rPr>
            </w:pPr>
            <w:r w:rsidRPr="00E67A69">
              <w:rPr>
                <w:sz w:val="18"/>
                <w:szCs w:val="18"/>
              </w:rPr>
              <w:t>27,0</w:t>
            </w:r>
          </w:p>
        </w:tc>
        <w:tc>
          <w:tcPr>
            <w:tcW w:w="868" w:type="dxa"/>
            <w:noWrap/>
            <w:vAlign w:val="center"/>
            <w:hideMark/>
          </w:tcPr>
          <w:p w14:paraId="7C4F0179" w14:textId="77777777" w:rsidR="00E67A69" w:rsidRPr="00E67A69" w:rsidRDefault="00E67A69" w:rsidP="00E67A69">
            <w:pPr>
              <w:spacing w:after="0"/>
              <w:ind w:firstLine="0"/>
              <w:jc w:val="right"/>
              <w:rPr>
                <w:sz w:val="18"/>
                <w:szCs w:val="18"/>
              </w:rPr>
            </w:pPr>
            <w:r w:rsidRPr="00E67A69">
              <w:rPr>
                <w:sz w:val="18"/>
                <w:szCs w:val="18"/>
              </w:rPr>
              <w:t>506,9</w:t>
            </w:r>
          </w:p>
        </w:tc>
        <w:tc>
          <w:tcPr>
            <w:tcW w:w="868" w:type="dxa"/>
            <w:noWrap/>
            <w:vAlign w:val="center"/>
            <w:hideMark/>
          </w:tcPr>
          <w:p w14:paraId="7DF87AA9" w14:textId="77777777" w:rsidR="00E67A69" w:rsidRPr="00E67A69" w:rsidRDefault="00E67A69" w:rsidP="00E67A69">
            <w:pPr>
              <w:spacing w:after="0"/>
              <w:ind w:firstLine="0"/>
              <w:jc w:val="right"/>
              <w:rPr>
                <w:sz w:val="18"/>
                <w:szCs w:val="18"/>
              </w:rPr>
            </w:pPr>
            <w:r w:rsidRPr="00E67A69">
              <w:rPr>
                <w:sz w:val="18"/>
                <w:szCs w:val="18"/>
              </w:rPr>
              <w:t>267,5</w:t>
            </w:r>
          </w:p>
        </w:tc>
        <w:tc>
          <w:tcPr>
            <w:tcW w:w="869" w:type="dxa"/>
            <w:noWrap/>
            <w:vAlign w:val="center"/>
            <w:hideMark/>
          </w:tcPr>
          <w:p w14:paraId="4086A167" w14:textId="77777777" w:rsidR="00E67A69" w:rsidRPr="00E67A69" w:rsidRDefault="00E67A69" w:rsidP="00E67A69">
            <w:pPr>
              <w:spacing w:after="0"/>
              <w:ind w:firstLine="0"/>
              <w:jc w:val="right"/>
              <w:rPr>
                <w:sz w:val="18"/>
                <w:szCs w:val="18"/>
              </w:rPr>
            </w:pPr>
            <w:r w:rsidRPr="00E67A69">
              <w:rPr>
                <w:sz w:val="18"/>
                <w:szCs w:val="18"/>
              </w:rPr>
              <w:t>90,0</w:t>
            </w:r>
          </w:p>
        </w:tc>
        <w:tc>
          <w:tcPr>
            <w:tcW w:w="868" w:type="dxa"/>
            <w:vAlign w:val="center"/>
          </w:tcPr>
          <w:p w14:paraId="07EAB793" w14:textId="77777777" w:rsidR="00E67A69" w:rsidRPr="00E67A69" w:rsidRDefault="00E67A69" w:rsidP="00E67A69">
            <w:pPr>
              <w:spacing w:after="0"/>
              <w:ind w:firstLine="0"/>
              <w:jc w:val="right"/>
              <w:rPr>
                <w:sz w:val="18"/>
                <w:szCs w:val="18"/>
              </w:rPr>
            </w:pPr>
            <w:r w:rsidRPr="00E67A69">
              <w:rPr>
                <w:sz w:val="18"/>
                <w:szCs w:val="18"/>
              </w:rPr>
              <w:t>88,6</w:t>
            </w:r>
          </w:p>
        </w:tc>
        <w:tc>
          <w:tcPr>
            <w:tcW w:w="868" w:type="dxa"/>
            <w:noWrap/>
            <w:vAlign w:val="bottom"/>
            <w:hideMark/>
          </w:tcPr>
          <w:p w14:paraId="52913CFF" w14:textId="77777777" w:rsidR="00E67A69" w:rsidRPr="00E67A69" w:rsidRDefault="00E67A69" w:rsidP="00E67A69">
            <w:pPr>
              <w:spacing w:after="0"/>
              <w:ind w:firstLine="0"/>
              <w:jc w:val="right"/>
              <w:rPr>
                <w:color w:val="EE0000"/>
                <w:sz w:val="18"/>
                <w:szCs w:val="18"/>
              </w:rPr>
            </w:pPr>
            <w:r w:rsidRPr="00E67A69">
              <w:rPr>
                <w:color w:val="000000"/>
                <w:sz w:val="18"/>
                <w:szCs w:val="18"/>
              </w:rPr>
              <w:t>319,3</w:t>
            </w:r>
          </w:p>
        </w:tc>
        <w:tc>
          <w:tcPr>
            <w:tcW w:w="868" w:type="dxa"/>
            <w:noWrap/>
            <w:vAlign w:val="bottom"/>
            <w:hideMark/>
          </w:tcPr>
          <w:p w14:paraId="28DDDE20" w14:textId="77777777" w:rsidR="00E67A69" w:rsidRPr="00E67A69" w:rsidRDefault="00E67A69" w:rsidP="00E67A69">
            <w:pPr>
              <w:spacing w:after="0"/>
              <w:ind w:firstLine="0"/>
              <w:jc w:val="right"/>
              <w:rPr>
                <w:color w:val="EE0000"/>
                <w:sz w:val="18"/>
                <w:szCs w:val="18"/>
              </w:rPr>
            </w:pPr>
            <w:r w:rsidRPr="00E67A69">
              <w:rPr>
                <w:color w:val="000000"/>
                <w:sz w:val="18"/>
                <w:szCs w:val="18"/>
              </w:rPr>
              <w:t>103,1</w:t>
            </w:r>
          </w:p>
        </w:tc>
        <w:tc>
          <w:tcPr>
            <w:tcW w:w="869" w:type="dxa"/>
            <w:noWrap/>
            <w:vAlign w:val="bottom"/>
            <w:hideMark/>
          </w:tcPr>
          <w:p w14:paraId="629F4325" w14:textId="77777777" w:rsidR="00E67A69" w:rsidRPr="00E67A69" w:rsidRDefault="00E67A69" w:rsidP="00E67A69">
            <w:pPr>
              <w:spacing w:after="0"/>
              <w:ind w:firstLine="0"/>
              <w:jc w:val="right"/>
              <w:rPr>
                <w:color w:val="EE0000"/>
                <w:sz w:val="18"/>
                <w:szCs w:val="18"/>
              </w:rPr>
            </w:pPr>
            <w:r w:rsidRPr="00E67A69">
              <w:rPr>
                <w:color w:val="000000"/>
                <w:sz w:val="18"/>
                <w:szCs w:val="18"/>
              </w:rPr>
              <w:t>94,7</w:t>
            </w:r>
          </w:p>
        </w:tc>
      </w:tr>
      <w:tr w:rsidR="00E67A69" w:rsidRPr="00E67A69" w14:paraId="3D11FE34" w14:textId="77777777" w:rsidTr="00C217B4">
        <w:trPr>
          <w:trHeight w:val="20"/>
          <w:jc w:val="center"/>
        </w:trPr>
        <w:tc>
          <w:tcPr>
            <w:tcW w:w="2263" w:type="dxa"/>
            <w:vAlign w:val="center"/>
            <w:hideMark/>
          </w:tcPr>
          <w:p w14:paraId="2FDEBE72" w14:textId="77777777" w:rsidR="00E67A69" w:rsidRPr="00E67A69" w:rsidRDefault="00E67A69" w:rsidP="00E67A69">
            <w:pPr>
              <w:spacing w:after="0"/>
              <w:ind w:firstLine="0"/>
              <w:contextualSpacing/>
              <w:jc w:val="left"/>
              <w:rPr>
                <w:rFonts w:eastAsia="Times New Roman" w:cs="Times New Roman"/>
                <w:b/>
                <w:bCs/>
                <w:color w:val="000000"/>
                <w:sz w:val="18"/>
                <w:szCs w:val="18"/>
              </w:rPr>
            </w:pPr>
            <w:r w:rsidRPr="00E67A69">
              <w:rPr>
                <w:rFonts w:eastAsia="Times New Roman" w:cs="Times New Roman"/>
                <w:b/>
                <w:bCs/>
                <w:color w:val="000000"/>
                <w:sz w:val="18"/>
                <w:szCs w:val="18"/>
              </w:rPr>
              <w:t>KOPBUDŽETA BILANCE</w:t>
            </w:r>
          </w:p>
        </w:tc>
        <w:tc>
          <w:tcPr>
            <w:tcW w:w="868" w:type="dxa"/>
            <w:noWrap/>
            <w:vAlign w:val="center"/>
            <w:hideMark/>
          </w:tcPr>
          <w:p w14:paraId="0F3CE66C" w14:textId="77777777" w:rsidR="00E67A69" w:rsidRPr="00E67A69" w:rsidRDefault="00E67A69" w:rsidP="00E67A69">
            <w:pPr>
              <w:spacing w:after="0"/>
              <w:ind w:firstLine="0"/>
              <w:jc w:val="right"/>
              <w:rPr>
                <w:rFonts w:cs="Times New Roman"/>
                <w:b/>
                <w:bCs/>
                <w:sz w:val="18"/>
                <w:szCs w:val="18"/>
              </w:rPr>
            </w:pPr>
            <w:r w:rsidRPr="00E67A69">
              <w:rPr>
                <w:rFonts w:cs="Times New Roman"/>
                <w:b/>
                <w:bCs/>
                <w:sz w:val="18"/>
                <w:szCs w:val="18"/>
              </w:rPr>
              <w:t>-733,1</w:t>
            </w:r>
          </w:p>
        </w:tc>
        <w:tc>
          <w:tcPr>
            <w:tcW w:w="868" w:type="dxa"/>
            <w:noWrap/>
            <w:vAlign w:val="center"/>
            <w:hideMark/>
          </w:tcPr>
          <w:p w14:paraId="2E6069E5" w14:textId="77777777" w:rsidR="00E67A69" w:rsidRPr="00E67A69" w:rsidRDefault="00E67A69" w:rsidP="00E67A69">
            <w:pPr>
              <w:spacing w:after="0"/>
              <w:ind w:firstLine="0"/>
              <w:jc w:val="right"/>
              <w:rPr>
                <w:rFonts w:cs="Times New Roman"/>
                <w:b/>
                <w:bCs/>
                <w:sz w:val="18"/>
                <w:szCs w:val="18"/>
              </w:rPr>
            </w:pPr>
            <w:r w:rsidRPr="00E67A69">
              <w:rPr>
                <w:rFonts w:cs="Times New Roman"/>
                <w:b/>
                <w:bCs/>
                <w:sz w:val="18"/>
                <w:szCs w:val="18"/>
              </w:rPr>
              <w:t>-1 727,7</w:t>
            </w:r>
          </w:p>
        </w:tc>
        <w:tc>
          <w:tcPr>
            <w:tcW w:w="868" w:type="dxa"/>
            <w:noWrap/>
            <w:vAlign w:val="center"/>
            <w:hideMark/>
          </w:tcPr>
          <w:p w14:paraId="43CB338F" w14:textId="77777777" w:rsidR="00E67A69" w:rsidRPr="00E67A69" w:rsidRDefault="00E67A69" w:rsidP="00E67A69">
            <w:pPr>
              <w:spacing w:after="0"/>
              <w:ind w:firstLine="0"/>
              <w:jc w:val="right"/>
              <w:rPr>
                <w:rFonts w:cs="Times New Roman"/>
                <w:b/>
                <w:bCs/>
                <w:sz w:val="18"/>
                <w:szCs w:val="18"/>
              </w:rPr>
            </w:pPr>
            <w:r w:rsidRPr="00E67A69">
              <w:rPr>
                <w:rFonts w:cs="Times New Roman"/>
                <w:b/>
                <w:bCs/>
                <w:sz w:val="18"/>
                <w:szCs w:val="18"/>
              </w:rPr>
              <w:t>-1 593,7</w:t>
            </w:r>
          </w:p>
        </w:tc>
        <w:tc>
          <w:tcPr>
            <w:tcW w:w="869" w:type="dxa"/>
            <w:noWrap/>
            <w:vAlign w:val="center"/>
            <w:hideMark/>
          </w:tcPr>
          <w:p w14:paraId="6585C5B8" w14:textId="77777777" w:rsidR="00E67A69" w:rsidRPr="00E67A69" w:rsidRDefault="00E67A69" w:rsidP="00E67A69">
            <w:pPr>
              <w:spacing w:after="0"/>
              <w:ind w:firstLine="0"/>
              <w:jc w:val="right"/>
              <w:rPr>
                <w:rFonts w:cs="Times New Roman"/>
                <w:b/>
                <w:bCs/>
                <w:sz w:val="18"/>
                <w:szCs w:val="18"/>
              </w:rPr>
            </w:pPr>
            <w:r w:rsidRPr="00E67A69">
              <w:rPr>
                <w:rFonts w:cs="Times New Roman"/>
                <w:b/>
                <w:bCs/>
                <w:sz w:val="18"/>
                <w:szCs w:val="18"/>
              </w:rPr>
              <w:t>-1 954,1</w:t>
            </w:r>
          </w:p>
        </w:tc>
        <w:tc>
          <w:tcPr>
            <w:tcW w:w="868" w:type="dxa"/>
            <w:vAlign w:val="center"/>
          </w:tcPr>
          <w:p w14:paraId="57FF1CB4" w14:textId="77777777" w:rsidR="00E67A69" w:rsidRPr="00E67A69" w:rsidRDefault="00E67A69" w:rsidP="00E67A69">
            <w:pPr>
              <w:spacing w:after="0"/>
              <w:ind w:firstLine="0"/>
              <w:jc w:val="right"/>
              <w:rPr>
                <w:rFonts w:cs="Times New Roman"/>
                <w:b/>
                <w:bCs/>
                <w:sz w:val="18"/>
                <w:szCs w:val="18"/>
              </w:rPr>
            </w:pPr>
            <w:r w:rsidRPr="00E67A69">
              <w:rPr>
                <w:rFonts w:cs="Times New Roman"/>
                <w:b/>
                <w:bCs/>
                <w:sz w:val="18"/>
                <w:szCs w:val="18"/>
              </w:rPr>
              <w:t>-1 888,9</w:t>
            </w:r>
          </w:p>
        </w:tc>
        <w:tc>
          <w:tcPr>
            <w:tcW w:w="868" w:type="dxa"/>
            <w:noWrap/>
            <w:vAlign w:val="center"/>
            <w:hideMark/>
          </w:tcPr>
          <w:p w14:paraId="70FCFEB4" w14:textId="77777777" w:rsidR="00E67A69" w:rsidRPr="00E67A69" w:rsidRDefault="00E67A69" w:rsidP="00E67A69">
            <w:pPr>
              <w:spacing w:after="0"/>
              <w:ind w:firstLine="0"/>
              <w:jc w:val="center"/>
              <w:rPr>
                <w:rFonts w:cs="Times New Roman"/>
                <w:b/>
                <w:bCs/>
                <w:sz w:val="18"/>
                <w:szCs w:val="18"/>
              </w:rPr>
            </w:pPr>
            <w:r w:rsidRPr="00E67A69">
              <w:rPr>
                <w:rFonts w:cs="Times New Roman"/>
                <w:b/>
                <w:bCs/>
                <w:sz w:val="18"/>
                <w:szCs w:val="18"/>
              </w:rPr>
              <w:t>-1 786,6</w:t>
            </w:r>
          </w:p>
        </w:tc>
        <w:tc>
          <w:tcPr>
            <w:tcW w:w="868" w:type="dxa"/>
            <w:noWrap/>
            <w:vAlign w:val="center"/>
            <w:hideMark/>
          </w:tcPr>
          <w:p w14:paraId="34C42D03" w14:textId="77777777" w:rsidR="00E67A69" w:rsidRPr="00E67A69" w:rsidRDefault="00E67A69" w:rsidP="00E67A69">
            <w:pPr>
              <w:spacing w:after="0"/>
              <w:ind w:firstLine="0"/>
              <w:jc w:val="center"/>
              <w:rPr>
                <w:rFonts w:cs="Times New Roman"/>
                <w:b/>
                <w:bCs/>
                <w:sz w:val="18"/>
                <w:szCs w:val="18"/>
              </w:rPr>
            </w:pPr>
            <w:r w:rsidRPr="00E67A69">
              <w:rPr>
                <w:rFonts w:cs="Times New Roman"/>
                <w:b/>
                <w:bCs/>
                <w:sz w:val="18"/>
                <w:szCs w:val="18"/>
              </w:rPr>
              <w:t>-1 888,6</w:t>
            </w:r>
          </w:p>
        </w:tc>
        <w:tc>
          <w:tcPr>
            <w:tcW w:w="869" w:type="dxa"/>
            <w:noWrap/>
            <w:vAlign w:val="center"/>
            <w:hideMark/>
          </w:tcPr>
          <w:p w14:paraId="64FF9C09" w14:textId="77777777" w:rsidR="00E67A69" w:rsidRPr="00E67A69" w:rsidRDefault="00E67A69" w:rsidP="00E67A69">
            <w:pPr>
              <w:spacing w:after="0"/>
              <w:ind w:firstLine="0"/>
              <w:jc w:val="center"/>
              <w:rPr>
                <w:rFonts w:cs="Times New Roman"/>
                <w:b/>
                <w:bCs/>
                <w:sz w:val="18"/>
                <w:szCs w:val="18"/>
              </w:rPr>
            </w:pPr>
            <w:r w:rsidRPr="00E67A69">
              <w:rPr>
                <w:rFonts w:cs="Times New Roman"/>
                <w:b/>
                <w:bCs/>
                <w:sz w:val="18"/>
                <w:szCs w:val="18"/>
              </w:rPr>
              <w:t>-1 813,9</w:t>
            </w:r>
          </w:p>
        </w:tc>
      </w:tr>
      <w:tr w:rsidR="00E67A69" w:rsidRPr="00E67A69" w14:paraId="6F3D823C" w14:textId="77777777" w:rsidTr="00C217B4">
        <w:trPr>
          <w:trHeight w:val="20"/>
          <w:jc w:val="center"/>
        </w:trPr>
        <w:tc>
          <w:tcPr>
            <w:tcW w:w="2263" w:type="dxa"/>
            <w:noWrap/>
            <w:vAlign w:val="center"/>
            <w:hideMark/>
          </w:tcPr>
          <w:p w14:paraId="7651F12C" w14:textId="77777777" w:rsidR="00E67A69" w:rsidRPr="00E67A69" w:rsidRDefault="00E67A69" w:rsidP="00E67A69">
            <w:pPr>
              <w:spacing w:after="0"/>
              <w:ind w:firstLineChars="100" w:firstLine="180"/>
              <w:contextualSpacing/>
              <w:jc w:val="left"/>
              <w:rPr>
                <w:rFonts w:eastAsia="Times New Roman" w:cs="Times New Roman"/>
                <w:color w:val="000000"/>
                <w:sz w:val="18"/>
                <w:szCs w:val="18"/>
              </w:rPr>
            </w:pPr>
            <w:r w:rsidRPr="00E67A69">
              <w:rPr>
                <w:rFonts w:eastAsia="Times New Roman" w:cs="Times New Roman"/>
                <w:color w:val="000000"/>
                <w:sz w:val="18"/>
                <w:szCs w:val="18"/>
              </w:rPr>
              <w:t>Ieņēmumi</w:t>
            </w:r>
          </w:p>
        </w:tc>
        <w:tc>
          <w:tcPr>
            <w:tcW w:w="868" w:type="dxa"/>
            <w:noWrap/>
            <w:hideMark/>
          </w:tcPr>
          <w:p w14:paraId="409E0E7C"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17 145,7</w:t>
            </w:r>
          </w:p>
        </w:tc>
        <w:tc>
          <w:tcPr>
            <w:tcW w:w="868" w:type="dxa"/>
            <w:noWrap/>
            <w:hideMark/>
          </w:tcPr>
          <w:p w14:paraId="0A9E7B4C"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17 896,7</w:t>
            </w:r>
          </w:p>
        </w:tc>
        <w:tc>
          <w:tcPr>
            <w:tcW w:w="868" w:type="dxa"/>
            <w:noWrap/>
            <w:hideMark/>
          </w:tcPr>
          <w:p w14:paraId="7CECDAB0"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18 972,4</w:t>
            </w:r>
          </w:p>
        </w:tc>
        <w:tc>
          <w:tcPr>
            <w:tcW w:w="869" w:type="dxa"/>
            <w:noWrap/>
            <w:hideMark/>
          </w:tcPr>
          <w:p w14:paraId="258E881A"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18 914,7</w:t>
            </w:r>
          </w:p>
        </w:tc>
        <w:tc>
          <w:tcPr>
            <w:tcW w:w="868" w:type="dxa"/>
          </w:tcPr>
          <w:p w14:paraId="68081227"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19 105,7</w:t>
            </w:r>
          </w:p>
        </w:tc>
        <w:tc>
          <w:tcPr>
            <w:tcW w:w="868" w:type="dxa"/>
            <w:noWrap/>
            <w:vAlign w:val="bottom"/>
            <w:hideMark/>
          </w:tcPr>
          <w:p w14:paraId="18AD51AA"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19 052,3</w:t>
            </w:r>
          </w:p>
        </w:tc>
        <w:tc>
          <w:tcPr>
            <w:tcW w:w="868" w:type="dxa"/>
            <w:noWrap/>
            <w:vAlign w:val="bottom"/>
            <w:hideMark/>
          </w:tcPr>
          <w:p w14:paraId="4C22A506"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19 037,7</w:t>
            </w:r>
          </w:p>
        </w:tc>
        <w:tc>
          <w:tcPr>
            <w:tcW w:w="869" w:type="dxa"/>
            <w:noWrap/>
            <w:vAlign w:val="bottom"/>
            <w:hideMark/>
          </w:tcPr>
          <w:p w14:paraId="6821AED8"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19 265,3</w:t>
            </w:r>
          </w:p>
        </w:tc>
      </w:tr>
      <w:tr w:rsidR="00E67A69" w:rsidRPr="00E67A69" w14:paraId="75F6822E" w14:textId="77777777" w:rsidTr="00C217B4">
        <w:trPr>
          <w:trHeight w:val="20"/>
          <w:jc w:val="center"/>
        </w:trPr>
        <w:tc>
          <w:tcPr>
            <w:tcW w:w="2263" w:type="dxa"/>
            <w:vAlign w:val="center"/>
            <w:hideMark/>
          </w:tcPr>
          <w:p w14:paraId="25BA3BF9"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Nodokļu ieņēmumi</w:t>
            </w:r>
          </w:p>
        </w:tc>
        <w:tc>
          <w:tcPr>
            <w:tcW w:w="868" w:type="dxa"/>
            <w:noWrap/>
            <w:hideMark/>
          </w:tcPr>
          <w:p w14:paraId="749B82D1"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13 583,5</w:t>
            </w:r>
          </w:p>
        </w:tc>
        <w:tc>
          <w:tcPr>
            <w:tcW w:w="868" w:type="dxa"/>
            <w:noWrap/>
            <w:hideMark/>
          </w:tcPr>
          <w:p w14:paraId="0CF67115"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14 440,8</w:t>
            </w:r>
          </w:p>
        </w:tc>
        <w:tc>
          <w:tcPr>
            <w:tcW w:w="868" w:type="dxa"/>
            <w:noWrap/>
            <w:hideMark/>
          </w:tcPr>
          <w:p w14:paraId="655CEE7F"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15 204,2</w:t>
            </w:r>
          </w:p>
        </w:tc>
        <w:tc>
          <w:tcPr>
            <w:tcW w:w="869" w:type="dxa"/>
            <w:noWrap/>
            <w:hideMark/>
          </w:tcPr>
          <w:p w14:paraId="39365CFF"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15 885,1</w:t>
            </w:r>
          </w:p>
        </w:tc>
        <w:tc>
          <w:tcPr>
            <w:tcW w:w="868" w:type="dxa"/>
          </w:tcPr>
          <w:p w14:paraId="759A7AD3"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16 524,8</w:t>
            </w:r>
          </w:p>
        </w:tc>
        <w:tc>
          <w:tcPr>
            <w:tcW w:w="868" w:type="dxa"/>
            <w:noWrap/>
            <w:vAlign w:val="bottom"/>
            <w:hideMark/>
          </w:tcPr>
          <w:p w14:paraId="4266E8D6"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15 219,8</w:t>
            </w:r>
          </w:p>
        </w:tc>
        <w:tc>
          <w:tcPr>
            <w:tcW w:w="868" w:type="dxa"/>
            <w:noWrap/>
            <w:vAlign w:val="bottom"/>
            <w:hideMark/>
          </w:tcPr>
          <w:p w14:paraId="00FF4113"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15 919,3</w:t>
            </w:r>
          </w:p>
        </w:tc>
        <w:tc>
          <w:tcPr>
            <w:tcW w:w="869" w:type="dxa"/>
            <w:noWrap/>
            <w:vAlign w:val="bottom"/>
            <w:hideMark/>
          </w:tcPr>
          <w:p w14:paraId="5B701585"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16 605,3</w:t>
            </w:r>
          </w:p>
        </w:tc>
      </w:tr>
      <w:tr w:rsidR="00E67A69" w:rsidRPr="00E67A69" w14:paraId="57FD9ED4" w14:textId="77777777" w:rsidTr="00C217B4">
        <w:trPr>
          <w:trHeight w:val="20"/>
          <w:jc w:val="center"/>
        </w:trPr>
        <w:tc>
          <w:tcPr>
            <w:tcW w:w="2263" w:type="dxa"/>
            <w:noWrap/>
            <w:vAlign w:val="center"/>
            <w:hideMark/>
          </w:tcPr>
          <w:p w14:paraId="0CED157A"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Ne-nodokļu ieņēmumi</w:t>
            </w:r>
          </w:p>
        </w:tc>
        <w:tc>
          <w:tcPr>
            <w:tcW w:w="868" w:type="dxa"/>
            <w:noWrap/>
            <w:hideMark/>
          </w:tcPr>
          <w:p w14:paraId="7E5D990C"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1 220,0</w:t>
            </w:r>
          </w:p>
        </w:tc>
        <w:tc>
          <w:tcPr>
            <w:tcW w:w="868" w:type="dxa"/>
            <w:noWrap/>
            <w:hideMark/>
          </w:tcPr>
          <w:p w14:paraId="67C5563F"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1 074,4</w:t>
            </w:r>
          </w:p>
        </w:tc>
        <w:tc>
          <w:tcPr>
            <w:tcW w:w="868" w:type="dxa"/>
            <w:noWrap/>
            <w:hideMark/>
          </w:tcPr>
          <w:p w14:paraId="188A9684"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996,4</w:t>
            </w:r>
          </w:p>
        </w:tc>
        <w:tc>
          <w:tcPr>
            <w:tcW w:w="869" w:type="dxa"/>
            <w:noWrap/>
            <w:hideMark/>
          </w:tcPr>
          <w:p w14:paraId="17BD0173"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980,8</w:t>
            </w:r>
          </w:p>
        </w:tc>
        <w:tc>
          <w:tcPr>
            <w:tcW w:w="868" w:type="dxa"/>
          </w:tcPr>
          <w:p w14:paraId="48ED54CB"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989,4</w:t>
            </w:r>
          </w:p>
        </w:tc>
        <w:tc>
          <w:tcPr>
            <w:tcW w:w="868" w:type="dxa"/>
            <w:noWrap/>
            <w:vAlign w:val="bottom"/>
            <w:hideMark/>
          </w:tcPr>
          <w:p w14:paraId="53DADC8B"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1 052,7</w:t>
            </w:r>
          </w:p>
        </w:tc>
        <w:tc>
          <w:tcPr>
            <w:tcW w:w="868" w:type="dxa"/>
            <w:noWrap/>
            <w:vAlign w:val="bottom"/>
            <w:hideMark/>
          </w:tcPr>
          <w:p w14:paraId="0E4B9073"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1 058,4</w:t>
            </w:r>
          </w:p>
        </w:tc>
        <w:tc>
          <w:tcPr>
            <w:tcW w:w="869" w:type="dxa"/>
            <w:noWrap/>
            <w:vAlign w:val="bottom"/>
            <w:hideMark/>
          </w:tcPr>
          <w:p w14:paraId="03F137FD"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1 063,7</w:t>
            </w:r>
          </w:p>
        </w:tc>
      </w:tr>
      <w:tr w:rsidR="00E67A69" w:rsidRPr="00E67A69" w14:paraId="1654AAF9" w14:textId="77777777" w:rsidTr="00C217B4">
        <w:trPr>
          <w:trHeight w:val="20"/>
          <w:jc w:val="center"/>
        </w:trPr>
        <w:tc>
          <w:tcPr>
            <w:tcW w:w="2263" w:type="dxa"/>
            <w:noWrap/>
            <w:vAlign w:val="center"/>
            <w:hideMark/>
          </w:tcPr>
          <w:p w14:paraId="37C31484"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Pašu ieņēmumi</w:t>
            </w:r>
          </w:p>
        </w:tc>
        <w:tc>
          <w:tcPr>
            <w:tcW w:w="868" w:type="dxa"/>
            <w:noWrap/>
            <w:hideMark/>
          </w:tcPr>
          <w:p w14:paraId="51F6DC33"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538,6</w:t>
            </w:r>
          </w:p>
        </w:tc>
        <w:tc>
          <w:tcPr>
            <w:tcW w:w="868" w:type="dxa"/>
            <w:noWrap/>
            <w:hideMark/>
          </w:tcPr>
          <w:p w14:paraId="066A7EFA"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558,4</w:t>
            </w:r>
          </w:p>
        </w:tc>
        <w:tc>
          <w:tcPr>
            <w:tcW w:w="868" w:type="dxa"/>
            <w:noWrap/>
            <w:hideMark/>
          </w:tcPr>
          <w:p w14:paraId="3E95E642"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529,4</w:t>
            </w:r>
          </w:p>
        </w:tc>
        <w:tc>
          <w:tcPr>
            <w:tcW w:w="869" w:type="dxa"/>
            <w:noWrap/>
            <w:hideMark/>
          </w:tcPr>
          <w:p w14:paraId="17AF369D"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537,8</w:t>
            </w:r>
          </w:p>
        </w:tc>
        <w:tc>
          <w:tcPr>
            <w:tcW w:w="868" w:type="dxa"/>
          </w:tcPr>
          <w:p w14:paraId="37CEE733"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545,9</w:t>
            </w:r>
          </w:p>
        </w:tc>
        <w:tc>
          <w:tcPr>
            <w:tcW w:w="868" w:type="dxa"/>
            <w:noWrap/>
            <w:vAlign w:val="bottom"/>
            <w:hideMark/>
          </w:tcPr>
          <w:p w14:paraId="178851EB"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534,5</w:t>
            </w:r>
          </w:p>
        </w:tc>
        <w:tc>
          <w:tcPr>
            <w:tcW w:w="868" w:type="dxa"/>
            <w:noWrap/>
            <w:vAlign w:val="bottom"/>
            <w:hideMark/>
          </w:tcPr>
          <w:p w14:paraId="63BB554C"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541,6</w:t>
            </w:r>
          </w:p>
        </w:tc>
        <w:tc>
          <w:tcPr>
            <w:tcW w:w="869" w:type="dxa"/>
            <w:noWrap/>
            <w:vAlign w:val="bottom"/>
            <w:hideMark/>
          </w:tcPr>
          <w:p w14:paraId="24C435E7"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549,7</w:t>
            </w:r>
          </w:p>
        </w:tc>
      </w:tr>
      <w:tr w:rsidR="00E67A69" w:rsidRPr="00E67A69" w14:paraId="6D71822E" w14:textId="77777777" w:rsidTr="00C217B4">
        <w:trPr>
          <w:trHeight w:val="20"/>
          <w:jc w:val="center"/>
        </w:trPr>
        <w:tc>
          <w:tcPr>
            <w:tcW w:w="2263" w:type="dxa"/>
            <w:vAlign w:val="center"/>
            <w:hideMark/>
          </w:tcPr>
          <w:p w14:paraId="492FD3F2" w14:textId="77777777" w:rsidR="00E67A69" w:rsidRPr="00E67A69" w:rsidRDefault="00E67A69" w:rsidP="00E67A69">
            <w:pPr>
              <w:spacing w:after="0"/>
              <w:ind w:firstLine="0"/>
              <w:contextualSpacing/>
              <w:jc w:val="left"/>
              <w:rPr>
                <w:rFonts w:eastAsia="Times New Roman" w:cs="Times New Roman"/>
                <w:color w:val="000000"/>
                <w:sz w:val="18"/>
                <w:szCs w:val="18"/>
              </w:rPr>
            </w:pPr>
            <w:r w:rsidRPr="00E67A69">
              <w:rPr>
                <w:rFonts w:eastAsia="Times New Roman" w:cs="Times New Roman"/>
                <w:color w:val="000000"/>
                <w:sz w:val="18"/>
                <w:szCs w:val="18"/>
              </w:rPr>
              <w:t xml:space="preserve">        ĀFP</w:t>
            </w:r>
          </w:p>
        </w:tc>
        <w:tc>
          <w:tcPr>
            <w:tcW w:w="868" w:type="dxa"/>
            <w:noWrap/>
            <w:hideMark/>
          </w:tcPr>
          <w:p w14:paraId="4AE2BB50"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1 801,5</w:t>
            </w:r>
          </w:p>
        </w:tc>
        <w:tc>
          <w:tcPr>
            <w:tcW w:w="868" w:type="dxa"/>
            <w:noWrap/>
            <w:hideMark/>
          </w:tcPr>
          <w:p w14:paraId="7738C214"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1 822,0</w:t>
            </w:r>
          </w:p>
        </w:tc>
        <w:tc>
          <w:tcPr>
            <w:tcW w:w="868" w:type="dxa"/>
            <w:noWrap/>
            <w:hideMark/>
          </w:tcPr>
          <w:p w14:paraId="577A672F" w14:textId="77777777" w:rsidR="00E67A69" w:rsidRPr="00E67A69" w:rsidRDefault="00E67A69" w:rsidP="00E67A69">
            <w:pPr>
              <w:spacing w:after="0"/>
              <w:ind w:firstLine="0"/>
              <w:jc w:val="center"/>
              <w:rPr>
                <w:rFonts w:cs="Times New Roman"/>
                <w:sz w:val="18"/>
                <w:szCs w:val="18"/>
              </w:rPr>
            </w:pPr>
            <w:r w:rsidRPr="00E67A69">
              <w:rPr>
                <w:rFonts w:cs="Times New Roman"/>
                <w:sz w:val="18"/>
                <w:szCs w:val="18"/>
              </w:rPr>
              <w:t>2 241,5</w:t>
            </w:r>
          </w:p>
        </w:tc>
        <w:tc>
          <w:tcPr>
            <w:tcW w:w="869" w:type="dxa"/>
            <w:noWrap/>
            <w:hideMark/>
          </w:tcPr>
          <w:p w14:paraId="0DD561E6" w14:textId="77777777" w:rsidR="00E67A69" w:rsidRPr="00E67A69" w:rsidRDefault="00E67A69" w:rsidP="00E67A69">
            <w:pPr>
              <w:spacing w:after="0"/>
              <w:ind w:firstLine="0"/>
              <w:jc w:val="center"/>
              <w:rPr>
                <w:rFonts w:cs="Times New Roman"/>
                <w:sz w:val="18"/>
                <w:szCs w:val="18"/>
              </w:rPr>
            </w:pPr>
            <w:r w:rsidRPr="00E67A69">
              <w:rPr>
                <w:rFonts w:cs="Times New Roman"/>
                <w:sz w:val="18"/>
                <w:szCs w:val="18"/>
              </w:rPr>
              <w:t>1 510,1</w:t>
            </w:r>
          </w:p>
        </w:tc>
        <w:tc>
          <w:tcPr>
            <w:tcW w:w="868" w:type="dxa"/>
          </w:tcPr>
          <w:p w14:paraId="4E1976A4" w14:textId="77777777" w:rsidR="00E67A69" w:rsidRPr="00E67A69" w:rsidRDefault="00E67A69" w:rsidP="00E67A69">
            <w:pPr>
              <w:spacing w:after="0"/>
              <w:ind w:firstLine="0"/>
              <w:jc w:val="center"/>
              <w:rPr>
                <w:rFonts w:cs="Times New Roman"/>
                <w:sz w:val="18"/>
                <w:szCs w:val="18"/>
              </w:rPr>
            </w:pPr>
            <w:r w:rsidRPr="00E67A69">
              <w:rPr>
                <w:rFonts w:cs="Times New Roman"/>
                <w:sz w:val="18"/>
                <w:szCs w:val="18"/>
              </w:rPr>
              <w:t>1 044,6</w:t>
            </w:r>
          </w:p>
        </w:tc>
        <w:tc>
          <w:tcPr>
            <w:tcW w:w="868" w:type="dxa"/>
            <w:noWrap/>
            <w:vAlign w:val="bottom"/>
            <w:hideMark/>
          </w:tcPr>
          <w:p w14:paraId="41E9535C"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2 244,3</w:t>
            </w:r>
          </w:p>
        </w:tc>
        <w:tc>
          <w:tcPr>
            <w:tcW w:w="868" w:type="dxa"/>
            <w:noWrap/>
            <w:vAlign w:val="bottom"/>
            <w:hideMark/>
          </w:tcPr>
          <w:p w14:paraId="2F2FCBD6"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1 517,4</w:t>
            </w:r>
          </w:p>
        </w:tc>
        <w:tc>
          <w:tcPr>
            <w:tcW w:w="869" w:type="dxa"/>
            <w:noWrap/>
            <w:vAlign w:val="bottom"/>
            <w:hideMark/>
          </w:tcPr>
          <w:p w14:paraId="57AB9B4B"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1 045,6</w:t>
            </w:r>
          </w:p>
        </w:tc>
      </w:tr>
      <w:tr w:rsidR="00E67A69" w:rsidRPr="00E67A69" w14:paraId="7480BDF7" w14:textId="77777777" w:rsidTr="00C217B4">
        <w:trPr>
          <w:trHeight w:val="20"/>
          <w:jc w:val="center"/>
        </w:trPr>
        <w:tc>
          <w:tcPr>
            <w:tcW w:w="2263" w:type="dxa"/>
            <w:noWrap/>
            <w:vAlign w:val="center"/>
            <w:hideMark/>
          </w:tcPr>
          <w:p w14:paraId="369C1B2B"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Pārējie ieņēmumi</w:t>
            </w:r>
          </w:p>
        </w:tc>
        <w:tc>
          <w:tcPr>
            <w:tcW w:w="868" w:type="dxa"/>
            <w:noWrap/>
            <w:hideMark/>
          </w:tcPr>
          <w:p w14:paraId="1DCB0F39"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2,2</w:t>
            </w:r>
          </w:p>
        </w:tc>
        <w:tc>
          <w:tcPr>
            <w:tcW w:w="868" w:type="dxa"/>
            <w:noWrap/>
            <w:hideMark/>
          </w:tcPr>
          <w:p w14:paraId="1213C5F1"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1,0</w:t>
            </w:r>
          </w:p>
        </w:tc>
        <w:tc>
          <w:tcPr>
            <w:tcW w:w="868" w:type="dxa"/>
            <w:noWrap/>
            <w:hideMark/>
          </w:tcPr>
          <w:p w14:paraId="1B9D65ED"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1,0</w:t>
            </w:r>
          </w:p>
        </w:tc>
        <w:tc>
          <w:tcPr>
            <w:tcW w:w="869" w:type="dxa"/>
            <w:noWrap/>
            <w:hideMark/>
          </w:tcPr>
          <w:p w14:paraId="005BF17E"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1,0</w:t>
            </w:r>
          </w:p>
        </w:tc>
        <w:tc>
          <w:tcPr>
            <w:tcW w:w="868" w:type="dxa"/>
          </w:tcPr>
          <w:p w14:paraId="624C31AF"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1,0</w:t>
            </w:r>
          </w:p>
        </w:tc>
        <w:tc>
          <w:tcPr>
            <w:tcW w:w="868" w:type="dxa"/>
            <w:noWrap/>
            <w:vAlign w:val="bottom"/>
            <w:hideMark/>
          </w:tcPr>
          <w:p w14:paraId="201AE849"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1,0</w:t>
            </w:r>
          </w:p>
        </w:tc>
        <w:tc>
          <w:tcPr>
            <w:tcW w:w="868" w:type="dxa"/>
            <w:noWrap/>
            <w:vAlign w:val="bottom"/>
            <w:hideMark/>
          </w:tcPr>
          <w:p w14:paraId="434DF4FD"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1,0</w:t>
            </w:r>
          </w:p>
        </w:tc>
        <w:tc>
          <w:tcPr>
            <w:tcW w:w="869" w:type="dxa"/>
            <w:noWrap/>
            <w:vAlign w:val="bottom"/>
            <w:hideMark/>
          </w:tcPr>
          <w:p w14:paraId="20BC57CB"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1,0</w:t>
            </w:r>
          </w:p>
        </w:tc>
      </w:tr>
      <w:tr w:rsidR="00E67A69" w:rsidRPr="00E67A69" w14:paraId="14414CE3" w14:textId="77777777" w:rsidTr="00C217B4">
        <w:trPr>
          <w:trHeight w:val="20"/>
          <w:jc w:val="center"/>
        </w:trPr>
        <w:tc>
          <w:tcPr>
            <w:tcW w:w="2263" w:type="dxa"/>
            <w:noWrap/>
            <w:vAlign w:val="center"/>
            <w:hideMark/>
          </w:tcPr>
          <w:p w14:paraId="0A04A7EB" w14:textId="77777777" w:rsidR="00E67A69" w:rsidRPr="00E67A69" w:rsidRDefault="00E67A69" w:rsidP="00E67A69">
            <w:pPr>
              <w:spacing w:after="0"/>
              <w:ind w:firstLineChars="100" w:firstLine="180"/>
              <w:contextualSpacing/>
              <w:jc w:val="left"/>
              <w:rPr>
                <w:rFonts w:eastAsia="Times New Roman" w:cs="Times New Roman"/>
                <w:color w:val="000000"/>
                <w:sz w:val="18"/>
                <w:szCs w:val="18"/>
              </w:rPr>
            </w:pPr>
            <w:r w:rsidRPr="00E67A69">
              <w:rPr>
                <w:rFonts w:eastAsia="Times New Roman" w:cs="Times New Roman"/>
                <w:color w:val="000000"/>
                <w:sz w:val="18"/>
                <w:szCs w:val="18"/>
              </w:rPr>
              <w:t>Izdevumi</w:t>
            </w:r>
          </w:p>
        </w:tc>
        <w:tc>
          <w:tcPr>
            <w:tcW w:w="868" w:type="dxa"/>
            <w:noWrap/>
            <w:hideMark/>
          </w:tcPr>
          <w:p w14:paraId="6FAA8729"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17 878,8</w:t>
            </w:r>
          </w:p>
        </w:tc>
        <w:tc>
          <w:tcPr>
            <w:tcW w:w="868" w:type="dxa"/>
            <w:noWrap/>
            <w:hideMark/>
          </w:tcPr>
          <w:p w14:paraId="7C1010D9"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19 624,4</w:t>
            </w:r>
          </w:p>
        </w:tc>
        <w:tc>
          <w:tcPr>
            <w:tcW w:w="868" w:type="dxa"/>
            <w:noWrap/>
            <w:hideMark/>
          </w:tcPr>
          <w:p w14:paraId="0F6356D6"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20 566,0</w:t>
            </w:r>
          </w:p>
        </w:tc>
        <w:tc>
          <w:tcPr>
            <w:tcW w:w="869" w:type="dxa"/>
            <w:noWrap/>
            <w:hideMark/>
          </w:tcPr>
          <w:p w14:paraId="710708E9"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20 868,8</w:t>
            </w:r>
          </w:p>
        </w:tc>
        <w:tc>
          <w:tcPr>
            <w:tcW w:w="868" w:type="dxa"/>
          </w:tcPr>
          <w:p w14:paraId="35EDC330"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20 994,6</w:t>
            </w:r>
          </w:p>
        </w:tc>
        <w:tc>
          <w:tcPr>
            <w:tcW w:w="868" w:type="dxa"/>
            <w:noWrap/>
            <w:vAlign w:val="bottom"/>
            <w:hideMark/>
          </w:tcPr>
          <w:p w14:paraId="7D65DBAE"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20 839,0</w:t>
            </w:r>
          </w:p>
        </w:tc>
        <w:tc>
          <w:tcPr>
            <w:tcW w:w="868" w:type="dxa"/>
            <w:noWrap/>
            <w:vAlign w:val="bottom"/>
            <w:hideMark/>
          </w:tcPr>
          <w:p w14:paraId="47A99AD8"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20 926,3</w:t>
            </w:r>
          </w:p>
        </w:tc>
        <w:tc>
          <w:tcPr>
            <w:tcW w:w="869" w:type="dxa"/>
            <w:noWrap/>
            <w:vAlign w:val="bottom"/>
            <w:hideMark/>
          </w:tcPr>
          <w:p w14:paraId="50A63B64"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21 079,2</w:t>
            </w:r>
          </w:p>
        </w:tc>
      </w:tr>
      <w:tr w:rsidR="00E67A69" w:rsidRPr="00E67A69" w14:paraId="34414A1B" w14:textId="77777777" w:rsidTr="00C217B4">
        <w:trPr>
          <w:trHeight w:val="20"/>
          <w:jc w:val="center"/>
        </w:trPr>
        <w:tc>
          <w:tcPr>
            <w:tcW w:w="2263" w:type="dxa"/>
            <w:noWrap/>
            <w:vAlign w:val="center"/>
            <w:hideMark/>
          </w:tcPr>
          <w:p w14:paraId="282F66F9"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Atlīdzība</w:t>
            </w:r>
          </w:p>
        </w:tc>
        <w:tc>
          <w:tcPr>
            <w:tcW w:w="868" w:type="dxa"/>
            <w:noWrap/>
            <w:hideMark/>
          </w:tcPr>
          <w:p w14:paraId="3D8E3560"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4 083,9</w:t>
            </w:r>
          </w:p>
        </w:tc>
        <w:tc>
          <w:tcPr>
            <w:tcW w:w="868" w:type="dxa"/>
            <w:noWrap/>
            <w:hideMark/>
          </w:tcPr>
          <w:p w14:paraId="13A27254"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4 362,7</w:t>
            </w:r>
          </w:p>
        </w:tc>
        <w:tc>
          <w:tcPr>
            <w:tcW w:w="868" w:type="dxa"/>
            <w:noWrap/>
            <w:hideMark/>
          </w:tcPr>
          <w:p w14:paraId="5A08BACF"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4 474,1</w:t>
            </w:r>
          </w:p>
        </w:tc>
        <w:tc>
          <w:tcPr>
            <w:tcW w:w="869" w:type="dxa"/>
            <w:noWrap/>
            <w:hideMark/>
          </w:tcPr>
          <w:p w14:paraId="1BF37D2E"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4 563,9</w:t>
            </w:r>
          </w:p>
        </w:tc>
        <w:tc>
          <w:tcPr>
            <w:tcW w:w="868" w:type="dxa"/>
          </w:tcPr>
          <w:p w14:paraId="6716095A"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4 667,3</w:t>
            </w:r>
          </w:p>
        </w:tc>
        <w:tc>
          <w:tcPr>
            <w:tcW w:w="868" w:type="dxa"/>
            <w:noWrap/>
            <w:vAlign w:val="bottom"/>
            <w:hideMark/>
          </w:tcPr>
          <w:p w14:paraId="5371B203"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4 492,3</w:t>
            </w:r>
          </w:p>
        </w:tc>
        <w:tc>
          <w:tcPr>
            <w:tcW w:w="868" w:type="dxa"/>
            <w:noWrap/>
            <w:vAlign w:val="bottom"/>
            <w:hideMark/>
          </w:tcPr>
          <w:p w14:paraId="4BC701A5"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4 600,3</w:t>
            </w:r>
          </w:p>
        </w:tc>
        <w:tc>
          <w:tcPr>
            <w:tcW w:w="869" w:type="dxa"/>
            <w:noWrap/>
            <w:vAlign w:val="bottom"/>
            <w:hideMark/>
          </w:tcPr>
          <w:p w14:paraId="2C96E7A4"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4 697,7</w:t>
            </w:r>
          </w:p>
        </w:tc>
      </w:tr>
      <w:tr w:rsidR="00E67A69" w:rsidRPr="00E67A69" w14:paraId="1983DF20" w14:textId="77777777" w:rsidTr="00C217B4">
        <w:trPr>
          <w:trHeight w:val="20"/>
          <w:jc w:val="center"/>
        </w:trPr>
        <w:tc>
          <w:tcPr>
            <w:tcW w:w="2263" w:type="dxa"/>
            <w:vAlign w:val="center"/>
            <w:hideMark/>
          </w:tcPr>
          <w:p w14:paraId="47C4CB3E"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Preces un pakalpojumi</w:t>
            </w:r>
          </w:p>
        </w:tc>
        <w:tc>
          <w:tcPr>
            <w:tcW w:w="868" w:type="dxa"/>
            <w:noWrap/>
            <w:hideMark/>
          </w:tcPr>
          <w:p w14:paraId="63B5F6C4"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2 135,9</w:t>
            </w:r>
          </w:p>
        </w:tc>
        <w:tc>
          <w:tcPr>
            <w:tcW w:w="868" w:type="dxa"/>
            <w:noWrap/>
            <w:hideMark/>
          </w:tcPr>
          <w:p w14:paraId="56C8B6F6"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2 447,0</w:t>
            </w:r>
          </w:p>
        </w:tc>
        <w:tc>
          <w:tcPr>
            <w:tcW w:w="868" w:type="dxa"/>
            <w:noWrap/>
            <w:hideMark/>
          </w:tcPr>
          <w:p w14:paraId="6D1FDB93"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2 238,4</w:t>
            </w:r>
          </w:p>
        </w:tc>
        <w:tc>
          <w:tcPr>
            <w:tcW w:w="869" w:type="dxa"/>
            <w:noWrap/>
            <w:hideMark/>
          </w:tcPr>
          <w:p w14:paraId="7A3778EE"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2 310,8</w:t>
            </w:r>
          </w:p>
        </w:tc>
        <w:tc>
          <w:tcPr>
            <w:tcW w:w="868" w:type="dxa"/>
          </w:tcPr>
          <w:p w14:paraId="3D273D45"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2 269,0</w:t>
            </w:r>
          </w:p>
        </w:tc>
        <w:tc>
          <w:tcPr>
            <w:tcW w:w="868" w:type="dxa"/>
            <w:noWrap/>
            <w:vAlign w:val="bottom"/>
            <w:hideMark/>
          </w:tcPr>
          <w:p w14:paraId="25664ED1"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2 209,2</w:t>
            </w:r>
          </w:p>
        </w:tc>
        <w:tc>
          <w:tcPr>
            <w:tcW w:w="868" w:type="dxa"/>
            <w:noWrap/>
            <w:vAlign w:val="bottom"/>
            <w:hideMark/>
          </w:tcPr>
          <w:p w14:paraId="60EA7E17"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2 278,9</w:t>
            </w:r>
          </w:p>
        </w:tc>
        <w:tc>
          <w:tcPr>
            <w:tcW w:w="869" w:type="dxa"/>
            <w:noWrap/>
            <w:vAlign w:val="bottom"/>
            <w:hideMark/>
          </w:tcPr>
          <w:p w14:paraId="1EF43437"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2 240,1</w:t>
            </w:r>
          </w:p>
        </w:tc>
      </w:tr>
      <w:tr w:rsidR="00E67A69" w:rsidRPr="00E67A69" w14:paraId="1D14644D" w14:textId="77777777" w:rsidTr="00C217B4">
        <w:trPr>
          <w:trHeight w:val="20"/>
          <w:jc w:val="center"/>
        </w:trPr>
        <w:tc>
          <w:tcPr>
            <w:tcW w:w="2263" w:type="dxa"/>
            <w:noWrap/>
            <w:vAlign w:val="center"/>
            <w:hideMark/>
          </w:tcPr>
          <w:p w14:paraId="73138A7D"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Procentu izdevumi</w:t>
            </w:r>
          </w:p>
        </w:tc>
        <w:tc>
          <w:tcPr>
            <w:tcW w:w="868" w:type="dxa"/>
            <w:noWrap/>
            <w:hideMark/>
          </w:tcPr>
          <w:p w14:paraId="4FB4E2A2"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372,0</w:t>
            </w:r>
          </w:p>
        </w:tc>
        <w:tc>
          <w:tcPr>
            <w:tcW w:w="868" w:type="dxa"/>
            <w:noWrap/>
            <w:hideMark/>
          </w:tcPr>
          <w:p w14:paraId="69673931"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435,9</w:t>
            </w:r>
          </w:p>
        </w:tc>
        <w:tc>
          <w:tcPr>
            <w:tcW w:w="868" w:type="dxa"/>
            <w:noWrap/>
            <w:hideMark/>
          </w:tcPr>
          <w:p w14:paraId="3809EC8F"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589,0</w:t>
            </w:r>
          </w:p>
        </w:tc>
        <w:tc>
          <w:tcPr>
            <w:tcW w:w="869" w:type="dxa"/>
            <w:noWrap/>
            <w:hideMark/>
          </w:tcPr>
          <w:p w14:paraId="6FC50908"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658,8</w:t>
            </w:r>
          </w:p>
        </w:tc>
        <w:tc>
          <w:tcPr>
            <w:tcW w:w="868" w:type="dxa"/>
          </w:tcPr>
          <w:p w14:paraId="74F86500"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750,9</w:t>
            </w:r>
          </w:p>
        </w:tc>
        <w:tc>
          <w:tcPr>
            <w:tcW w:w="868" w:type="dxa"/>
            <w:noWrap/>
            <w:vAlign w:val="bottom"/>
            <w:hideMark/>
          </w:tcPr>
          <w:p w14:paraId="78479CD2"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569,1</w:t>
            </w:r>
          </w:p>
        </w:tc>
        <w:tc>
          <w:tcPr>
            <w:tcW w:w="868" w:type="dxa"/>
            <w:noWrap/>
            <w:vAlign w:val="bottom"/>
            <w:hideMark/>
          </w:tcPr>
          <w:p w14:paraId="6E580CD0"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639,8</w:t>
            </w:r>
          </w:p>
        </w:tc>
        <w:tc>
          <w:tcPr>
            <w:tcW w:w="869" w:type="dxa"/>
            <w:noWrap/>
            <w:vAlign w:val="bottom"/>
            <w:hideMark/>
          </w:tcPr>
          <w:p w14:paraId="42F07063"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727,9</w:t>
            </w:r>
          </w:p>
        </w:tc>
      </w:tr>
      <w:tr w:rsidR="00E67A69" w:rsidRPr="00E67A69" w14:paraId="754813B3" w14:textId="77777777" w:rsidTr="00C217B4">
        <w:trPr>
          <w:trHeight w:val="20"/>
          <w:jc w:val="center"/>
        </w:trPr>
        <w:tc>
          <w:tcPr>
            <w:tcW w:w="2263" w:type="dxa"/>
            <w:vAlign w:val="center"/>
            <w:hideMark/>
          </w:tcPr>
          <w:p w14:paraId="3258ABC0"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Subsīdijas un dotācijas</w:t>
            </w:r>
          </w:p>
        </w:tc>
        <w:tc>
          <w:tcPr>
            <w:tcW w:w="868" w:type="dxa"/>
            <w:noWrap/>
            <w:hideMark/>
          </w:tcPr>
          <w:p w14:paraId="0EC1AD0F"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4 050,2</w:t>
            </w:r>
          </w:p>
        </w:tc>
        <w:tc>
          <w:tcPr>
            <w:tcW w:w="868" w:type="dxa"/>
            <w:noWrap/>
            <w:hideMark/>
          </w:tcPr>
          <w:p w14:paraId="3718D6CA"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4 088,7</w:t>
            </w:r>
          </w:p>
        </w:tc>
        <w:tc>
          <w:tcPr>
            <w:tcW w:w="868" w:type="dxa"/>
            <w:noWrap/>
            <w:hideMark/>
          </w:tcPr>
          <w:p w14:paraId="4EF4E204"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5 073,4</w:t>
            </w:r>
          </w:p>
        </w:tc>
        <w:tc>
          <w:tcPr>
            <w:tcW w:w="869" w:type="dxa"/>
            <w:noWrap/>
            <w:hideMark/>
          </w:tcPr>
          <w:p w14:paraId="238F9D1B"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4 820,3</w:t>
            </w:r>
          </w:p>
        </w:tc>
        <w:tc>
          <w:tcPr>
            <w:tcW w:w="868" w:type="dxa"/>
          </w:tcPr>
          <w:p w14:paraId="578ACCA1"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4 379,9</w:t>
            </w:r>
          </w:p>
        </w:tc>
        <w:tc>
          <w:tcPr>
            <w:tcW w:w="868" w:type="dxa"/>
            <w:noWrap/>
            <w:vAlign w:val="bottom"/>
            <w:hideMark/>
          </w:tcPr>
          <w:p w14:paraId="02D922B2"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5 346,5</w:t>
            </w:r>
          </w:p>
        </w:tc>
        <w:tc>
          <w:tcPr>
            <w:tcW w:w="868" w:type="dxa"/>
            <w:noWrap/>
            <w:vAlign w:val="bottom"/>
            <w:hideMark/>
          </w:tcPr>
          <w:p w14:paraId="5F14B0D9"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4 865,6</w:t>
            </w:r>
          </w:p>
        </w:tc>
        <w:tc>
          <w:tcPr>
            <w:tcW w:w="869" w:type="dxa"/>
            <w:noWrap/>
            <w:vAlign w:val="bottom"/>
            <w:hideMark/>
          </w:tcPr>
          <w:p w14:paraId="37D158CA"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4 513,8</w:t>
            </w:r>
          </w:p>
        </w:tc>
      </w:tr>
      <w:tr w:rsidR="00E67A69" w:rsidRPr="00E67A69" w14:paraId="540A5AAB" w14:textId="77777777" w:rsidTr="00C217B4">
        <w:trPr>
          <w:trHeight w:val="20"/>
          <w:jc w:val="center"/>
        </w:trPr>
        <w:tc>
          <w:tcPr>
            <w:tcW w:w="2263" w:type="dxa"/>
            <w:noWrap/>
            <w:vAlign w:val="center"/>
            <w:hideMark/>
          </w:tcPr>
          <w:p w14:paraId="69289D74"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Sociālie pabalsti</w:t>
            </w:r>
          </w:p>
        </w:tc>
        <w:tc>
          <w:tcPr>
            <w:tcW w:w="868" w:type="dxa"/>
            <w:noWrap/>
            <w:hideMark/>
          </w:tcPr>
          <w:p w14:paraId="562D6CD7"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5 207,3</w:t>
            </w:r>
          </w:p>
        </w:tc>
        <w:tc>
          <w:tcPr>
            <w:tcW w:w="868" w:type="dxa"/>
            <w:noWrap/>
            <w:hideMark/>
          </w:tcPr>
          <w:p w14:paraId="27B55E0E"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5 670,9</w:t>
            </w:r>
          </w:p>
        </w:tc>
        <w:tc>
          <w:tcPr>
            <w:tcW w:w="868" w:type="dxa"/>
            <w:noWrap/>
            <w:hideMark/>
          </w:tcPr>
          <w:p w14:paraId="73E612C7"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5 982,9</w:t>
            </w:r>
          </w:p>
        </w:tc>
        <w:tc>
          <w:tcPr>
            <w:tcW w:w="869" w:type="dxa"/>
            <w:noWrap/>
            <w:hideMark/>
          </w:tcPr>
          <w:p w14:paraId="5C6B585F"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6 421,0</w:t>
            </w:r>
          </w:p>
        </w:tc>
        <w:tc>
          <w:tcPr>
            <w:tcW w:w="868" w:type="dxa"/>
          </w:tcPr>
          <w:p w14:paraId="1D2A2CED"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6 818,2</w:t>
            </w:r>
          </w:p>
        </w:tc>
        <w:tc>
          <w:tcPr>
            <w:tcW w:w="868" w:type="dxa"/>
            <w:noWrap/>
            <w:vAlign w:val="bottom"/>
            <w:hideMark/>
          </w:tcPr>
          <w:p w14:paraId="760A2F99"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6 044,1</w:t>
            </w:r>
          </w:p>
        </w:tc>
        <w:tc>
          <w:tcPr>
            <w:tcW w:w="868" w:type="dxa"/>
            <w:noWrap/>
            <w:vAlign w:val="bottom"/>
            <w:hideMark/>
          </w:tcPr>
          <w:p w14:paraId="7FD106ED"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6 458,5</w:t>
            </w:r>
          </w:p>
        </w:tc>
        <w:tc>
          <w:tcPr>
            <w:tcW w:w="869" w:type="dxa"/>
            <w:noWrap/>
            <w:vAlign w:val="bottom"/>
            <w:hideMark/>
          </w:tcPr>
          <w:p w14:paraId="1103A62A"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6 870,5</w:t>
            </w:r>
          </w:p>
        </w:tc>
      </w:tr>
      <w:tr w:rsidR="00E67A69" w:rsidRPr="00E67A69" w14:paraId="4931A64E" w14:textId="77777777" w:rsidTr="00C217B4">
        <w:trPr>
          <w:trHeight w:val="20"/>
          <w:jc w:val="center"/>
        </w:trPr>
        <w:tc>
          <w:tcPr>
            <w:tcW w:w="2263" w:type="dxa"/>
            <w:noWrap/>
            <w:vAlign w:val="center"/>
          </w:tcPr>
          <w:p w14:paraId="2C4541EA"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Iemaksas ES budžetā</w:t>
            </w:r>
          </w:p>
        </w:tc>
        <w:tc>
          <w:tcPr>
            <w:tcW w:w="868" w:type="dxa"/>
            <w:noWrap/>
          </w:tcPr>
          <w:p w14:paraId="77FE8825"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360,9</w:t>
            </w:r>
          </w:p>
        </w:tc>
        <w:tc>
          <w:tcPr>
            <w:tcW w:w="868" w:type="dxa"/>
            <w:noWrap/>
          </w:tcPr>
          <w:p w14:paraId="7AB9E0FC"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379,6</w:t>
            </w:r>
          </w:p>
        </w:tc>
        <w:tc>
          <w:tcPr>
            <w:tcW w:w="868" w:type="dxa"/>
            <w:noWrap/>
          </w:tcPr>
          <w:p w14:paraId="47F912F7"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365,3</w:t>
            </w:r>
          </w:p>
        </w:tc>
        <w:tc>
          <w:tcPr>
            <w:tcW w:w="869" w:type="dxa"/>
            <w:noWrap/>
          </w:tcPr>
          <w:p w14:paraId="39596B77"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466,9</w:t>
            </w:r>
          </w:p>
        </w:tc>
        <w:tc>
          <w:tcPr>
            <w:tcW w:w="868" w:type="dxa"/>
          </w:tcPr>
          <w:p w14:paraId="367C96FD"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549,7</w:t>
            </w:r>
          </w:p>
        </w:tc>
        <w:tc>
          <w:tcPr>
            <w:tcW w:w="868" w:type="dxa"/>
            <w:noWrap/>
            <w:vAlign w:val="bottom"/>
          </w:tcPr>
          <w:p w14:paraId="64B92AD2"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365,3</w:t>
            </w:r>
          </w:p>
        </w:tc>
        <w:tc>
          <w:tcPr>
            <w:tcW w:w="868" w:type="dxa"/>
            <w:noWrap/>
            <w:vAlign w:val="bottom"/>
          </w:tcPr>
          <w:p w14:paraId="2EAC9BFF"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466,9</w:t>
            </w:r>
          </w:p>
        </w:tc>
        <w:tc>
          <w:tcPr>
            <w:tcW w:w="869" w:type="dxa"/>
            <w:noWrap/>
            <w:vAlign w:val="bottom"/>
          </w:tcPr>
          <w:p w14:paraId="2EE95A15"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493,0</w:t>
            </w:r>
          </w:p>
        </w:tc>
      </w:tr>
      <w:tr w:rsidR="00E67A69" w:rsidRPr="00E67A69" w14:paraId="63DCEEF4" w14:textId="77777777" w:rsidTr="00C217B4">
        <w:trPr>
          <w:trHeight w:val="20"/>
          <w:jc w:val="center"/>
        </w:trPr>
        <w:tc>
          <w:tcPr>
            <w:tcW w:w="2263" w:type="dxa"/>
            <w:noWrap/>
            <w:vAlign w:val="center"/>
            <w:hideMark/>
          </w:tcPr>
          <w:p w14:paraId="10C5CD8A"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Kapitālie izdevumi</w:t>
            </w:r>
          </w:p>
        </w:tc>
        <w:tc>
          <w:tcPr>
            <w:tcW w:w="868" w:type="dxa"/>
            <w:noWrap/>
            <w:hideMark/>
          </w:tcPr>
          <w:p w14:paraId="0F6ADA63"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1 549,9</w:t>
            </w:r>
          </w:p>
        </w:tc>
        <w:tc>
          <w:tcPr>
            <w:tcW w:w="868" w:type="dxa"/>
            <w:noWrap/>
            <w:hideMark/>
          </w:tcPr>
          <w:p w14:paraId="1148C4BC"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2 144,6</w:t>
            </w:r>
          </w:p>
        </w:tc>
        <w:tc>
          <w:tcPr>
            <w:tcW w:w="868" w:type="dxa"/>
            <w:noWrap/>
            <w:hideMark/>
          </w:tcPr>
          <w:p w14:paraId="2FB01FB0"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1 765,3</w:t>
            </w:r>
          </w:p>
        </w:tc>
        <w:tc>
          <w:tcPr>
            <w:tcW w:w="869" w:type="dxa"/>
            <w:noWrap/>
            <w:hideMark/>
          </w:tcPr>
          <w:p w14:paraId="12BC700B"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1 557,0</w:t>
            </w:r>
          </w:p>
        </w:tc>
        <w:tc>
          <w:tcPr>
            <w:tcW w:w="868" w:type="dxa"/>
          </w:tcPr>
          <w:p w14:paraId="622305F3"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1 493,0</w:t>
            </w:r>
          </w:p>
        </w:tc>
        <w:tc>
          <w:tcPr>
            <w:tcW w:w="868" w:type="dxa"/>
            <w:noWrap/>
            <w:vAlign w:val="bottom"/>
            <w:hideMark/>
          </w:tcPr>
          <w:p w14:paraId="74A81EB4"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1 735,4</w:t>
            </w:r>
          </w:p>
        </w:tc>
        <w:tc>
          <w:tcPr>
            <w:tcW w:w="868" w:type="dxa"/>
            <w:noWrap/>
            <w:vAlign w:val="bottom"/>
            <w:hideMark/>
          </w:tcPr>
          <w:p w14:paraId="70AEE104"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1 545,0</w:t>
            </w:r>
          </w:p>
        </w:tc>
        <w:tc>
          <w:tcPr>
            <w:tcW w:w="869" w:type="dxa"/>
            <w:noWrap/>
            <w:vAlign w:val="bottom"/>
            <w:hideMark/>
          </w:tcPr>
          <w:p w14:paraId="7FFB3994"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1 469,4</w:t>
            </w:r>
          </w:p>
        </w:tc>
      </w:tr>
      <w:tr w:rsidR="00E67A69" w:rsidRPr="00E67A69" w14:paraId="27F5F82B" w14:textId="77777777" w:rsidTr="00C217B4">
        <w:trPr>
          <w:trHeight w:val="20"/>
          <w:jc w:val="center"/>
        </w:trPr>
        <w:tc>
          <w:tcPr>
            <w:tcW w:w="2263" w:type="dxa"/>
            <w:noWrap/>
            <w:vAlign w:val="center"/>
            <w:hideMark/>
          </w:tcPr>
          <w:p w14:paraId="2DC80126" w14:textId="77777777" w:rsidR="00E67A69" w:rsidRPr="00E67A69" w:rsidRDefault="00E67A69" w:rsidP="00E67A69">
            <w:pPr>
              <w:spacing w:after="0"/>
              <w:ind w:firstLineChars="200" w:firstLine="360"/>
              <w:contextualSpacing/>
              <w:jc w:val="left"/>
              <w:rPr>
                <w:rFonts w:eastAsia="Times New Roman" w:cs="Times New Roman"/>
                <w:color w:val="000000"/>
                <w:sz w:val="18"/>
                <w:szCs w:val="18"/>
              </w:rPr>
            </w:pPr>
            <w:r w:rsidRPr="00E67A69">
              <w:rPr>
                <w:rFonts w:eastAsia="Times New Roman" w:cs="Times New Roman"/>
                <w:color w:val="000000"/>
                <w:sz w:val="18"/>
                <w:szCs w:val="18"/>
              </w:rPr>
              <w:t>Pārējie izdevumi</w:t>
            </w:r>
          </w:p>
        </w:tc>
        <w:tc>
          <w:tcPr>
            <w:tcW w:w="868" w:type="dxa"/>
            <w:noWrap/>
            <w:hideMark/>
          </w:tcPr>
          <w:p w14:paraId="6CE0E7F8"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118,7</w:t>
            </w:r>
          </w:p>
        </w:tc>
        <w:tc>
          <w:tcPr>
            <w:tcW w:w="868" w:type="dxa"/>
            <w:noWrap/>
            <w:hideMark/>
          </w:tcPr>
          <w:p w14:paraId="0B2FF4C8"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95,1</w:t>
            </w:r>
          </w:p>
        </w:tc>
        <w:tc>
          <w:tcPr>
            <w:tcW w:w="868" w:type="dxa"/>
            <w:noWrap/>
            <w:hideMark/>
          </w:tcPr>
          <w:p w14:paraId="49CE4E7C"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77,5</w:t>
            </w:r>
          </w:p>
        </w:tc>
        <w:tc>
          <w:tcPr>
            <w:tcW w:w="869" w:type="dxa"/>
            <w:noWrap/>
            <w:hideMark/>
          </w:tcPr>
          <w:p w14:paraId="0AA5BCDF"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70,0</w:t>
            </w:r>
          </w:p>
        </w:tc>
        <w:tc>
          <w:tcPr>
            <w:tcW w:w="868" w:type="dxa"/>
          </w:tcPr>
          <w:p w14:paraId="134B77FA" w14:textId="77777777" w:rsidR="00E67A69" w:rsidRPr="00E67A69" w:rsidRDefault="00E67A69" w:rsidP="00E67A69">
            <w:pPr>
              <w:spacing w:after="0"/>
              <w:ind w:firstLine="0"/>
              <w:jc w:val="right"/>
              <w:rPr>
                <w:rFonts w:cs="Times New Roman"/>
                <w:sz w:val="18"/>
                <w:szCs w:val="18"/>
              </w:rPr>
            </w:pPr>
            <w:r w:rsidRPr="00E67A69">
              <w:rPr>
                <w:rFonts w:cs="Times New Roman"/>
                <w:sz w:val="18"/>
                <w:szCs w:val="18"/>
              </w:rPr>
              <w:t>66,6</w:t>
            </w:r>
          </w:p>
        </w:tc>
        <w:tc>
          <w:tcPr>
            <w:tcW w:w="868" w:type="dxa"/>
            <w:noWrap/>
            <w:vAlign w:val="bottom"/>
            <w:hideMark/>
          </w:tcPr>
          <w:p w14:paraId="514677CD"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77,1</w:t>
            </w:r>
          </w:p>
        </w:tc>
        <w:tc>
          <w:tcPr>
            <w:tcW w:w="868" w:type="dxa"/>
            <w:noWrap/>
            <w:vAlign w:val="bottom"/>
            <w:hideMark/>
          </w:tcPr>
          <w:p w14:paraId="176EE657"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71,3</w:t>
            </w:r>
          </w:p>
        </w:tc>
        <w:tc>
          <w:tcPr>
            <w:tcW w:w="869" w:type="dxa"/>
            <w:noWrap/>
            <w:vAlign w:val="bottom"/>
            <w:hideMark/>
          </w:tcPr>
          <w:p w14:paraId="14875C8B"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66,7</w:t>
            </w:r>
          </w:p>
        </w:tc>
      </w:tr>
    </w:tbl>
    <w:p w14:paraId="75089186" w14:textId="77777777" w:rsidR="0040119D" w:rsidRDefault="0040119D" w:rsidP="00C90FCC">
      <w:pPr>
        <w:spacing w:after="240"/>
        <w:ind w:firstLine="0"/>
        <w:jc w:val="center"/>
        <w:rPr>
          <w:rFonts w:eastAsia="Times New Roman" w:cs="Times New Roman"/>
          <w:b/>
          <w:sz w:val="28"/>
          <w:szCs w:val="32"/>
          <w:lang w:eastAsia="en-US"/>
        </w:rPr>
      </w:pPr>
    </w:p>
    <w:p w14:paraId="223E61E4" w14:textId="4A17258E" w:rsidR="00E67A69" w:rsidRPr="00E67A69" w:rsidRDefault="00E67A69" w:rsidP="00E67A69">
      <w:pPr>
        <w:spacing w:before="240" w:after="240"/>
        <w:ind w:firstLine="0"/>
        <w:jc w:val="center"/>
        <w:rPr>
          <w:rFonts w:eastAsia="Times New Roman" w:cs="Times New Roman"/>
          <w:sz w:val="28"/>
          <w:szCs w:val="32"/>
          <w:lang w:eastAsia="en-US"/>
        </w:rPr>
      </w:pPr>
      <w:r w:rsidRPr="00E67A69">
        <w:rPr>
          <w:rFonts w:eastAsia="Times New Roman" w:cs="Times New Roman"/>
          <w:b/>
          <w:sz w:val="28"/>
          <w:szCs w:val="32"/>
          <w:lang w:eastAsia="en-US"/>
        </w:rPr>
        <w:t>Valsts pamatbudžets</w:t>
      </w:r>
    </w:p>
    <w:p w14:paraId="4E3E1A41" w14:textId="77777777" w:rsidR="00E67A69" w:rsidRPr="00E67A69" w:rsidRDefault="00E67A69" w:rsidP="00E67A69">
      <w:pPr>
        <w:rPr>
          <w:noProof/>
        </w:rPr>
      </w:pPr>
      <w:r w:rsidRPr="00E67A69">
        <w:rPr>
          <w:noProof/>
        </w:rPr>
        <w:t>Ja 2024. gada astoņos mēnešos</w:t>
      </w:r>
      <w:r w:rsidRPr="00E67A69">
        <w:rPr>
          <w:b/>
          <w:bCs/>
          <w:noProof/>
        </w:rPr>
        <w:t xml:space="preserve"> </w:t>
      </w:r>
      <w:r w:rsidRPr="00E67A69">
        <w:rPr>
          <w:noProof/>
        </w:rPr>
        <w:t xml:space="preserve">valsts pamatbudžeta ieņēmumi pieauga straujāk nekā izdevumi, tad 2025. gada astoņos mēnešos atbilstoši ES fondu investīciju ciklam ĀFP </w:t>
      </w:r>
      <w:r w:rsidRPr="00E67A69">
        <w:rPr>
          <w:noProof/>
        </w:rPr>
        <w:lastRenderedPageBreak/>
        <w:t xml:space="preserve">ieņēmumi bija ievērojami mazāki (par 395,9 milj. </w:t>
      </w:r>
      <w:r w:rsidRPr="00E67A69">
        <w:rPr>
          <w:i/>
          <w:iCs/>
          <w:noProof/>
        </w:rPr>
        <w:t>euro</w:t>
      </w:r>
      <w:r w:rsidRPr="00E67A69">
        <w:rPr>
          <w:noProof/>
        </w:rPr>
        <w:t xml:space="preserve">). Kopējiem ieņēmumiem 2025. gada astoņos mēnešos samazinoties par 2,6%, bet izdevumiem pieaugot par 11,9%, valsts pamatbudžeta deficīts bija </w:t>
      </w:r>
      <w:r w:rsidRPr="00E67A69">
        <w:t xml:space="preserve">811,6 milj. </w:t>
      </w:r>
      <w:r w:rsidRPr="00E67A69">
        <w:rPr>
          <w:i/>
          <w:iCs/>
        </w:rPr>
        <w:t>euro</w:t>
      </w:r>
      <w:r w:rsidRPr="00E67A69">
        <w:t>.</w:t>
      </w:r>
      <w:r w:rsidRPr="00E67A69">
        <w:rPr>
          <w:noProof/>
        </w:rPr>
        <w:t xml:space="preserve"> </w:t>
      </w:r>
    </w:p>
    <w:p w14:paraId="3F8212D2" w14:textId="77777777" w:rsidR="00E67A69" w:rsidRPr="00E67A69" w:rsidRDefault="00E67A69" w:rsidP="00E67A69">
      <w:pPr>
        <w:rPr>
          <w:rFonts w:eastAsia="Times New Roman" w:cs="Times New Roman"/>
          <w:szCs w:val="24"/>
          <w:lang w:eastAsia="en-US"/>
        </w:rPr>
      </w:pPr>
      <w:r w:rsidRPr="00E67A69">
        <w:rPr>
          <w:noProof/>
        </w:rPr>
        <w:t xml:space="preserve">Astoņos mēnešos ir paātrinājies ES fondu investīciju temps, pieaugot </w:t>
      </w:r>
      <w:r w:rsidRPr="00E67A69">
        <w:rPr>
          <w:rFonts w:eastAsia="Times New Roman" w:cs="Times New Roman"/>
          <w:noProof/>
          <w:szCs w:val="24"/>
          <w:lang w:eastAsia="en-US"/>
        </w:rPr>
        <w:t xml:space="preserve">finansējumam ES fondu 2021.-2027. gada plānošanas perioda projektu īstenošanai, Atveseļošanas fonda projektiem un </w:t>
      </w:r>
      <w:r w:rsidRPr="00E67A69">
        <w:rPr>
          <w:rFonts w:eastAsia="Times New Roman" w:cs="Times New Roman"/>
          <w:i/>
          <w:iCs/>
          <w:noProof/>
          <w:szCs w:val="24"/>
          <w:lang w:eastAsia="en-US"/>
        </w:rPr>
        <w:t>Rail Baltica</w:t>
      </w:r>
      <w:r w:rsidRPr="00E67A69">
        <w:rPr>
          <w:rFonts w:eastAsia="Times New Roman" w:cs="Times New Roman"/>
          <w:noProof/>
          <w:szCs w:val="24"/>
          <w:lang w:eastAsia="en-US"/>
        </w:rPr>
        <w:t xml:space="preserve"> projekta </w:t>
      </w:r>
      <w:r w:rsidRPr="00E67A69">
        <w:rPr>
          <w:rFonts w:eastAsia="Times New Roman" w:cs="Times New Roman"/>
          <w:szCs w:val="24"/>
          <w:lang w:eastAsia="en-US"/>
        </w:rPr>
        <w:t xml:space="preserve">īstenošanai. </w:t>
      </w:r>
      <w:r w:rsidRPr="00E67A69">
        <w:rPr>
          <w:noProof/>
        </w:rPr>
        <w:t xml:space="preserve">2025. gada astoņos mēnešos valsts pamatbudžeta izdevumi subsīdijām un dotācijām sasniedza 2,5 mljrd. </w:t>
      </w:r>
      <w:r w:rsidRPr="00E67A69">
        <w:rPr>
          <w:i/>
          <w:iCs/>
          <w:noProof/>
        </w:rPr>
        <w:t>euro</w:t>
      </w:r>
      <w:r w:rsidRPr="00E67A69">
        <w:rPr>
          <w:noProof/>
        </w:rPr>
        <w:t xml:space="preserve">, kas ir par 140,8 milj. </w:t>
      </w:r>
      <w:r w:rsidRPr="00E67A69">
        <w:rPr>
          <w:i/>
          <w:iCs/>
          <w:noProof/>
        </w:rPr>
        <w:t>euro</w:t>
      </w:r>
      <w:r w:rsidRPr="00E67A69">
        <w:rPr>
          <w:noProof/>
        </w:rPr>
        <w:t xml:space="preserve"> jeb 6% vairāk nekā pērn. No tiem būtisku daļu veidoja valsts pamatbudžeta ieguldījumi ES līdzfinansēto projektu īstenošanā, kas pieauga par 235,4 milj. </w:t>
      </w:r>
      <w:r w:rsidRPr="00E67A69">
        <w:rPr>
          <w:i/>
          <w:iCs/>
          <w:noProof/>
        </w:rPr>
        <w:t>euro</w:t>
      </w:r>
      <w:r w:rsidRPr="00E67A69">
        <w:rPr>
          <w:noProof/>
        </w:rPr>
        <w:t xml:space="preserve"> salīdzinājumā ar 2024. gadu. </w:t>
      </w:r>
    </w:p>
    <w:p w14:paraId="7C18C8A5" w14:textId="77777777" w:rsidR="00E67A69" w:rsidRPr="00E67A69" w:rsidRDefault="00E67A69" w:rsidP="00E67A69">
      <w:pPr>
        <w:rPr>
          <w:noProof/>
        </w:rPr>
      </w:pPr>
      <w:r w:rsidRPr="00E67A69">
        <w:rPr>
          <w:noProof/>
        </w:rPr>
        <w:t xml:space="preserve">Tāpat 2025. gada astoņos mēnešos par 94,6 milj. </w:t>
      </w:r>
      <w:r w:rsidRPr="00E67A69">
        <w:rPr>
          <w:i/>
          <w:iCs/>
          <w:noProof/>
        </w:rPr>
        <w:t>euro</w:t>
      </w:r>
      <w:r w:rsidRPr="00E67A69">
        <w:rPr>
          <w:noProof/>
        </w:rPr>
        <w:t xml:space="preserve"> jeb 16,6% ir auguši valsts pamatbudžeta izdevumi pamatkapitāla veidošanai, sasniedzot 665,6 milj. </w:t>
      </w:r>
      <w:r w:rsidRPr="00E67A69">
        <w:rPr>
          <w:i/>
          <w:iCs/>
          <w:noProof/>
        </w:rPr>
        <w:t>euro</w:t>
      </w:r>
      <w:r w:rsidRPr="00E67A69">
        <w:rPr>
          <w:noProof/>
        </w:rPr>
        <w:t xml:space="preserve">, kur ES līdzfinansēto projektu īstenošanai investēts par 59,9 milj. </w:t>
      </w:r>
      <w:r w:rsidRPr="00E67A69">
        <w:rPr>
          <w:i/>
          <w:iCs/>
          <w:noProof/>
        </w:rPr>
        <w:t>euro</w:t>
      </w:r>
      <w:r w:rsidRPr="00E67A69">
        <w:rPr>
          <w:noProof/>
        </w:rPr>
        <w:t xml:space="preserve"> vairāk. </w:t>
      </w:r>
      <w:bookmarkStart w:id="56" w:name="_Hlk210644791"/>
      <w:r w:rsidRPr="00E67A69">
        <w:rPr>
          <w:noProof/>
        </w:rPr>
        <w:t xml:space="preserve">Savukārt kapitālie izdevumi pamatfunkciju veikšanai 2025. gada astoņos mēnešos auguši par 34,7 milj. </w:t>
      </w:r>
      <w:r w:rsidRPr="00E67A69">
        <w:rPr>
          <w:i/>
          <w:iCs/>
          <w:noProof/>
        </w:rPr>
        <w:t>euro</w:t>
      </w:r>
      <w:r w:rsidRPr="00E67A69">
        <w:rPr>
          <w:noProof/>
        </w:rPr>
        <w:t>, pamatā dēļ lielākiem izdevumiem aizsardzībai.</w:t>
      </w:r>
    </w:p>
    <w:bookmarkEnd w:id="56"/>
    <w:p w14:paraId="5DD65149" w14:textId="77777777" w:rsidR="00E67A69" w:rsidRPr="00E67A69" w:rsidRDefault="00E67A69" w:rsidP="00E67A69">
      <w:pPr>
        <w:rPr>
          <w:noProof/>
        </w:rPr>
      </w:pPr>
      <w:r w:rsidRPr="00E67A69">
        <w:rPr>
          <w:noProof/>
        </w:rPr>
        <w:t xml:space="preserve">Valsts pamatbudžeta izdevumi precēm un pakalpojumiem 2025. gada janvārī-augustā 787 milj. </w:t>
      </w:r>
      <w:r w:rsidRPr="00E67A69">
        <w:rPr>
          <w:i/>
          <w:iCs/>
          <w:noProof/>
        </w:rPr>
        <w:t>euro</w:t>
      </w:r>
      <w:r w:rsidRPr="00E67A69">
        <w:rPr>
          <w:noProof/>
        </w:rPr>
        <w:t xml:space="preserve"> apmērā bija par 159,3 milj. </w:t>
      </w:r>
      <w:r w:rsidRPr="00E67A69">
        <w:rPr>
          <w:i/>
          <w:iCs/>
          <w:noProof/>
        </w:rPr>
        <w:t>euro</w:t>
      </w:r>
      <w:r w:rsidRPr="00E67A69">
        <w:rPr>
          <w:noProof/>
        </w:rPr>
        <w:t xml:space="preserve"> jeb 25,4% augstāki nekā gadu iepriekš, kas pamatā saistāms ar aizsardzības izdevumiem – 2025. gada februārī veikts avansa maksājums 124,6 milj. </w:t>
      </w:r>
      <w:r w:rsidRPr="00E67A69">
        <w:rPr>
          <w:i/>
          <w:iCs/>
          <w:noProof/>
        </w:rPr>
        <w:t>euro</w:t>
      </w:r>
      <w:r w:rsidRPr="00E67A69">
        <w:rPr>
          <w:noProof/>
        </w:rPr>
        <w:t xml:space="preserve"> apmērā militārā inventāra iegādei. Neņemot vērā izdevumus aizsardzības resoram, valsts pamatbudžeta izdevumi precēm un pakalpojumiem būtu tuvu 2024. gada līmenim. </w:t>
      </w:r>
    </w:p>
    <w:p w14:paraId="01F9345E" w14:textId="77777777" w:rsidR="00E67A69" w:rsidRPr="00E67A69" w:rsidRDefault="00E67A69" w:rsidP="00E67A69">
      <w:pPr>
        <w:rPr>
          <w:noProof/>
        </w:rPr>
      </w:pPr>
      <w:r w:rsidRPr="00E67A69">
        <w:rPr>
          <w:noProof/>
        </w:rPr>
        <w:t xml:space="preserve">2025. gada janvārī-augustā atlīdzībai valsts pamatbudžetā izlietoti 1,2 mljrd. </w:t>
      </w:r>
      <w:r w:rsidRPr="00E67A69">
        <w:rPr>
          <w:i/>
          <w:iCs/>
          <w:noProof/>
        </w:rPr>
        <w:t>euro</w:t>
      </w:r>
      <w:r w:rsidRPr="00E67A69">
        <w:rPr>
          <w:noProof/>
        </w:rPr>
        <w:t xml:space="preserve">, kas ir par 71,4 milj. </w:t>
      </w:r>
      <w:r w:rsidRPr="00E67A69">
        <w:rPr>
          <w:i/>
          <w:iCs/>
          <w:noProof/>
        </w:rPr>
        <w:t>euro</w:t>
      </w:r>
      <w:r w:rsidRPr="00E67A69">
        <w:rPr>
          <w:noProof/>
        </w:rPr>
        <w:t xml:space="preserve"> jeb 6,2% vairāk nekā gadu iepriekš, galvenokārt saistībā ar algu pieaugumu iekšlietu struktūrās un aizsardzības resorā. Jāatzīmē, ka 2025. gada budžeta plānā  jau bija paredzēts atlīdzības izdevumu pieaugums (pret 2024. gada plānu uz 31.07.2025), ņemot vērā gan valdības noteikto ierobežojumu atlīdzības pieaugumam publiskajā sektorā 2,6%, gan apstiprinātos izņēmumus attiecībā uz atsevišķos sektoros strādājošajiem.</w:t>
      </w:r>
    </w:p>
    <w:p w14:paraId="505A9B44" w14:textId="77777777" w:rsidR="00E67A69" w:rsidRPr="00E67A69" w:rsidRDefault="00E67A69" w:rsidP="00E67A69">
      <w:pPr>
        <w:rPr>
          <w:rFonts w:eastAsia="Times New Roman" w:cs="Times New Roman"/>
          <w:szCs w:val="24"/>
          <w:lang w:eastAsia="en-US"/>
        </w:rPr>
      </w:pPr>
      <w:r w:rsidRPr="00E67A69">
        <w:rPr>
          <w:rFonts w:eastAsia="Times New Roman" w:cs="Times New Roman"/>
          <w:szCs w:val="24"/>
          <w:lang w:eastAsia="en-US"/>
        </w:rPr>
        <w:t>Sagatavojot valsts pamatbudžeta izdevumu prognozes 2026.-2028. gadam, ir ņemtas vērā šādas izmaiņas:</w:t>
      </w:r>
    </w:p>
    <w:p w14:paraId="3F03647C" w14:textId="77777777" w:rsidR="00E67A69" w:rsidRPr="00E67A69" w:rsidRDefault="00E67A69" w:rsidP="00812C49">
      <w:pPr>
        <w:numPr>
          <w:ilvl w:val="0"/>
          <w:numId w:val="8"/>
        </w:numPr>
        <w:spacing w:after="60"/>
        <w:ind w:left="0" w:firstLine="709"/>
        <w:rPr>
          <w:rFonts w:eastAsiaTheme="majorEastAsia" w:cs="Times New Roman"/>
          <w:szCs w:val="24"/>
        </w:rPr>
      </w:pPr>
      <w:r w:rsidRPr="00E67A69">
        <w:rPr>
          <w:rFonts w:eastAsiaTheme="majorEastAsia" w:cs="Times New Roman"/>
          <w:szCs w:val="24"/>
        </w:rPr>
        <w:t xml:space="preserve">Prognozēts, ka ĀFP izdevumi 2026. gadā turpinās augt un veidos ap 2,7 mljrd. </w:t>
      </w:r>
      <w:r w:rsidRPr="00E67A69">
        <w:rPr>
          <w:rFonts w:eastAsiaTheme="majorEastAsia" w:cs="Times New Roman"/>
          <w:i/>
          <w:iCs/>
          <w:szCs w:val="24"/>
        </w:rPr>
        <w:t>euro</w:t>
      </w:r>
      <w:r w:rsidRPr="00E67A69">
        <w:rPr>
          <w:rFonts w:eastAsiaTheme="majorEastAsia" w:cs="Times New Roman"/>
          <w:szCs w:val="24"/>
        </w:rPr>
        <w:t>, bet turpmākajos gados līdz ar Atveseļošanas fonda un 2021.-2027. gada ES fondu plānošanas perioda noslēgšanos samazināsies;</w:t>
      </w:r>
    </w:p>
    <w:p w14:paraId="0032BF4B" w14:textId="77777777" w:rsidR="00E67A69" w:rsidRPr="00E67A69" w:rsidRDefault="00E67A69" w:rsidP="00812C49">
      <w:pPr>
        <w:numPr>
          <w:ilvl w:val="0"/>
          <w:numId w:val="8"/>
        </w:numPr>
        <w:spacing w:after="60"/>
        <w:ind w:left="0" w:firstLine="709"/>
        <w:rPr>
          <w:rFonts w:eastAsiaTheme="majorEastAsia" w:cs="Times New Roman"/>
          <w:noProof/>
          <w:szCs w:val="24"/>
        </w:rPr>
      </w:pPr>
      <w:r w:rsidRPr="00E67A69">
        <w:rPr>
          <w:rFonts w:eastAsiaTheme="majorEastAsia" w:cs="Times New Roman"/>
          <w:szCs w:val="24"/>
        </w:rPr>
        <w:t xml:space="preserve">Valsts pamatbudžeta 74. resorā izveidota jauna apakšprogramma 24.00.00 “Valsts aizsardzības un drošības fonds”. </w:t>
      </w:r>
      <w:r w:rsidRPr="00E67A69">
        <w:rPr>
          <w:rFonts w:eastAsiaTheme="majorEastAsia" w:cs="Times New Roman"/>
          <w:noProof/>
          <w:szCs w:val="24"/>
        </w:rPr>
        <w:t xml:space="preserve">Minētajā programmā ieplānots šāds papildu finansējums pa gadiem: 2026. gadā 424,5 milj. </w:t>
      </w:r>
      <w:r w:rsidRPr="00E67A69">
        <w:rPr>
          <w:rFonts w:eastAsiaTheme="majorEastAsia" w:cs="Times New Roman"/>
          <w:i/>
          <w:iCs/>
          <w:noProof/>
          <w:szCs w:val="24"/>
        </w:rPr>
        <w:t>euro</w:t>
      </w:r>
      <w:r w:rsidRPr="00E67A69">
        <w:rPr>
          <w:rFonts w:eastAsiaTheme="majorEastAsia" w:cs="Times New Roman"/>
          <w:noProof/>
          <w:szCs w:val="24"/>
        </w:rPr>
        <w:t xml:space="preserve">, 2027. gadā 497,0 milj. </w:t>
      </w:r>
      <w:r w:rsidRPr="00E67A69">
        <w:rPr>
          <w:rFonts w:eastAsiaTheme="majorEastAsia" w:cs="Times New Roman"/>
          <w:i/>
          <w:iCs/>
          <w:noProof/>
          <w:szCs w:val="24"/>
        </w:rPr>
        <w:t>euro</w:t>
      </w:r>
      <w:r w:rsidRPr="00E67A69">
        <w:rPr>
          <w:rFonts w:eastAsiaTheme="majorEastAsia" w:cs="Times New Roman"/>
          <w:noProof/>
          <w:szCs w:val="24"/>
        </w:rPr>
        <w:t xml:space="preserve"> un 2028. gadā 716,8 milj. </w:t>
      </w:r>
      <w:r w:rsidRPr="00E67A69">
        <w:rPr>
          <w:rFonts w:eastAsiaTheme="majorEastAsia" w:cs="Times New Roman"/>
          <w:i/>
          <w:iCs/>
          <w:noProof/>
          <w:szCs w:val="24"/>
        </w:rPr>
        <w:t>euro</w:t>
      </w:r>
      <w:r w:rsidRPr="00E67A69">
        <w:rPr>
          <w:rFonts w:eastAsiaTheme="majorEastAsia" w:cs="Times New Roman"/>
          <w:noProof/>
          <w:szCs w:val="24"/>
        </w:rPr>
        <w:t>, kas būtiski palielina kopējo izdevumu un deficīta līmeni valsts pamatbudžetā;</w:t>
      </w:r>
    </w:p>
    <w:p w14:paraId="35E15658" w14:textId="77777777" w:rsidR="00E67A69" w:rsidRPr="00E67A69" w:rsidRDefault="00E67A69" w:rsidP="00812C49">
      <w:pPr>
        <w:numPr>
          <w:ilvl w:val="0"/>
          <w:numId w:val="8"/>
        </w:numPr>
        <w:spacing w:after="60"/>
        <w:ind w:left="0" w:firstLine="709"/>
        <w:rPr>
          <w:rFonts w:eastAsiaTheme="majorEastAsia" w:cs="Times New Roman"/>
          <w:noProof/>
          <w:szCs w:val="24"/>
        </w:rPr>
      </w:pPr>
      <w:r w:rsidRPr="00E67A69">
        <w:rPr>
          <w:rFonts w:eastAsiaTheme="majorEastAsia" w:cs="Times New Roman"/>
          <w:noProof/>
          <w:szCs w:val="24"/>
        </w:rPr>
        <w:t>No 2026. gada 1. janvāra tiks palielināts atbalsts ģimenēm ar bērniem. Bērna piedzimšanas pabalsts palielināsies no 421,17 </w:t>
      </w:r>
      <w:r w:rsidRPr="00E67A69">
        <w:rPr>
          <w:rFonts w:eastAsiaTheme="majorEastAsia" w:cs="Times New Roman"/>
          <w:i/>
          <w:iCs/>
          <w:noProof/>
          <w:szCs w:val="24"/>
        </w:rPr>
        <w:t>euro</w:t>
      </w:r>
      <w:r w:rsidRPr="00E67A69">
        <w:rPr>
          <w:rFonts w:eastAsiaTheme="majorEastAsia" w:cs="Times New Roman"/>
          <w:noProof/>
          <w:szCs w:val="24"/>
        </w:rPr>
        <w:t xml:space="preserve"> līdz 600 </w:t>
      </w:r>
      <w:r w:rsidRPr="00E67A69">
        <w:rPr>
          <w:rFonts w:eastAsiaTheme="majorEastAsia" w:cs="Times New Roman"/>
          <w:i/>
          <w:iCs/>
          <w:noProof/>
          <w:szCs w:val="24"/>
        </w:rPr>
        <w:t>euro.</w:t>
      </w:r>
      <w:r w:rsidRPr="00E67A69">
        <w:rPr>
          <w:rFonts w:eastAsiaTheme="majorEastAsia" w:cs="Times New Roman"/>
          <w:noProof/>
          <w:szCs w:val="24"/>
        </w:rPr>
        <w:t xml:space="preserve"> Bērna kopšanas pabalsts par bērnu vecumā līdz pusotram gadam palielināsies no 171 </w:t>
      </w:r>
      <w:r w:rsidRPr="00E67A69">
        <w:rPr>
          <w:rFonts w:eastAsiaTheme="majorEastAsia" w:cs="Times New Roman"/>
          <w:i/>
          <w:iCs/>
          <w:noProof/>
          <w:szCs w:val="24"/>
        </w:rPr>
        <w:t>euro</w:t>
      </w:r>
      <w:r w:rsidRPr="00E67A69">
        <w:rPr>
          <w:rFonts w:eastAsiaTheme="majorEastAsia" w:cs="Times New Roman"/>
          <w:noProof/>
          <w:szCs w:val="24"/>
        </w:rPr>
        <w:t xml:space="preserve"> līdz 298 </w:t>
      </w:r>
      <w:r w:rsidRPr="00E67A69">
        <w:rPr>
          <w:rFonts w:eastAsiaTheme="majorEastAsia" w:cs="Times New Roman"/>
          <w:i/>
          <w:iCs/>
          <w:noProof/>
          <w:szCs w:val="24"/>
        </w:rPr>
        <w:t xml:space="preserve">euro </w:t>
      </w:r>
      <w:r w:rsidRPr="00E67A69">
        <w:rPr>
          <w:rFonts w:eastAsiaTheme="majorEastAsia" w:cs="Times New Roman"/>
          <w:noProof/>
          <w:szCs w:val="24"/>
        </w:rPr>
        <w:t>mēnesī, un turpmāk tas tiks pārskatīts ik pēc diviem gadiem. Ģimenes valsts pabalstu piešķirs arī par bērniem vecumā no 16 līdz 20 gadiem, kuri studē koledžā vai augstskolā pilna laika klātienē, tostarp ārvalstīs (šobrīd maksā tikai, ja mācās vispārējās izglītības vai profesionālās izglītības iestādē). Tāpat pārskatīti pabalsti aizbildnim par bērna uzturēšanu, kā arī adopcijas pabalsti un atlīdzība par adoptējamā bērna aprūpi mājās u.c.;</w:t>
      </w:r>
    </w:p>
    <w:p w14:paraId="6373069C" w14:textId="3A650D72" w:rsidR="00812C49" w:rsidRPr="00F62CC7" w:rsidRDefault="00E67A69" w:rsidP="00F62CC7">
      <w:pPr>
        <w:numPr>
          <w:ilvl w:val="0"/>
          <w:numId w:val="8"/>
        </w:numPr>
        <w:spacing w:after="60"/>
        <w:ind w:left="0" w:firstLine="709"/>
        <w:rPr>
          <w:rFonts w:eastAsiaTheme="majorEastAsia" w:cs="Times New Roman"/>
          <w:szCs w:val="24"/>
        </w:rPr>
      </w:pPr>
      <w:r w:rsidRPr="00E67A69">
        <w:rPr>
          <w:rFonts w:eastAsiaTheme="majorEastAsia" w:cs="Times New Roman"/>
          <w:szCs w:val="24"/>
        </w:rPr>
        <w:t xml:space="preserve">Ņemot vērā </w:t>
      </w:r>
      <w:r w:rsidRPr="00E67A69">
        <w:rPr>
          <w:rFonts w:eastAsiaTheme="majorEastAsia" w:cs="Times New Roman"/>
          <w:noProof/>
          <w:szCs w:val="24"/>
        </w:rPr>
        <w:t>augstākas procentu likmes pārfinansētiem aizņēmumiem un augstu valsts budžeta deficīta līmeni, valsts pamatbudžeta procentu izdevumi 2026. gadā tiek plānoti 586,5 milj.</w:t>
      </w:r>
      <w:r w:rsidRPr="00E67A69">
        <w:rPr>
          <w:rFonts w:eastAsiaTheme="majorEastAsia" w:cs="Times New Roman"/>
          <w:i/>
          <w:iCs/>
          <w:noProof/>
          <w:szCs w:val="24"/>
        </w:rPr>
        <w:t xml:space="preserve"> euro</w:t>
      </w:r>
      <w:r w:rsidRPr="00E67A69">
        <w:rPr>
          <w:rFonts w:eastAsiaTheme="majorEastAsia" w:cs="Times New Roman"/>
          <w:noProof/>
          <w:szCs w:val="24"/>
        </w:rPr>
        <w:t xml:space="preserve">, 2027. gadā 645,3 milj. </w:t>
      </w:r>
      <w:r w:rsidRPr="00E67A69">
        <w:rPr>
          <w:rFonts w:eastAsiaTheme="majorEastAsia" w:cs="Times New Roman"/>
          <w:i/>
          <w:iCs/>
          <w:noProof/>
          <w:szCs w:val="24"/>
        </w:rPr>
        <w:t>euro</w:t>
      </w:r>
      <w:r w:rsidRPr="00E67A69">
        <w:rPr>
          <w:rFonts w:eastAsiaTheme="majorEastAsia" w:cs="Times New Roman"/>
          <w:noProof/>
          <w:szCs w:val="24"/>
        </w:rPr>
        <w:t xml:space="preserve"> un 2028. gadā</w:t>
      </w:r>
      <w:r w:rsidRPr="00E67A69">
        <w:rPr>
          <w:rFonts w:eastAsiaTheme="majorEastAsia" w:cs="Times New Roman"/>
          <w:szCs w:val="24"/>
        </w:rPr>
        <w:t xml:space="preserve"> 724,6 milj. </w:t>
      </w:r>
      <w:r w:rsidRPr="00E67A69">
        <w:rPr>
          <w:rFonts w:eastAsiaTheme="majorEastAsia" w:cs="Times New Roman"/>
          <w:i/>
          <w:iCs/>
          <w:szCs w:val="24"/>
        </w:rPr>
        <w:t>euro</w:t>
      </w:r>
      <w:r w:rsidRPr="00E67A69">
        <w:rPr>
          <w:rFonts w:eastAsiaTheme="majorEastAsia" w:cs="Times New Roman"/>
          <w:szCs w:val="24"/>
        </w:rPr>
        <w:t>.</w:t>
      </w:r>
    </w:p>
    <w:p w14:paraId="100E447C" w14:textId="2C736EEB" w:rsidR="00E67A69" w:rsidRPr="00E67A69" w:rsidRDefault="00E67A69" w:rsidP="00E67A69">
      <w:pPr>
        <w:spacing w:before="240" w:after="240"/>
        <w:ind w:firstLine="0"/>
        <w:jc w:val="center"/>
        <w:rPr>
          <w:rFonts w:eastAsia="Times New Roman" w:cs="Times New Roman"/>
          <w:color w:val="000000"/>
          <w:sz w:val="28"/>
          <w:szCs w:val="32"/>
          <w:lang w:eastAsia="en-US"/>
        </w:rPr>
      </w:pPr>
      <w:r w:rsidRPr="00E67A69">
        <w:rPr>
          <w:rFonts w:eastAsia="Times New Roman" w:cs="Times New Roman"/>
          <w:b/>
          <w:color w:val="000000"/>
          <w:sz w:val="28"/>
          <w:szCs w:val="32"/>
          <w:lang w:eastAsia="en-US"/>
        </w:rPr>
        <w:lastRenderedPageBreak/>
        <w:t>Valsts speciālais budžets</w:t>
      </w:r>
    </w:p>
    <w:p w14:paraId="0E65F4A9" w14:textId="77777777" w:rsidR="00E67A69" w:rsidRPr="00E67A69" w:rsidRDefault="00E67A69" w:rsidP="00E67A69">
      <w:pPr>
        <w:rPr>
          <w:noProof/>
        </w:rPr>
      </w:pPr>
      <w:bookmarkStart w:id="57" w:name="_Hlk209768530"/>
      <w:r w:rsidRPr="00E67A69">
        <w:rPr>
          <w:noProof/>
        </w:rPr>
        <w:t>Valsts speciālajā budžetā, strauji augot ieņēmumiem no valsts sociālās apdrošināšanas iemaksām, 2025. gada astoņos mēnešos bijis 378,2 milj.</w:t>
      </w:r>
      <w:r w:rsidRPr="00E67A69">
        <w:rPr>
          <w:i/>
          <w:iCs/>
          <w:noProof/>
        </w:rPr>
        <w:t xml:space="preserve"> euro</w:t>
      </w:r>
      <w:r w:rsidRPr="00E67A69">
        <w:rPr>
          <w:noProof/>
        </w:rPr>
        <w:t xml:space="preserve"> pārpalikums, kas palielinājies par 77,4 milj. </w:t>
      </w:r>
      <w:r w:rsidRPr="00E67A69">
        <w:rPr>
          <w:i/>
          <w:iCs/>
          <w:noProof/>
        </w:rPr>
        <w:t>euro</w:t>
      </w:r>
      <w:r w:rsidRPr="00E67A69">
        <w:rPr>
          <w:noProof/>
        </w:rPr>
        <w:t xml:space="preserve"> salīdzinājumā ar astoņiem mēnešiem pirms gada. Valsts speciālā budžeta sociālā rakstura maksājumi 3 mljrd. </w:t>
      </w:r>
      <w:r w:rsidRPr="00E67A69">
        <w:rPr>
          <w:i/>
          <w:iCs/>
          <w:noProof/>
        </w:rPr>
        <w:t>euro</w:t>
      </w:r>
      <w:r w:rsidRPr="00E67A69">
        <w:rPr>
          <w:noProof/>
        </w:rPr>
        <w:t xml:space="preserve"> apmērā 2025. gada astoņos mēnešos bija par 222 milj. </w:t>
      </w:r>
      <w:r w:rsidRPr="00E67A69">
        <w:rPr>
          <w:i/>
          <w:iCs/>
          <w:noProof/>
        </w:rPr>
        <w:t>euro</w:t>
      </w:r>
      <w:r w:rsidRPr="00E67A69">
        <w:rPr>
          <w:noProof/>
        </w:rPr>
        <w:t xml:space="preserve"> jeb 7,9% lielāki nekā pirms gada. Augstas pensiju indeksācijas ietekmē pērn būtiski audzis vidējās izmaksātās pensijas apmērs, kas sekmēja izdevumu kāpumu vecuma pensijām. Tādējādi izdevumi vecuma pensijām sasniedza 2,2 mljrd. </w:t>
      </w:r>
      <w:r w:rsidRPr="00E67A69">
        <w:rPr>
          <w:i/>
          <w:iCs/>
          <w:noProof/>
        </w:rPr>
        <w:t>euro</w:t>
      </w:r>
      <w:r w:rsidRPr="00E67A69">
        <w:rPr>
          <w:noProof/>
        </w:rPr>
        <w:t xml:space="preserve"> un bija par 179,3 milj. </w:t>
      </w:r>
      <w:r w:rsidRPr="00E67A69">
        <w:rPr>
          <w:i/>
          <w:iCs/>
          <w:noProof/>
        </w:rPr>
        <w:t>euro</w:t>
      </w:r>
      <w:r w:rsidRPr="00E67A69">
        <w:rPr>
          <w:noProof/>
        </w:rPr>
        <w:t xml:space="preserve"> jeb 9,1% lielāki, salīdzinot ar 2024. gada astoņiem mēnešiem. Valsts sociālās apdrošināšanas aģentūras dati liecina, ka vidējā pensionāram izmaksātā pensija (ar piemaksu) 2025. gada augustā bija par 11,9% lielāka nekā pirms gada, sasniedzot 608 </w:t>
      </w:r>
      <w:r w:rsidRPr="00E67A69">
        <w:rPr>
          <w:i/>
          <w:iCs/>
          <w:noProof/>
        </w:rPr>
        <w:t>euro</w:t>
      </w:r>
      <w:r w:rsidRPr="00E67A69">
        <w:rPr>
          <w:noProof/>
        </w:rPr>
        <w:t xml:space="preserve">. To ietekmēja arī pensiju neapliekamā minimuma palielināšana no 2025. gada 1. janvāra, kamēr saņēmēju skaits bija 2024. gada līmenī. Savukārt izdevumi slimības pabalstiem pieauga par 10,9 milj. </w:t>
      </w:r>
      <w:r w:rsidRPr="00E67A69">
        <w:rPr>
          <w:i/>
          <w:iCs/>
          <w:noProof/>
        </w:rPr>
        <w:t>euro</w:t>
      </w:r>
      <w:r w:rsidRPr="00E67A69">
        <w:rPr>
          <w:noProof/>
        </w:rPr>
        <w:t xml:space="preserve"> jeb 4,2%, bet bezdarbnieka pabalstiem – par 5,3 milj. </w:t>
      </w:r>
      <w:r w:rsidRPr="00E67A69">
        <w:rPr>
          <w:i/>
          <w:iCs/>
          <w:noProof/>
        </w:rPr>
        <w:t>euro</w:t>
      </w:r>
      <w:r w:rsidRPr="00E67A69">
        <w:rPr>
          <w:noProof/>
        </w:rPr>
        <w:t xml:space="preserve"> jeb 4,3%, ko noteica lielāks vidējais pabalsta apmērs.</w:t>
      </w:r>
    </w:p>
    <w:p w14:paraId="78679FED" w14:textId="77777777" w:rsidR="00E67A69" w:rsidRPr="00E67A69" w:rsidRDefault="00E67A69" w:rsidP="00E67A69">
      <w:pPr>
        <w:rPr>
          <w:rFonts w:eastAsia="Times New Roman" w:cs="Times New Roman"/>
          <w:szCs w:val="20"/>
          <w:lang w:eastAsia="en-US"/>
        </w:rPr>
      </w:pPr>
      <w:r w:rsidRPr="00E67A69">
        <w:rPr>
          <w:rFonts w:eastAsia="Times New Roman" w:cs="Times New Roman"/>
          <w:szCs w:val="20"/>
          <w:lang w:eastAsia="en-US"/>
        </w:rPr>
        <w:t xml:space="preserve">Ņemot vērā valsts sociālās apdrošināšanas iemaksu 1 procentpunkta pārdali no fondēto pensiju shēmas uz pensiju 1. līmeni, 2025. gadā valsts speciālajā budžetā tiek prognozēts nozīmīgs pieaugums VSAOI ieņēmumos, kas turpināsies arī 2026. gadā. Turpmāku ieņēmumu pieaugumu noteiks darba samaksas kāpums vidējā termiņā atbilstoši makroekonomiskās attīstības scenārijam.  </w:t>
      </w:r>
    </w:p>
    <w:p w14:paraId="3A6F5191" w14:textId="77777777" w:rsidR="00E67A69" w:rsidRPr="00E67A69" w:rsidRDefault="00E67A69" w:rsidP="00E67A69">
      <w:pPr>
        <w:rPr>
          <w:rFonts w:eastAsia="Times New Roman" w:cs="Times New Roman"/>
          <w:szCs w:val="20"/>
          <w:lang w:eastAsia="en-US"/>
        </w:rPr>
      </w:pPr>
      <w:r w:rsidRPr="00E67A69">
        <w:rPr>
          <w:noProof/>
        </w:rPr>
        <w:t xml:space="preserve">Atbilstoši Labklājības ministrijas prognozēm valsts speciālā budžeta izdevumi vecuma pensijām 2025. gadā ir palielināti, galvenokārt darba dienu pārcelšanas dēļ (darba diena no 2026. gada 2. janvāra pārcelta uz 17. janvāri), kas paredz pensiju izmaksu veikšanu jau 2025. gada nogalē. Attiecīgi 2026. gadā izdevumi vecuma pensijām būs mazāki, jo daļa maksājumu tiks veikta priekšlaicīgi. Vienlaikus, samazinoties dzimstības rādītājiem, ir samazinājies gan faktiskais, gan prognozētais maternitātes un vecāku pabalstu saņēmēju skaits, tādēļ attiecīgi koriģēta arī šo pabalstu izdevumu prognoze vidējam termiņam. </w:t>
      </w:r>
    </w:p>
    <w:p w14:paraId="5B98F4ED" w14:textId="77777777" w:rsidR="00E67A69" w:rsidRPr="00E67A69" w:rsidRDefault="00E67A69" w:rsidP="00E67A69">
      <w:pPr>
        <w:rPr>
          <w:rFonts w:eastAsia="Times New Roman" w:cs="Times New Roman"/>
          <w:noProof/>
          <w:szCs w:val="28"/>
          <w:lang w:eastAsia="en-US"/>
        </w:rPr>
      </w:pPr>
      <w:r w:rsidRPr="00E67A69">
        <w:rPr>
          <w:rFonts w:eastAsia="Times New Roman" w:cs="Times New Roman"/>
          <w:noProof/>
          <w:szCs w:val="28"/>
          <w:lang w:eastAsia="en-US"/>
        </w:rPr>
        <w:t>Prognozējot izdevumus pensijām un sociālajiem pabalstiem vidējā termiņā, ir ņemtas vērā šādas izmaiņas:</w:t>
      </w:r>
    </w:p>
    <w:p w14:paraId="15F90C5B" w14:textId="77777777" w:rsidR="00E67A69" w:rsidRPr="00E67A69" w:rsidRDefault="00E67A69" w:rsidP="002A2EA2">
      <w:pPr>
        <w:numPr>
          <w:ilvl w:val="0"/>
          <w:numId w:val="8"/>
        </w:numPr>
        <w:ind w:left="0" w:firstLine="709"/>
        <w:contextualSpacing/>
        <w:rPr>
          <w:rFonts w:eastAsia="Times New Roman" w:cs="Times New Roman"/>
          <w:szCs w:val="28"/>
          <w:lang w:eastAsia="en-US"/>
        </w:rPr>
      </w:pPr>
      <w:r w:rsidRPr="00E67A69">
        <w:rPr>
          <w:rFonts w:eastAsia="Times New Roman" w:cs="Times New Roman"/>
          <w:szCs w:val="28"/>
          <w:lang w:eastAsia="en-US"/>
        </w:rPr>
        <w:t xml:space="preserve">No 2026. gada 1. janvāra pensiju piemaksas pie vecuma un invaliditātes pensijām piešķirtas tiem, kuri pensionējās 2018., 2019. un 2020. gadā. Šīs piemaksas attiecas uz apdrošināšanas stāžu, kas uzkrāts līdz 1995. gada beigām, un to apmērs būs 1,72 </w:t>
      </w:r>
      <w:r w:rsidRPr="00416413">
        <w:rPr>
          <w:rFonts w:eastAsia="Times New Roman" w:cs="Times New Roman"/>
          <w:i/>
          <w:iCs/>
          <w:szCs w:val="28"/>
          <w:lang w:eastAsia="en-US"/>
        </w:rPr>
        <w:t>euro</w:t>
      </w:r>
      <w:r w:rsidRPr="00E67A69">
        <w:rPr>
          <w:rFonts w:eastAsia="Times New Roman" w:cs="Times New Roman"/>
          <w:i/>
          <w:iCs/>
          <w:szCs w:val="28"/>
          <w:lang w:eastAsia="en-US"/>
        </w:rPr>
        <w:t xml:space="preserve"> </w:t>
      </w:r>
      <w:r w:rsidRPr="00E67A69">
        <w:rPr>
          <w:rFonts w:eastAsia="Times New Roman" w:cs="Times New Roman"/>
          <w:szCs w:val="28"/>
          <w:lang w:eastAsia="en-US"/>
        </w:rPr>
        <w:t>par katru apdrošināšanas stāža gadu;</w:t>
      </w:r>
    </w:p>
    <w:p w14:paraId="0E5BB3E3" w14:textId="77777777" w:rsidR="00E67A69" w:rsidRPr="00E67A69" w:rsidRDefault="00E67A69" w:rsidP="002A2EA2">
      <w:pPr>
        <w:numPr>
          <w:ilvl w:val="0"/>
          <w:numId w:val="8"/>
        </w:numPr>
        <w:shd w:val="clear" w:color="auto" w:fill="FFFFFF"/>
        <w:ind w:left="0" w:firstLine="709"/>
        <w:rPr>
          <w:szCs w:val="28"/>
          <w:lang w:eastAsia="en-US"/>
        </w:rPr>
      </w:pPr>
      <w:r w:rsidRPr="00E67A69">
        <w:rPr>
          <w:szCs w:val="28"/>
          <w:lang w:eastAsia="en-US"/>
        </w:rPr>
        <w:t>No 2025. gada 1. oktobra pensiju indeksācijā ik gadu pārskatīs valsts pensiju vai tās daļu līdz iepriekšējā gada vidējai apdrošināšanas iemaksu algai valstī (pašlaik – līdz 50 % no šīs algas), ņemot vērā inflāciju un daļu no darba algu reālā pieauguma. Attiecīgi tiks</w:t>
      </w:r>
      <w:r w:rsidRPr="00E67A69">
        <w:rPr>
          <w:rFonts w:eastAsia="Times New Roman" w:cs="Times New Roman"/>
          <w:szCs w:val="28"/>
          <w:lang w:eastAsia="en-US"/>
        </w:rPr>
        <w:t xml:space="preserve"> indeksēta tā pensijas vai atlīdzības daļa, kas nepārsniedz </w:t>
      </w:r>
      <w:r w:rsidRPr="00E67A69">
        <w:rPr>
          <w:rFonts w:eastAsia="Times New Roman" w:cs="Times New Roman"/>
          <w:noProof/>
          <w:szCs w:val="28"/>
          <w:lang w:eastAsia="en-US"/>
        </w:rPr>
        <w:t>1488</w:t>
      </w:r>
      <w:r w:rsidRPr="00E67A69">
        <w:rPr>
          <w:rFonts w:eastAsia="Times New Roman" w:cs="Times New Roman"/>
          <w:i/>
          <w:iCs/>
          <w:noProof/>
          <w:szCs w:val="28"/>
          <w:lang w:eastAsia="en-US"/>
        </w:rPr>
        <w:t> euro</w:t>
      </w:r>
      <w:r w:rsidRPr="00E67A69">
        <w:rPr>
          <w:rFonts w:eastAsia="Times New Roman" w:cs="Times New Roman"/>
          <w:noProof/>
          <w:szCs w:val="28"/>
          <w:lang w:eastAsia="en-US"/>
        </w:rPr>
        <w:t>;</w:t>
      </w:r>
    </w:p>
    <w:p w14:paraId="6F10C11C" w14:textId="77777777" w:rsidR="00E67A69" w:rsidRPr="00E67A69" w:rsidRDefault="00E67A69" w:rsidP="002A2EA2">
      <w:pPr>
        <w:numPr>
          <w:ilvl w:val="0"/>
          <w:numId w:val="8"/>
        </w:numPr>
        <w:shd w:val="clear" w:color="auto" w:fill="FFFFFF"/>
        <w:ind w:left="0" w:firstLine="709"/>
        <w:rPr>
          <w:szCs w:val="28"/>
          <w:lang w:eastAsia="en-US"/>
        </w:rPr>
      </w:pPr>
      <w:r w:rsidRPr="00E67A69">
        <w:rPr>
          <w:szCs w:val="28"/>
          <w:lang w:eastAsia="en-US"/>
        </w:rPr>
        <w:t xml:space="preserve">2025. gada </w:t>
      </w:r>
      <w:r w:rsidRPr="00E67A69">
        <w:rPr>
          <w:rFonts w:eastAsia="Times New Roman" w:cs="Times New Roman"/>
          <w:szCs w:val="28"/>
          <w:lang w:eastAsia="en-US"/>
        </w:rPr>
        <w:t xml:space="preserve">1. oktobrī indeksē vecuma, invaliditātes, izdienas un apgādnieka zaudējuma pensijas un atlīdzības, kuras piešķirtas vai pārrēķinātas līdz 2025. gada 30. septembrim. </w:t>
      </w:r>
      <w:r w:rsidRPr="00E67A69">
        <w:rPr>
          <w:szCs w:val="28"/>
          <w:lang w:eastAsia="en-US"/>
        </w:rPr>
        <w:t>Vecuma pensiju indeksācijā piemēro atšķirīgus indeksus, ņemot vērā apdrošināšanas stāžu, piemēram, līdz 29 gadiem indekss ir 1,0635, no 30 līdz 39 gadiem – 1,0686, no 40 līdz 44 gadiem – 1,0737, ja 45 un vairāk gadu – 1,0787. Invaliditātes, izdienas un apgādnieka zaudējuma pensijām, kā arī apdrošināšanas atlīdzībām piemēro indeksu 1,0635 neatkarīgi no stāža;</w:t>
      </w:r>
      <w:bookmarkEnd w:id="57"/>
    </w:p>
    <w:p w14:paraId="70CD5178" w14:textId="77777777" w:rsidR="00E67A69" w:rsidRPr="00E67A69" w:rsidRDefault="00E67A69" w:rsidP="002A2EA2">
      <w:pPr>
        <w:numPr>
          <w:ilvl w:val="0"/>
          <w:numId w:val="8"/>
        </w:numPr>
        <w:shd w:val="clear" w:color="auto" w:fill="FFFFFF"/>
        <w:ind w:left="0" w:firstLine="709"/>
        <w:rPr>
          <w:szCs w:val="28"/>
          <w:lang w:eastAsia="en-US"/>
        </w:rPr>
      </w:pPr>
      <w:r w:rsidRPr="00E67A69">
        <w:rPr>
          <w:rFonts w:eastAsia="Times New Roman" w:cs="Times New Roman"/>
          <w:noProof/>
          <w:szCs w:val="28"/>
          <w:lang w:eastAsia="en-US"/>
        </w:rPr>
        <w:t>No 2026. gada 1. janvāra strādājošo vecāku pabalsts būs 75% apmērā no piešķirtā vecāku pabalsta. To saņems vecāki, kuri bērna kopšanas laikā nav bērna kopšanas atvaļinājumā vai gūst ienākumus kā pašnodarbinātie.</w:t>
      </w:r>
    </w:p>
    <w:p w14:paraId="0FBB6401" w14:textId="77777777" w:rsidR="00E67A69" w:rsidRPr="00E67A69" w:rsidRDefault="00E67A69" w:rsidP="00E67A69">
      <w:pPr>
        <w:spacing w:before="240"/>
        <w:ind w:firstLine="0"/>
        <w:jc w:val="center"/>
        <w:rPr>
          <w:rFonts w:eastAsia="Times New Roman" w:cs="Times New Roman"/>
          <w:b/>
          <w:color w:val="000000"/>
          <w:sz w:val="28"/>
          <w:szCs w:val="32"/>
          <w:lang w:eastAsia="en-US"/>
        </w:rPr>
      </w:pPr>
      <w:r w:rsidRPr="00E67A69">
        <w:rPr>
          <w:rFonts w:eastAsia="Times New Roman" w:cs="Times New Roman"/>
          <w:b/>
          <w:color w:val="000000"/>
          <w:sz w:val="28"/>
          <w:szCs w:val="32"/>
          <w:lang w:eastAsia="en-US"/>
        </w:rPr>
        <w:lastRenderedPageBreak/>
        <w:t>Atvasināto publisko personu budžets</w:t>
      </w:r>
    </w:p>
    <w:p w14:paraId="22F83423" w14:textId="77777777" w:rsidR="00E67A69" w:rsidRPr="00E67A69" w:rsidRDefault="00E67A69" w:rsidP="00E67A69">
      <w:pPr>
        <w:spacing w:before="120"/>
        <w:ind w:firstLine="709"/>
        <w:rPr>
          <w:rFonts w:eastAsia="Times New Roman" w:cs="Times New Roman"/>
          <w:noProof/>
          <w:szCs w:val="28"/>
          <w:lang w:eastAsia="en-US"/>
        </w:rPr>
      </w:pPr>
      <w:bookmarkStart w:id="58" w:name="_Hlk83887502"/>
      <w:bookmarkEnd w:id="55"/>
      <w:r w:rsidRPr="00E67A69">
        <w:rPr>
          <w:rFonts w:eastAsia="Times New Roman" w:cs="Times New Roman"/>
          <w:bCs/>
          <w:noProof/>
          <w:szCs w:val="28"/>
          <w:lang w:eastAsia="en-US"/>
        </w:rPr>
        <w:t>Atvasināto publisko personu</w:t>
      </w:r>
      <w:r w:rsidRPr="00E67A69">
        <w:rPr>
          <w:rFonts w:eastAsia="Times New Roman" w:cs="Times New Roman"/>
          <w:bCs/>
          <w:noProof/>
          <w:szCs w:val="28"/>
          <w:vertAlign w:val="superscript"/>
          <w:lang w:eastAsia="en-US"/>
        </w:rPr>
        <w:footnoteReference w:id="31"/>
      </w:r>
      <w:r w:rsidRPr="00E67A69">
        <w:rPr>
          <w:rFonts w:eastAsia="Times New Roman" w:cs="Times New Roman"/>
          <w:bCs/>
          <w:noProof/>
          <w:szCs w:val="28"/>
          <w:lang w:eastAsia="en-US"/>
        </w:rPr>
        <w:t xml:space="preserve"> budžetā (</w:t>
      </w:r>
      <w:r w:rsidRPr="00E67A69">
        <w:rPr>
          <w:rFonts w:eastAsia="Times New Roman" w:cs="Times New Roman"/>
          <w:noProof/>
          <w:szCs w:val="28"/>
          <w:lang w:eastAsia="en-US"/>
        </w:rPr>
        <w:t>turpmāk –</w:t>
      </w:r>
      <w:r w:rsidRPr="00E67A69">
        <w:rPr>
          <w:rFonts w:eastAsia="Times New Roman" w:cs="Times New Roman"/>
          <w:b/>
          <w:noProof/>
          <w:szCs w:val="28"/>
          <w:lang w:eastAsia="en-US"/>
        </w:rPr>
        <w:t xml:space="preserve"> </w:t>
      </w:r>
      <w:r w:rsidRPr="00E67A69">
        <w:rPr>
          <w:rFonts w:eastAsia="Times New Roman" w:cs="Times New Roman"/>
          <w:noProof/>
          <w:szCs w:val="28"/>
          <w:lang w:eastAsia="en-US"/>
        </w:rPr>
        <w:t xml:space="preserve">APP) jau kopš 2016. gada ik gadu veidojas pārpalikums, kas saistīts ar pieaugošajiem valsts budžeta transfertiem un lielākiem pašu ieņēmumiem, ko lielā mērā ietekmē augošie mācību maksu un citi ieņēmumi universitātēs. </w:t>
      </w:r>
    </w:p>
    <w:p w14:paraId="26F4D7EA" w14:textId="77777777" w:rsidR="00E67A69" w:rsidRPr="00E67A69" w:rsidRDefault="00E67A69" w:rsidP="00E67A69">
      <w:pPr>
        <w:rPr>
          <w:noProof/>
        </w:rPr>
      </w:pPr>
      <w:r w:rsidRPr="00E67A69">
        <w:rPr>
          <w:noProof/>
        </w:rPr>
        <w:t xml:space="preserve">2025. gada astoņos mēnešos atvasināto publisko personu budžetā bija 108,9 milj. </w:t>
      </w:r>
      <w:r w:rsidRPr="00E67A69">
        <w:rPr>
          <w:i/>
          <w:iCs/>
          <w:noProof/>
        </w:rPr>
        <w:t xml:space="preserve">euro </w:t>
      </w:r>
      <w:r w:rsidRPr="00E67A69">
        <w:rPr>
          <w:noProof/>
        </w:rPr>
        <w:t xml:space="preserve">pārpalikums, kas, salīdzinot ar astoņiem mēnešiem 2024. gadā, audzis par 41,6 milj. </w:t>
      </w:r>
      <w:r w:rsidRPr="00E67A69">
        <w:rPr>
          <w:i/>
          <w:iCs/>
          <w:noProof/>
        </w:rPr>
        <w:t>euro</w:t>
      </w:r>
      <w:r w:rsidRPr="00E67A69">
        <w:rPr>
          <w:noProof/>
        </w:rPr>
        <w:t xml:space="preserve">. Šajā budžetā augustā un kopumā astoņos mēnešos pieauga transferti no valsts pamatbudžeta, tostarp par 24,4 milj. </w:t>
      </w:r>
      <w:r w:rsidRPr="00E67A69">
        <w:rPr>
          <w:i/>
          <w:iCs/>
          <w:noProof/>
        </w:rPr>
        <w:t xml:space="preserve">euro </w:t>
      </w:r>
      <w:r w:rsidRPr="00E67A69">
        <w:rPr>
          <w:noProof/>
        </w:rPr>
        <w:t xml:space="preserve">vairāk Atveseļošanas fonda projektu īstenošanai un par 38,3 milj. </w:t>
      </w:r>
      <w:r w:rsidRPr="00E67A69">
        <w:rPr>
          <w:i/>
          <w:iCs/>
          <w:noProof/>
        </w:rPr>
        <w:t>euro</w:t>
      </w:r>
      <w:r w:rsidRPr="00E67A69">
        <w:rPr>
          <w:noProof/>
        </w:rPr>
        <w:t xml:space="preserve"> vairāk augstākās izglītības programmu nodrošināšanai, tai skaitā,</w:t>
      </w:r>
      <w:r w:rsidRPr="00E67A69">
        <w:t xml:space="preserve"> </w:t>
      </w:r>
      <w:r w:rsidRPr="00E67A69">
        <w:rPr>
          <w:noProof/>
        </w:rPr>
        <w:t xml:space="preserve">finansētu studiju vietu nodrošināšanai un tenūras profesūras fondam. Vienlaikus atvasināto publisko personu budžetā izdevumi atlīdzībai 2025. gada astoņos mēnešos sasniedza 239,5 milj. </w:t>
      </w:r>
      <w:r w:rsidRPr="00E67A69">
        <w:rPr>
          <w:i/>
          <w:iCs/>
          <w:noProof/>
        </w:rPr>
        <w:t>euro</w:t>
      </w:r>
      <w:r w:rsidRPr="00E67A69">
        <w:rPr>
          <w:noProof/>
        </w:rPr>
        <w:t xml:space="preserve">, kas ir par 34,3 milj. </w:t>
      </w:r>
      <w:r w:rsidRPr="00E67A69">
        <w:rPr>
          <w:i/>
          <w:iCs/>
          <w:noProof/>
        </w:rPr>
        <w:t>euro</w:t>
      </w:r>
      <w:r w:rsidRPr="00E67A69">
        <w:rPr>
          <w:noProof/>
        </w:rPr>
        <w:t xml:space="preserve"> jeb 16,7% vairāk nekā pirms gada. Šo kāpumu lielā mērā veicināja jaunā doktorantūras modeļa ieviešana no 2025. gada sākuma un papildu zinātnes projektu piesaiste lielākajās universitātēs.</w:t>
      </w:r>
    </w:p>
    <w:p w14:paraId="1A0C0480" w14:textId="77777777" w:rsidR="00E67A69" w:rsidRPr="00E67A69" w:rsidRDefault="00E67A69" w:rsidP="00E67A69">
      <w:pPr>
        <w:spacing w:before="120"/>
        <w:ind w:firstLine="709"/>
        <w:rPr>
          <w:rFonts w:eastAsia="Times New Roman" w:cs="Times New Roman"/>
          <w:noProof/>
          <w:szCs w:val="28"/>
          <w:lang w:eastAsia="en-US"/>
        </w:rPr>
      </w:pPr>
      <w:r w:rsidRPr="00E67A69">
        <w:rPr>
          <w:rFonts w:eastAsia="Times New Roman" w:cs="Times New Roman"/>
          <w:noProof/>
          <w:szCs w:val="28"/>
          <w:lang w:eastAsia="en-US"/>
        </w:rPr>
        <w:t>Arī vidējā termiņā šajā budžeta līmenī tiek prognozēts pārpalikums, ņemot vērā pieņēmumu par stabilu investīciju līmeni, kas veido aptuveni 10% no kopējiem APP izdevumiem, tai skaitā ES fondu projektiem, kur izdevumi tiek izlietoti atbilstoši saņemtajiem transfertiem no valsts pamatbudžeta.</w:t>
      </w:r>
    </w:p>
    <w:p w14:paraId="5A1569D5" w14:textId="7CD22A79" w:rsidR="00E67A69" w:rsidRPr="00E67A69" w:rsidRDefault="00E67A69" w:rsidP="00C904E1">
      <w:pPr>
        <w:ind w:firstLine="0"/>
        <w:jc w:val="right"/>
        <w:rPr>
          <w:rFonts w:eastAsia="Times New Roman" w:cs="Times New Roman"/>
          <w:b/>
          <w:i/>
          <w:szCs w:val="24"/>
          <w:lang w:eastAsia="en-US"/>
        </w:rPr>
      </w:pPr>
      <w:r w:rsidRPr="00E67A69">
        <w:rPr>
          <w:rFonts w:eastAsia="Times New Roman" w:cs="Times New Roman"/>
          <w:b/>
          <w:i/>
          <w:szCs w:val="24"/>
          <w:lang w:eastAsia="en-US"/>
        </w:rPr>
        <w:t>2.</w:t>
      </w:r>
      <w:r w:rsidR="0040119D">
        <w:rPr>
          <w:rFonts w:eastAsia="Times New Roman" w:cs="Times New Roman"/>
          <w:b/>
          <w:i/>
          <w:szCs w:val="24"/>
          <w:lang w:eastAsia="en-US"/>
        </w:rPr>
        <w:t>19</w:t>
      </w:r>
      <w:r w:rsidRPr="00E67A69">
        <w:rPr>
          <w:rFonts w:eastAsia="Times New Roman" w:cs="Times New Roman"/>
          <w:b/>
          <w:i/>
          <w:szCs w:val="24"/>
          <w:lang w:eastAsia="en-US"/>
        </w:rPr>
        <w:t xml:space="preserve">. tabula. Valsts konsolidētā budžeta bilance 2024. – 2028. gadā, milj. </w:t>
      </w:r>
      <w:r w:rsidRPr="00E67A69">
        <w:rPr>
          <w:rFonts w:eastAsia="Times New Roman" w:cs="Times New Roman"/>
          <w:b/>
          <w:i/>
          <w:noProof/>
          <w:szCs w:val="24"/>
          <w:lang w:eastAsia="en-US"/>
        </w:rPr>
        <w:t>euro</w:t>
      </w:r>
    </w:p>
    <w:tbl>
      <w:tblPr>
        <w:tblW w:w="9067" w:type="dxa"/>
        <w:jc w:val="center"/>
        <w:tblLayout w:type="fixed"/>
        <w:tblLook w:val="04A0" w:firstRow="1" w:lastRow="0" w:firstColumn="1" w:lastColumn="0" w:noHBand="0" w:noVBand="1"/>
      </w:tblPr>
      <w:tblGrid>
        <w:gridCol w:w="2263"/>
        <w:gridCol w:w="850"/>
        <w:gridCol w:w="851"/>
        <w:gridCol w:w="850"/>
        <w:gridCol w:w="851"/>
        <w:gridCol w:w="850"/>
        <w:gridCol w:w="851"/>
        <w:gridCol w:w="850"/>
        <w:gridCol w:w="851"/>
      </w:tblGrid>
      <w:tr w:rsidR="00E67A69" w:rsidRPr="00E67A69" w14:paraId="5103531F" w14:textId="77777777" w:rsidTr="00C217B4">
        <w:trPr>
          <w:trHeight w:val="75"/>
          <w:tblHeader/>
          <w:jc w:val="center"/>
        </w:trPr>
        <w:tc>
          <w:tcPr>
            <w:tcW w:w="2263" w:type="dxa"/>
            <w:vMerge w:val="restart"/>
            <w:tcBorders>
              <w:top w:val="single" w:sz="4" w:space="0" w:color="auto"/>
              <w:left w:val="single" w:sz="4" w:space="0" w:color="auto"/>
              <w:right w:val="single" w:sz="4" w:space="0" w:color="auto"/>
            </w:tcBorders>
            <w:shd w:val="clear" w:color="auto" w:fill="BDD6EE" w:themeFill="accent1" w:themeFillTint="66"/>
            <w:noWrap/>
            <w:vAlign w:val="bottom"/>
            <w:hideMark/>
          </w:tcPr>
          <w:bookmarkEnd w:id="58"/>
          <w:p w14:paraId="0289E73A" w14:textId="77777777" w:rsidR="00E67A69" w:rsidRPr="00E67A69" w:rsidRDefault="00E67A69" w:rsidP="00E67A69">
            <w:pPr>
              <w:spacing w:after="0"/>
              <w:ind w:firstLine="0"/>
              <w:jc w:val="left"/>
              <w:rPr>
                <w:rFonts w:eastAsia="Times New Roman" w:cs="Times New Roman"/>
                <w:sz w:val="18"/>
                <w:szCs w:val="18"/>
              </w:rPr>
            </w:pPr>
            <w:r w:rsidRPr="00E67A69">
              <w:rPr>
                <w:rFonts w:eastAsia="Times New Roman" w:cs="Times New Roman"/>
                <w:sz w:val="18"/>
                <w:szCs w:val="18"/>
              </w:rPr>
              <w:t> </w:t>
            </w:r>
          </w:p>
          <w:p w14:paraId="7F783D2F" w14:textId="77777777" w:rsidR="00E67A69" w:rsidRPr="00E67A69" w:rsidRDefault="00E67A69" w:rsidP="00E67A69">
            <w:pPr>
              <w:spacing w:after="0"/>
              <w:jc w:val="left"/>
              <w:rPr>
                <w:rFonts w:eastAsia="Times New Roman" w:cs="Times New Roman"/>
                <w:sz w:val="18"/>
                <w:szCs w:val="18"/>
              </w:rPr>
            </w:pPr>
            <w:r w:rsidRPr="00E67A69">
              <w:rPr>
                <w:rFonts w:eastAsia="Times New Roman" w:cs="Times New Roman"/>
                <w:b/>
                <w:bCs/>
                <w:sz w:val="18"/>
                <w:szCs w:val="18"/>
              </w:rPr>
              <w:t> </w:t>
            </w:r>
          </w:p>
        </w:tc>
        <w:tc>
          <w:tcPr>
            <w:tcW w:w="850"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42D03F38"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sz w:val="18"/>
                <w:szCs w:val="18"/>
              </w:rPr>
              <w:t>2024</w:t>
            </w:r>
          </w:p>
        </w:tc>
        <w:tc>
          <w:tcPr>
            <w:tcW w:w="8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4A161D96"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sz w:val="18"/>
                <w:szCs w:val="18"/>
              </w:rPr>
              <w:t>2025</w:t>
            </w:r>
          </w:p>
        </w:tc>
        <w:tc>
          <w:tcPr>
            <w:tcW w:w="850"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4D79DFF4"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sz w:val="18"/>
                <w:szCs w:val="18"/>
              </w:rPr>
              <w:t>2026</w:t>
            </w:r>
          </w:p>
        </w:tc>
        <w:tc>
          <w:tcPr>
            <w:tcW w:w="8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57917306"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sz w:val="18"/>
                <w:szCs w:val="18"/>
              </w:rPr>
              <w:t>2027</w:t>
            </w:r>
          </w:p>
        </w:tc>
        <w:tc>
          <w:tcPr>
            <w:tcW w:w="850" w:type="dxa"/>
            <w:tcBorders>
              <w:top w:val="single" w:sz="4" w:space="0" w:color="auto"/>
              <w:left w:val="nil"/>
              <w:bottom w:val="single" w:sz="4" w:space="0" w:color="auto"/>
              <w:right w:val="single" w:sz="4" w:space="0" w:color="auto"/>
            </w:tcBorders>
            <w:shd w:val="clear" w:color="auto" w:fill="BDD6EE" w:themeFill="accent1" w:themeFillTint="66"/>
          </w:tcPr>
          <w:p w14:paraId="01F68FCA"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sz w:val="18"/>
                <w:szCs w:val="18"/>
              </w:rPr>
              <w:t>2028</w:t>
            </w:r>
          </w:p>
        </w:tc>
        <w:tc>
          <w:tcPr>
            <w:tcW w:w="851"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6AF6ED5B"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sz w:val="18"/>
                <w:szCs w:val="18"/>
              </w:rPr>
              <w:t>2026</w:t>
            </w:r>
          </w:p>
        </w:tc>
        <w:tc>
          <w:tcPr>
            <w:tcW w:w="850"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1DFCA603"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sz w:val="18"/>
                <w:szCs w:val="18"/>
              </w:rPr>
              <w:t>2027</w:t>
            </w:r>
          </w:p>
        </w:tc>
        <w:tc>
          <w:tcPr>
            <w:tcW w:w="851" w:type="dxa"/>
            <w:tcBorders>
              <w:top w:val="single" w:sz="4" w:space="0" w:color="auto"/>
              <w:left w:val="nil"/>
              <w:bottom w:val="single" w:sz="4" w:space="0" w:color="auto"/>
              <w:right w:val="single" w:sz="4" w:space="0" w:color="auto"/>
            </w:tcBorders>
            <w:shd w:val="clear" w:color="auto" w:fill="BDD6EE" w:themeFill="accent1" w:themeFillTint="66"/>
            <w:noWrap/>
            <w:hideMark/>
          </w:tcPr>
          <w:p w14:paraId="00798581"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sz w:val="18"/>
                <w:szCs w:val="18"/>
              </w:rPr>
              <w:t>2028</w:t>
            </w:r>
          </w:p>
        </w:tc>
      </w:tr>
      <w:tr w:rsidR="00E67A69" w:rsidRPr="00E67A69" w14:paraId="1A56DC61" w14:textId="77777777" w:rsidTr="00C217B4">
        <w:trPr>
          <w:trHeight w:val="75"/>
          <w:tblHeader/>
          <w:jc w:val="center"/>
        </w:trPr>
        <w:tc>
          <w:tcPr>
            <w:tcW w:w="2263" w:type="dxa"/>
            <w:vMerge/>
            <w:tcBorders>
              <w:left w:val="single" w:sz="4" w:space="0" w:color="auto"/>
              <w:bottom w:val="single" w:sz="4" w:space="0" w:color="auto"/>
              <w:right w:val="single" w:sz="4" w:space="0" w:color="auto"/>
            </w:tcBorders>
            <w:shd w:val="clear" w:color="auto" w:fill="BDD6EE" w:themeFill="accent1" w:themeFillTint="66"/>
            <w:noWrap/>
            <w:vAlign w:val="bottom"/>
            <w:hideMark/>
          </w:tcPr>
          <w:p w14:paraId="07989B04" w14:textId="77777777" w:rsidR="00E67A69" w:rsidRPr="00E67A69" w:rsidRDefault="00E67A69" w:rsidP="00E67A69">
            <w:pPr>
              <w:spacing w:after="0"/>
              <w:ind w:firstLine="0"/>
              <w:jc w:val="left"/>
              <w:rPr>
                <w:rFonts w:eastAsia="Times New Roman" w:cs="Times New Roman"/>
                <w:b/>
                <w:bCs/>
                <w:sz w:val="18"/>
                <w:szCs w:val="18"/>
              </w:rPr>
            </w:pPr>
          </w:p>
        </w:tc>
        <w:tc>
          <w:tcPr>
            <w:tcW w:w="850"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047FA3BA" w14:textId="77777777" w:rsidR="00E67A69" w:rsidRPr="00E67A69" w:rsidRDefault="00E67A69" w:rsidP="00E67A69">
            <w:pPr>
              <w:spacing w:after="0"/>
              <w:ind w:firstLine="0"/>
              <w:jc w:val="center"/>
              <w:rPr>
                <w:rFonts w:eastAsia="Times New Roman" w:cs="Times New Roman"/>
                <w:b/>
                <w:sz w:val="18"/>
                <w:szCs w:val="18"/>
              </w:rPr>
            </w:pPr>
            <w:r w:rsidRPr="00E67A69">
              <w:rPr>
                <w:rFonts w:eastAsia="Times New Roman" w:cs="Times New Roman"/>
                <w:b/>
                <w:sz w:val="18"/>
                <w:szCs w:val="18"/>
              </w:rPr>
              <w:t>Fakts</w:t>
            </w:r>
          </w:p>
        </w:tc>
        <w:tc>
          <w:tcPr>
            <w:tcW w:w="851" w:type="dxa"/>
            <w:tcBorders>
              <w:top w:val="single" w:sz="4" w:space="0" w:color="auto"/>
              <w:left w:val="nil"/>
              <w:bottom w:val="single" w:sz="4" w:space="0" w:color="auto"/>
              <w:right w:val="single" w:sz="4" w:space="0" w:color="auto"/>
            </w:tcBorders>
            <w:shd w:val="clear" w:color="auto" w:fill="BDD6EE" w:themeFill="accent1" w:themeFillTint="66"/>
            <w:vAlign w:val="center"/>
          </w:tcPr>
          <w:p w14:paraId="2FB8BDAF" w14:textId="77777777" w:rsidR="00E67A69" w:rsidRPr="00E67A69" w:rsidRDefault="00E67A69" w:rsidP="00E67A69">
            <w:pPr>
              <w:spacing w:after="0"/>
              <w:ind w:firstLine="0"/>
              <w:jc w:val="center"/>
              <w:rPr>
                <w:rFonts w:eastAsia="Times New Roman" w:cs="Times New Roman"/>
                <w:b/>
                <w:sz w:val="18"/>
                <w:szCs w:val="18"/>
              </w:rPr>
            </w:pPr>
            <w:r w:rsidRPr="00E67A69">
              <w:rPr>
                <w:rFonts w:eastAsia="Times New Roman" w:cs="Times New Roman"/>
                <w:b/>
                <w:sz w:val="18"/>
                <w:szCs w:val="18"/>
              </w:rPr>
              <w:t>Novērt.</w:t>
            </w:r>
          </w:p>
        </w:tc>
        <w:tc>
          <w:tcPr>
            <w:tcW w:w="2551" w:type="dxa"/>
            <w:gridSpan w:val="3"/>
            <w:tcBorders>
              <w:top w:val="single" w:sz="4" w:space="0" w:color="auto"/>
              <w:left w:val="nil"/>
              <w:bottom w:val="single" w:sz="4" w:space="0" w:color="auto"/>
              <w:right w:val="single" w:sz="4" w:space="0" w:color="auto"/>
            </w:tcBorders>
            <w:shd w:val="clear" w:color="auto" w:fill="BDD6EE" w:themeFill="accent1" w:themeFillTint="66"/>
            <w:vAlign w:val="center"/>
          </w:tcPr>
          <w:p w14:paraId="5D51B55E" w14:textId="77777777" w:rsidR="00E67A69" w:rsidRPr="00E67A69" w:rsidRDefault="00E67A69" w:rsidP="00E67A69">
            <w:pPr>
              <w:spacing w:after="0"/>
              <w:ind w:firstLine="0"/>
              <w:jc w:val="center"/>
              <w:rPr>
                <w:rFonts w:eastAsia="Times New Roman" w:cs="Times New Roman"/>
                <w:b/>
                <w:sz w:val="18"/>
                <w:szCs w:val="18"/>
              </w:rPr>
            </w:pPr>
            <w:r w:rsidRPr="00E67A69">
              <w:rPr>
                <w:rFonts w:eastAsia="Times New Roman" w:cs="Times New Roman"/>
                <w:b/>
                <w:sz w:val="18"/>
                <w:szCs w:val="18"/>
              </w:rPr>
              <w:t>Prognoze</w:t>
            </w:r>
            <w:r w:rsidRPr="00E67A69">
              <w:rPr>
                <w:rFonts w:eastAsia="Times New Roman" w:cs="Times New Roman"/>
                <w:b/>
                <w:sz w:val="18"/>
                <w:szCs w:val="18"/>
              </w:rPr>
              <w:br/>
              <w:t>(pie nemainīgas politikas)</w:t>
            </w:r>
          </w:p>
        </w:tc>
        <w:tc>
          <w:tcPr>
            <w:tcW w:w="2552" w:type="dxa"/>
            <w:gridSpan w:val="3"/>
            <w:tcBorders>
              <w:top w:val="single" w:sz="4" w:space="0" w:color="auto"/>
              <w:left w:val="nil"/>
              <w:bottom w:val="single" w:sz="4" w:space="0" w:color="auto"/>
              <w:right w:val="single" w:sz="4" w:space="0" w:color="auto"/>
            </w:tcBorders>
            <w:shd w:val="clear" w:color="auto" w:fill="BDD6EE" w:themeFill="accent1" w:themeFillTint="66"/>
            <w:vAlign w:val="center"/>
          </w:tcPr>
          <w:p w14:paraId="22A7CC57" w14:textId="77777777" w:rsidR="00E67A69" w:rsidRPr="00E67A69" w:rsidRDefault="00E67A69" w:rsidP="00E67A69">
            <w:pPr>
              <w:spacing w:after="0"/>
              <w:ind w:firstLine="0"/>
              <w:jc w:val="center"/>
              <w:rPr>
                <w:rFonts w:eastAsia="Times New Roman" w:cs="Times New Roman"/>
                <w:b/>
                <w:sz w:val="18"/>
                <w:szCs w:val="18"/>
              </w:rPr>
            </w:pPr>
            <w:r w:rsidRPr="00E67A69">
              <w:rPr>
                <w:rFonts w:eastAsia="Times New Roman" w:cs="Times New Roman"/>
                <w:b/>
                <w:sz w:val="18"/>
                <w:szCs w:val="18"/>
              </w:rPr>
              <w:t xml:space="preserve">Prognoze </w:t>
            </w:r>
          </w:p>
        </w:tc>
      </w:tr>
      <w:tr w:rsidR="00E67A69" w:rsidRPr="00E67A69" w14:paraId="3E9C8FDF" w14:textId="77777777" w:rsidTr="00C217B4">
        <w:trPr>
          <w:trHeight w:val="75"/>
          <w:jc w:val="center"/>
        </w:trPr>
        <w:tc>
          <w:tcPr>
            <w:tcW w:w="2263" w:type="dxa"/>
            <w:tcBorders>
              <w:top w:val="single" w:sz="4" w:space="0" w:color="auto"/>
              <w:left w:val="single" w:sz="4" w:space="0" w:color="auto"/>
              <w:bottom w:val="single" w:sz="4" w:space="0" w:color="auto"/>
              <w:right w:val="single" w:sz="4" w:space="0" w:color="auto"/>
            </w:tcBorders>
            <w:noWrap/>
            <w:vAlign w:val="bottom"/>
            <w:hideMark/>
          </w:tcPr>
          <w:p w14:paraId="1151469D" w14:textId="77777777" w:rsidR="00E67A69" w:rsidRPr="00E67A69" w:rsidRDefault="00E67A69" w:rsidP="00E67A69">
            <w:pPr>
              <w:spacing w:after="0"/>
              <w:ind w:firstLine="0"/>
              <w:jc w:val="left"/>
              <w:rPr>
                <w:rFonts w:eastAsia="Times New Roman" w:cs="Times New Roman"/>
                <w:b/>
                <w:bCs/>
                <w:sz w:val="19"/>
                <w:szCs w:val="19"/>
              </w:rPr>
            </w:pPr>
            <w:r w:rsidRPr="00E67A69">
              <w:rPr>
                <w:rFonts w:eastAsia="Times New Roman" w:cs="Times New Roman"/>
                <w:b/>
                <w:bCs/>
                <w:sz w:val="19"/>
                <w:szCs w:val="19"/>
              </w:rPr>
              <w:t>VALSTS BUDŽETA BILANCE</w:t>
            </w:r>
          </w:p>
        </w:tc>
        <w:tc>
          <w:tcPr>
            <w:tcW w:w="850" w:type="dxa"/>
            <w:tcBorders>
              <w:top w:val="single" w:sz="4" w:space="0" w:color="auto"/>
              <w:left w:val="nil"/>
              <w:bottom w:val="single" w:sz="4" w:space="0" w:color="auto"/>
              <w:right w:val="single" w:sz="4" w:space="0" w:color="auto"/>
            </w:tcBorders>
            <w:noWrap/>
            <w:vAlign w:val="center"/>
          </w:tcPr>
          <w:p w14:paraId="760EB28C"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sz w:val="18"/>
                <w:szCs w:val="18"/>
              </w:rPr>
              <w:t>-684,8</w:t>
            </w:r>
          </w:p>
        </w:tc>
        <w:tc>
          <w:tcPr>
            <w:tcW w:w="851" w:type="dxa"/>
            <w:tcBorders>
              <w:top w:val="single" w:sz="4" w:space="0" w:color="auto"/>
              <w:left w:val="nil"/>
              <w:bottom w:val="single" w:sz="4" w:space="0" w:color="auto"/>
              <w:right w:val="single" w:sz="4" w:space="0" w:color="auto"/>
            </w:tcBorders>
            <w:noWrap/>
            <w:vAlign w:val="center"/>
          </w:tcPr>
          <w:p w14:paraId="2CE4A9EF"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sz w:val="18"/>
                <w:szCs w:val="18"/>
              </w:rPr>
              <w:t>-1 756,5</w:t>
            </w:r>
          </w:p>
        </w:tc>
        <w:tc>
          <w:tcPr>
            <w:tcW w:w="850" w:type="dxa"/>
            <w:tcBorders>
              <w:top w:val="single" w:sz="4" w:space="0" w:color="auto"/>
              <w:left w:val="nil"/>
              <w:bottom w:val="single" w:sz="4" w:space="0" w:color="auto"/>
              <w:right w:val="single" w:sz="4" w:space="0" w:color="auto"/>
            </w:tcBorders>
            <w:noWrap/>
            <w:vAlign w:val="center"/>
          </w:tcPr>
          <w:p w14:paraId="5B580014"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sz w:val="18"/>
                <w:szCs w:val="18"/>
              </w:rPr>
              <w:t>-1 659,3</w:t>
            </w:r>
          </w:p>
        </w:tc>
        <w:tc>
          <w:tcPr>
            <w:tcW w:w="851" w:type="dxa"/>
            <w:tcBorders>
              <w:top w:val="single" w:sz="4" w:space="0" w:color="auto"/>
              <w:left w:val="nil"/>
              <w:bottom w:val="single" w:sz="4" w:space="0" w:color="auto"/>
              <w:right w:val="single" w:sz="4" w:space="0" w:color="auto"/>
            </w:tcBorders>
            <w:noWrap/>
            <w:vAlign w:val="center"/>
          </w:tcPr>
          <w:p w14:paraId="5A07D954"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sz w:val="18"/>
                <w:szCs w:val="18"/>
              </w:rPr>
              <w:t>-2 022,7</w:t>
            </w:r>
          </w:p>
        </w:tc>
        <w:tc>
          <w:tcPr>
            <w:tcW w:w="850" w:type="dxa"/>
            <w:tcBorders>
              <w:top w:val="single" w:sz="4" w:space="0" w:color="auto"/>
              <w:left w:val="nil"/>
              <w:bottom w:val="single" w:sz="4" w:space="0" w:color="auto"/>
              <w:right w:val="single" w:sz="4" w:space="0" w:color="auto"/>
            </w:tcBorders>
            <w:vAlign w:val="center"/>
          </w:tcPr>
          <w:p w14:paraId="7A295217"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sz w:val="18"/>
                <w:szCs w:val="18"/>
              </w:rPr>
              <w:t>-1 963,8</w:t>
            </w:r>
          </w:p>
        </w:tc>
        <w:tc>
          <w:tcPr>
            <w:tcW w:w="851" w:type="dxa"/>
            <w:tcBorders>
              <w:top w:val="single" w:sz="4" w:space="0" w:color="auto"/>
              <w:left w:val="single" w:sz="4" w:space="0" w:color="auto"/>
              <w:bottom w:val="single" w:sz="4" w:space="0" w:color="auto"/>
              <w:right w:val="single" w:sz="4" w:space="0" w:color="auto"/>
            </w:tcBorders>
            <w:noWrap/>
            <w:vAlign w:val="center"/>
          </w:tcPr>
          <w:p w14:paraId="1E3F2FBF"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color w:val="000000"/>
                <w:sz w:val="18"/>
                <w:szCs w:val="18"/>
              </w:rPr>
              <w:t>-1 854,5</w:t>
            </w:r>
          </w:p>
        </w:tc>
        <w:tc>
          <w:tcPr>
            <w:tcW w:w="850" w:type="dxa"/>
            <w:tcBorders>
              <w:top w:val="single" w:sz="4" w:space="0" w:color="auto"/>
              <w:left w:val="nil"/>
              <w:bottom w:val="single" w:sz="4" w:space="0" w:color="auto"/>
              <w:right w:val="single" w:sz="4" w:space="0" w:color="auto"/>
            </w:tcBorders>
            <w:noWrap/>
            <w:vAlign w:val="center"/>
          </w:tcPr>
          <w:p w14:paraId="791781BC"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color w:val="000000"/>
                <w:sz w:val="18"/>
                <w:szCs w:val="18"/>
              </w:rPr>
              <w:t>-1 950,5</w:t>
            </w:r>
          </w:p>
        </w:tc>
        <w:tc>
          <w:tcPr>
            <w:tcW w:w="851" w:type="dxa"/>
            <w:tcBorders>
              <w:top w:val="single" w:sz="4" w:space="0" w:color="auto"/>
              <w:left w:val="nil"/>
              <w:bottom w:val="single" w:sz="4" w:space="0" w:color="auto"/>
              <w:right w:val="single" w:sz="4" w:space="0" w:color="auto"/>
            </w:tcBorders>
            <w:noWrap/>
            <w:vAlign w:val="center"/>
          </w:tcPr>
          <w:p w14:paraId="15D8F0DA"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color w:val="000000"/>
                <w:sz w:val="18"/>
                <w:szCs w:val="18"/>
              </w:rPr>
              <w:t>-1 874,2</w:t>
            </w:r>
          </w:p>
        </w:tc>
      </w:tr>
      <w:tr w:rsidR="00E67A69" w:rsidRPr="00E67A69" w14:paraId="542AA26C"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17482C17" w14:textId="77777777" w:rsidR="00E67A69" w:rsidRPr="00E67A69" w:rsidRDefault="00E67A69" w:rsidP="00E67A69">
            <w:pPr>
              <w:spacing w:after="0"/>
              <w:ind w:left="-183" w:firstLineChars="100" w:firstLine="190"/>
              <w:jc w:val="left"/>
              <w:rPr>
                <w:rFonts w:eastAsia="Times New Roman" w:cs="Times New Roman"/>
                <w:sz w:val="19"/>
                <w:szCs w:val="19"/>
              </w:rPr>
            </w:pPr>
            <w:r w:rsidRPr="00E67A69">
              <w:rPr>
                <w:rFonts w:eastAsia="Times New Roman" w:cs="Times New Roman"/>
                <w:sz w:val="19"/>
                <w:szCs w:val="19"/>
              </w:rPr>
              <w:t>Ieņēmumi</w:t>
            </w:r>
          </w:p>
        </w:tc>
        <w:tc>
          <w:tcPr>
            <w:tcW w:w="850" w:type="dxa"/>
            <w:tcBorders>
              <w:top w:val="nil"/>
              <w:left w:val="nil"/>
              <w:bottom w:val="single" w:sz="4" w:space="0" w:color="auto"/>
              <w:right w:val="single" w:sz="4" w:space="0" w:color="auto"/>
            </w:tcBorders>
            <w:noWrap/>
            <w:vAlign w:val="center"/>
          </w:tcPr>
          <w:p w14:paraId="46D02C2C"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14 575,3</w:t>
            </w:r>
          </w:p>
        </w:tc>
        <w:tc>
          <w:tcPr>
            <w:tcW w:w="851" w:type="dxa"/>
            <w:tcBorders>
              <w:top w:val="nil"/>
              <w:left w:val="nil"/>
              <w:bottom w:val="single" w:sz="4" w:space="0" w:color="auto"/>
              <w:right w:val="single" w:sz="4" w:space="0" w:color="auto"/>
            </w:tcBorders>
            <w:noWrap/>
            <w:vAlign w:val="center"/>
          </w:tcPr>
          <w:p w14:paraId="3B3B6834"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15 213,8</w:t>
            </w:r>
          </w:p>
        </w:tc>
        <w:tc>
          <w:tcPr>
            <w:tcW w:w="850" w:type="dxa"/>
            <w:tcBorders>
              <w:top w:val="nil"/>
              <w:left w:val="nil"/>
              <w:bottom w:val="single" w:sz="4" w:space="0" w:color="auto"/>
              <w:right w:val="single" w:sz="4" w:space="0" w:color="auto"/>
            </w:tcBorders>
            <w:noWrap/>
            <w:vAlign w:val="center"/>
          </w:tcPr>
          <w:p w14:paraId="71197305"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16 174,4</w:t>
            </w:r>
          </w:p>
        </w:tc>
        <w:tc>
          <w:tcPr>
            <w:tcW w:w="851" w:type="dxa"/>
            <w:tcBorders>
              <w:top w:val="nil"/>
              <w:left w:val="nil"/>
              <w:bottom w:val="single" w:sz="4" w:space="0" w:color="auto"/>
              <w:right w:val="single" w:sz="4" w:space="0" w:color="auto"/>
            </w:tcBorders>
            <w:noWrap/>
            <w:vAlign w:val="center"/>
          </w:tcPr>
          <w:p w14:paraId="785E88BD"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16 002,1</w:t>
            </w:r>
          </w:p>
        </w:tc>
        <w:tc>
          <w:tcPr>
            <w:tcW w:w="850" w:type="dxa"/>
            <w:tcBorders>
              <w:top w:val="single" w:sz="4" w:space="0" w:color="auto"/>
              <w:left w:val="nil"/>
              <w:bottom w:val="single" w:sz="4" w:space="0" w:color="auto"/>
              <w:right w:val="single" w:sz="4" w:space="0" w:color="auto"/>
            </w:tcBorders>
            <w:vAlign w:val="center"/>
          </w:tcPr>
          <w:p w14:paraId="5DB0B9AA"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16 058,6</w:t>
            </w:r>
          </w:p>
        </w:tc>
        <w:tc>
          <w:tcPr>
            <w:tcW w:w="851" w:type="dxa"/>
            <w:tcBorders>
              <w:top w:val="nil"/>
              <w:left w:val="single" w:sz="4" w:space="0" w:color="auto"/>
              <w:bottom w:val="single" w:sz="4" w:space="0" w:color="auto"/>
              <w:right w:val="single" w:sz="4" w:space="0" w:color="auto"/>
            </w:tcBorders>
            <w:noWrap/>
            <w:vAlign w:val="center"/>
          </w:tcPr>
          <w:p w14:paraId="5FCF8419"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color w:val="000000"/>
                <w:sz w:val="18"/>
                <w:szCs w:val="18"/>
              </w:rPr>
              <w:t>16 253,7</w:t>
            </w:r>
          </w:p>
        </w:tc>
        <w:tc>
          <w:tcPr>
            <w:tcW w:w="850" w:type="dxa"/>
            <w:tcBorders>
              <w:top w:val="nil"/>
              <w:left w:val="nil"/>
              <w:bottom w:val="single" w:sz="4" w:space="0" w:color="auto"/>
              <w:right w:val="single" w:sz="4" w:space="0" w:color="auto"/>
            </w:tcBorders>
            <w:noWrap/>
            <w:vAlign w:val="center"/>
          </w:tcPr>
          <w:p w14:paraId="370BAF04"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color w:val="000000"/>
                <w:sz w:val="18"/>
                <w:szCs w:val="18"/>
              </w:rPr>
              <w:t>16 119,9</w:t>
            </w:r>
          </w:p>
        </w:tc>
        <w:tc>
          <w:tcPr>
            <w:tcW w:w="851" w:type="dxa"/>
            <w:tcBorders>
              <w:top w:val="nil"/>
              <w:left w:val="nil"/>
              <w:bottom w:val="single" w:sz="4" w:space="0" w:color="auto"/>
              <w:right w:val="single" w:sz="4" w:space="0" w:color="auto"/>
            </w:tcBorders>
            <w:noWrap/>
            <w:vAlign w:val="center"/>
          </w:tcPr>
          <w:p w14:paraId="5645F090"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color w:val="000000"/>
                <w:sz w:val="18"/>
                <w:szCs w:val="18"/>
              </w:rPr>
              <w:t>16 201,5</w:t>
            </w:r>
          </w:p>
        </w:tc>
      </w:tr>
      <w:tr w:rsidR="00E67A69" w:rsidRPr="00E67A69" w14:paraId="7FF81D56"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02A5E879"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Nodokļu ieņēmumi</w:t>
            </w:r>
          </w:p>
        </w:tc>
        <w:tc>
          <w:tcPr>
            <w:tcW w:w="850" w:type="dxa"/>
            <w:tcBorders>
              <w:top w:val="nil"/>
              <w:left w:val="nil"/>
              <w:bottom w:val="single" w:sz="4" w:space="0" w:color="auto"/>
              <w:right w:val="single" w:sz="4" w:space="0" w:color="auto"/>
            </w:tcBorders>
            <w:noWrap/>
            <w:vAlign w:val="center"/>
          </w:tcPr>
          <w:p w14:paraId="31D41844"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11 219,5</w:t>
            </w:r>
          </w:p>
        </w:tc>
        <w:tc>
          <w:tcPr>
            <w:tcW w:w="851" w:type="dxa"/>
            <w:tcBorders>
              <w:top w:val="nil"/>
              <w:left w:val="nil"/>
              <w:bottom w:val="single" w:sz="4" w:space="0" w:color="auto"/>
              <w:right w:val="single" w:sz="4" w:space="0" w:color="auto"/>
            </w:tcBorders>
            <w:noWrap/>
            <w:vAlign w:val="center"/>
          </w:tcPr>
          <w:p w14:paraId="30B3A5EC"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11 989,2</w:t>
            </w:r>
          </w:p>
        </w:tc>
        <w:tc>
          <w:tcPr>
            <w:tcW w:w="850" w:type="dxa"/>
            <w:tcBorders>
              <w:top w:val="nil"/>
              <w:left w:val="nil"/>
              <w:bottom w:val="single" w:sz="4" w:space="0" w:color="auto"/>
              <w:right w:val="single" w:sz="4" w:space="0" w:color="auto"/>
            </w:tcBorders>
            <w:noWrap/>
            <w:vAlign w:val="center"/>
          </w:tcPr>
          <w:p w14:paraId="76F12892"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12 651,2</w:t>
            </w:r>
          </w:p>
        </w:tc>
        <w:tc>
          <w:tcPr>
            <w:tcW w:w="851" w:type="dxa"/>
            <w:tcBorders>
              <w:top w:val="nil"/>
              <w:left w:val="nil"/>
              <w:bottom w:val="single" w:sz="4" w:space="0" w:color="auto"/>
              <w:right w:val="single" w:sz="4" w:space="0" w:color="auto"/>
            </w:tcBorders>
            <w:noWrap/>
            <w:vAlign w:val="center"/>
          </w:tcPr>
          <w:p w14:paraId="1CAE6114"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13 223,9</w:t>
            </w:r>
          </w:p>
        </w:tc>
        <w:tc>
          <w:tcPr>
            <w:tcW w:w="850" w:type="dxa"/>
            <w:tcBorders>
              <w:top w:val="single" w:sz="4" w:space="0" w:color="auto"/>
              <w:left w:val="nil"/>
              <w:bottom w:val="single" w:sz="4" w:space="0" w:color="auto"/>
              <w:right w:val="single" w:sz="4" w:space="0" w:color="auto"/>
            </w:tcBorders>
            <w:vAlign w:val="center"/>
          </w:tcPr>
          <w:p w14:paraId="68CEEF71"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13 734,4</w:t>
            </w:r>
          </w:p>
        </w:tc>
        <w:tc>
          <w:tcPr>
            <w:tcW w:w="851" w:type="dxa"/>
            <w:tcBorders>
              <w:top w:val="nil"/>
              <w:left w:val="single" w:sz="4" w:space="0" w:color="auto"/>
              <w:bottom w:val="single" w:sz="4" w:space="0" w:color="auto"/>
              <w:right w:val="single" w:sz="4" w:space="0" w:color="auto"/>
            </w:tcBorders>
            <w:noWrap/>
            <w:vAlign w:val="center"/>
          </w:tcPr>
          <w:p w14:paraId="65C49E36"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color w:val="000000"/>
                <w:sz w:val="18"/>
                <w:szCs w:val="18"/>
              </w:rPr>
              <w:t>12 666,2</w:t>
            </w:r>
          </w:p>
        </w:tc>
        <w:tc>
          <w:tcPr>
            <w:tcW w:w="850" w:type="dxa"/>
            <w:tcBorders>
              <w:top w:val="nil"/>
              <w:left w:val="nil"/>
              <w:bottom w:val="single" w:sz="4" w:space="0" w:color="auto"/>
              <w:right w:val="single" w:sz="4" w:space="0" w:color="auto"/>
            </w:tcBorders>
            <w:noWrap/>
            <w:vAlign w:val="center"/>
          </w:tcPr>
          <w:p w14:paraId="42F6677E"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color w:val="000000"/>
                <w:sz w:val="18"/>
                <w:szCs w:val="18"/>
              </w:rPr>
              <w:t>13 252,9</w:t>
            </w:r>
          </w:p>
        </w:tc>
        <w:tc>
          <w:tcPr>
            <w:tcW w:w="851" w:type="dxa"/>
            <w:tcBorders>
              <w:top w:val="nil"/>
              <w:left w:val="nil"/>
              <w:bottom w:val="single" w:sz="4" w:space="0" w:color="auto"/>
              <w:right w:val="single" w:sz="4" w:space="0" w:color="auto"/>
            </w:tcBorders>
            <w:noWrap/>
            <w:vAlign w:val="center"/>
          </w:tcPr>
          <w:p w14:paraId="01ED1981"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color w:val="000000"/>
                <w:sz w:val="18"/>
                <w:szCs w:val="18"/>
              </w:rPr>
              <w:t>13 798,1</w:t>
            </w:r>
          </w:p>
        </w:tc>
      </w:tr>
      <w:tr w:rsidR="00E67A69" w:rsidRPr="00E67A69" w14:paraId="1B55AF95"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6C8A6447"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Ne-nodokļu ieņēmumi</w:t>
            </w:r>
          </w:p>
        </w:tc>
        <w:tc>
          <w:tcPr>
            <w:tcW w:w="850" w:type="dxa"/>
            <w:tcBorders>
              <w:top w:val="nil"/>
              <w:left w:val="nil"/>
              <w:bottom w:val="single" w:sz="4" w:space="0" w:color="auto"/>
              <w:right w:val="single" w:sz="4" w:space="0" w:color="auto"/>
            </w:tcBorders>
            <w:noWrap/>
            <w:vAlign w:val="center"/>
          </w:tcPr>
          <w:p w14:paraId="1435E843"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1 199,0</w:t>
            </w:r>
          </w:p>
        </w:tc>
        <w:tc>
          <w:tcPr>
            <w:tcW w:w="851" w:type="dxa"/>
            <w:tcBorders>
              <w:top w:val="nil"/>
              <w:left w:val="nil"/>
              <w:bottom w:val="single" w:sz="4" w:space="0" w:color="auto"/>
              <w:right w:val="single" w:sz="4" w:space="0" w:color="auto"/>
            </w:tcBorders>
            <w:noWrap/>
            <w:vAlign w:val="center"/>
          </w:tcPr>
          <w:p w14:paraId="731C1E8A"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1 028,4</w:t>
            </w:r>
          </w:p>
        </w:tc>
        <w:tc>
          <w:tcPr>
            <w:tcW w:w="850" w:type="dxa"/>
            <w:tcBorders>
              <w:top w:val="nil"/>
              <w:left w:val="nil"/>
              <w:bottom w:val="single" w:sz="4" w:space="0" w:color="auto"/>
              <w:right w:val="single" w:sz="4" w:space="0" w:color="auto"/>
            </w:tcBorders>
            <w:noWrap/>
            <w:vAlign w:val="center"/>
          </w:tcPr>
          <w:p w14:paraId="18CC89EC"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940,6</w:t>
            </w:r>
          </w:p>
        </w:tc>
        <w:tc>
          <w:tcPr>
            <w:tcW w:w="851" w:type="dxa"/>
            <w:tcBorders>
              <w:top w:val="nil"/>
              <w:left w:val="nil"/>
              <w:bottom w:val="single" w:sz="4" w:space="0" w:color="auto"/>
              <w:right w:val="single" w:sz="4" w:space="0" w:color="auto"/>
            </w:tcBorders>
            <w:noWrap/>
            <w:vAlign w:val="center"/>
          </w:tcPr>
          <w:p w14:paraId="79D3EAE3"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922,7</w:t>
            </w:r>
          </w:p>
        </w:tc>
        <w:tc>
          <w:tcPr>
            <w:tcW w:w="850" w:type="dxa"/>
            <w:tcBorders>
              <w:top w:val="single" w:sz="4" w:space="0" w:color="auto"/>
              <w:left w:val="nil"/>
              <w:bottom w:val="single" w:sz="4" w:space="0" w:color="auto"/>
              <w:right w:val="single" w:sz="4" w:space="0" w:color="auto"/>
            </w:tcBorders>
            <w:vAlign w:val="center"/>
          </w:tcPr>
          <w:p w14:paraId="51E70398"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930,2</w:t>
            </w:r>
          </w:p>
        </w:tc>
        <w:tc>
          <w:tcPr>
            <w:tcW w:w="851" w:type="dxa"/>
            <w:tcBorders>
              <w:top w:val="nil"/>
              <w:left w:val="single" w:sz="4" w:space="0" w:color="auto"/>
              <w:bottom w:val="single" w:sz="4" w:space="0" w:color="auto"/>
              <w:right w:val="single" w:sz="4" w:space="0" w:color="auto"/>
            </w:tcBorders>
            <w:noWrap/>
            <w:vAlign w:val="center"/>
          </w:tcPr>
          <w:p w14:paraId="2681C53F"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996,9</w:t>
            </w:r>
          </w:p>
        </w:tc>
        <w:tc>
          <w:tcPr>
            <w:tcW w:w="850" w:type="dxa"/>
            <w:tcBorders>
              <w:top w:val="nil"/>
              <w:left w:val="nil"/>
              <w:bottom w:val="single" w:sz="4" w:space="0" w:color="auto"/>
              <w:right w:val="single" w:sz="4" w:space="0" w:color="auto"/>
            </w:tcBorders>
            <w:noWrap/>
            <w:vAlign w:val="center"/>
          </w:tcPr>
          <w:p w14:paraId="5B78D25C"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1 000,3</w:t>
            </w:r>
          </w:p>
        </w:tc>
        <w:tc>
          <w:tcPr>
            <w:tcW w:w="851" w:type="dxa"/>
            <w:tcBorders>
              <w:top w:val="nil"/>
              <w:left w:val="nil"/>
              <w:bottom w:val="single" w:sz="4" w:space="0" w:color="auto"/>
              <w:right w:val="single" w:sz="4" w:space="0" w:color="auto"/>
            </w:tcBorders>
            <w:noWrap/>
            <w:vAlign w:val="center"/>
          </w:tcPr>
          <w:p w14:paraId="452AF068"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1 004,6</w:t>
            </w:r>
          </w:p>
        </w:tc>
      </w:tr>
      <w:tr w:rsidR="00E67A69" w:rsidRPr="00E67A69" w14:paraId="617B7E83"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413DACE3" w14:textId="77777777" w:rsidR="00E67A69" w:rsidRPr="00E67A69" w:rsidRDefault="00E67A69" w:rsidP="00E67A69">
            <w:pPr>
              <w:spacing w:after="0"/>
              <w:ind w:firstLineChars="74" w:firstLine="141"/>
              <w:jc w:val="left"/>
              <w:rPr>
                <w:rFonts w:eastAsia="Times New Roman" w:cs="Times New Roman"/>
                <w:sz w:val="19"/>
                <w:szCs w:val="19"/>
              </w:rPr>
            </w:pPr>
            <w:r w:rsidRPr="00E67A69">
              <w:rPr>
                <w:rFonts w:eastAsia="Times New Roman" w:cs="Times New Roman"/>
                <w:sz w:val="19"/>
                <w:szCs w:val="19"/>
              </w:rPr>
              <w:t>ĀFP</w:t>
            </w:r>
          </w:p>
        </w:tc>
        <w:tc>
          <w:tcPr>
            <w:tcW w:w="850" w:type="dxa"/>
            <w:tcBorders>
              <w:top w:val="nil"/>
              <w:left w:val="nil"/>
              <w:bottom w:val="single" w:sz="4" w:space="0" w:color="auto"/>
              <w:right w:val="single" w:sz="4" w:space="0" w:color="auto"/>
            </w:tcBorders>
            <w:noWrap/>
            <w:vAlign w:val="center"/>
          </w:tcPr>
          <w:p w14:paraId="761E5E6C"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1 794,8</w:t>
            </w:r>
          </w:p>
        </w:tc>
        <w:tc>
          <w:tcPr>
            <w:tcW w:w="851" w:type="dxa"/>
            <w:tcBorders>
              <w:top w:val="nil"/>
              <w:left w:val="nil"/>
              <w:bottom w:val="single" w:sz="4" w:space="0" w:color="auto"/>
              <w:right w:val="single" w:sz="4" w:space="0" w:color="auto"/>
            </w:tcBorders>
            <w:noWrap/>
            <w:vAlign w:val="center"/>
          </w:tcPr>
          <w:p w14:paraId="06194CE6"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1 816,0</w:t>
            </w:r>
          </w:p>
        </w:tc>
        <w:tc>
          <w:tcPr>
            <w:tcW w:w="850" w:type="dxa"/>
            <w:tcBorders>
              <w:top w:val="nil"/>
              <w:left w:val="nil"/>
              <w:bottom w:val="single" w:sz="4" w:space="0" w:color="auto"/>
              <w:right w:val="single" w:sz="4" w:space="0" w:color="auto"/>
            </w:tcBorders>
            <w:noWrap/>
            <w:vAlign w:val="center"/>
          </w:tcPr>
          <w:p w14:paraId="13A7CA2E"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2 235,5</w:t>
            </w:r>
          </w:p>
        </w:tc>
        <w:tc>
          <w:tcPr>
            <w:tcW w:w="851" w:type="dxa"/>
            <w:tcBorders>
              <w:top w:val="nil"/>
              <w:left w:val="nil"/>
              <w:bottom w:val="single" w:sz="4" w:space="0" w:color="auto"/>
              <w:right w:val="single" w:sz="4" w:space="0" w:color="auto"/>
            </w:tcBorders>
            <w:noWrap/>
            <w:vAlign w:val="center"/>
          </w:tcPr>
          <w:p w14:paraId="27040A26"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1 504,1</w:t>
            </w:r>
          </w:p>
        </w:tc>
        <w:tc>
          <w:tcPr>
            <w:tcW w:w="850" w:type="dxa"/>
            <w:tcBorders>
              <w:top w:val="single" w:sz="4" w:space="0" w:color="auto"/>
              <w:left w:val="nil"/>
              <w:bottom w:val="single" w:sz="4" w:space="0" w:color="auto"/>
              <w:right w:val="single" w:sz="4" w:space="0" w:color="auto"/>
            </w:tcBorders>
            <w:vAlign w:val="center"/>
          </w:tcPr>
          <w:p w14:paraId="61061990"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1 038,6</w:t>
            </w:r>
          </w:p>
        </w:tc>
        <w:tc>
          <w:tcPr>
            <w:tcW w:w="851" w:type="dxa"/>
            <w:tcBorders>
              <w:top w:val="nil"/>
              <w:left w:val="single" w:sz="4" w:space="0" w:color="auto"/>
              <w:bottom w:val="single" w:sz="4" w:space="0" w:color="auto"/>
              <w:right w:val="single" w:sz="4" w:space="0" w:color="auto"/>
            </w:tcBorders>
            <w:noWrap/>
            <w:vAlign w:val="center"/>
          </w:tcPr>
          <w:p w14:paraId="420F8746"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2 238,3</w:t>
            </w:r>
          </w:p>
        </w:tc>
        <w:tc>
          <w:tcPr>
            <w:tcW w:w="850" w:type="dxa"/>
            <w:tcBorders>
              <w:top w:val="nil"/>
              <w:left w:val="nil"/>
              <w:bottom w:val="single" w:sz="4" w:space="0" w:color="auto"/>
              <w:right w:val="single" w:sz="4" w:space="0" w:color="auto"/>
            </w:tcBorders>
            <w:noWrap/>
            <w:vAlign w:val="center"/>
          </w:tcPr>
          <w:p w14:paraId="68C559BA"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1 511,4</w:t>
            </w:r>
          </w:p>
        </w:tc>
        <w:tc>
          <w:tcPr>
            <w:tcW w:w="851" w:type="dxa"/>
            <w:tcBorders>
              <w:top w:val="nil"/>
              <w:left w:val="nil"/>
              <w:bottom w:val="single" w:sz="4" w:space="0" w:color="auto"/>
              <w:right w:val="single" w:sz="4" w:space="0" w:color="auto"/>
            </w:tcBorders>
            <w:noWrap/>
            <w:vAlign w:val="center"/>
          </w:tcPr>
          <w:p w14:paraId="7610117A"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1 039,6</w:t>
            </w:r>
          </w:p>
        </w:tc>
      </w:tr>
      <w:tr w:rsidR="00E67A69" w:rsidRPr="00E67A69" w14:paraId="1E523603"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59B157E8"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Pārējie ieņēmumi</w:t>
            </w:r>
          </w:p>
        </w:tc>
        <w:tc>
          <w:tcPr>
            <w:tcW w:w="850" w:type="dxa"/>
            <w:tcBorders>
              <w:top w:val="nil"/>
              <w:left w:val="nil"/>
              <w:bottom w:val="single" w:sz="4" w:space="0" w:color="auto"/>
              <w:right w:val="single" w:sz="4" w:space="0" w:color="auto"/>
            </w:tcBorders>
            <w:noWrap/>
            <w:vAlign w:val="center"/>
          </w:tcPr>
          <w:p w14:paraId="038643D7"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362,0</w:t>
            </w:r>
          </w:p>
        </w:tc>
        <w:tc>
          <w:tcPr>
            <w:tcW w:w="851" w:type="dxa"/>
            <w:tcBorders>
              <w:top w:val="nil"/>
              <w:left w:val="nil"/>
              <w:bottom w:val="single" w:sz="4" w:space="0" w:color="auto"/>
              <w:right w:val="single" w:sz="4" w:space="0" w:color="auto"/>
            </w:tcBorders>
            <w:noWrap/>
            <w:vAlign w:val="center"/>
          </w:tcPr>
          <w:p w14:paraId="50E53970"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380,3</w:t>
            </w:r>
          </w:p>
        </w:tc>
        <w:tc>
          <w:tcPr>
            <w:tcW w:w="850" w:type="dxa"/>
            <w:tcBorders>
              <w:top w:val="nil"/>
              <w:left w:val="nil"/>
              <w:bottom w:val="single" w:sz="4" w:space="0" w:color="auto"/>
              <w:right w:val="single" w:sz="4" w:space="0" w:color="auto"/>
            </w:tcBorders>
            <w:noWrap/>
            <w:vAlign w:val="center"/>
          </w:tcPr>
          <w:p w14:paraId="04D96F95"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347,1</w:t>
            </w:r>
          </w:p>
        </w:tc>
        <w:tc>
          <w:tcPr>
            <w:tcW w:w="851" w:type="dxa"/>
            <w:tcBorders>
              <w:top w:val="nil"/>
              <w:left w:val="nil"/>
              <w:bottom w:val="single" w:sz="4" w:space="0" w:color="auto"/>
              <w:right w:val="single" w:sz="4" w:space="0" w:color="auto"/>
            </w:tcBorders>
            <w:noWrap/>
            <w:vAlign w:val="center"/>
          </w:tcPr>
          <w:p w14:paraId="249A5E34"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351,4</w:t>
            </w:r>
          </w:p>
        </w:tc>
        <w:tc>
          <w:tcPr>
            <w:tcW w:w="850" w:type="dxa"/>
            <w:tcBorders>
              <w:top w:val="single" w:sz="4" w:space="0" w:color="auto"/>
              <w:left w:val="nil"/>
              <w:bottom w:val="single" w:sz="4" w:space="0" w:color="auto"/>
              <w:right w:val="single" w:sz="4" w:space="0" w:color="auto"/>
            </w:tcBorders>
            <w:vAlign w:val="center"/>
          </w:tcPr>
          <w:p w14:paraId="511CB7C6"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355,4</w:t>
            </w:r>
          </w:p>
        </w:tc>
        <w:tc>
          <w:tcPr>
            <w:tcW w:w="851" w:type="dxa"/>
            <w:tcBorders>
              <w:top w:val="nil"/>
              <w:left w:val="single" w:sz="4" w:space="0" w:color="auto"/>
              <w:bottom w:val="single" w:sz="4" w:space="0" w:color="auto"/>
              <w:right w:val="single" w:sz="4" w:space="0" w:color="auto"/>
            </w:tcBorders>
            <w:noWrap/>
            <w:vAlign w:val="center"/>
          </w:tcPr>
          <w:p w14:paraId="55C2FA53"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352,3</w:t>
            </w:r>
          </w:p>
        </w:tc>
        <w:tc>
          <w:tcPr>
            <w:tcW w:w="850" w:type="dxa"/>
            <w:tcBorders>
              <w:top w:val="nil"/>
              <w:left w:val="nil"/>
              <w:bottom w:val="single" w:sz="4" w:space="0" w:color="auto"/>
              <w:right w:val="single" w:sz="4" w:space="0" w:color="auto"/>
            </w:tcBorders>
            <w:noWrap/>
            <w:vAlign w:val="center"/>
          </w:tcPr>
          <w:p w14:paraId="340A225C"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355,3</w:t>
            </w:r>
          </w:p>
        </w:tc>
        <w:tc>
          <w:tcPr>
            <w:tcW w:w="851" w:type="dxa"/>
            <w:tcBorders>
              <w:top w:val="nil"/>
              <w:left w:val="nil"/>
              <w:bottom w:val="single" w:sz="4" w:space="0" w:color="auto"/>
              <w:right w:val="single" w:sz="4" w:space="0" w:color="auto"/>
            </w:tcBorders>
            <w:noWrap/>
            <w:vAlign w:val="center"/>
          </w:tcPr>
          <w:p w14:paraId="03D505F5"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359,3</w:t>
            </w:r>
          </w:p>
        </w:tc>
      </w:tr>
      <w:tr w:rsidR="00E67A69" w:rsidRPr="00E67A69" w14:paraId="6B370FD6"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52EED8CC" w14:textId="77777777" w:rsidR="00E67A69" w:rsidRPr="00E67A69" w:rsidRDefault="00E67A69" w:rsidP="00E67A69">
            <w:pPr>
              <w:spacing w:after="0"/>
              <w:ind w:left="-183" w:firstLineChars="100" w:firstLine="190"/>
              <w:jc w:val="left"/>
              <w:rPr>
                <w:rFonts w:eastAsia="Times New Roman" w:cs="Times New Roman"/>
                <w:sz w:val="19"/>
                <w:szCs w:val="19"/>
              </w:rPr>
            </w:pPr>
            <w:r w:rsidRPr="00E67A69">
              <w:rPr>
                <w:rFonts w:eastAsia="Times New Roman" w:cs="Times New Roman"/>
                <w:sz w:val="19"/>
                <w:szCs w:val="19"/>
              </w:rPr>
              <w:t>Izdevumi</w:t>
            </w:r>
          </w:p>
        </w:tc>
        <w:tc>
          <w:tcPr>
            <w:tcW w:w="850" w:type="dxa"/>
            <w:tcBorders>
              <w:top w:val="nil"/>
              <w:left w:val="nil"/>
              <w:bottom w:val="single" w:sz="4" w:space="0" w:color="auto"/>
              <w:right w:val="single" w:sz="4" w:space="0" w:color="auto"/>
            </w:tcBorders>
            <w:noWrap/>
            <w:vAlign w:val="center"/>
          </w:tcPr>
          <w:p w14:paraId="2FFFDD6E"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15 260,1</w:t>
            </w:r>
          </w:p>
        </w:tc>
        <w:tc>
          <w:tcPr>
            <w:tcW w:w="851" w:type="dxa"/>
            <w:tcBorders>
              <w:top w:val="nil"/>
              <w:left w:val="nil"/>
              <w:bottom w:val="single" w:sz="4" w:space="0" w:color="auto"/>
              <w:right w:val="single" w:sz="4" w:space="0" w:color="auto"/>
            </w:tcBorders>
            <w:noWrap/>
            <w:vAlign w:val="center"/>
          </w:tcPr>
          <w:p w14:paraId="05DE9E34"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16 970,3</w:t>
            </w:r>
          </w:p>
        </w:tc>
        <w:tc>
          <w:tcPr>
            <w:tcW w:w="850" w:type="dxa"/>
            <w:tcBorders>
              <w:top w:val="nil"/>
              <w:left w:val="nil"/>
              <w:bottom w:val="single" w:sz="4" w:space="0" w:color="auto"/>
              <w:right w:val="single" w:sz="4" w:space="0" w:color="auto"/>
            </w:tcBorders>
            <w:noWrap/>
            <w:vAlign w:val="center"/>
          </w:tcPr>
          <w:p w14:paraId="4867F12E"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17 833,7</w:t>
            </w:r>
          </w:p>
        </w:tc>
        <w:tc>
          <w:tcPr>
            <w:tcW w:w="851" w:type="dxa"/>
            <w:tcBorders>
              <w:top w:val="nil"/>
              <w:left w:val="nil"/>
              <w:bottom w:val="single" w:sz="4" w:space="0" w:color="auto"/>
              <w:right w:val="single" w:sz="4" w:space="0" w:color="auto"/>
            </w:tcBorders>
            <w:noWrap/>
            <w:vAlign w:val="center"/>
          </w:tcPr>
          <w:p w14:paraId="569C45B4"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18 024,8</w:t>
            </w:r>
          </w:p>
        </w:tc>
        <w:tc>
          <w:tcPr>
            <w:tcW w:w="850" w:type="dxa"/>
            <w:tcBorders>
              <w:top w:val="single" w:sz="4" w:space="0" w:color="auto"/>
              <w:left w:val="nil"/>
              <w:bottom w:val="single" w:sz="4" w:space="0" w:color="auto"/>
              <w:right w:val="single" w:sz="4" w:space="0" w:color="auto"/>
            </w:tcBorders>
            <w:vAlign w:val="center"/>
          </w:tcPr>
          <w:p w14:paraId="442AFBFB"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18 022,4</w:t>
            </w:r>
          </w:p>
        </w:tc>
        <w:tc>
          <w:tcPr>
            <w:tcW w:w="851" w:type="dxa"/>
            <w:tcBorders>
              <w:top w:val="nil"/>
              <w:left w:val="single" w:sz="4" w:space="0" w:color="auto"/>
              <w:bottom w:val="single" w:sz="4" w:space="0" w:color="auto"/>
              <w:right w:val="single" w:sz="4" w:space="0" w:color="auto"/>
            </w:tcBorders>
            <w:noWrap/>
            <w:vAlign w:val="center"/>
          </w:tcPr>
          <w:p w14:paraId="4011B41C"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18 108,2</w:t>
            </w:r>
          </w:p>
        </w:tc>
        <w:tc>
          <w:tcPr>
            <w:tcW w:w="850" w:type="dxa"/>
            <w:tcBorders>
              <w:top w:val="nil"/>
              <w:left w:val="nil"/>
              <w:bottom w:val="single" w:sz="4" w:space="0" w:color="auto"/>
              <w:right w:val="single" w:sz="4" w:space="0" w:color="auto"/>
            </w:tcBorders>
            <w:noWrap/>
            <w:vAlign w:val="center"/>
          </w:tcPr>
          <w:p w14:paraId="02376D8B"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18 070,4</w:t>
            </w:r>
          </w:p>
        </w:tc>
        <w:tc>
          <w:tcPr>
            <w:tcW w:w="851" w:type="dxa"/>
            <w:tcBorders>
              <w:top w:val="nil"/>
              <w:left w:val="nil"/>
              <w:bottom w:val="single" w:sz="4" w:space="0" w:color="auto"/>
              <w:right w:val="single" w:sz="4" w:space="0" w:color="auto"/>
            </w:tcBorders>
            <w:noWrap/>
            <w:vAlign w:val="center"/>
          </w:tcPr>
          <w:p w14:paraId="23721908"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18 075,7</w:t>
            </w:r>
          </w:p>
        </w:tc>
      </w:tr>
      <w:tr w:rsidR="00E67A69" w:rsidRPr="00E67A69" w14:paraId="2863C2BC" w14:textId="77777777" w:rsidTr="00C217B4">
        <w:trPr>
          <w:trHeight w:val="70"/>
          <w:jc w:val="center"/>
        </w:trPr>
        <w:tc>
          <w:tcPr>
            <w:tcW w:w="2263" w:type="dxa"/>
            <w:tcBorders>
              <w:top w:val="nil"/>
              <w:left w:val="single" w:sz="4" w:space="0" w:color="auto"/>
              <w:bottom w:val="single" w:sz="4" w:space="0" w:color="auto"/>
              <w:right w:val="single" w:sz="4" w:space="0" w:color="auto"/>
            </w:tcBorders>
            <w:noWrap/>
            <w:vAlign w:val="center"/>
            <w:hideMark/>
          </w:tcPr>
          <w:p w14:paraId="3A6783F9"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Uzturēšanas izdevumi</w:t>
            </w:r>
          </w:p>
        </w:tc>
        <w:tc>
          <w:tcPr>
            <w:tcW w:w="850" w:type="dxa"/>
            <w:tcBorders>
              <w:top w:val="single" w:sz="4" w:space="0" w:color="auto"/>
              <w:left w:val="single" w:sz="4" w:space="0" w:color="auto"/>
              <w:bottom w:val="single" w:sz="4" w:space="0" w:color="auto"/>
              <w:right w:val="single" w:sz="4" w:space="0" w:color="auto"/>
            </w:tcBorders>
            <w:noWrap/>
            <w:vAlign w:val="center"/>
          </w:tcPr>
          <w:p w14:paraId="303EAB6B"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14 061,2</w:t>
            </w:r>
          </w:p>
        </w:tc>
        <w:tc>
          <w:tcPr>
            <w:tcW w:w="851" w:type="dxa"/>
            <w:tcBorders>
              <w:top w:val="single" w:sz="4" w:space="0" w:color="auto"/>
              <w:left w:val="nil"/>
              <w:bottom w:val="single" w:sz="4" w:space="0" w:color="auto"/>
              <w:right w:val="single" w:sz="4" w:space="0" w:color="auto"/>
            </w:tcBorders>
            <w:noWrap/>
            <w:vAlign w:val="center"/>
          </w:tcPr>
          <w:p w14:paraId="6F42F80B"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15 254,4</w:t>
            </w:r>
          </w:p>
        </w:tc>
        <w:tc>
          <w:tcPr>
            <w:tcW w:w="850" w:type="dxa"/>
            <w:tcBorders>
              <w:top w:val="single" w:sz="4" w:space="0" w:color="auto"/>
              <w:left w:val="nil"/>
              <w:bottom w:val="single" w:sz="4" w:space="0" w:color="auto"/>
              <w:right w:val="single" w:sz="4" w:space="0" w:color="auto"/>
            </w:tcBorders>
            <w:noWrap/>
            <w:vAlign w:val="center"/>
          </w:tcPr>
          <w:p w14:paraId="7732A578"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16 527,6</w:t>
            </w:r>
          </w:p>
        </w:tc>
        <w:tc>
          <w:tcPr>
            <w:tcW w:w="851" w:type="dxa"/>
            <w:tcBorders>
              <w:top w:val="single" w:sz="4" w:space="0" w:color="auto"/>
              <w:left w:val="nil"/>
              <w:bottom w:val="single" w:sz="4" w:space="0" w:color="auto"/>
              <w:right w:val="single" w:sz="4" w:space="0" w:color="auto"/>
            </w:tcBorders>
            <w:noWrap/>
            <w:vAlign w:val="center"/>
          </w:tcPr>
          <w:p w14:paraId="6D02E6F3"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17 008,1</w:t>
            </w:r>
          </w:p>
        </w:tc>
        <w:tc>
          <w:tcPr>
            <w:tcW w:w="850" w:type="dxa"/>
            <w:tcBorders>
              <w:top w:val="single" w:sz="4" w:space="0" w:color="auto"/>
              <w:left w:val="nil"/>
              <w:bottom w:val="single" w:sz="4" w:space="0" w:color="auto"/>
              <w:right w:val="single" w:sz="4" w:space="0" w:color="auto"/>
            </w:tcBorders>
            <w:vAlign w:val="center"/>
          </w:tcPr>
          <w:p w14:paraId="2362E9F2"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17 117,1</w:t>
            </w:r>
          </w:p>
        </w:tc>
        <w:tc>
          <w:tcPr>
            <w:tcW w:w="851" w:type="dxa"/>
            <w:tcBorders>
              <w:top w:val="single" w:sz="4" w:space="0" w:color="auto"/>
              <w:left w:val="single" w:sz="4" w:space="0" w:color="auto"/>
              <w:bottom w:val="single" w:sz="4" w:space="0" w:color="auto"/>
              <w:right w:val="single" w:sz="4" w:space="0" w:color="auto"/>
            </w:tcBorders>
            <w:noWrap/>
            <w:vAlign w:val="center"/>
          </w:tcPr>
          <w:p w14:paraId="24B5B186"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16 756,7</w:t>
            </w:r>
          </w:p>
        </w:tc>
        <w:tc>
          <w:tcPr>
            <w:tcW w:w="850" w:type="dxa"/>
            <w:tcBorders>
              <w:top w:val="single" w:sz="4" w:space="0" w:color="auto"/>
              <w:left w:val="nil"/>
              <w:bottom w:val="single" w:sz="4" w:space="0" w:color="auto"/>
              <w:right w:val="single" w:sz="4" w:space="0" w:color="auto"/>
            </w:tcBorders>
            <w:noWrap/>
            <w:vAlign w:val="center"/>
          </w:tcPr>
          <w:p w14:paraId="69681587"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17 017,5</w:t>
            </w:r>
          </w:p>
        </w:tc>
        <w:tc>
          <w:tcPr>
            <w:tcW w:w="851" w:type="dxa"/>
            <w:tcBorders>
              <w:top w:val="single" w:sz="4" w:space="0" w:color="auto"/>
              <w:left w:val="nil"/>
              <w:bottom w:val="single" w:sz="4" w:space="0" w:color="auto"/>
              <w:right w:val="single" w:sz="4" w:space="0" w:color="auto"/>
            </w:tcBorders>
            <w:noWrap/>
            <w:vAlign w:val="center"/>
          </w:tcPr>
          <w:p w14:paraId="590ED08E"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17 180,2</w:t>
            </w:r>
          </w:p>
        </w:tc>
      </w:tr>
      <w:tr w:rsidR="00E67A69" w:rsidRPr="00E67A69" w14:paraId="31FED7F7"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16327666"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Kapitālie izdevumi</w:t>
            </w:r>
          </w:p>
        </w:tc>
        <w:tc>
          <w:tcPr>
            <w:tcW w:w="850" w:type="dxa"/>
            <w:tcBorders>
              <w:top w:val="nil"/>
              <w:left w:val="single" w:sz="4" w:space="0" w:color="auto"/>
              <w:bottom w:val="single" w:sz="4" w:space="0" w:color="auto"/>
              <w:right w:val="single" w:sz="4" w:space="0" w:color="auto"/>
            </w:tcBorders>
            <w:noWrap/>
            <w:vAlign w:val="center"/>
          </w:tcPr>
          <w:p w14:paraId="28F4E133"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1 199,0</w:t>
            </w:r>
          </w:p>
        </w:tc>
        <w:tc>
          <w:tcPr>
            <w:tcW w:w="851" w:type="dxa"/>
            <w:tcBorders>
              <w:top w:val="nil"/>
              <w:left w:val="nil"/>
              <w:bottom w:val="single" w:sz="4" w:space="0" w:color="auto"/>
              <w:right w:val="single" w:sz="4" w:space="0" w:color="auto"/>
            </w:tcBorders>
            <w:noWrap/>
            <w:vAlign w:val="center"/>
          </w:tcPr>
          <w:p w14:paraId="55703991"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1 715,9</w:t>
            </w:r>
          </w:p>
        </w:tc>
        <w:tc>
          <w:tcPr>
            <w:tcW w:w="850" w:type="dxa"/>
            <w:tcBorders>
              <w:top w:val="nil"/>
              <w:left w:val="nil"/>
              <w:bottom w:val="single" w:sz="4" w:space="0" w:color="auto"/>
              <w:right w:val="single" w:sz="4" w:space="0" w:color="auto"/>
            </w:tcBorders>
            <w:noWrap/>
            <w:vAlign w:val="center"/>
          </w:tcPr>
          <w:p w14:paraId="4D5D59EC"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1 306,1</w:t>
            </w:r>
          </w:p>
        </w:tc>
        <w:tc>
          <w:tcPr>
            <w:tcW w:w="851" w:type="dxa"/>
            <w:tcBorders>
              <w:top w:val="nil"/>
              <w:left w:val="nil"/>
              <w:bottom w:val="single" w:sz="4" w:space="0" w:color="auto"/>
              <w:right w:val="single" w:sz="4" w:space="0" w:color="auto"/>
            </w:tcBorders>
            <w:noWrap/>
            <w:vAlign w:val="center"/>
          </w:tcPr>
          <w:p w14:paraId="114FA24E"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1 016,7</w:t>
            </w:r>
          </w:p>
        </w:tc>
        <w:tc>
          <w:tcPr>
            <w:tcW w:w="850" w:type="dxa"/>
            <w:tcBorders>
              <w:top w:val="single" w:sz="4" w:space="0" w:color="auto"/>
              <w:left w:val="nil"/>
              <w:bottom w:val="single" w:sz="4" w:space="0" w:color="auto"/>
              <w:right w:val="single" w:sz="4" w:space="0" w:color="auto"/>
            </w:tcBorders>
            <w:vAlign w:val="center"/>
          </w:tcPr>
          <w:p w14:paraId="37124F92"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905,3</w:t>
            </w:r>
          </w:p>
        </w:tc>
        <w:tc>
          <w:tcPr>
            <w:tcW w:w="851" w:type="dxa"/>
            <w:tcBorders>
              <w:top w:val="nil"/>
              <w:left w:val="single" w:sz="4" w:space="0" w:color="auto"/>
              <w:bottom w:val="single" w:sz="4" w:space="0" w:color="auto"/>
              <w:right w:val="single" w:sz="4" w:space="0" w:color="auto"/>
            </w:tcBorders>
            <w:noWrap/>
            <w:vAlign w:val="center"/>
          </w:tcPr>
          <w:p w14:paraId="54836795"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1 351,5</w:t>
            </w:r>
          </w:p>
        </w:tc>
        <w:tc>
          <w:tcPr>
            <w:tcW w:w="850" w:type="dxa"/>
            <w:tcBorders>
              <w:top w:val="nil"/>
              <w:left w:val="nil"/>
              <w:bottom w:val="single" w:sz="4" w:space="0" w:color="auto"/>
              <w:right w:val="single" w:sz="4" w:space="0" w:color="auto"/>
            </w:tcBorders>
            <w:noWrap/>
            <w:vAlign w:val="center"/>
          </w:tcPr>
          <w:p w14:paraId="5029AD46"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1 052,9</w:t>
            </w:r>
          </w:p>
        </w:tc>
        <w:tc>
          <w:tcPr>
            <w:tcW w:w="851" w:type="dxa"/>
            <w:tcBorders>
              <w:top w:val="nil"/>
              <w:left w:val="nil"/>
              <w:bottom w:val="single" w:sz="4" w:space="0" w:color="auto"/>
              <w:right w:val="single" w:sz="4" w:space="0" w:color="auto"/>
            </w:tcBorders>
            <w:noWrap/>
            <w:vAlign w:val="center"/>
          </w:tcPr>
          <w:p w14:paraId="69E930B7"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895,5</w:t>
            </w:r>
          </w:p>
        </w:tc>
      </w:tr>
      <w:tr w:rsidR="00E67A69" w:rsidRPr="00E67A69" w14:paraId="39CCEE65" w14:textId="77777777" w:rsidTr="00C217B4">
        <w:trPr>
          <w:trHeight w:val="584"/>
          <w:jc w:val="center"/>
        </w:trPr>
        <w:tc>
          <w:tcPr>
            <w:tcW w:w="2263" w:type="dxa"/>
            <w:tcBorders>
              <w:top w:val="nil"/>
              <w:left w:val="single" w:sz="4" w:space="0" w:color="auto"/>
              <w:bottom w:val="single" w:sz="4" w:space="0" w:color="auto"/>
              <w:right w:val="single" w:sz="4" w:space="0" w:color="auto"/>
            </w:tcBorders>
            <w:vAlign w:val="center"/>
            <w:hideMark/>
          </w:tcPr>
          <w:p w14:paraId="18AFDF65" w14:textId="77777777" w:rsidR="00E67A69" w:rsidRPr="00E67A69" w:rsidRDefault="00E67A69" w:rsidP="00E67A69">
            <w:pPr>
              <w:spacing w:after="0"/>
              <w:ind w:firstLine="0"/>
              <w:jc w:val="left"/>
              <w:rPr>
                <w:rFonts w:eastAsia="Times New Roman" w:cs="Times New Roman"/>
                <w:b/>
                <w:bCs/>
                <w:i/>
                <w:iCs/>
                <w:sz w:val="19"/>
                <w:szCs w:val="19"/>
              </w:rPr>
            </w:pPr>
            <w:r w:rsidRPr="00E67A69">
              <w:rPr>
                <w:rFonts w:eastAsia="Times New Roman" w:cs="Times New Roman"/>
                <w:b/>
                <w:bCs/>
                <w:i/>
                <w:iCs/>
                <w:sz w:val="19"/>
                <w:szCs w:val="19"/>
              </w:rPr>
              <w:t>VALSTS PAMATBUDŽETA BILANCE</w:t>
            </w:r>
          </w:p>
        </w:tc>
        <w:tc>
          <w:tcPr>
            <w:tcW w:w="850" w:type="dxa"/>
            <w:tcBorders>
              <w:top w:val="single" w:sz="4" w:space="0" w:color="auto"/>
              <w:left w:val="nil"/>
              <w:bottom w:val="single" w:sz="4" w:space="0" w:color="auto"/>
              <w:right w:val="single" w:sz="4" w:space="0" w:color="auto"/>
            </w:tcBorders>
            <w:noWrap/>
            <w:vAlign w:val="center"/>
          </w:tcPr>
          <w:p w14:paraId="2E19F62A" w14:textId="77777777" w:rsidR="00E67A69" w:rsidRPr="00E67A69" w:rsidRDefault="00E67A69" w:rsidP="00E67A69">
            <w:pPr>
              <w:spacing w:after="0"/>
              <w:ind w:firstLine="0"/>
              <w:jc w:val="right"/>
              <w:rPr>
                <w:rFonts w:eastAsia="Times New Roman" w:cs="Times New Roman"/>
                <w:b/>
                <w:bCs/>
                <w:color w:val="EE0000"/>
                <w:sz w:val="18"/>
                <w:szCs w:val="18"/>
              </w:rPr>
            </w:pPr>
            <w:r w:rsidRPr="00E67A69">
              <w:rPr>
                <w:b/>
                <w:bCs/>
                <w:sz w:val="18"/>
                <w:szCs w:val="18"/>
              </w:rPr>
              <w:t>-1 082,6</w:t>
            </w:r>
          </w:p>
        </w:tc>
        <w:tc>
          <w:tcPr>
            <w:tcW w:w="851" w:type="dxa"/>
            <w:tcBorders>
              <w:top w:val="single" w:sz="4" w:space="0" w:color="auto"/>
              <w:left w:val="nil"/>
              <w:bottom w:val="single" w:sz="4" w:space="0" w:color="auto"/>
              <w:right w:val="single" w:sz="4" w:space="0" w:color="auto"/>
            </w:tcBorders>
            <w:noWrap/>
            <w:vAlign w:val="center"/>
          </w:tcPr>
          <w:p w14:paraId="3505863F" w14:textId="77777777" w:rsidR="00E67A69" w:rsidRPr="00E67A69" w:rsidRDefault="00E67A69" w:rsidP="00E67A69">
            <w:pPr>
              <w:spacing w:after="0"/>
              <w:ind w:firstLine="0"/>
              <w:jc w:val="right"/>
              <w:rPr>
                <w:rFonts w:eastAsia="Times New Roman" w:cs="Times New Roman"/>
                <w:b/>
                <w:bCs/>
                <w:sz w:val="18"/>
                <w:szCs w:val="18"/>
              </w:rPr>
            </w:pPr>
            <w:r w:rsidRPr="00E67A69">
              <w:rPr>
                <w:b/>
                <w:bCs/>
                <w:sz w:val="18"/>
                <w:szCs w:val="18"/>
              </w:rPr>
              <w:t>-2 217,6</w:t>
            </w:r>
          </w:p>
        </w:tc>
        <w:tc>
          <w:tcPr>
            <w:tcW w:w="850" w:type="dxa"/>
            <w:tcBorders>
              <w:top w:val="single" w:sz="4" w:space="0" w:color="auto"/>
              <w:left w:val="nil"/>
              <w:bottom w:val="single" w:sz="4" w:space="0" w:color="auto"/>
              <w:right w:val="single" w:sz="4" w:space="0" w:color="auto"/>
            </w:tcBorders>
            <w:noWrap/>
            <w:vAlign w:val="center"/>
          </w:tcPr>
          <w:p w14:paraId="2FFBE253"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sz w:val="18"/>
                <w:szCs w:val="18"/>
              </w:rPr>
              <w:t>-2 131,8</w:t>
            </w:r>
          </w:p>
        </w:tc>
        <w:tc>
          <w:tcPr>
            <w:tcW w:w="851" w:type="dxa"/>
            <w:tcBorders>
              <w:top w:val="single" w:sz="4" w:space="0" w:color="auto"/>
              <w:left w:val="nil"/>
              <w:bottom w:val="single" w:sz="4" w:space="0" w:color="auto"/>
              <w:right w:val="single" w:sz="4" w:space="0" w:color="auto"/>
            </w:tcBorders>
            <w:noWrap/>
            <w:vAlign w:val="center"/>
          </w:tcPr>
          <w:p w14:paraId="6D264FE8" w14:textId="77777777" w:rsidR="00E67A69" w:rsidRPr="00E67A69" w:rsidRDefault="00E67A69" w:rsidP="00E67A69">
            <w:pPr>
              <w:spacing w:after="0"/>
              <w:ind w:firstLine="0"/>
              <w:jc w:val="right"/>
              <w:rPr>
                <w:rFonts w:eastAsia="Times New Roman" w:cs="Times New Roman"/>
                <w:b/>
                <w:bCs/>
                <w:color w:val="EE0000"/>
                <w:sz w:val="18"/>
                <w:szCs w:val="18"/>
                <w:highlight w:val="yellow"/>
              </w:rPr>
            </w:pPr>
            <w:r w:rsidRPr="00E67A69">
              <w:rPr>
                <w:b/>
                <w:bCs/>
                <w:sz w:val="18"/>
                <w:szCs w:val="18"/>
              </w:rPr>
              <w:t>-2 386,5</w:t>
            </w:r>
          </w:p>
        </w:tc>
        <w:tc>
          <w:tcPr>
            <w:tcW w:w="850" w:type="dxa"/>
            <w:tcBorders>
              <w:top w:val="single" w:sz="4" w:space="0" w:color="auto"/>
              <w:left w:val="nil"/>
              <w:bottom w:val="single" w:sz="4" w:space="0" w:color="auto"/>
              <w:right w:val="single" w:sz="4" w:space="0" w:color="auto"/>
            </w:tcBorders>
            <w:vAlign w:val="center"/>
          </w:tcPr>
          <w:p w14:paraId="71D47B9A"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sz w:val="18"/>
                <w:szCs w:val="18"/>
              </w:rPr>
              <w:t>-2 256,1</w:t>
            </w:r>
          </w:p>
        </w:tc>
        <w:tc>
          <w:tcPr>
            <w:tcW w:w="851" w:type="dxa"/>
            <w:tcBorders>
              <w:top w:val="single" w:sz="4" w:space="0" w:color="auto"/>
              <w:left w:val="single" w:sz="4" w:space="0" w:color="auto"/>
              <w:bottom w:val="single" w:sz="4" w:space="0" w:color="auto"/>
              <w:right w:val="single" w:sz="4" w:space="0" w:color="auto"/>
            </w:tcBorders>
            <w:noWrap/>
            <w:vAlign w:val="center"/>
          </w:tcPr>
          <w:p w14:paraId="7F96BAC1" w14:textId="77777777" w:rsidR="00E67A69" w:rsidRPr="00E67A69" w:rsidRDefault="00E67A69" w:rsidP="00E67A69">
            <w:pPr>
              <w:spacing w:after="0"/>
              <w:ind w:firstLine="0"/>
              <w:jc w:val="right"/>
              <w:rPr>
                <w:rFonts w:eastAsia="Times New Roman" w:cs="Times New Roman"/>
                <w:b/>
                <w:bCs/>
                <w:i/>
                <w:color w:val="EE0000"/>
                <w:sz w:val="18"/>
                <w:szCs w:val="18"/>
              </w:rPr>
            </w:pPr>
            <w:r w:rsidRPr="00E67A69">
              <w:rPr>
                <w:b/>
                <w:bCs/>
                <w:color w:val="000000"/>
                <w:sz w:val="18"/>
                <w:szCs w:val="18"/>
              </w:rPr>
              <w:t>-2 329,7</w:t>
            </w:r>
          </w:p>
        </w:tc>
        <w:tc>
          <w:tcPr>
            <w:tcW w:w="850" w:type="dxa"/>
            <w:tcBorders>
              <w:top w:val="single" w:sz="4" w:space="0" w:color="auto"/>
              <w:left w:val="nil"/>
              <w:bottom w:val="single" w:sz="4" w:space="0" w:color="auto"/>
              <w:right w:val="single" w:sz="4" w:space="0" w:color="auto"/>
            </w:tcBorders>
            <w:noWrap/>
            <w:vAlign w:val="center"/>
          </w:tcPr>
          <w:p w14:paraId="54876909" w14:textId="77777777" w:rsidR="00E67A69" w:rsidRPr="00E67A69" w:rsidRDefault="00E67A69" w:rsidP="00E67A69">
            <w:pPr>
              <w:spacing w:after="0"/>
              <w:ind w:firstLine="0"/>
              <w:jc w:val="right"/>
              <w:rPr>
                <w:rFonts w:eastAsia="Times New Roman" w:cs="Times New Roman"/>
                <w:b/>
                <w:bCs/>
                <w:i/>
                <w:color w:val="EE0000"/>
                <w:sz w:val="18"/>
                <w:szCs w:val="18"/>
              </w:rPr>
            </w:pPr>
            <w:r w:rsidRPr="00E67A69">
              <w:rPr>
                <w:b/>
                <w:bCs/>
                <w:color w:val="000000"/>
                <w:sz w:val="18"/>
                <w:szCs w:val="18"/>
              </w:rPr>
              <w:t>-2 341,6</w:t>
            </w:r>
          </w:p>
        </w:tc>
        <w:tc>
          <w:tcPr>
            <w:tcW w:w="851" w:type="dxa"/>
            <w:tcBorders>
              <w:top w:val="single" w:sz="4" w:space="0" w:color="auto"/>
              <w:left w:val="nil"/>
              <w:bottom w:val="single" w:sz="4" w:space="0" w:color="auto"/>
              <w:right w:val="single" w:sz="4" w:space="0" w:color="auto"/>
            </w:tcBorders>
            <w:noWrap/>
            <w:vAlign w:val="center"/>
          </w:tcPr>
          <w:p w14:paraId="69D55FE6" w14:textId="77777777" w:rsidR="00E67A69" w:rsidRPr="00E67A69" w:rsidRDefault="00E67A69" w:rsidP="00E67A69">
            <w:pPr>
              <w:spacing w:after="0"/>
              <w:ind w:firstLine="0"/>
              <w:jc w:val="right"/>
              <w:rPr>
                <w:rFonts w:eastAsia="Times New Roman" w:cs="Times New Roman"/>
                <w:b/>
                <w:bCs/>
                <w:i/>
                <w:color w:val="EE0000"/>
                <w:sz w:val="18"/>
                <w:szCs w:val="18"/>
              </w:rPr>
            </w:pPr>
            <w:r w:rsidRPr="00E67A69">
              <w:rPr>
                <w:b/>
                <w:bCs/>
                <w:color w:val="000000"/>
                <w:sz w:val="18"/>
                <w:szCs w:val="18"/>
              </w:rPr>
              <w:t>-2 197,3</w:t>
            </w:r>
          </w:p>
        </w:tc>
      </w:tr>
      <w:tr w:rsidR="00E67A69" w:rsidRPr="00E67A69" w14:paraId="7AC113F6"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05E26B7E" w14:textId="77777777" w:rsidR="00E67A69" w:rsidRPr="00E67A69" w:rsidRDefault="00E67A69" w:rsidP="00E67A69">
            <w:pPr>
              <w:spacing w:after="0"/>
              <w:ind w:left="-183" w:firstLineChars="100" w:firstLine="190"/>
              <w:jc w:val="left"/>
              <w:rPr>
                <w:rFonts w:eastAsia="Times New Roman" w:cs="Times New Roman"/>
                <w:sz w:val="19"/>
                <w:szCs w:val="19"/>
              </w:rPr>
            </w:pPr>
            <w:r w:rsidRPr="00E67A69">
              <w:rPr>
                <w:rFonts w:eastAsia="Times New Roman" w:cs="Times New Roman"/>
                <w:sz w:val="19"/>
                <w:szCs w:val="19"/>
              </w:rPr>
              <w:t>Ieņēmumi</w:t>
            </w:r>
          </w:p>
        </w:tc>
        <w:tc>
          <w:tcPr>
            <w:tcW w:w="850" w:type="dxa"/>
            <w:tcBorders>
              <w:top w:val="nil"/>
              <w:left w:val="nil"/>
              <w:bottom w:val="single" w:sz="4" w:space="0" w:color="auto"/>
              <w:right w:val="single" w:sz="4" w:space="0" w:color="auto"/>
            </w:tcBorders>
            <w:noWrap/>
            <w:vAlign w:val="center"/>
          </w:tcPr>
          <w:p w14:paraId="5A42693C" w14:textId="77777777" w:rsidR="00E67A69" w:rsidRPr="00E67A69" w:rsidRDefault="00E67A69" w:rsidP="00E67A69">
            <w:pPr>
              <w:spacing w:after="0"/>
              <w:ind w:firstLine="0"/>
              <w:jc w:val="right"/>
              <w:rPr>
                <w:rFonts w:eastAsia="Times New Roman" w:cs="Times New Roman"/>
                <w:sz w:val="18"/>
                <w:szCs w:val="18"/>
              </w:rPr>
            </w:pPr>
            <w:r w:rsidRPr="00E67A69">
              <w:rPr>
                <w:sz w:val="18"/>
                <w:szCs w:val="18"/>
              </w:rPr>
              <w:t>10 003,4</w:t>
            </w:r>
          </w:p>
        </w:tc>
        <w:tc>
          <w:tcPr>
            <w:tcW w:w="851" w:type="dxa"/>
            <w:tcBorders>
              <w:top w:val="nil"/>
              <w:left w:val="nil"/>
              <w:bottom w:val="single" w:sz="4" w:space="0" w:color="auto"/>
              <w:right w:val="single" w:sz="4" w:space="0" w:color="auto"/>
            </w:tcBorders>
            <w:noWrap/>
            <w:vAlign w:val="center"/>
          </w:tcPr>
          <w:p w14:paraId="40CBFFEF" w14:textId="77777777" w:rsidR="00E67A69" w:rsidRPr="00E67A69" w:rsidRDefault="00E67A69" w:rsidP="00E67A69">
            <w:pPr>
              <w:spacing w:after="0"/>
              <w:ind w:firstLine="0"/>
              <w:jc w:val="right"/>
              <w:rPr>
                <w:rFonts w:eastAsia="Times New Roman" w:cs="Times New Roman"/>
                <w:sz w:val="18"/>
                <w:szCs w:val="18"/>
              </w:rPr>
            </w:pPr>
            <w:r w:rsidRPr="00E67A69">
              <w:rPr>
                <w:sz w:val="18"/>
                <w:szCs w:val="18"/>
              </w:rPr>
              <w:t>10 224,8</w:t>
            </w:r>
          </w:p>
        </w:tc>
        <w:tc>
          <w:tcPr>
            <w:tcW w:w="850" w:type="dxa"/>
            <w:tcBorders>
              <w:top w:val="nil"/>
              <w:left w:val="nil"/>
              <w:bottom w:val="single" w:sz="4" w:space="0" w:color="auto"/>
              <w:right w:val="single" w:sz="4" w:space="0" w:color="auto"/>
            </w:tcBorders>
            <w:noWrap/>
            <w:vAlign w:val="center"/>
          </w:tcPr>
          <w:p w14:paraId="6D264532" w14:textId="77777777" w:rsidR="00E67A69" w:rsidRPr="00E67A69" w:rsidRDefault="00E67A69" w:rsidP="00E67A69">
            <w:pPr>
              <w:spacing w:after="0"/>
              <w:ind w:firstLine="0"/>
              <w:jc w:val="right"/>
              <w:rPr>
                <w:rFonts w:eastAsia="Times New Roman" w:cs="Times New Roman"/>
                <w:color w:val="EE0000"/>
                <w:sz w:val="18"/>
                <w:szCs w:val="18"/>
                <w:highlight w:val="yellow"/>
              </w:rPr>
            </w:pPr>
            <w:r w:rsidRPr="00E67A69">
              <w:rPr>
                <w:sz w:val="18"/>
                <w:szCs w:val="18"/>
              </w:rPr>
              <w:t>10 834,5</w:t>
            </w:r>
          </w:p>
        </w:tc>
        <w:tc>
          <w:tcPr>
            <w:tcW w:w="851" w:type="dxa"/>
            <w:tcBorders>
              <w:top w:val="nil"/>
              <w:left w:val="nil"/>
              <w:bottom w:val="single" w:sz="4" w:space="0" w:color="auto"/>
              <w:right w:val="single" w:sz="4" w:space="0" w:color="auto"/>
            </w:tcBorders>
            <w:noWrap/>
            <w:vAlign w:val="center"/>
          </w:tcPr>
          <w:p w14:paraId="7039730A"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10 371,8</w:t>
            </w:r>
          </w:p>
        </w:tc>
        <w:tc>
          <w:tcPr>
            <w:tcW w:w="850" w:type="dxa"/>
            <w:tcBorders>
              <w:top w:val="single" w:sz="4" w:space="0" w:color="auto"/>
              <w:left w:val="nil"/>
              <w:bottom w:val="single" w:sz="4" w:space="0" w:color="auto"/>
              <w:right w:val="single" w:sz="4" w:space="0" w:color="auto"/>
            </w:tcBorders>
            <w:vAlign w:val="center"/>
          </w:tcPr>
          <w:p w14:paraId="66FF4BC7"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10 149,7</w:t>
            </w:r>
          </w:p>
        </w:tc>
        <w:tc>
          <w:tcPr>
            <w:tcW w:w="851" w:type="dxa"/>
            <w:tcBorders>
              <w:top w:val="nil"/>
              <w:left w:val="single" w:sz="4" w:space="0" w:color="auto"/>
              <w:bottom w:val="single" w:sz="4" w:space="0" w:color="auto"/>
              <w:right w:val="single" w:sz="4" w:space="0" w:color="auto"/>
            </w:tcBorders>
            <w:noWrap/>
            <w:vAlign w:val="center"/>
          </w:tcPr>
          <w:p w14:paraId="6B0B08F3" w14:textId="77777777" w:rsidR="00E67A69" w:rsidRPr="00E67A69" w:rsidRDefault="00E67A69" w:rsidP="00E67A69">
            <w:pPr>
              <w:spacing w:after="0"/>
              <w:ind w:firstLine="0"/>
              <w:jc w:val="right"/>
              <w:rPr>
                <w:rFonts w:eastAsia="Times New Roman" w:cs="Times New Roman"/>
                <w:color w:val="EE0000"/>
                <w:sz w:val="18"/>
                <w:szCs w:val="18"/>
              </w:rPr>
            </w:pPr>
            <w:r w:rsidRPr="00E67A69">
              <w:rPr>
                <w:color w:val="000000"/>
                <w:sz w:val="18"/>
                <w:szCs w:val="18"/>
              </w:rPr>
              <w:t>10 914,6</w:t>
            </w:r>
          </w:p>
        </w:tc>
        <w:tc>
          <w:tcPr>
            <w:tcW w:w="850" w:type="dxa"/>
            <w:tcBorders>
              <w:top w:val="nil"/>
              <w:left w:val="nil"/>
              <w:bottom w:val="single" w:sz="4" w:space="0" w:color="auto"/>
              <w:right w:val="single" w:sz="4" w:space="0" w:color="auto"/>
            </w:tcBorders>
            <w:noWrap/>
            <w:vAlign w:val="center"/>
          </w:tcPr>
          <w:p w14:paraId="2163558E" w14:textId="77777777" w:rsidR="00E67A69" w:rsidRPr="00E67A69" w:rsidRDefault="00E67A69" w:rsidP="00E67A69">
            <w:pPr>
              <w:spacing w:after="0"/>
              <w:ind w:firstLine="0"/>
              <w:jc w:val="right"/>
              <w:rPr>
                <w:rFonts w:eastAsia="Times New Roman" w:cs="Times New Roman"/>
                <w:color w:val="EE0000"/>
                <w:sz w:val="18"/>
                <w:szCs w:val="18"/>
              </w:rPr>
            </w:pPr>
            <w:r w:rsidRPr="00E67A69">
              <w:rPr>
                <w:color w:val="000000"/>
                <w:sz w:val="18"/>
                <w:szCs w:val="18"/>
              </w:rPr>
              <w:t>10 490,4</w:t>
            </w:r>
          </w:p>
        </w:tc>
        <w:tc>
          <w:tcPr>
            <w:tcW w:w="851" w:type="dxa"/>
            <w:tcBorders>
              <w:top w:val="nil"/>
              <w:left w:val="nil"/>
              <w:bottom w:val="single" w:sz="4" w:space="0" w:color="auto"/>
              <w:right w:val="single" w:sz="4" w:space="0" w:color="auto"/>
            </w:tcBorders>
            <w:noWrap/>
            <w:vAlign w:val="center"/>
          </w:tcPr>
          <w:p w14:paraId="7AD5E50D" w14:textId="77777777" w:rsidR="00E67A69" w:rsidRPr="00E67A69" w:rsidRDefault="00E67A69" w:rsidP="00E67A69">
            <w:pPr>
              <w:spacing w:after="0"/>
              <w:ind w:firstLine="0"/>
              <w:jc w:val="right"/>
              <w:rPr>
                <w:rFonts w:eastAsia="Times New Roman" w:cs="Times New Roman"/>
                <w:color w:val="EE0000"/>
                <w:sz w:val="18"/>
                <w:szCs w:val="18"/>
              </w:rPr>
            </w:pPr>
            <w:r w:rsidRPr="00E67A69">
              <w:rPr>
                <w:color w:val="000000"/>
                <w:sz w:val="18"/>
                <w:szCs w:val="18"/>
              </w:rPr>
              <w:t>10 293,2</w:t>
            </w:r>
          </w:p>
        </w:tc>
      </w:tr>
      <w:tr w:rsidR="00E67A69" w:rsidRPr="00E67A69" w14:paraId="4B9831B3"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5C27C877"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Nodokļu ieņēmumi</w:t>
            </w:r>
          </w:p>
        </w:tc>
        <w:tc>
          <w:tcPr>
            <w:tcW w:w="850" w:type="dxa"/>
            <w:tcBorders>
              <w:top w:val="single" w:sz="4" w:space="0" w:color="auto"/>
              <w:left w:val="single" w:sz="4" w:space="0" w:color="auto"/>
              <w:bottom w:val="single" w:sz="4" w:space="0" w:color="auto"/>
              <w:right w:val="single" w:sz="4" w:space="0" w:color="auto"/>
            </w:tcBorders>
            <w:noWrap/>
            <w:vAlign w:val="center"/>
          </w:tcPr>
          <w:p w14:paraId="7D42600F" w14:textId="77777777" w:rsidR="00E67A69" w:rsidRPr="00E67A69" w:rsidRDefault="00E67A69" w:rsidP="00E67A69">
            <w:pPr>
              <w:spacing w:after="0"/>
              <w:ind w:firstLine="0"/>
              <w:jc w:val="right"/>
              <w:rPr>
                <w:rFonts w:eastAsia="Times New Roman" w:cs="Times New Roman"/>
                <w:sz w:val="18"/>
                <w:szCs w:val="18"/>
              </w:rPr>
            </w:pPr>
            <w:r w:rsidRPr="00E67A69">
              <w:rPr>
                <w:sz w:val="18"/>
                <w:szCs w:val="18"/>
              </w:rPr>
              <w:t>6 974,8</w:t>
            </w:r>
          </w:p>
        </w:tc>
        <w:tc>
          <w:tcPr>
            <w:tcW w:w="851" w:type="dxa"/>
            <w:tcBorders>
              <w:top w:val="single" w:sz="4" w:space="0" w:color="auto"/>
              <w:left w:val="nil"/>
              <w:bottom w:val="single" w:sz="4" w:space="0" w:color="auto"/>
              <w:right w:val="single" w:sz="4" w:space="0" w:color="auto"/>
            </w:tcBorders>
            <w:noWrap/>
            <w:vAlign w:val="center"/>
          </w:tcPr>
          <w:p w14:paraId="766C0FB0" w14:textId="77777777" w:rsidR="00E67A69" w:rsidRPr="00E67A69" w:rsidRDefault="00E67A69" w:rsidP="00E67A69">
            <w:pPr>
              <w:spacing w:after="0"/>
              <w:ind w:firstLine="0"/>
              <w:jc w:val="right"/>
              <w:rPr>
                <w:rFonts w:eastAsia="Times New Roman" w:cs="Times New Roman"/>
                <w:sz w:val="18"/>
                <w:szCs w:val="18"/>
              </w:rPr>
            </w:pPr>
            <w:r w:rsidRPr="00E67A69">
              <w:rPr>
                <w:sz w:val="18"/>
                <w:szCs w:val="18"/>
              </w:rPr>
              <w:t>7 360,1</w:t>
            </w:r>
          </w:p>
        </w:tc>
        <w:tc>
          <w:tcPr>
            <w:tcW w:w="850" w:type="dxa"/>
            <w:tcBorders>
              <w:top w:val="single" w:sz="4" w:space="0" w:color="auto"/>
              <w:left w:val="nil"/>
              <w:bottom w:val="single" w:sz="4" w:space="0" w:color="auto"/>
              <w:right w:val="single" w:sz="4" w:space="0" w:color="auto"/>
            </w:tcBorders>
            <w:noWrap/>
            <w:vAlign w:val="center"/>
          </w:tcPr>
          <w:p w14:paraId="2AA2D70A" w14:textId="77777777" w:rsidR="00E67A69" w:rsidRPr="00E67A69" w:rsidRDefault="00E67A69" w:rsidP="00E67A69">
            <w:pPr>
              <w:spacing w:after="0"/>
              <w:ind w:firstLine="0"/>
              <w:jc w:val="right"/>
              <w:rPr>
                <w:rFonts w:eastAsia="Times New Roman" w:cs="Times New Roman"/>
                <w:color w:val="EE0000"/>
                <w:sz w:val="18"/>
                <w:szCs w:val="18"/>
                <w:highlight w:val="yellow"/>
              </w:rPr>
            </w:pPr>
            <w:r w:rsidRPr="00E67A69">
              <w:rPr>
                <w:sz w:val="18"/>
                <w:szCs w:val="18"/>
              </w:rPr>
              <w:t>7 686,7</w:t>
            </w:r>
          </w:p>
        </w:tc>
        <w:tc>
          <w:tcPr>
            <w:tcW w:w="851" w:type="dxa"/>
            <w:tcBorders>
              <w:top w:val="single" w:sz="4" w:space="0" w:color="auto"/>
              <w:left w:val="nil"/>
              <w:bottom w:val="single" w:sz="4" w:space="0" w:color="auto"/>
              <w:right w:val="single" w:sz="4" w:space="0" w:color="auto"/>
            </w:tcBorders>
            <w:noWrap/>
            <w:vAlign w:val="center"/>
          </w:tcPr>
          <w:p w14:paraId="4420571A"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7 994,2</w:t>
            </w:r>
          </w:p>
        </w:tc>
        <w:tc>
          <w:tcPr>
            <w:tcW w:w="850" w:type="dxa"/>
            <w:tcBorders>
              <w:top w:val="single" w:sz="4" w:space="0" w:color="auto"/>
              <w:left w:val="nil"/>
              <w:bottom w:val="single" w:sz="4" w:space="0" w:color="auto"/>
              <w:right w:val="single" w:sz="4" w:space="0" w:color="auto"/>
            </w:tcBorders>
            <w:vAlign w:val="center"/>
          </w:tcPr>
          <w:p w14:paraId="27BA4A54"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8 253,1</w:t>
            </w:r>
          </w:p>
        </w:tc>
        <w:tc>
          <w:tcPr>
            <w:tcW w:w="851" w:type="dxa"/>
            <w:tcBorders>
              <w:top w:val="single" w:sz="4" w:space="0" w:color="auto"/>
              <w:left w:val="single" w:sz="4" w:space="0" w:color="auto"/>
              <w:bottom w:val="single" w:sz="4" w:space="0" w:color="auto"/>
              <w:right w:val="single" w:sz="4" w:space="0" w:color="auto"/>
            </w:tcBorders>
            <w:noWrap/>
            <w:vAlign w:val="center"/>
          </w:tcPr>
          <w:p w14:paraId="30C22FBD" w14:textId="77777777" w:rsidR="00E67A69" w:rsidRPr="00E67A69" w:rsidRDefault="00E67A69" w:rsidP="00E67A69">
            <w:pPr>
              <w:spacing w:after="0"/>
              <w:ind w:firstLine="0"/>
              <w:jc w:val="right"/>
              <w:rPr>
                <w:rFonts w:eastAsia="Times New Roman" w:cs="Times New Roman"/>
                <w:color w:val="EE0000"/>
                <w:sz w:val="18"/>
                <w:szCs w:val="18"/>
              </w:rPr>
            </w:pPr>
            <w:r w:rsidRPr="00E67A69">
              <w:rPr>
                <w:color w:val="000000"/>
                <w:sz w:val="18"/>
                <w:szCs w:val="18"/>
              </w:rPr>
              <w:t>7 701,7</w:t>
            </w:r>
          </w:p>
        </w:tc>
        <w:tc>
          <w:tcPr>
            <w:tcW w:w="850" w:type="dxa"/>
            <w:tcBorders>
              <w:top w:val="single" w:sz="4" w:space="0" w:color="auto"/>
              <w:left w:val="nil"/>
              <w:bottom w:val="single" w:sz="4" w:space="0" w:color="auto"/>
              <w:right w:val="single" w:sz="4" w:space="0" w:color="auto"/>
            </w:tcBorders>
            <w:noWrap/>
            <w:vAlign w:val="center"/>
          </w:tcPr>
          <w:p w14:paraId="24AE3A7B" w14:textId="77777777" w:rsidR="00E67A69" w:rsidRPr="00E67A69" w:rsidRDefault="00E67A69" w:rsidP="00E67A69">
            <w:pPr>
              <w:spacing w:after="0"/>
              <w:ind w:firstLine="0"/>
              <w:jc w:val="right"/>
              <w:rPr>
                <w:rFonts w:eastAsia="Times New Roman" w:cs="Times New Roman"/>
                <w:color w:val="EE0000"/>
                <w:sz w:val="18"/>
                <w:szCs w:val="18"/>
              </w:rPr>
            </w:pPr>
            <w:r w:rsidRPr="00E67A69">
              <w:rPr>
                <w:color w:val="000000"/>
                <w:sz w:val="18"/>
                <w:szCs w:val="18"/>
              </w:rPr>
              <w:t>8 023,1</w:t>
            </w:r>
          </w:p>
        </w:tc>
        <w:tc>
          <w:tcPr>
            <w:tcW w:w="851" w:type="dxa"/>
            <w:tcBorders>
              <w:top w:val="single" w:sz="4" w:space="0" w:color="auto"/>
              <w:left w:val="nil"/>
              <w:bottom w:val="single" w:sz="4" w:space="0" w:color="auto"/>
              <w:right w:val="single" w:sz="4" w:space="0" w:color="auto"/>
            </w:tcBorders>
            <w:noWrap/>
            <w:vAlign w:val="center"/>
          </w:tcPr>
          <w:p w14:paraId="4B064BD6" w14:textId="77777777" w:rsidR="00E67A69" w:rsidRPr="00E67A69" w:rsidRDefault="00E67A69" w:rsidP="00E67A69">
            <w:pPr>
              <w:spacing w:after="0"/>
              <w:ind w:firstLine="0"/>
              <w:jc w:val="right"/>
              <w:rPr>
                <w:rFonts w:eastAsia="Times New Roman" w:cs="Times New Roman"/>
                <w:color w:val="EE0000"/>
                <w:sz w:val="18"/>
                <w:szCs w:val="18"/>
              </w:rPr>
            </w:pPr>
            <w:r w:rsidRPr="00E67A69">
              <w:rPr>
                <w:color w:val="000000"/>
                <w:sz w:val="18"/>
                <w:szCs w:val="18"/>
              </w:rPr>
              <w:t>8 316,8</w:t>
            </w:r>
          </w:p>
        </w:tc>
      </w:tr>
      <w:tr w:rsidR="00E67A69" w:rsidRPr="00E67A69" w14:paraId="36CABE59"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28B77B84"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Ne-nodokļu ieņēmumi</w:t>
            </w:r>
          </w:p>
        </w:tc>
        <w:tc>
          <w:tcPr>
            <w:tcW w:w="850" w:type="dxa"/>
            <w:tcBorders>
              <w:top w:val="nil"/>
              <w:left w:val="single" w:sz="4" w:space="0" w:color="auto"/>
              <w:bottom w:val="single" w:sz="4" w:space="0" w:color="auto"/>
              <w:right w:val="single" w:sz="4" w:space="0" w:color="auto"/>
            </w:tcBorders>
            <w:noWrap/>
            <w:vAlign w:val="center"/>
          </w:tcPr>
          <w:p w14:paraId="220A487A" w14:textId="77777777" w:rsidR="00E67A69" w:rsidRPr="00E67A69" w:rsidRDefault="00E67A69" w:rsidP="00E67A69">
            <w:pPr>
              <w:spacing w:after="0"/>
              <w:ind w:firstLine="0"/>
              <w:jc w:val="right"/>
              <w:rPr>
                <w:rFonts w:eastAsia="Times New Roman" w:cs="Times New Roman"/>
                <w:sz w:val="18"/>
                <w:szCs w:val="18"/>
              </w:rPr>
            </w:pPr>
            <w:r w:rsidRPr="00E67A69">
              <w:rPr>
                <w:sz w:val="18"/>
                <w:szCs w:val="18"/>
              </w:rPr>
              <w:t>1 102,7</w:t>
            </w:r>
          </w:p>
        </w:tc>
        <w:tc>
          <w:tcPr>
            <w:tcW w:w="851" w:type="dxa"/>
            <w:tcBorders>
              <w:top w:val="nil"/>
              <w:left w:val="nil"/>
              <w:bottom w:val="single" w:sz="4" w:space="0" w:color="auto"/>
              <w:right w:val="single" w:sz="4" w:space="0" w:color="auto"/>
            </w:tcBorders>
            <w:noWrap/>
            <w:vAlign w:val="center"/>
          </w:tcPr>
          <w:p w14:paraId="7F8B3BC5"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899,2</w:t>
            </w:r>
          </w:p>
        </w:tc>
        <w:tc>
          <w:tcPr>
            <w:tcW w:w="850" w:type="dxa"/>
            <w:tcBorders>
              <w:top w:val="nil"/>
              <w:left w:val="nil"/>
              <w:bottom w:val="single" w:sz="4" w:space="0" w:color="auto"/>
              <w:right w:val="single" w:sz="4" w:space="0" w:color="auto"/>
            </w:tcBorders>
            <w:noWrap/>
            <w:vAlign w:val="center"/>
          </w:tcPr>
          <w:p w14:paraId="1B80F166" w14:textId="77777777" w:rsidR="00E67A69" w:rsidRPr="00E67A69" w:rsidRDefault="00E67A69" w:rsidP="00E67A69">
            <w:pPr>
              <w:spacing w:after="0"/>
              <w:ind w:firstLine="0"/>
              <w:jc w:val="right"/>
              <w:rPr>
                <w:rFonts w:eastAsia="Times New Roman" w:cs="Times New Roman"/>
                <w:color w:val="EE0000"/>
                <w:sz w:val="18"/>
                <w:szCs w:val="18"/>
                <w:highlight w:val="yellow"/>
              </w:rPr>
            </w:pPr>
            <w:r w:rsidRPr="00E67A69">
              <w:rPr>
                <w:sz w:val="18"/>
                <w:szCs w:val="18"/>
              </w:rPr>
              <w:t>800,1</w:t>
            </w:r>
          </w:p>
        </w:tc>
        <w:tc>
          <w:tcPr>
            <w:tcW w:w="851" w:type="dxa"/>
            <w:tcBorders>
              <w:top w:val="nil"/>
              <w:left w:val="nil"/>
              <w:bottom w:val="single" w:sz="4" w:space="0" w:color="auto"/>
              <w:right w:val="single" w:sz="4" w:space="0" w:color="auto"/>
            </w:tcBorders>
            <w:noWrap/>
            <w:vAlign w:val="center"/>
          </w:tcPr>
          <w:p w14:paraId="3CB9A135"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764,2</w:t>
            </w:r>
          </w:p>
        </w:tc>
        <w:tc>
          <w:tcPr>
            <w:tcW w:w="850" w:type="dxa"/>
            <w:tcBorders>
              <w:top w:val="single" w:sz="4" w:space="0" w:color="auto"/>
              <w:left w:val="nil"/>
              <w:bottom w:val="single" w:sz="4" w:space="0" w:color="auto"/>
              <w:right w:val="single" w:sz="4" w:space="0" w:color="auto"/>
            </w:tcBorders>
            <w:vAlign w:val="center"/>
          </w:tcPr>
          <w:p w14:paraId="386A4F36"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752,7</w:t>
            </w:r>
          </w:p>
        </w:tc>
        <w:tc>
          <w:tcPr>
            <w:tcW w:w="851" w:type="dxa"/>
            <w:tcBorders>
              <w:top w:val="nil"/>
              <w:left w:val="single" w:sz="4" w:space="0" w:color="auto"/>
              <w:bottom w:val="single" w:sz="4" w:space="0" w:color="auto"/>
              <w:right w:val="single" w:sz="4" w:space="0" w:color="auto"/>
            </w:tcBorders>
            <w:noWrap/>
            <w:vAlign w:val="center"/>
          </w:tcPr>
          <w:p w14:paraId="616DA61A"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856,4</w:t>
            </w:r>
          </w:p>
        </w:tc>
        <w:tc>
          <w:tcPr>
            <w:tcW w:w="850" w:type="dxa"/>
            <w:tcBorders>
              <w:top w:val="nil"/>
              <w:left w:val="nil"/>
              <w:bottom w:val="single" w:sz="4" w:space="0" w:color="auto"/>
              <w:right w:val="single" w:sz="4" w:space="0" w:color="auto"/>
            </w:tcBorders>
            <w:noWrap/>
            <w:vAlign w:val="center"/>
          </w:tcPr>
          <w:p w14:paraId="468A2B55"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841,8</w:t>
            </w:r>
          </w:p>
        </w:tc>
        <w:tc>
          <w:tcPr>
            <w:tcW w:w="851" w:type="dxa"/>
            <w:tcBorders>
              <w:top w:val="nil"/>
              <w:left w:val="nil"/>
              <w:bottom w:val="single" w:sz="4" w:space="0" w:color="auto"/>
              <w:right w:val="single" w:sz="4" w:space="0" w:color="auto"/>
            </w:tcBorders>
            <w:noWrap/>
            <w:vAlign w:val="center"/>
          </w:tcPr>
          <w:p w14:paraId="3DAD2755"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827,0</w:t>
            </w:r>
          </w:p>
        </w:tc>
      </w:tr>
      <w:tr w:rsidR="00E67A69" w:rsidRPr="00E67A69" w14:paraId="74E7C207"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1AF52756" w14:textId="77777777" w:rsidR="00E67A69" w:rsidRPr="00E67A69" w:rsidRDefault="00E67A69" w:rsidP="00E67A69">
            <w:pPr>
              <w:spacing w:after="0"/>
              <w:ind w:left="27" w:firstLineChars="60" w:firstLine="114"/>
              <w:jc w:val="left"/>
              <w:rPr>
                <w:rFonts w:eastAsia="Times New Roman" w:cs="Times New Roman"/>
                <w:sz w:val="19"/>
                <w:szCs w:val="19"/>
              </w:rPr>
            </w:pPr>
            <w:r w:rsidRPr="00E67A69">
              <w:rPr>
                <w:rFonts w:eastAsia="Times New Roman" w:cs="Times New Roman"/>
                <w:sz w:val="19"/>
                <w:szCs w:val="19"/>
              </w:rPr>
              <w:t>ĀFP</w:t>
            </w:r>
          </w:p>
        </w:tc>
        <w:tc>
          <w:tcPr>
            <w:tcW w:w="850" w:type="dxa"/>
            <w:tcBorders>
              <w:top w:val="nil"/>
              <w:left w:val="single" w:sz="4" w:space="0" w:color="auto"/>
              <w:bottom w:val="single" w:sz="4" w:space="0" w:color="auto"/>
              <w:right w:val="single" w:sz="4" w:space="0" w:color="auto"/>
            </w:tcBorders>
            <w:noWrap/>
            <w:vAlign w:val="center"/>
          </w:tcPr>
          <w:p w14:paraId="49F2E143"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1 742,9</w:t>
            </w:r>
          </w:p>
        </w:tc>
        <w:tc>
          <w:tcPr>
            <w:tcW w:w="851" w:type="dxa"/>
            <w:tcBorders>
              <w:top w:val="nil"/>
              <w:left w:val="nil"/>
              <w:bottom w:val="single" w:sz="4" w:space="0" w:color="auto"/>
              <w:right w:val="single" w:sz="4" w:space="0" w:color="auto"/>
            </w:tcBorders>
            <w:noWrap/>
            <w:vAlign w:val="center"/>
          </w:tcPr>
          <w:p w14:paraId="05B8AB13"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1 781,0</w:t>
            </w:r>
          </w:p>
        </w:tc>
        <w:tc>
          <w:tcPr>
            <w:tcW w:w="850" w:type="dxa"/>
            <w:tcBorders>
              <w:top w:val="nil"/>
              <w:left w:val="nil"/>
              <w:bottom w:val="single" w:sz="4" w:space="0" w:color="auto"/>
              <w:right w:val="single" w:sz="4" w:space="0" w:color="auto"/>
            </w:tcBorders>
            <w:noWrap/>
            <w:vAlign w:val="center"/>
          </w:tcPr>
          <w:p w14:paraId="1887A251" w14:textId="77777777" w:rsidR="00E67A69" w:rsidRPr="00E67A69" w:rsidRDefault="00E67A69" w:rsidP="00E67A69">
            <w:pPr>
              <w:spacing w:after="0"/>
              <w:ind w:firstLine="0"/>
              <w:jc w:val="right"/>
              <w:rPr>
                <w:rFonts w:eastAsia="Times New Roman" w:cs="Times New Roman"/>
                <w:color w:val="EE0000"/>
                <w:sz w:val="18"/>
                <w:szCs w:val="18"/>
                <w:highlight w:val="yellow"/>
              </w:rPr>
            </w:pPr>
            <w:r w:rsidRPr="00E67A69">
              <w:rPr>
                <w:sz w:val="18"/>
                <w:szCs w:val="18"/>
              </w:rPr>
              <w:t>2 200,5</w:t>
            </w:r>
          </w:p>
        </w:tc>
        <w:tc>
          <w:tcPr>
            <w:tcW w:w="851" w:type="dxa"/>
            <w:tcBorders>
              <w:top w:val="nil"/>
              <w:left w:val="nil"/>
              <w:bottom w:val="single" w:sz="4" w:space="0" w:color="auto"/>
              <w:right w:val="single" w:sz="4" w:space="0" w:color="auto"/>
            </w:tcBorders>
            <w:noWrap/>
            <w:vAlign w:val="center"/>
          </w:tcPr>
          <w:p w14:paraId="266AA98F" w14:textId="77777777" w:rsidR="00E67A69" w:rsidRPr="00E67A69" w:rsidRDefault="00E67A69" w:rsidP="00E67A69">
            <w:pPr>
              <w:spacing w:after="0"/>
              <w:ind w:firstLine="0"/>
              <w:jc w:val="right"/>
              <w:rPr>
                <w:rFonts w:eastAsia="Times New Roman" w:cs="Times New Roman"/>
                <w:color w:val="EE0000"/>
                <w:sz w:val="18"/>
                <w:szCs w:val="18"/>
                <w:highlight w:val="yellow"/>
              </w:rPr>
            </w:pPr>
            <w:r w:rsidRPr="00E67A69">
              <w:rPr>
                <w:sz w:val="18"/>
                <w:szCs w:val="18"/>
              </w:rPr>
              <w:t>1 469,1</w:t>
            </w:r>
          </w:p>
        </w:tc>
        <w:tc>
          <w:tcPr>
            <w:tcW w:w="850" w:type="dxa"/>
            <w:tcBorders>
              <w:top w:val="single" w:sz="4" w:space="0" w:color="auto"/>
              <w:left w:val="nil"/>
              <w:bottom w:val="single" w:sz="4" w:space="0" w:color="auto"/>
              <w:right w:val="single" w:sz="4" w:space="0" w:color="auto"/>
            </w:tcBorders>
            <w:vAlign w:val="center"/>
          </w:tcPr>
          <w:p w14:paraId="64F7AC43"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1 003,6</w:t>
            </w:r>
          </w:p>
        </w:tc>
        <w:tc>
          <w:tcPr>
            <w:tcW w:w="851" w:type="dxa"/>
            <w:tcBorders>
              <w:top w:val="nil"/>
              <w:left w:val="single" w:sz="4" w:space="0" w:color="auto"/>
              <w:bottom w:val="single" w:sz="4" w:space="0" w:color="auto"/>
              <w:right w:val="single" w:sz="4" w:space="0" w:color="auto"/>
            </w:tcBorders>
            <w:noWrap/>
            <w:vAlign w:val="center"/>
          </w:tcPr>
          <w:p w14:paraId="0C9873F7"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2 203,3</w:t>
            </w:r>
          </w:p>
        </w:tc>
        <w:tc>
          <w:tcPr>
            <w:tcW w:w="850" w:type="dxa"/>
            <w:tcBorders>
              <w:top w:val="nil"/>
              <w:left w:val="nil"/>
              <w:bottom w:val="single" w:sz="4" w:space="0" w:color="auto"/>
              <w:right w:val="single" w:sz="4" w:space="0" w:color="auto"/>
            </w:tcBorders>
            <w:noWrap/>
            <w:vAlign w:val="center"/>
          </w:tcPr>
          <w:p w14:paraId="4FA5743D"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1 476,4</w:t>
            </w:r>
          </w:p>
        </w:tc>
        <w:tc>
          <w:tcPr>
            <w:tcW w:w="851" w:type="dxa"/>
            <w:tcBorders>
              <w:top w:val="nil"/>
              <w:left w:val="nil"/>
              <w:bottom w:val="single" w:sz="4" w:space="0" w:color="auto"/>
              <w:right w:val="single" w:sz="4" w:space="0" w:color="auto"/>
            </w:tcBorders>
            <w:noWrap/>
            <w:vAlign w:val="center"/>
          </w:tcPr>
          <w:p w14:paraId="19693A21"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1 004,6</w:t>
            </w:r>
          </w:p>
        </w:tc>
      </w:tr>
      <w:tr w:rsidR="00E67A69" w:rsidRPr="00E67A69" w14:paraId="3D30183C"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7A0B6FAA"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Pārējie ieņēmumi</w:t>
            </w:r>
          </w:p>
        </w:tc>
        <w:tc>
          <w:tcPr>
            <w:tcW w:w="850" w:type="dxa"/>
            <w:tcBorders>
              <w:top w:val="nil"/>
              <w:left w:val="nil"/>
              <w:bottom w:val="single" w:sz="4" w:space="0" w:color="auto"/>
              <w:right w:val="single" w:sz="4" w:space="0" w:color="auto"/>
            </w:tcBorders>
            <w:noWrap/>
            <w:vAlign w:val="center"/>
          </w:tcPr>
          <w:p w14:paraId="23C7C6F8"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183,0</w:t>
            </w:r>
          </w:p>
        </w:tc>
        <w:tc>
          <w:tcPr>
            <w:tcW w:w="851" w:type="dxa"/>
            <w:tcBorders>
              <w:top w:val="nil"/>
              <w:left w:val="nil"/>
              <w:bottom w:val="single" w:sz="4" w:space="0" w:color="auto"/>
              <w:right w:val="single" w:sz="4" w:space="0" w:color="auto"/>
            </w:tcBorders>
            <w:noWrap/>
            <w:vAlign w:val="center"/>
          </w:tcPr>
          <w:p w14:paraId="4228D576"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184,5</w:t>
            </w:r>
          </w:p>
        </w:tc>
        <w:tc>
          <w:tcPr>
            <w:tcW w:w="850" w:type="dxa"/>
            <w:tcBorders>
              <w:top w:val="nil"/>
              <w:left w:val="nil"/>
              <w:bottom w:val="single" w:sz="4" w:space="0" w:color="auto"/>
              <w:right w:val="single" w:sz="4" w:space="0" w:color="auto"/>
            </w:tcBorders>
            <w:noWrap/>
            <w:vAlign w:val="center"/>
          </w:tcPr>
          <w:p w14:paraId="3391E0A4" w14:textId="77777777" w:rsidR="00E67A69" w:rsidRPr="00E67A69" w:rsidRDefault="00E67A69" w:rsidP="00E67A69">
            <w:pPr>
              <w:spacing w:after="0"/>
              <w:ind w:firstLine="0"/>
              <w:jc w:val="right"/>
              <w:rPr>
                <w:rFonts w:eastAsia="Times New Roman" w:cs="Times New Roman"/>
                <w:color w:val="EE0000"/>
                <w:sz w:val="18"/>
                <w:szCs w:val="18"/>
                <w:highlight w:val="yellow"/>
              </w:rPr>
            </w:pPr>
            <w:r w:rsidRPr="00E67A69">
              <w:rPr>
                <w:sz w:val="18"/>
                <w:szCs w:val="18"/>
              </w:rPr>
              <w:t>147,3</w:t>
            </w:r>
          </w:p>
        </w:tc>
        <w:tc>
          <w:tcPr>
            <w:tcW w:w="851" w:type="dxa"/>
            <w:tcBorders>
              <w:top w:val="nil"/>
              <w:left w:val="nil"/>
              <w:bottom w:val="single" w:sz="4" w:space="0" w:color="auto"/>
              <w:right w:val="single" w:sz="4" w:space="0" w:color="auto"/>
            </w:tcBorders>
            <w:noWrap/>
            <w:vAlign w:val="center"/>
          </w:tcPr>
          <w:p w14:paraId="7E63C612"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144,4</w:t>
            </w:r>
          </w:p>
        </w:tc>
        <w:tc>
          <w:tcPr>
            <w:tcW w:w="850" w:type="dxa"/>
            <w:tcBorders>
              <w:top w:val="single" w:sz="4" w:space="0" w:color="auto"/>
              <w:left w:val="nil"/>
              <w:bottom w:val="single" w:sz="4" w:space="0" w:color="auto"/>
              <w:right w:val="single" w:sz="4" w:space="0" w:color="auto"/>
            </w:tcBorders>
            <w:vAlign w:val="center"/>
          </w:tcPr>
          <w:p w14:paraId="54B2A037"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140,3</w:t>
            </w:r>
          </w:p>
        </w:tc>
        <w:tc>
          <w:tcPr>
            <w:tcW w:w="851" w:type="dxa"/>
            <w:tcBorders>
              <w:top w:val="nil"/>
              <w:left w:val="single" w:sz="4" w:space="0" w:color="auto"/>
              <w:bottom w:val="single" w:sz="4" w:space="0" w:color="auto"/>
              <w:right w:val="single" w:sz="4" w:space="0" w:color="auto"/>
            </w:tcBorders>
            <w:noWrap/>
            <w:vAlign w:val="center"/>
          </w:tcPr>
          <w:p w14:paraId="63B94B99"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153,2</w:t>
            </w:r>
          </w:p>
        </w:tc>
        <w:tc>
          <w:tcPr>
            <w:tcW w:w="850" w:type="dxa"/>
            <w:tcBorders>
              <w:top w:val="nil"/>
              <w:left w:val="nil"/>
              <w:bottom w:val="single" w:sz="4" w:space="0" w:color="auto"/>
              <w:right w:val="single" w:sz="4" w:space="0" w:color="auto"/>
            </w:tcBorders>
            <w:noWrap/>
            <w:vAlign w:val="center"/>
          </w:tcPr>
          <w:p w14:paraId="569622D1"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149,0</w:t>
            </w:r>
          </w:p>
        </w:tc>
        <w:tc>
          <w:tcPr>
            <w:tcW w:w="851" w:type="dxa"/>
            <w:tcBorders>
              <w:top w:val="nil"/>
              <w:left w:val="nil"/>
              <w:bottom w:val="single" w:sz="4" w:space="0" w:color="auto"/>
              <w:right w:val="single" w:sz="4" w:space="0" w:color="auto"/>
            </w:tcBorders>
            <w:noWrap/>
            <w:vAlign w:val="center"/>
          </w:tcPr>
          <w:p w14:paraId="58C29DE4"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144,7</w:t>
            </w:r>
          </w:p>
        </w:tc>
      </w:tr>
      <w:tr w:rsidR="00E67A69" w:rsidRPr="00E67A69" w14:paraId="1A4196B0" w14:textId="77777777" w:rsidTr="00C217B4">
        <w:trPr>
          <w:trHeight w:val="104"/>
          <w:jc w:val="center"/>
        </w:trPr>
        <w:tc>
          <w:tcPr>
            <w:tcW w:w="2263" w:type="dxa"/>
            <w:tcBorders>
              <w:top w:val="nil"/>
              <w:left w:val="single" w:sz="4" w:space="0" w:color="auto"/>
              <w:bottom w:val="single" w:sz="4" w:space="0" w:color="auto"/>
              <w:right w:val="single" w:sz="4" w:space="0" w:color="auto"/>
            </w:tcBorders>
            <w:noWrap/>
            <w:vAlign w:val="center"/>
            <w:hideMark/>
          </w:tcPr>
          <w:p w14:paraId="791E788E" w14:textId="77777777" w:rsidR="00E67A69" w:rsidRPr="00E67A69" w:rsidRDefault="00E67A69" w:rsidP="00E67A69">
            <w:pPr>
              <w:spacing w:after="0"/>
              <w:ind w:left="-183" w:firstLineChars="100" w:firstLine="190"/>
              <w:jc w:val="left"/>
              <w:rPr>
                <w:rFonts w:eastAsia="Times New Roman" w:cs="Times New Roman"/>
                <w:sz w:val="19"/>
                <w:szCs w:val="19"/>
              </w:rPr>
            </w:pPr>
            <w:r w:rsidRPr="00E67A69">
              <w:rPr>
                <w:rFonts w:eastAsia="Times New Roman" w:cs="Times New Roman"/>
                <w:sz w:val="19"/>
                <w:szCs w:val="19"/>
              </w:rPr>
              <w:t>Izdevumi</w:t>
            </w:r>
          </w:p>
        </w:tc>
        <w:tc>
          <w:tcPr>
            <w:tcW w:w="850" w:type="dxa"/>
            <w:tcBorders>
              <w:top w:val="nil"/>
              <w:left w:val="nil"/>
              <w:bottom w:val="single" w:sz="4" w:space="0" w:color="auto"/>
              <w:right w:val="single" w:sz="4" w:space="0" w:color="auto"/>
            </w:tcBorders>
            <w:noWrap/>
            <w:vAlign w:val="center"/>
          </w:tcPr>
          <w:p w14:paraId="2103D9B9"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11 086,0</w:t>
            </w:r>
          </w:p>
        </w:tc>
        <w:tc>
          <w:tcPr>
            <w:tcW w:w="851" w:type="dxa"/>
            <w:tcBorders>
              <w:top w:val="nil"/>
              <w:left w:val="nil"/>
              <w:bottom w:val="single" w:sz="4" w:space="0" w:color="auto"/>
              <w:right w:val="single" w:sz="4" w:space="0" w:color="auto"/>
            </w:tcBorders>
            <w:noWrap/>
            <w:vAlign w:val="center"/>
          </w:tcPr>
          <w:p w14:paraId="2BC444AE"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12 442,4</w:t>
            </w:r>
          </w:p>
        </w:tc>
        <w:tc>
          <w:tcPr>
            <w:tcW w:w="850" w:type="dxa"/>
            <w:tcBorders>
              <w:top w:val="nil"/>
              <w:left w:val="nil"/>
              <w:bottom w:val="single" w:sz="4" w:space="0" w:color="auto"/>
              <w:right w:val="single" w:sz="4" w:space="0" w:color="auto"/>
            </w:tcBorders>
            <w:noWrap/>
            <w:vAlign w:val="center"/>
          </w:tcPr>
          <w:p w14:paraId="238BA313" w14:textId="77777777" w:rsidR="00E67A69" w:rsidRPr="00E67A69" w:rsidRDefault="00E67A69" w:rsidP="00E67A69">
            <w:pPr>
              <w:spacing w:after="0"/>
              <w:ind w:firstLine="0"/>
              <w:jc w:val="right"/>
              <w:rPr>
                <w:rFonts w:eastAsia="Times New Roman" w:cs="Times New Roman"/>
                <w:color w:val="EE0000"/>
                <w:sz w:val="18"/>
                <w:szCs w:val="18"/>
                <w:highlight w:val="yellow"/>
              </w:rPr>
            </w:pPr>
            <w:r w:rsidRPr="00E67A69">
              <w:rPr>
                <w:sz w:val="18"/>
                <w:szCs w:val="18"/>
              </w:rPr>
              <w:t>12 966,3</w:t>
            </w:r>
          </w:p>
        </w:tc>
        <w:tc>
          <w:tcPr>
            <w:tcW w:w="851" w:type="dxa"/>
            <w:tcBorders>
              <w:top w:val="nil"/>
              <w:left w:val="nil"/>
              <w:bottom w:val="single" w:sz="4" w:space="0" w:color="auto"/>
              <w:right w:val="single" w:sz="4" w:space="0" w:color="auto"/>
            </w:tcBorders>
            <w:noWrap/>
            <w:vAlign w:val="center"/>
          </w:tcPr>
          <w:p w14:paraId="3EFBDDE7"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12 758,3</w:t>
            </w:r>
          </w:p>
        </w:tc>
        <w:tc>
          <w:tcPr>
            <w:tcW w:w="850" w:type="dxa"/>
            <w:tcBorders>
              <w:top w:val="single" w:sz="4" w:space="0" w:color="auto"/>
              <w:left w:val="nil"/>
              <w:bottom w:val="single" w:sz="4" w:space="0" w:color="auto"/>
              <w:right w:val="single" w:sz="4" w:space="0" w:color="auto"/>
            </w:tcBorders>
            <w:vAlign w:val="center"/>
          </w:tcPr>
          <w:p w14:paraId="5F7CC421"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12 405,8</w:t>
            </w:r>
          </w:p>
        </w:tc>
        <w:tc>
          <w:tcPr>
            <w:tcW w:w="851" w:type="dxa"/>
            <w:tcBorders>
              <w:top w:val="nil"/>
              <w:left w:val="single" w:sz="4" w:space="0" w:color="auto"/>
              <w:bottom w:val="single" w:sz="4" w:space="0" w:color="auto"/>
              <w:right w:val="single" w:sz="4" w:space="0" w:color="auto"/>
            </w:tcBorders>
            <w:noWrap/>
            <w:vAlign w:val="center"/>
          </w:tcPr>
          <w:p w14:paraId="507CFE54"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13 244,3</w:t>
            </w:r>
          </w:p>
        </w:tc>
        <w:tc>
          <w:tcPr>
            <w:tcW w:w="850" w:type="dxa"/>
            <w:tcBorders>
              <w:top w:val="nil"/>
              <w:left w:val="nil"/>
              <w:bottom w:val="single" w:sz="4" w:space="0" w:color="auto"/>
              <w:right w:val="single" w:sz="4" w:space="0" w:color="auto"/>
            </w:tcBorders>
            <w:noWrap/>
            <w:vAlign w:val="center"/>
          </w:tcPr>
          <w:p w14:paraId="6635BC46"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12 831,9</w:t>
            </w:r>
          </w:p>
        </w:tc>
        <w:tc>
          <w:tcPr>
            <w:tcW w:w="851" w:type="dxa"/>
            <w:tcBorders>
              <w:top w:val="nil"/>
              <w:left w:val="nil"/>
              <w:bottom w:val="single" w:sz="4" w:space="0" w:color="auto"/>
              <w:right w:val="single" w:sz="4" w:space="0" w:color="auto"/>
            </w:tcBorders>
            <w:noWrap/>
            <w:vAlign w:val="center"/>
          </w:tcPr>
          <w:p w14:paraId="3684A884"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12 490,4</w:t>
            </w:r>
          </w:p>
        </w:tc>
      </w:tr>
      <w:tr w:rsidR="00E67A69" w:rsidRPr="00E67A69" w14:paraId="4566616C"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613EA365"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Uzturēšanas izdevumi</w:t>
            </w:r>
          </w:p>
        </w:tc>
        <w:tc>
          <w:tcPr>
            <w:tcW w:w="850" w:type="dxa"/>
            <w:tcBorders>
              <w:top w:val="single" w:sz="4" w:space="0" w:color="auto"/>
              <w:left w:val="single" w:sz="4" w:space="0" w:color="auto"/>
              <w:bottom w:val="single" w:sz="4" w:space="0" w:color="auto"/>
              <w:right w:val="single" w:sz="4" w:space="0" w:color="auto"/>
            </w:tcBorders>
            <w:noWrap/>
            <w:vAlign w:val="center"/>
          </w:tcPr>
          <w:p w14:paraId="3B0F4224" w14:textId="77777777" w:rsidR="00E67A69" w:rsidRPr="00E67A69" w:rsidRDefault="00E67A69" w:rsidP="00E67A69">
            <w:pPr>
              <w:spacing w:after="0"/>
              <w:ind w:firstLine="0"/>
              <w:jc w:val="right"/>
              <w:rPr>
                <w:rFonts w:eastAsia="Times New Roman" w:cs="Times New Roman"/>
                <w:sz w:val="18"/>
                <w:szCs w:val="18"/>
              </w:rPr>
            </w:pPr>
            <w:r w:rsidRPr="00E67A69">
              <w:rPr>
                <w:sz w:val="18"/>
                <w:szCs w:val="18"/>
              </w:rPr>
              <w:t>9 915,5</w:t>
            </w:r>
          </w:p>
        </w:tc>
        <w:tc>
          <w:tcPr>
            <w:tcW w:w="851" w:type="dxa"/>
            <w:tcBorders>
              <w:top w:val="single" w:sz="4" w:space="0" w:color="auto"/>
              <w:left w:val="nil"/>
              <w:bottom w:val="single" w:sz="4" w:space="0" w:color="auto"/>
              <w:right w:val="single" w:sz="4" w:space="0" w:color="auto"/>
            </w:tcBorders>
            <w:noWrap/>
            <w:vAlign w:val="center"/>
          </w:tcPr>
          <w:p w14:paraId="536940DC" w14:textId="77777777" w:rsidR="00E67A69" w:rsidRPr="00E67A69" w:rsidRDefault="00E67A69" w:rsidP="00E67A69">
            <w:pPr>
              <w:spacing w:after="0"/>
              <w:ind w:firstLine="0"/>
              <w:jc w:val="right"/>
              <w:rPr>
                <w:rFonts w:eastAsia="Times New Roman" w:cs="Times New Roman"/>
                <w:sz w:val="18"/>
                <w:szCs w:val="18"/>
              </w:rPr>
            </w:pPr>
            <w:r w:rsidRPr="00E67A69">
              <w:rPr>
                <w:sz w:val="18"/>
                <w:szCs w:val="18"/>
              </w:rPr>
              <w:t>10 772,4</w:t>
            </w:r>
          </w:p>
        </w:tc>
        <w:tc>
          <w:tcPr>
            <w:tcW w:w="850" w:type="dxa"/>
            <w:tcBorders>
              <w:top w:val="single" w:sz="4" w:space="0" w:color="auto"/>
              <w:left w:val="nil"/>
              <w:bottom w:val="single" w:sz="4" w:space="0" w:color="auto"/>
              <w:right w:val="single" w:sz="4" w:space="0" w:color="auto"/>
            </w:tcBorders>
            <w:noWrap/>
            <w:vAlign w:val="center"/>
          </w:tcPr>
          <w:p w14:paraId="07EA1357" w14:textId="77777777" w:rsidR="00E67A69" w:rsidRPr="00E67A69" w:rsidRDefault="00E67A69" w:rsidP="00E67A69">
            <w:pPr>
              <w:spacing w:after="0"/>
              <w:ind w:firstLine="0"/>
              <w:jc w:val="right"/>
              <w:rPr>
                <w:rFonts w:eastAsia="Times New Roman" w:cs="Times New Roman"/>
                <w:color w:val="EE0000"/>
                <w:sz w:val="18"/>
                <w:szCs w:val="18"/>
                <w:highlight w:val="yellow"/>
              </w:rPr>
            </w:pPr>
            <w:r w:rsidRPr="00E67A69">
              <w:rPr>
                <w:sz w:val="18"/>
                <w:szCs w:val="18"/>
              </w:rPr>
              <w:t>11 713,0</w:t>
            </w:r>
          </w:p>
        </w:tc>
        <w:tc>
          <w:tcPr>
            <w:tcW w:w="851" w:type="dxa"/>
            <w:tcBorders>
              <w:top w:val="single" w:sz="4" w:space="0" w:color="auto"/>
              <w:left w:val="nil"/>
              <w:bottom w:val="single" w:sz="4" w:space="0" w:color="auto"/>
              <w:right w:val="single" w:sz="4" w:space="0" w:color="auto"/>
            </w:tcBorders>
            <w:noWrap/>
            <w:vAlign w:val="center"/>
          </w:tcPr>
          <w:p w14:paraId="39F494CC"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11 794,6</w:t>
            </w:r>
          </w:p>
        </w:tc>
        <w:tc>
          <w:tcPr>
            <w:tcW w:w="850" w:type="dxa"/>
            <w:tcBorders>
              <w:top w:val="single" w:sz="4" w:space="0" w:color="auto"/>
              <w:left w:val="nil"/>
              <w:bottom w:val="single" w:sz="4" w:space="0" w:color="auto"/>
              <w:right w:val="single" w:sz="4" w:space="0" w:color="auto"/>
            </w:tcBorders>
            <w:vAlign w:val="center"/>
          </w:tcPr>
          <w:p w14:paraId="76FD25AE"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11 548,4</w:t>
            </w:r>
          </w:p>
        </w:tc>
        <w:tc>
          <w:tcPr>
            <w:tcW w:w="851" w:type="dxa"/>
            <w:tcBorders>
              <w:top w:val="single" w:sz="4" w:space="0" w:color="auto"/>
              <w:left w:val="single" w:sz="4" w:space="0" w:color="auto"/>
              <w:bottom w:val="single" w:sz="4" w:space="0" w:color="auto"/>
              <w:right w:val="single" w:sz="4" w:space="0" w:color="auto"/>
            </w:tcBorders>
            <w:noWrap/>
            <w:vAlign w:val="center"/>
          </w:tcPr>
          <w:p w14:paraId="689B80AA"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11 946,0</w:t>
            </w:r>
          </w:p>
        </w:tc>
        <w:tc>
          <w:tcPr>
            <w:tcW w:w="850" w:type="dxa"/>
            <w:tcBorders>
              <w:top w:val="single" w:sz="4" w:space="0" w:color="auto"/>
              <w:left w:val="nil"/>
              <w:bottom w:val="single" w:sz="4" w:space="0" w:color="auto"/>
              <w:right w:val="single" w:sz="4" w:space="0" w:color="auto"/>
            </w:tcBorders>
            <w:noWrap/>
            <w:vAlign w:val="center"/>
          </w:tcPr>
          <w:p w14:paraId="30A3EEB9"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11 828,6</w:t>
            </w:r>
          </w:p>
        </w:tc>
        <w:tc>
          <w:tcPr>
            <w:tcW w:w="851" w:type="dxa"/>
            <w:tcBorders>
              <w:top w:val="single" w:sz="4" w:space="0" w:color="auto"/>
              <w:left w:val="nil"/>
              <w:bottom w:val="single" w:sz="4" w:space="0" w:color="auto"/>
              <w:right w:val="single" w:sz="4" w:space="0" w:color="auto"/>
            </w:tcBorders>
            <w:noWrap/>
            <w:vAlign w:val="center"/>
          </w:tcPr>
          <w:p w14:paraId="1C09F771"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11 639,5</w:t>
            </w:r>
          </w:p>
        </w:tc>
      </w:tr>
      <w:tr w:rsidR="00E67A69" w:rsidRPr="00E67A69" w14:paraId="0B3E8F45"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03B44EFE"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Kapitālie izdevumi</w:t>
            </w:r>
          </w:p>
        </w:tc>
        <w:tc>
          <w:tcPr>
            <w:tcW w:w="850" w:type="dxa"/>
            <w:tcBorders>
              <w:top w:val="nil"/>
              <w:left w:val="single" w:sz="4" w:space="0" w:color="auto"/>
              <w:bottom w:val="single" w:sz="4" w:space="0" w:color="auto"/>
              <w:right w:val="single" w:sz="4" w:space="0" w:color="auto"/>
            </w:tcBorders>
            <w:noWrap/>
            <w:vAlign w:val="center"/>
          </w:tcPr>
          <w:p w14:paraId="3747292F" w14:textId="77777777" w:rsidR="00E67A69" w:rsidRPr="00E67A69" w:rsidRDefault="00E67A69" w:rsidP="00E67A69">
            <w:pPr>
              <w:spacing w:after="0"/>
              <w:ind w:firstLine="0"/>
              <w:jc w:val="right"/>
              <w:rPr>
                <w:rFonts w:eastAsia="Times New Roman" w:cs="Times New Roman"/>
                <w:sz w:val="18"/>
                <w:szCs w:val="18"/>
              </w:rPr>
            </w:pPr>
            <w:r w:rsidRPr="00E67A69">
              <w:rPr>
                <w:sz w:val="18"/>
                <w:szCs w:val="18"/>
              </w:rPr>
              <w:t>1 170,5</w:t>
            </w:r>
          </w:p>
        </w:tc>
        <w:tc>
          <w:tcPr>
            <w:tcW w:w="851" w:type="dxa"/>
            <w:tcBorders>
              <w:top w:val="nil"/>
              <w:left w:val="nil"/>
              <w:bottom w:val="single" w:sz="4" w:space="0" w:color="auto"/>
              <w:right w:val="single" w:sz="4" w:space="0" w:color="auto"/>
            </w:tcBorders>
            <w:noWrap/>
            <w:vAlign w:val="center"/>
          </w:tcPr>
          <w:p w14:paraId="4003D1C8" w14:textId="77777777" w:rsidR="00E67A69" w:rsidRPr="00E67A69" w:rsidRDefault="00E67A69" w:rsidP="00E67A69">
            <w:pPr>
              <w:spacing w:after="0"/>
              <w:ind w:firstLine="0"/>
              <w:jc w:val="right"/>
              <w:rPr>
                <w:rFonts w:eastAsia="Times New Roman" w:cs="Times New Roman"/>
                <w:sz w:val="18"/>
                <w:szCs w:val="18"/>
              </w:rPr>
            </w:pPr>
            <w:r w:rsidRPr="00E67A69">
              <w:rPr>
                <w:sz w:val="18"/>
                <w:szCs w:val="18"/>
              </w:rPr>
              <w:t>1 670,0</w:t>
            </w:r>
          </w:p>
        </w:tc>
        <w:tc>
          <w:tcPr>
            <w:tcW w:w="850" w:type="dxa"/>
            <w:tcBorders>
              <w:top w:val="nil"/>
              <w:left w:val="nil"/>
              <w:bottom w:val="single" w:sz="4" w:space="0" w:color="auto"/>
              <w:right w:val="single" w:sz="4" w:space="0" w:color="auto"/>
            </w:tcBorders>
            <w:noWrap/>
            <w:vAlign w:val="center"/>
          </w:tcPr>
          <w:p w14:paraId="6D93BA19" w14:textId="77777777" w:rsidR="00E67A69" w:rsidRPr="00E67A69" w:rsidRDefault="00E67A69" w:rsidP="00E67A69">
            <w:pPr>
              <w:spacing w:after="0"/>
              <w:ind w:firstLine="0"/>
              <w:jc w:val="right"/>
              <w:rPr>
                <w:rFonts w:eastAsia="Times New Roman" w:cs="Times New Roman"/>
                <w:color w:val="EE0000"/>
                <w:sz w:val="18"/>
                <w:szCs w:val="18"/>
                <w:highlight w:val="yellow"/>
              </w:rPr>
            </w:pPr>
            <w:r w:rsidRPr="00E67A69">
              <w:rPr>
                <w:sz w:val="18"/>
                <w:szCs w:val="18"/>
              </w:rPr>
              <w:t>1 253,3</w:t>
            </w:r>
          </w:p>
        </w:tc>
        <w:tc>
          <w:tcPr>
            <w:tcW w:w="851" w:type="dxa"/>
            <w:tcBorders>
              <w:top w:val="nil"/>
              <w:left w:val="nil"/>
              <w:bottom w:val="single" w:sz="4" w:space="0" w:color="auto"/>
              <w:right w:val="single" w:sz="4" w:space="0" w:color="auto"/>
            </w:tcBorders>
            <w:noWrap/>
            <w:vAlign w:val="center"/>
          </w:tcPr>
          <w:p w14:paraId="5757461E"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963,7</w:t>
            </w:r>
          </w:p>
        </w:tc>
        <w:tc>
          <w:tcPr>
            <w:tcW w:w="850" w:type="dxa"/>
            <w:tcBorders>
              <w:top w:val="single" w:sz="4" w:space="0" w:color="auto"/>
              <w:left w:val="nil"/>
              <w:bottom w:val="single" w:sz="4" w:space="0" w:color="auto"/>
              <w:right w:val="single" w:sz="4" w:space="0" w:color="auto"/>
            </w:tcBorders>
            <w:vAlign w:val="center"/>
          </w:tcPr>
          <w:p w14:paraId="4A29E29C"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857,5</w:t>
            </w:r>
          </w:p>
        </w:tc>
        <w:tc>
          <w:tcPr>
            <w:tcW w:w="851" w:type="dxa"/>
            <w:tcBorders>
              <w:top w:val="nil"/>
              <w:left w:val="single" w:sz="4" w:space="0" w:color="auto"/>
              <w:bottom w:val="single" w:sz="4" w:space="0" w:color="auto"/>
              <w:right w:val="single" w:sz="4" w:space="0" w:color="auto"/>
            </w:tcBorders>
            <w:noWrap/>
            <w:vAlign w:val="center"/>
          </w:tcPr>
          <w:p w14:paraId="43E76239"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1 298,3</w:t>
            </w:r>
          </w:p>
        </w:tc>
        <w:tc>
          <w:tcPr>
            <w:tcW w:w="850" w:type="dxa"/>
            <w:tcBorders>
              <w:top w:val="nil"/>
              <w:left w:val="nil"/>
              <w:bottom w:val="single" w:sz="4" w:space="0" w:color="auto"/>
              <w:right w:val="single" w:sz="4" w:space="0" w:color="auto"/>
            </w:tcBorders>
            <w:noWrap/>
            <w:vAlign w:val="center"/>
          </w:tcPr>
          <w:p w14:paraId="1EAFFF99"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1 003,4</w:t>
            </w:r>
          </w:p>
        </w:tc>
        <w:tc>
          <w:tcPr>
            <w:tcW w:w="851" w:type="dxa"/>
            <w:tcBorders>
              <w:top w:val="nil"/>
              <w:left w:val="nil"/>
              <w:bottom w:val="single" w:sz="4" w:space="0" w:color="auto"/>
              <w:right w:val="single" w:sz="4" w:space="0" w:color="auto"/>
            </w:tcBorders>
            <w:noWrap/>
            <w:vAlign w:val="center"/>
          </w:tcPr>
          <w:p w14:paraId="60ED50B8"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850,9</w:t>
            </w:r>
          </w:p>
        </w:tc>
      </w:tr>
      <w:tr w:rsidR="00E67A69" w:rsidRPr="00E67A69" w14:paraId="2F547210" w14:textId="77777777" w:rsidTr="00C217B4">
        <w:trPr>
          <w:trHeight w:val="75"/>
          <w:jc w:val="center"/>
        </w:trPr>
        <w:tc>
          <w:tcPr>
            <w:tcW w:w="2263" w:type="dxa"/>
            <w:tcBorders>
              <w:top w:val="nil"/>
              <w:left w:val="single" w:sz="4" w:space="0" w:color="auto"/>
              <w:bottom w:val="single" w:sz="4" w:space="0" w:color="auto"/>
              <w:right w:val="single" w:sz="4" w:space="0" w:color="auto"/>
            </w:tcBorders>
            <w:vAlign w:val="center"/>
            <w:hideMark/>
          </w:tcPr>
          <w:p w14:paraId="7A0AF72C" w14:textId="77777777" w:rsidR="00E67A69" w:rsidRPr="00E67A69" w:rsidRDefault="00E67A69" w:rsidP="00E67A69">
            <w:pPr>
              <w:spacing w:after="0"/>
              <w:ind w:firstLine="0"/>
              <w:jc w:val="left"/>
              <w:rPr>
                <w:rFonts w:eastAsia="Times New Roman" w:cs="Times New Roman"/>
                <w:b/>
                <w:bCs/>
                <w:i/>
                <w:iCs/>
                <w:sz w:val="19"/>
                <w:szCs w:val="19"/>
              </w:rPr>
            </w:pPr>
            <w:r w:rsidRPr="00E67A69">
              <w:rPr>
                <w:rFonts w:eastAsia="Times New Roman" w:cs="Times New Roman"/>
                <w:b/>
                <w:bCs/>
                <w:i/>
                <w:iCs/>
                <w:sz w:val="19"/>
                <w:szCs w:val="19"/>
              </w:rPr>
              <w:t>VALSTS SPECIĀLĀ BUDŽETA BILANCE</w:t>
            </w:r>
          </w:p>
        </w:tc>
        <w:tc>
          <w:tcPr>
            <w:tcW w:w="850" w:type="dxa"/>
            <w:tcBorders>
              <w:top w:val="single" w:sz="4" w:space="0" w:color="auto"/>
              <w:left w:val="nil"/>
              <w:bottom w:val="single" w:sz="4" w:space="0" w:color="auto"/>
              <w:right w:val="single" w:sz="4" w:space="0" w:color="auto"/>
            </w:tcBorders>
            <w:noWrap/>
            <w:vAlign w:val="center"/>
          </w:tcPr>
          <w:p w14:paraId="11B93A2A" w14:textId="77777777" w:rsidR="00E67A69" w:rsidRPr="00E67A69" w:rsidRDefault="00E67A69" w:rsidP="00E67A69">
            <w:pPr>
              <w:spacing w:after="0"/>
              <w:ind w:firstLine="0"/>
              <w:jc w:val="right"/>
              <w:rPr>
                <w:rFonts w:eastAsia="Times New Roman" w:cs="Times New Roman"/>
                <w:b/>
                <w:bCs/>
                <w:color w:val="EE0000"/>
                <w:sz w:val="18"/>
                <w:szCs w:val="18"/>
              </w:rPr>
            </w:pPr>
            <w:r w:rsidRPr="00E67A69">
              <w:rPr>
                <w:b/>
                <w:bCs/>
                <w:sz w:val="18"/>
                <w:szCs w:val="18"/>
              </w:rPr>
              <w:t>337,1</w:t>
            </w:r>
          </w:p>
        </w:tc>
        <w:tc>
          <w:tcPr>
            <w:tcW w:w="851" w:type="dxa"/>
            <w:tcBorders>
              <w:top w:val="single" w:sz="4" w:space="0" w:color="auto"/>
              <w:left w:val="nil"/>
              <w:bottom w:val="single" w:sz="4" w:space="0" w:color="auto"/>
              <w:right w:val="single" w:sz="4" w:space="0" w:color="auto"/>
            </w:tcBorders>
            <w:noWrap/>
            <w:vAlign w:val="center"/>
          </w:tcPr>
          <w:p w14:paraId="09F91562" w14:textId="77777777" w:rsidR="00E67A69" w:rsidRPr="00E67A69" w:rsidRDefault="00E67A69" w:rsidP="00E67A69">
            <w:pPr>
              <w:spacing w:after="0"/>
              <w:ind w:firstLine="0"/>
              <w:jc w:val="right"/>
              <w:rPr>
                <w:rFonts w:eastAsia="Times New Roman" w:cs="Times New Roman"/>
                <w:b/>
                <w:bCs/>
                <w:color w:val="EE0000"/>
                <w:sz w:val="18"/>
                <w:szCs w:val="18"/>
              </w:rPr>
            </w:pPr>
            <w:r w:rsidRPr="00E67A69">
              <w:rPr>
                <w:b/>
                <w:bCs/>
                <w:sz w:val="18"/>
                <w:szCs w:val="18"/>
              </w:rPr>
              <w:t>399,9</w:t>
            </w:r>
          </w:p>
        </w:tc>
        <w:tc>
          <w:tcPr>
            <w:tcW w:w="850" w:type="dxa"/>
            <w:tcBorders>
              <w:top w:val="single" w:sz="4" w:space="0" w:color="auto"/>
              <w:left w:val="nil"/>
              <w:bottom w:val="single" w:sz="4" w:space="0" w:color="auto"/>
              <w:right w:val="single" w:sz="4" w:space="0" w:color="auto"/>
            </w:tcBorders>
            <w:noWrap/>
            <w:vAlign w:val="center"/>
          </w:tcPr>
          <w:p w14:paraId="33B605F4" w14:textId="77777777" w:rsidR="00E67A69" w:rsidRPr="00E67A69" w:rsidRDefault="00E67A69" w:rsidP="00E67A69">
            <w:pPr>
              <w:spacing w:after="0"/>
              <w:ind w:firstLine="0"/>
              <w:jc w:val="right"/>
              <w:rPr>
                <w:rFonts w:eastAsia="Times New Roman" w:cs="Times New Roman"/>
                <w:b/>
                <w:bCs/>
                <w:color w:val="EE0000"/>
                <w:sz w:val="18"/>
                <w:szCs w:val="18"/>
                <w:highlight w:val="yellow"/>
              </w:rPr>
            </w:pPr>
            <w:r w:rsidRPr="00E67A69">
              <w:rPr>
                <w:b/>
                <w:bCs/>
                <w:sz w:val="18"/>
                <w:szCs w:val="18"/>
              </w:rPr>
              <w:t>445,4</w:t>
            </w:r>
          </w:p>
        </w:tc>
        <w:tc>
          <w:tcPr>
            <w:tcW w:w="851" w:type="dxa"/>
            <w:tcBorders>
              <w:top w:val="single" w:sz="4" w:space="0" w:color="auto"/>
              <w:left w:val="nil"/>
              <w:bottom w:val="single" w:sz="4" w:space="0" w:color="auto"/>
              <w:right w:val="single" w:sz="4" w:space="0" w:color="auto"/>
            </w:tcBorders>
            <w:noWrap/>
            <w:vAlign w:val="center"/>
          </w:tcPr>
          <w:p w14:paraId="690F21B4"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sz w:val="18"/>
                <w:szCs w:val="18"/>
              </w:rPr>
              <w:t>359,5</w:t>
            </w:r>
          </w:p>
        </w:tc>
        <w:tc>
          <w:tcPr>
            <w:tcW w:w="850" w:type="dxa"/>
            <w:tcBorders>
              <w:top w:val="single" w:sz="4" w:space="0" w:color="auto"/>
              <w:left w:val="nil"/>
              <w:bottom w:val="single" w:sz="4" w:space="0" w:color="auto"/>
              <w:right w:val="single" w:sz="4" w:space="0" w:color="auto"/>
            </w:tcBorders>
            <w:vAlign w:val="center"/>
          </w:tcPr>
          <w:p w14:paraId="048CDBD9"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sz w:val="18"/>
                <w:szCs w:val="18"/>
              </w:rPr>
              <w:t>296,3</w:t>
            </w:r>
          </w:p>
        </w:tc>
        <w:tc>
          <w:tcPr>
            <w:tcW w:w="851" w:type="dxa"/>
            <w:tcBorders>
              <w:top w:val="single" w:sz="4" w:space="0" w:color="auto"/>
              <w:left w:val="single" w:sz="4" w:space="0" w:color="auto"/>
              <w:bottom w:val="single" w:sz="4" w:space="0" w:color="auto"/>
              <w:right w:val="single" w:sz="4" w:space="0" w:color="auto"/>
            </w:tcBorders>
            <w:noWrap/>
            <w:vAlign w:val="center"/>
          </w:tcPr>
          <w:p w14:paraId="2ADAC510" w14:textId="77777777" w:rsidR="00E67A69" w:rsidRPr="00E67A69" w:rsidRDefault="00E67A69" w:rsidP="00E67A69">
            <w:pPr>
              <w:spacing w:after="0"/>
              <w:ind w:firstLine="0"/>
              <w:jc w:val="right"/>
              <w:rPr>
                <w:rFonts w:eastAsia="Times New Roman" w:cs="Times New Roman"/>
                <w:b/>
                <w:bCs/>
                <w:i/>
                <w:color w:val="EE0000"/>
                <w:sz w:val="18"/>
                <w:szCs w:val="18"/>
              </w:rPr>
            </w:pPr>
            <w:r w:rsidRPr="00E67A69">
              <w:rPr>
                <w:b/>
                <w:bCs/>
                <w:sz w:val="18"/>
                <w:szCs w:val="18"/>
              </w:rPr>
              <w:t>448,2</w:t>
            </w:r>
          </w:p>
        </w:tc>
        <w:tc>
          <w:tcPr>
            <w:tcW w:w="850" w:type="dxa"/>
            <w:tcBorders>
              <w:top w:val="single" w:sz="4" w:space="0" w:color="auto"/>
              <w:left w:val="nil"/>
              <w:bottom w:val="single" w:sz="4" w:space="0" w:color="auto"/>
              <w:right w:val="single" w:sz="4" w:space="0" w:color="auto"/>
            </w:tcBorders>
            <w:noWrap/>
            <w:vAlign w:val="center"/>
          </w:tcPr>
          <w:p w14:paraId="25C6B741" w14:textId="77777777" w:rsidR="00E67A69" w:rsidRPr="00E67A69" w:rsidRDefault="00E67A69" w:rsidP="00E67A69">
            <w:pPr>
              <w:spacing w:after="0"/>
              <w:ind w:firstLine="0"/>
              <w:jc w:val="right"/>
              <w:rPr>
                <w:rFonts w:eastAsia="Times New Roman" w:cs="Times New Roman"/>
                <w:b/>
                <w:bCs/>
                <w:i/>
                <w:color w:val="EE0000"/>
                <w:sz w:val="18"/>
                <w:szCs w:val="18"/>
              </w:rPr>
            </w:pPr>
            <w:r w:rsidRPr="00E67A69">
              <w:rPr>
                <w:b/>
                <w:bCs/>
                <w:sz w:val="18"/>
                <w:szCs w:val="18"/>
              </w:rPr>
              <w:t>386,9</w:t>
            </w:r>
          </w:p>
        </w:tc>
        <w:tc>
          <w:tcPr>
            <w:tcW w:w="851" w:type="dxa"/>
            <w:tcBorders>
              <w:top w:val="single" w:sz="4" w:space="0" w:color="auto"/>
              <w:left w:val="nil"/>
              <w:bottom w:val="single" w:sz="4" w:space="0" w:color="auto"/>
              <w:right w:val="single" w:sz="4" w:space="0" w:color="auto"/>
            </w:tcBorders>
            <w:noWrap/>
            <w:vAlign w:val="center"/>
          </w:tcPr>
          <w:p w14:paraId="5370F42E" w14:textId="77777777" w:rsidR="00E67A69" w:rsidRPr="00E67A69" w:rsidRDefault="00E67A69" w:rsidP="00E67A69">
            <w:pPr>
              <w:spacing w:after="0"/>
              <w:ind w:firstLine="0"/>
              <w:jc w:val="right"/>
              <w:rPr>
                <w:rFonts w:eastAsia="Times New Roman" w:cs="Times New Roman"/>
                <w:b/>
                <w:bCs/>
                <w:i/>
                <w:color w:val="EE0000"/>
                <w:sz w:val="18"/>
                <w:szCs w:val="18"/>
              </w:rPr>
            </w:pPr>
            <w:r w:rsidRPr="00E67A69">
              <w:rPr>
                <w:b/>
                <w:bCs/>
                <w:sz w:val="18"/>
                <w:szCs w:val="18"/>
              </w:rPr>
              <w:t>327,1</w:t>
            </w:r>
          </w:p>
        </w:tc>
      </w:tr>
      <w:tr w:rsidR="00E67A69" w:rsidRPr="00E67A69" w14:paraId="4F4EEFFB"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55A8921F" w14:textId="77777777" w:rsidR="00E67A69" w:rsidRPr="00E67A69" w:rsidRDefault="00E67A69" w:rsidP="00E67A69">
            <w:pPr>
              <w:spacing w:after="0"/>
              <w:ind w:left="-183" w:firstLineChars="100" w:firstLine="190"/>
              <w:jc w:val="left"/>
              <w:rPr>
                <w:rFonts w:eastAsia="Times New Roman" w:cs="Times New Roman"/>
                <w:sz w:val="19"/>
                <w:szCs w:val="19"/>
              </w:rPr>
            </w:pPr>
            <w:r w:rsidRPr="00E67A69">
              <w:rPr>
                <w:rFonts w:eastAsia="Times New Roman" w:cs="Times New Roman"/>
                <w:sz w:val="19"/>
                <w:szCs w:val="19"/>
              </w:rPr>
              <w:t>Ieņēmumi</w:t>
            </w:r>
          </w:p>
        </w:tc>
        <w:tc>
          <w:tcPr>
            <w:tcW w:w="850" w:type="dxa"/>
            <w:tcBorders>
              <w:top w:val="nil"/>
              <w:left w:val="nil"/>
              <w:bottom w:val="single" w:sz="4" w:space="0" w:color="auto"/>
              <w:right w:val="single" w:sz="4" w:space="0" w:color="auto"/>
            </w:tcBorders>
            <w:noWrap/>
            <w:vAlign w:val="center"/>
          </w:tcPr>
          <w:p w14:paraId="3EFAA5F3"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4 649,0</w:t>
            </w:r>
          </w:p>
        </w:tc>
        <w:tc>
          <w:tcPr>
            <w:tcW w:w="851" w:type="dxa"/>
            <w:tcBorders>
              <w:top w:val="nil"/>
              <w:left w:val="nil"/>
              <w:bottom w:val="single" w:sz="4" w:space="0" w:color="auto"/>
              <w:right w:val="single" w:sz="4" w:space="0" w:color="auto"/>
            </w:tcBorders>
            <w:noWrap/>
            <w:vAlign w:val="center"/>
          </w:tcPr>
          <w:p w14:paraId="30BD2A54"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5 162,2</w:t>
            </w:r>
          </w:p>
        </w:tc>
        <w:tc>
          <w:tcPr>
            <w:tcW w:w="850" w:type="dxa"/>
            <w:tcBorders>
              <w:top w:val="nil"/>
              <w:left w:val="nil"/>
              <w:bottom w:val="single" w:sz="4" w:space="0" w:color="auto"/>
              <w:right w:val="single" w:sz="4" w:space="0" w:color="auto"/>
            </w:tcBorders>
            <w:noWrap/>
            <w:vAlign w:val="center"/>
          </w:tcPr>
          <w:p w14:paraId="640DA431" w14:textId="77777777" w:rsidR="00E67A69" w:rsidRPr="00E67A69" w:rsidRDefault="00E67A69" w:rsidP="00E67A69">
            <w:pPr>
              <w:spacing w:after="0"/>
              <w:ind w:firstLine="0"/>
              <w:jc w:val="right"/>
              <w:rPr>
                <w:rFonts w:eastAsia="Times New Roman" w:cs="Times New Roman"/>
                <w:color w:val="EE0000"/>
                <w:sz w:val="18"/>
                <w:szCs w:val="18"/>
                <w:highlight w:val="yellow"/>
              </w:rPr>
            </w:pPr>
            <w:r w:rsidRPr="00E67A69">
              <w:rPr>
                <w:sz w:val="18"/>
                <w:szCs w:val="18"/>
              </w:rPr>
              <w:t>5 514,6</w:t>
            </w:r>
          </w:p>
        </w:tc>
        <w:tc>
          <w:tcPr>
            <w:tcW w:w="851" w:type="dxa"/>
            <w:tcBorders>
              <w:top w:val="nil"/>
              <w:left w:val="nil"/>
              <w:bottom w:val="single" w:sz="4" w:space="0" w:color="auto"/>
              <w:right w:val="single" w:sz="4" w:space="0" w:color="auto"/>
            </w:tcBorders>
            <w:noWrap/>
            <w:vAlign w:val="center"/>
          </w:tcPr>
          <w:p w14:paraId="7A60D72B"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5 836,2</w:t>
            </w:r>
          </w:p>
        </w:tc>
        <w:tc>
          <w:tcPr>
            <w:tcW w:w="850" w:type="dxa"/>
            <w:tcBorders>
              <w:top w:val="single" w:sz="4" w:space="0" w:color="auto"/>
              <w:left w:val="nil"/>
              <w:bottom w:val="single" w:sz="4" w:space="0" w:color="auto"/>
              <w:right w:val="single" w:sz="4" w:space="0" w:color="auto"/>
            </w:tcBorders>
            <w:vAlign w:val="center"/>
          </w:tcPr>
          <w:p w14:paraId="702B97FC"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6 138,0</w:t>
            </w:r>
          </w:p>
        </w:tc>
        <w:tc>
          <w:tcPr>
            <w:tcW w:w="851" w:type="dxa"/>
            <w:tcBorders>
              <w:top w:val="nil"/>
              <w:left w:val="single" w:sz="4" w:space="0" w:color="auto"/>
              <w:bottom w:val="single" w:sz="4" w:space="0" w:color="auto"/>
              <w:right w:val="single" w:sz="4" w:space="0" w:color="auto"/>
            </w:tcBorders>
            <w:noWrap/>
            <w:vAlign w:val="center"/>
          </w:tcPr>
          <w:p w14:paraId="5372990E"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5 521,3</w:t>
            </w:r>
          </w:p>
        </w:tc>
        <w:tc>
          <w:tcPr>
            <w:tcW w:w="850" w:type="dxa"/>
            <w:tcBorders>
              <w:top w:val="nil"/>
              <w:left w:val="nil"/>
              <w:bottom w:val="single" w:sz="4" w:space="0" w:color="auto"/>
              <w:right w:val="single" w:sz="4" w:space="0" w:color="auto"/>
            </w:tcBorders>
            <w:noWrap/>
            <w:vAlign w:val="center"/>
          </w:tcPr>
          <w:p w14:paraId="6E668753"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5 842,7</w:t>
            </w:r>
          </w:p>
        </w:tc>
        <w:tc>
          <w:tcPr>
            <w:tcW w:w="851" w:type="dxa"/>
            <w:tcBorders>
              <w:top w:val="nil"/>
              <w:left w:val="nil"/>
              <w:bottom w:val="single" w:sz="4" w:space="0" w:color="auto"/>
              <w:right w:val="single" w:sz="4" w:space="0" w:color="auto"/>
            </w:tcBorders>
            <w:noWrap/>
            <w:vAlign w:val="center"/>
          </w:tcPr>
          <w:p w14:paraId="6E6261CD"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6 147,5</w:t>
            </w:r>
          </w:p>
        </w:tc>
      </w:tr>
      <w:tr w:rsidR="00E67A69" w:rsidRPr="00E67A69" w14:paraId="68325D0A"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2259496D"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Nodokļu ieņēmumi</w:t>
            </w:r>
          </w:p>
        </w:tc>
        <w:tc>
          <w:tcPr>
            <w:tcW w:w="850" w:type="dxa"/>
            <w:tcBorders>
              <w:top w:val="single" w:sz="4" w:space="0" w:color="auto"/>
              <w:left w:val="single" w:sz="4" w:space="0" w:color="auto"/>
              <w:bottom w:val="single" w:sz="4" w:space="0" w:color="auto"/>
              <w:right w:val="single" w:sz="4" w:space="0" w:color="auto"/>
            </w:tcBorders>
            <w:noWrap/>
            <w:vAlign w:val="center"/>
          </w:tcPr>
          <w:p w14:paraId="56629AE3"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4 244,7</w:t>
            </w:r>
          </w:p>
        </w:tc>
        <w:tc>
          <w:tcPr>
            <w:tcW w:w="851" w:type="dxa"/>
            <w:tcBorders>
              <w:top w:val="single" w:sz="4" w:space="0" w:color="auto"/>
              <w:left w:val="nil"/>
              <w:bottom w:val="single" w:sz="4" w:space="0" w:color="auto"/>
              <w:right w:val="single" w:sz="4" w:space="0" w:color="auto"/>
            </w:tcBorders>
            <w:noWrap/>
            <w:vAlign w:val="center"/>
          </w:tcPr>
          <w:p w14:paraId="1FDCCA76"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4 629,1</w:t>
            </w:r>
          </w:p>
        </w:tc>
        <w:tc>
          <w:tcPr>
            <w:tcW w:w="850" w:type="dxa"/>
            <w:tcBorders>
              <w:top w:val="single" w:sz="4" w:space="0" w:color="auto"/>
              <w:left w:val="nil"/>
              <w:bottom w:val="single" w:sz="4" w:space="0" w:color="auto"/>
              <w:right w:val="single" w:sz="4" w:space="0" w:color="auto"/>
            </w:tcBorders>
            <w:noWrap/>
            <w:vAlign w:val="center"/>
          </w:tcPr>
          <w:p w14:paraId="744FDC18" w14:textId="77777777" w:rsidR="00E67A69" w:rsidRPr="00E67A69" w:rsidRDefault="00E67A69" w:rsidP="00E67A69">
            <w:pPr>
              <w:spacing w:after="0"/>
              <w:ind w:firstLine="0"/>
              <w:jc w:val="right"/>
              <w:rPr>
                <w:rFonts w:eastAsia="Times New Roman" w:cs="Times New Roman"/>
                <w:color w:val="EE0000"/>
                <w:sz w:val="18"/>
                <w:szCs w:val="18"/>
                <w:highlight w:val="yellow"/>
              </w:rPr>
            </w:pPr>
            <w:r w:rsidRPr="00E67A69">
              <w:rPr>
                <w:sz w:val="18"/>
                <w:szCs w:val="18"/>
              </w:rPr>
              <w:t>4 964,5</w:t>
            </w:r>
          </w:p>
        </w:tc>
        <w:tc>
          <w:tcPr>
            <w:tcW w:w="851" w:type="dxa"/>
            <w:tcBorders>
              <w:top w:val="single" w:sz="4" w:space="0" w:color="auto"/>
              <w:left w:val="nil"/>
              <w:bottom w:val="single" w:sz="4" w:space="0" w:color="auto"/>
              <w:right w:val="single" w:sz="4" w:space="0" w:color="auto"/>
            </w:tcBorders>
            <w:noWrap/>
            <w:vAlign w:val="center"/>
          </w:tcPr>
          <w:p w14:paraId="36BB6CA5"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5 229,7</w:t>
            </w:r>
          </w:p>
        </w:tc>
        <w:tc>
          <w:tcPr>
            <w:tcW w:w="850" w:type="dxa"/>
            <w:tcBorders>
              <w:top w:val="single" w:sz="4" w:space="0" w:color="auto"/>
              <w:left w:val="nil"/>
              <w:bottom w:val="single" w:sz="4" w:space="0" w:color="auto"/>
              <w:right w:val="single" w:sz="4" w:space="0" w:color="auto"/>
            </w:tcBorders>
            <w:vAlign w:val="center"/>
          </w:tcPr>
          <w:p w14:paraId="4F43CD62"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5 481,2</w:t>
            </w:r>
          </w:p>
        </w:tc>
        <w:tc>
          <w:tcPr>
            <w:tcW w:w="851" w:type="dxa"/>
            <w:tcBorders>
              <w:top w:val="single" w:sz="4" w:space="0" w:color="auto"/>
              <w:left w:val="single" w:sz="4" w:space="0" w:color="auto"/>
              <w:bottom w:val="single" w:sz="4" w:space="0" w:color="auto"/>
              <w:right w:val="single" w:sz="4" w:space="0" w:color="auto"/>
            </w:tcBorders>
            <w:noWrap/>
            <w:vAlign w:val="center"/>
          </w:tcPr>
          <w:p w14:paraId="772B0177"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4 964,5</w:t>
            </w:r>
          </w:p>
        </w:tc>
        <w:tc>
          <w:tcPr>
            <w:tcW w:w="850" w:type="dxa"/>
            <w:tcBorders>
              <w:top w:val="single" w:sz="4" w:space="0" w:color="auto"/>
              <w:left w:val="nil"/>
              <w:bottom w:val="single" w:sz="4" w:space="0" w:color="auto"/>
              <w:right w:val="single" w:sz="4" w:space="0" w:color="auto"/>
            </w:tcBorders>
            <w:noWrap/>
            <w:vAlign w:val="center"/>
          </w:tcPr>
          <w:p w14:paraId="47E41C67"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5 229,7</w:t>
            </w:r>
          </w:p>
        </w:tc>
        <w:tc>
          <w:tcPr>
            <w:tcW w:w="851" w:type="dxa"/>
            <w:tcBorders>
              <w:top w:val="single" w:sz="4" w:space="0" w:color="auto"/>
              <w:left w:val="nil"/>
              <w:bottom w:val="single" w:sz="4" w:space="0" w:color="auto"/>
              <w:right w:val="single" w:sz="4" w:space="0" w:color="auto"/>
            </w:tcBorders>
            <w:noWrap/>
            <w:vAlign w:val="center"/>
          </w:tcPr>
          <w:p w14:paraId="15228419"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5 481,2</w:t>
            </w:r>
          </w:p>
        </w:tc>
      </w:tr>
      <w:tr w:rsidR="00E67A69" w:rsidRPr="00E67A69" w14:paraId="2D4EEAA8"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6F283E0B"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Pārējie ieņēmumi</w:t>
            </w:r>
          </w:p>
        </w:tc>
        <w:tc>
          <w:tcPr>
            <w:tcW w:w="850" w:type="dxa"/>
            <w:tcBorders>
              <w:top w:val="nil"/>
              <w:left w:val="single" w:sz="4" w:space="0" w:color="auto"/>
              <w:bottom w:val="single" w:sz="4" w:space="0" w:color="auto"/>
              <w:right w:val="single" w:sz="4" w:space="0" w:color="auto"/>
            </w:tcBorders>
            <w:noWrap/>
            <w:vAlign w:val="center"/>
          </w:tcPr>
          <w:p w14:paraId="75E11E09"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404,3</w:t>
            </w:r>
          </w:p>
        </w:tc>
        <w:tc>
          <w:tcPr>
            <w:tcW w:w="851" w:type="dxa"/>
            <w:tcBorders>
              <w:top w:val="nil"/>
              <w:left w:val="nil"/>
              <w:bottom w:val="single" w:sz="4" w:space="0" w:color="auto"/>
              <w:right w:val="single" w:sz="4" w:space="0" w:color="auto"/>
            </w:tcBorders>
            <w:noWrap/>
            <w:vAlign w:val="center"/>
          </w:tcPr>
          <w:p w14:paraId="584A2ACA"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533,1</w:t>
            </w:r>
          </w:p>
        </w:tc>
        <w:tc>
          <w:tcPr>
            <w:tcW w:w="850" w:type="dxa"/>
            <w:tcBorders>
              <w:top w:val="nil"/>
              <w:left w:val="nil"/>
              <w:bottom w:val="single" w:sz="4" w:space="0" w:color="auto"/>
              <w:right w:val="single" w:sz="4" w:space="0" w:color="auto"/>
            </w:tcBorders>
            <w:noWrap/>
            <w:vAlign w:val="center"/>
          </w:tcPr>
          <w:p w14:paraId="30587A66"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550,1</w:t>
            </w:r>
          </w:p>
        </w:tc>
        <w:tc>
          <w:tcPr>
            <w:tcW w:w="851" w:type="dxa"/>
            <w:tcBorders>
              <w:top w:val="nil"/>
              <w:left w:val="nil"/>
              <w:bottom w:val="single" w:sz="4" w:space="0" w:color="auto"/>
              <w:right w:val="single" w:sz="4" w:space="0" w:color="auto"/>
            </w:tcBorders>
            <w:noWrap/>
            <w:vAlign w:val="center"/>
          </w:tcPr>
          <w:p w14:paraId="4D5C6DED"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606,5</w:t>
            </w:r>
          </w:p>
        </w:tc>
        <w:tc>
          <w:tcPr>
            <w:tcW w:w="850" w:type="dxa"/>
            <w:tcBorders>
              <w:top w:val="single" w:sz="4" w:space="0" w:color="auto"/>
              <w:left w:val="nil"/>
              <w:bottom w:val="single" w:sz="4" w:space="0" w:color="auto"/>
              <w:right w:val="single" w:sz="4" w:space="0" w:color="auto"/>
            </w:tcBorders>
            <w:vAlign w:val="center"/>
          </w:tcPr>
          <w:p w14:paraId="6DF1F2E3"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656,8</w:t>
            </w:r>
          </w:p>
        </w:tc>
        <w:tc>
          <w:tcPr>
            <w:tcW w:w="851" w:type="dxa"/>
            <w:tcBorders>
              <w:top w:val="nil"/>
              <w:left w:val="single" w:sz="4" w:space="0" w:color="auto"/>
              <w:bottom w:val="single" w:sz="4" w:space="0" w:color="auto"/>
              <w:right w:val="single" w:sz="4" w:space="0" w:color="auto"/>
            </w:tcBorders>
            <w:noWrap/>
            <w:vAlign w:val="center"/>
          </w:tcPr>
          <w:p w14:paraId="75FFEDD7"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556,8</w:t>
            </w:r>
          </w:p>
        </w:tc>
        <w:tc>
          <w:tcPr>
            <w:tcW w:w="850" w:type="dxa"/>
            <w:tcBorders>
              <w:top w:val="nil"/>
              <w:left w:val="nil"/>
              <w:bottom w:val="single" w:sz="4" w:space="0" w:color="auto"/>
              <w:right w:val="single" w:sz="4" w:space="0" w:color="auto"/>
            </w:tcBorders>
            <w:noWrap/>
            <w:vAlign w:val="center"/>
          </w:tcPr>
          <w:p w14:paraId="76544936"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613,0</w:t>
            </w:r>
          </w:p>
        </w:tc>
        <w:tc>
          <w:tcPr>
            <w:tcW w:w="851" w:type="dxa"/>
            <w:tcBorders>
              <w:top w:val="nil"/>
              <w:left w:val="nil"/>
              <w:bottom w:val="single" w:sz="4" w:space="0" w:color="auto"/>
              <w:right w:val="single" w:sz="4" w:space="0" w:color="auto"/>
            </w:tcBorders>
            <w:noWrap/>
            <w:vAlign w:val="center"/>
          </w:tcPr>
          <w:p w14:paraId="1A89A36A"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666,2</w:t>
            </w:r>
          </w:p>
        </w:tc>
      </w:tr>
      <w:tr w:rsidR="00E67A69" w:rsidRPr="00E67A69" w14:paraId="3EE290D5"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478CFE01" w14:textId="77777777" w:rsidR="00E67A69" w:rsidRPr="00E67A69" w:rsidRDefault="00E67A69" w:rsidP="00E67A69">
            <w:pPr>
              <w:spacing w:after="0"/>
              <w:ind w:left="-183" w:firstLineChars="100" w:firstLine="190"/>
              <w:jc w:val="left"/>
              <w:rPr>
                <w:rFonts w:eastAsia="Times New Roman" w:cs="Times New Roman"/>
                <w:sz w:val="19"/>
                <w:szCs w:val="19"/>
              </w:rPr>
            </w:pPr>
            <w:r w:rsidRPr="00E67A69">
              <w:rPr>
                <w:rFonts w:eastAsia="Times New Roman" w:cs="Times New Roman"/>
                <w:sz w:val="19"/>
                <w:szCs w:val="19"/>
              </w:rPr>
              <w:t>Izdevumi</w:t>
            </w:r>
          </w:p>
        </w:tc>
        <w:tc>
          <w:tcPr>
            <w:tcW w:w="850" w:type="dxa"/>
            <w:tcBorders>
              <w:top w:val="single" w:sz="4" w:space="0" w:color="auto"/>
              <w:left w:val="nil"/>
              <w:bottom w:val="single" w:sz="4" w:space="0" w:color="auto"/>
              <w:right w:val="single" w:sz="4" w:space="0" w:color="auto"/>
            </w:tcBorders>
            <w:noWrap/>
            <w:vAlign w:val="center"/>
          </w:tcPr>
          <w:p w14:paraId="06F95771"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4 311,9</w:t>
            </w:r>
          </w:p>
        </w:tc>
        <w:tc>
          <w:tcPr>
            <w:tcW w:w="851" w:type="dxa"/>
            <w:tcBorders>
              <w:top w:val="single" w:sz="4" w:space="0" w:color="auto"/>
              <w:left w:val="nil"/>
              <w:bottom w:val="single" w:sz="4" w:space="0" w:color="auto"/>
              <w:right w:val="single" w:sz="4" w:space="0" w:color="auto"/>
            </w:tcBorders>
            <w:noWrap/>
            <w:vAlign w:val="center"/>
          </w:tcPr>
          <w:p w14:paraId="269C2CD2"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4 762,3</w:t>
            </w:r>
          </w:p>
        </w:tc>
        <w:tc>
          <w:tcPr>
            <w:tcW w:w="850" w:type="dxa"/>
            <w:tcBorders>
              <w:top w:val="single" w:sz="4" w:space="0" w:color="auto"/>
              <w:left w:val="nil"/>
              <w:bottom w:val="single" w:sz="4" w:space="0" w:color="auto"/>
              <w:right w:val="single" w:sz="4" w:space="0" w:color="auto"/>
            </w:tcBorders>
            <w:noWrap/>
            <w:vAlign w:val="center"/>
          </w:tcPr>
          <w:p w14:paraId="5070328E"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5 069,2</w:t>
            </w:r>
          </w:p>
        </w:tc>
        <w:tc>
          <w:tcPr>
            <w:tcW w:w="851" w:type="dxa"/>
            <w:tcBorders>
              <w:top w:val="single" w:sz="4" w:space="0" w:color="auto"/>
              <w:left w:val="nil"/>
              <w:bottom w:val="single" w:sz="4" w:space="0" w:color="auto"/>
              <w:right w:val="single" w:sz="4" w:space="0" w:color="auto"/>
            </w:tcBorders>
            <w:noWrap/>
            <w:vAlign w:val="center"/>
          </w:tcPr>
          <w:p w14:paraId="7B504940"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5 476,7</w:t>
            </w:r>
          </w:p>
        </w:tc>
        <w:tc>
          <w:tcPr>
            <w:tcW w:w="850" w:type="dxa"/>
            <w:tcBorders>
              <w:top w:val="single" w:sz="4" w:space="0" w:color="auto"/>
              <w:left w:val="nil"/>
              <w:bottom w:val="single" w:sz="4" w:space="0" w:color="auto"/>
              <w:right w:val="single" w:sz="4" w:space="0" w:color="auto"/>
            </w:tcBorders>
            <w:vAlign w:val="center"/>
          </w:tcPr>
          <w:p w14:paraId="52170A05"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5 841,7</w:t>
            </w:r>
          </w:p>
        </w:tc>
        <w:tc>
          <w:tcPr>
            <w:tcW w:w="851" w:type="dxa"/>
            <w:tcBorders>
              <w:top w:val="single" w:sz="4" w:space="0" w:color="auto"/>
              <w:left w:val="single" w:sz="4" w:space="0" w:color="auto"/>
              <w:bottom w:val="single" w:sz="4" w:space="0" w:color="auto"/>
              <w:right w:val="single" w:sz="4" w:space="0" w:color="auto"/>
            </w:tcBorders>
            <w:noWrap/>
            <w:vAlign w:val="center"/>
          </w:tcPr>
          <w:p w14:paraId="58E83FB3"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5 073,1</w:t>
            </w:r>
          </w:p>
        </w:tc>
        <w:tc>
          <w:tcPr>
            <w:tcW w:w="850" w:type="dxa"/>
            <w:tcBorders>
              <w:top w:val="single" w:sz="4" w:space="0" w:color="auto"/>
              <w:left w:val="nil"/>
              <w:bottom w:val="single" w:sz="4" w:space="0" w:color="auto"/>
              <w:right w:val="single" w:sz="4" w:space="0" w:color="auto"/>
            </w:tcBorders>
            <w:noWrap/>
            <w:vAlign w:val="center"/>
          </w:tcPr>
          <w:p w14:paraId="60E0A6B8"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5 455,8</w:t>
            </w:r>
          </w:p>
        </w:tc>
        <w:tc>
          <w:tcPr>
            <w:tcW w:w="851" w:type="dxa"/>
            <w:tcBorders>
              <w:top w:val="single" w:sz="4" w:space="0" w:color="auto"/>
              <w:left w:val="nil"/>
              <w:bottom w:val="single" w:sz="4" w:space="0" w:color="auto"/>
              <w:right w:val="single" w:sz="4" w:space="0" w:color="auto"/>
            </w:tcBorders>
            <w:noWrap/>
            <w:vAlign w:val="center"/>
          </w:tcPr>
          <w:p w14:paraId="2568C1E1"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5 820,4</w:t>
            </w:r>
          </w:p>
        </w:tc>
      </w:tr>
      <w:tr w:rsidR="00E67A69" w:rsidRPr="00E67A69" w14:paraId="7C925A19"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14DB08C8"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lastRenderedPageBreak/>
              <w:t>Uzturēšanas izdevumi</w:t>
            </w:r>
          </w:p>
        </w:tc>
        <w:tc>
          <w:tcPr>
            <w:tcW w:w="850" w:type="dxa"/>
            <w:tcBorders>
              <w:top w:val="single" w:sz="4" w:space="0" w:color="auto"/>
              <w:left w:val="single" w:sz="4" w:space="0" w:color="auto"/>
              <w:bottom w:val="single" w:sz="4" w:space="0" w:color="auto"/>
              <w:right w:val="single" w:sz="4" w:space="0" w:color="auto"/>
            </w:tcBorders>
            <w:noWrap/>
            <w:vAlign w:val="center"/>
          </w:tcPr>
          <w:p w14:paraId="31ECAC7C"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4 310,4</w:t>
            </w:r>
          </w:p>
        </w:tc>
        <w:tc>
          <w:tcPr>
            <w:tcW w:w="851" w:type="dxa"/>
            <w:tcBorders>
              <w:top w:val="single" w:sz="4" w:space="0" w:color="auto"/>
              <w:left w:val="nil"/>
              <w:bottom w:val="single" w:sz="4" w:space="0" w:color="auto"/>
              <w:right w:val="single" w:sz="4" w:space="0" w:color="auto"/>
            </w:tcBorders>
            <w:noWrap/>
            <w:vAlign w:val="center"/>
          </w:tcPr>
          <w:p w14:paraId="5FA1E3FE" w14:textId="77777777" w:rsidR="00E67A69" w:rsidRPr="00E67A69" w:rsidRDefault="00E67A69" w:rsidP="00E67A69">
            <w:pPr>
              <w:spacing w:after="0"/>
              <w:ind w:firstLine="0"/>
              <w:jc w:val="right"/>
              <w:rPr>
                <w:rFonts w:eastAsia="Times New Roman" w:cs="Times New Roman"/>
                <w:sz w:val="18"/>
                <w:szCs w:val="18"/>
              </w:rPr>
            </w:pPr>
            <w:r w:rsidRPr="00E67A69">
              <w:rPr>
                <w:sz w:val="18"/>
                <w:szCs w:val="18"/>
              </w:rPr>
              <w:t>4 761,1</w:t>
            </w:r>
          </w:p>
        </w:tc>
        <w:tc>
          <w:tcPr>
            <w:tcW w:w="850" w:type="dxa"/>
            <w:tcBorders>
              <w:top w:val="single" w:sz="4" w:space="0" w:color="auto"/>
              <w:left w:val="nil"/>
              <w:bottom w:val="single" w:sz="4" w:space="0" w:color="auto"/>
              <w:right w:val="single" w:sz="4" w:space="0" w:color="auto"/>
            </w:tcBorders>
            <w:noWrap/>
            <w:vAlign w:val="center"/>
          </w:tcPr>
          <w:p w14:paraId="60B46408"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5 068,1</w:t>
            </w:r>
          </w:p>
        </w:tc>
        <w:tc>
          <w:tcPr>
            <w:tcW w:w="851" w:type="dxa"/>
            <w:tcBorders>
              <w:top w:val="single" w:sz="4" w:space="0" w:color="auto"/>
              <w:left w:val="nil"/>
              <w:bottom w:val="single" w:sz="4" w:space="0" w:color="auto"/>
              <w:right w:val="single" w:sz="4" w:space="0" w:color="auto"/>
            </w:tcBorders>
            <w:noWrap/>
            <w:vAlign w:val="center"/>
          </w:tcPr>
          <w:p w14:paraId="036E822B"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5 474,9</w:t>
            </w:r>
          </w:p>
        </w:tc>
        <w:tc>
          <w:tcPr>
            <w:tcW w:w="850" w:type="dxa"/>
            <w:tcBorders>
              <w:top w:val="single" w:sz="4" w:space="0" w:color="auto"/>
              <w:left w:val="nil"/>
              <w:bottom w:val="single" w:sz="4" w:space="0" w:color="auto"/>
              <w:right w:val="single" w:sz="4" w:space="0" w:color="auto"/>
            </w:tcBorders>
            <w:vAlign w:val="center"/>
          </w:tcPr>
          <w:p w14:paraId="41845761"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5 840,3</w:t>
            </w:r>
          </w:p>
        </w:tc>
        <w:tc>
          <w:tcPr>
            <w:tcW w:w="851" w:type="dxa"/>
            <w:tcBorders>
              <w:top w:val="single" w:sz="4" w:space="0" w:color="auto"/>
              <w:left w:val="single" w:sz="4" w:space="0" w:color="auto"/>
              <w:bottom w:val="single" w:sz="4" w:space="0" w:color="auto"/>
              <w:right w:val="single" w:sz="4" w:space="0" w:color="auto"/>
            </w:tcBorders>
            <w:noWrap/>
            <w:vAlign w:val="center"/>
          </w:tcPr>
          <w:p w14:paraId="0D190114"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5 071,7</w:t>
            </w:r>
          </w:p>
        </w:tc>
        <w:tc>
          <w:tcPr>
            <w:tcW w:w="850" w:type="dxa"/>
            <w:tcBorders>
              <w:top w:val="single" w:sz="4" w:space="0" w:color="auto"/>
              <w:left w:val="nil"/>
              <w:bottom w:val="single" w:sz="4" w:space="0" w:color="auto"/>
              <w:right w:val="single" w:sz="4" w:space="0" w:color="auto"/>
            </w:tcBorders>
            <w:noWrap/>
            <w:vAlign w:val="center"/>
          </w:tcPr>
          <w:p w14:paraId="134B11C4"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5 454,0</w:t>
            </w:r>
          </w:p>
        </w:tc>
        <w:tc>
          <w:tcPr>
            <w:tcW w:w="851" w:type="dxa"/>
            <w:tcBorders>
              <w:top w:val="single" w:sz="4" w:space="0" w:color="auto"/>
              <w:left w:val="nil"/>
              <w:bottom w:val="single" w:sz="4" w:space="0" w:color="auto"/>
              <w:right w:val="single" w:sz="4" w:space="0" w:color="auto"/>
            </w:tcBorders>
            <w:noWrap/>
            <w:vAlign w:val="center"/>
          </w:tcPr>
          <w:p w14:paraId="41F55A34"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5 819,0</w:t>
            </w:r>
          </w:p>
        </w:tc>
      </w:tr>
      <w:tr w:rsidR="00E67A69" w:rsidRPr="00E67A69" w14:paraId="43F7ACD3"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15976FCA" w14:textId="77777777" w:rsidR="00E67A69" w:rsidRPr="00E67A69" w:rsidRDefault="00E67A69" w:rsidP="00E67A69">
            <w:pPr>
              <w:spacing w:after="0"/>
              <w:ind w:left="-239" w:firstLineChars="200" w:firstLine="380"/>
              <w:jc w:val="left"/>
              <w:rPr>
                <w:rFonts w:eastAsia="Times New Roman" w:cs="Times New Roman"/>
                <w:sz w:val="19"/>
                <w:szCs w:val="19"/>
              </w:rPr>
            </w:pPr>
            <w:r w:rsidRPr="00E67A69">
              <w:rPr>
                <w:rFonts w:eastAsia="Times New Roman" w:cs="Times New Roman"/>
                <w:sz w:val="19"/>
                <w:szCs w:val="19"/>
              </w:rPr>
              <w:t>Kapitālie izdevumi</w:t>
            </w:r>
          </w:p>
        </w:tc>
        <w:tc>
          <w:tcPr>
            <w:tcW w:w="850" w:type="dxa"/>
            <w:tcBorders>
              <w:top w:val="nil"/>
              <w:left w:val="single" w:sz="4" w:space="0" w:color="auto"/>
              <w:bottom w:val="single" w:sz="4" w:space="0" w:color="auto"/>
              <w:right w:val="single" w:sz="4" w:space="0" w:color="auto"/>
            </w:tcBorders>
            <w:noWrap/>
            <w:vAlign w:val="center"/>
          </w:tcPr>
          <w:p w14:paraId="6DA851DA"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1,5</w:t>
            </w:r>
          </w:p>
        </w:tc>
        <w:tc>
          <w:tcPr>
            <w:tcW w:w="851" w:type="dxa"/>
            <w:tcBorders>
              <w:top w:val="nil"/>
              <w:left w:val="nil"/>
              <w:bottom w:val="single" w:sz="4" w:space="0" w:color="auto"/>
              <w:right w:val="single" w:sz="4" w:space="0" w:color="auto"/>
            </w:tcBorders>
            <w:noWrap/>
            <w:vAlign w:val="center"/>
          </w:tcPr>
          <w:p w14:paraId="6D58FE3F"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1,2</w:t>
            </w:r>
          </w:p>
        </w:tc>
        <w:tc>
          <w:tcPr>
            <w:tcW w:w="850" w:type="dxa"/>
            <w:tcBorders>
              <w:top w:val="nil"/>
              <w:left w:val="nil"/>
              <w:bottom w:val="single" w:sz="4" w:space="0" w:color="auto"/>
              <w:right w:val="single" w:sz="4" w:space="0" w:color="auto"/>
            </w:tcBorders>
            <w:noWrap/>
            <w:vAlign w:val="center"/>
          </w:tcPr>
          <w:p w14:paraId="0A1EA004"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1,0</w:t>
            </w:r>
          </w:p>
        </w:tc>
        <w:tc>
          <w:tcPr>
            <w:tcW w:w="851" w:type="dxa"/>
            <w:tcBorders>
              <w:top w:val="nil"/>
              <w:left w:val="nil"/>
              <w:bottom w:val="single" w:sz="4" w:space="0" w:color="auto"/>
              <w:right w:val="single" w:sz="4" w:space="0" w:color="auto"/>
            </w:tcBorders>
            <w:noWrap/>
            <w:vAlign w:val="center"/>
          </w:tcPr>
          <w:p w14:paraId="53ED66EF"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1,8</w:t>
            </w:r>
          </w:p>
        </w:tc>
        <w:tc>
          <w:tcPr>
            <w:tcW w:w="850" w:type="dxa"/>
            <w:tcBorders>
              <w:top w:val="single" w:sz="4" w:space="0" w:color="auto"/>
              <w:left w:val="nil"/>
              <w:bottom w:val="single" w:sz="4" w:space="0" w:color="auto"/>
              <w:right w:val="single" w:sz="4" w:space="0" w:color="auto"/>
            </w:tcBorders>
            <w:vAlign w:val="center"/>
          </w:tcPr>
          <w:p w14:paraId="5592C27A"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1,4</w:t>
            </w:r>
          </w:p>
        </w:tc>
        <w:tc>
          <w:tcPr>
            <w:tcW w:w="851" w:type="dxa"/>
            <w:tcBorders>
              <w:top w:val="nil"/>
              <w:left w:val="single" w:sz="4" w:space="0" w:color="auto"/>
              <w:bottom w:val="single" w:sz="4" w:space="0" w:color="auto"/>
              <w:right w:val="single" w:sz="4" w:space="0" w:color="auto"/>
            </w:tcBorders>
            <w:noWrap/>
            <w:vAlign w:val="center"/>
          </w:tcPr>
          <w:p w14:paraId="7A3BB27C"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1,4</w:t>
            </w:r>
          </w:p>
        </w:tc>
        <w:tc>
          <w:tcPr>
            <w:tcW w:w="850" w:type="dxa"/>
            <w:tcBorders>
              <w:top w:val="nil"/>
              <w:left w:val="nil"/>
              <w:bottom w:val="single" w:sz="4" w:space="0" w:color="auto"/>
              <w:right w:val="single" w:sz="4" w:space="0" w:color="auto"/>
            </w:tcBorders>
            <w:noWrap/>
            <w:vAlign w:val="center"/>
          </w:tcPr>
          <w:p w14:paraId="5F3B3C07"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1,8</w:t>
            </w:r>
          </w:p>
        </w:tc>
        <w:tc>
          <w:tcPr>
            <w:tcW w:w="851" w:type="dxa"/>
            <w:tcBorders>
              <w:top w:val="nil"/>
              <w:left w:val="nil"/>
              <w:bottom w:val="single" w:sz="4" w:space="0" w:color="auto"/>
              <w:right w:val="single" w:sz="4" w:space="0" w:color="auto"/>
            </w:tcBorders>
            <w:noWrap/>
            <w:vAlign w:val="center"/>
          </w:tcPr>
          <w:p w14:paraId="7E7AB17B"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1,4</w:t>
            </w:r>
          </w:p>
        </w:tc>
      </w:tr>
      <w:tr w:rsidR="00E67A69" w:rsidRPr="00E67A69" w14:paraId="38C68ABC" w14:textId="77777777" w:rsidTr="00C217B4">
        <w:trPr>
          <w:trHeight w:val="75"/>
          <w:jc w:val="center"/>
        </w:trPr>
        <w:tc>
          <w:tcPr>
            <w:tcW w:w="2263" w:type="dxa"/>
            <w:tcBorders>
              <w:top w:val="nil"/>
              <w:left w:val="single" w:sz="4" w:space="0" w:color="auto"/>
              <w:bottom w:val="single" w:sz="4" w:space="0" w:color="auto"/>
              <w:right w:val="single" w:sz="4" w:space="0" w:color="auto"/>
            </w:tcBorders>
            <w:vAlign w:val="center"/>
            <w:hideMark/>
          </w:tcPr>
          <w:p w14:paraId="0FADFF49" w14:textId="77777777" w:rsidR="00E67A69" w:rsidRPr="00E67A69" w:rsidRDefault="00E67A69" w:rsidP="00E67A69">
            <w:pPr>
              <w:spacing w:after="0"/>
              <w:ind w:firstLine="0"/>
              <w:jc w:val="left"/>
              <w:rPr>
                <w:rFonts w:eastAsia="Times New Roman" w:cs="Times New Roman"/>
                <w:b/>
                <w:bCs/>
                <w:i/>
                <w:iCs/>
                <w:sz w:val="19"/>
                <w:szCs w:val="19"/>
              </w:rPr>
            </w:pPr>
            <w:r w:rsidRPr="00E67A69">
              <w:rPr>
                <w:rFonts w:eastAsia="Times New Roman" w:cs="Times New Roman"/>
                <w:b/>
                <w:bCs/>
                <w:i/>
                <w:iCs/>
                <w:sz w:val="19"/>
                <w:szCs w:val="19"/>
              </w:rPr>
              <w:t>ATVAS. PUBL. PERS. BUDŽETA BILANCE</w:t>
            </w:r>
          </w:p>
        </w:tc>
        <w:tc>
          <w:tcPr>
            <w:tcW w:w="850" w:type="dxa"/>
            <w:tcBorders>
              <w:top w:val="single" w:sz="4" w:space="0" w:color="auto"/>
              <w:left w:val="nil"/>
              <w:bottom w:val="single" w:sz="4" w:space="0" w:color="auto"/>
              <w:right w:val="single" w:sz="4" w:space="0" w:color="auto"/>
            </w:tcBorders>
            <w:noWrap/>
            <w:vAlign w:val="center"/>
            <w:hideMark/>
          </w:tcPr>
          <w:p w14:paraId="212744D3" w14:textId="77777777" w:rsidR="00E67A69" w:rsidRPr="00E67A69" w:rsidRDefault="00E67A69" w:rsidP="00E67A69">
            <w:pPr>
              <w:spacing w:after="0"/>
              <w:ind w:firstLine="0"/>
              <w:jc w:val="right"/>
              <w:rPr>
                <w:rFonts w:eastAsia="Times New Roman" w:cs="Times New Roman"/>
                <w:b/>
                <w:bCs/>
                <w:color w:val="EE0000"/>
                <w:sz w:val="18"/>
                <w:szCs w:val="18"/>
              </w:rPr>
            </w:pPr>
            <w:r w:rsidRPr="00E67A69">
              <w:rPr>
                <w:b/>
                <w:bCs/>
                <w:sz w:val="18"/>
                <w:szCs w:val="18"/>
              </w:rPr>
              <w:t>60,6</w:t>
            </w:r>
          </w:p>
        </w:tc>
        <w:tc>
          <w:tcPr>
            <w:tcW w:w="851" w:type="dxa"/>
            <w:tcBorders>
              <w:top w:val="single" w:sz="4" w:space="0" w:color="auto"/>
              <w:left w:val="nil"/>
              <w:bottom w:val="single" w:sz="4" w:space="0" w:color="auto"/>
              <w:right w:val="single" w:sz="4" w:space="0" w:color="auto"/>
            </w:tcBorders>
            <w:noWrap/>
            <w:vAlign w:val="center"/>
            <w:hideMark/>
          </w:tcPr>
          <w:p w14:paraId="7A881A0E" w14:textId="77777777" w:rsidR="00E67A69" w:rsidRPr="00E67A69" w:rsidRDefault="00E67A69" w:rsidP="00E67A69">
            <w:pPr>
              <w:spacing w:after="0"/>
              <w:ind w:firstLine="0"/>
              <w:jc w:val="right"/>
              <w:rPr>
                <w:rFonts w:eastAsia="Times New Roman" w:cs="Times New Roman"/>
                <w:b/>
                <w:bCs/>
                <w:color w:val="EE0000"/>
                <w:sz w:val="18"/>
                <w:szCs w:val="18"/>
              </w:rPr>
            </w:pPr>
            <w:r w:rsidRPr="00E67A69">
              <w:rPr>
                <w:b/>
                <w:bCs/>
                <w:sz w:val="18"/>
                <w:szCs w:val="18"/>
              </w:rPr>
              <w:t>61,3</w:t>
            </w:r>
          </w:p>
        </w:tc>
        <w:tc>
          <w:tcPr>
            <w:tcW w:w="850" w:type="dxa"/>
            <w:tcBorders>
              <w:top w:val="single" w:sz="4" w:space="0" w:color="auto"/>
              <w:left w:val="nil"/>
              <w:bottom w:val="single" w:sz="4" w:space="0" w:color="auto"/>
              <w:right w:val="single" w:sz="4" w:space="0" w:color="auto"/>
            </w:tcBorders>
            <w:noWrap/>
            <w:vAlign w:val="center"/>
            <w:hideMark/>
          </w:tcPr>
          <w:p w14:paraId="525C8F42" w14:textId="77777777" w:rsidR="00E67A69" w:rsidRPr="00E67A69" w:rsidRDefault="00E67A69" w:rsidP="00E67A69">
            <w:pPr>
              <w:spacing w:after="0"/>
              <w:ind w:firstLine="0"/>
              <w:jc w:val="right"/>
              <w:rPr>
                <w:rFonts w:eastAsia="Times New Roman" w:cs="Times New Roman"/>
                <w:b/>
                <w:bCs/>
                <w:color w:val="EE0000"/>
                <w:sz w:val="18"/>
                <w:szCs w:val="18"/>
                <w:highlight w:val="yellow"/>
              </w:rPr>
            </w:pPr>
            <w:r w:rsidRPr="00E67A69">
              <w:rPr>
                <w:b/>
                <w:bCs/>
                <w:sz w:val="18"/>
                <w:szCs w:val="18"/>
              </w:rPr>
              <w:t>27,0</w:t>
            </w:r>
          </w:p>
        </w:tc>
        <w:tc>
          <w:tcPr>
            <w:tcW w:w="851" w:type="dxa"/>
            <w:tcBorders>
              <w:top w:val="single" w:sz="4" w:space="0" w:color="auto"/>
              <w:left w:val="nil"/>
              <w:bottom w:val="single" w:sz="4" w:space="0" w:color="auto"/>
              <w:right w:val="single" w:sz="4" w:space="0" w:color="auto"/>
            </w:tcBorders>
            <w:noWrap/>
            <w:vAlign w:val="center"/>
            <w:hideMark/>
          </w:tcPr>
          <w:p w14:paraId="43F0C0B3"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sz w:val="18"/>
                <w:szCs w:val="18"/>
              </w:rPr>
              <w:t>4,3</w:t>
            </w:r>
          </w:p>
        </w:tc>
        <w:tc>
          <w:tcPr>
            <w:tcW w:w="850" w:type="dxa"/>
            <w:tcBorders>
              <w:top w:val="single" w:sz="4" w:space="0" w:color="auto"/>
              <w:left w:val="nil"/>
              <w:bottom w:val="single" w:sz="4" w:space="0" w:color="auto"/>
              <w:right w:val="single" w:sz="4" w:space="0" w:color="auto"/>
            </w:tcBorders>
            <w:vAlign w:val="center"/>
          </w:tcPr>
          <w:p w14:paraId="061D782F" w14:textId="77777777" w:rsidR="00E67A69" w:rsidRPr="00E67A69" w:rsidRDefault="00E67A69" w:rsidP="00E67A69">
            <w:pPr>
              <w:spacing w:after="0"/>
              <w:ind w:firstLine="0"/>
              <w:jc w:val="right"/>
              <w:rPr>
                <w:rFonts w:eastAsia="Times New Roman" w:cs="Times New Roman"/>
                <w:b/>
                <w:bCs/>
                <w:sz w:val="18"/>
                <w:szCs w:val="18"/>
                <w:highlight w:val="yellow"/>
              </w:rPr>
            </w:pPr>
            <w:r w:rsidRPr="00E67A69">
              <w:rPr>
                <w:b/>
                <w:bCs/>
                <w:sz w:val="18"/>
                <w:szCs w:val="18"/>
              </w:rPr>
              <w:t>-4,0</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3985ECB" w14:textId="77777777" w:rsidR="00E67A69" w:rsidRPr="00E67A69" w:rsidRDefault="00E67A69" w:rsidP="00E67A69">
            <w:pPr>
              <w:spacing w:after="0"/>
              <w:ind w:firstLine="0"/>
              <w:jc w:val="right"/>
              <w:rPr>
                <w:rFonts w:eastAsia="Times New Roman" w:cs="Times New Roman"/>
                <w:b/>
                <w:bCs/>
                <w:i/>
                <w:color w:val="EE0000"/>
                <w:sz w:val="18"/>
                <w:szCs w:val="18"/>
              </w:rPr>
            </w:pPr>
            <w:r w:rsidRPr="00E67A69">
              <w:rPr>
                <w:b/>
                <w:bCs/>
                <w:sz w:val="18"/>
                <w:szCs w:val="18"/>
              </w:rPr>
              <w:t>27,0</w:t>
            </w:r>
          </w:p>
        </w:tc>
        <w:tc>
          <w:tcPr>
            <w:tcW w:w="850" w:type="dxa"/>
            <w:tcBorders>
              <w:top w:val="single" w:sz="4" w:space="0" w:color="auto"/>
              <w:left w:val="nil"/>
              <w:bottom w:val="single" w:sz="4" w:space="0" w:color="auto"/>
              <w:right w:val="single" w:sz="4" w:space="0" w:color="auto"/>
            </w:tcBorders>
            <w:noWrap/>
            <w:vAlign w:val="center"/>
            <w:hideMark/>
          </w:tcPr>
          <w:p w14:paraId="777962AA" w14:textId="77777777" w:rsidR="00E67A69" w:rsidRPr="00E67A69" w:rsidRDefault="00E67A69" w:rsidP="00E67A69">
            <w:pPr>
              <w:spacing w:after="0"/>
              <w:ind w:firstLine="0"/>
              <w:jc w:val="right"/>
              <w:rPr>
                <w:rFonts w:eastAsia="Times New Roman" w:cs="Times New Roman"/>
                <w:b/>
                <w:bCs/>
                <w:i/>
                <w:color w:val="EE0000"/>
                <w:sz w:val="18"/>
                <w:szCs w:val="18"/>
              </w:rPr>
            </w:pPr>
            <w:r w:rsidRPr="00E67A69">
              <w:rPr>
                <w:b/>
                <w:bCs/>
                <w:sz w:val="18"/>
                <w:szCs w:val="18"/>
              </w:rPr>
              <w:t>4,3</w:t>
            </w:r>
          </w:p>
        </w:tc>
        <w:tc>
          <w:tcPr>
            <w:tcW w:w="851" w:type="dxa"/>
            <w:tcBorders>
              <w:top w:val="single" w:sz="4" w:space="0" w:color="auto"/>
              <w:left w:val="nil"/>
              <w:bottom w:val="single" w:sz="4" w:space="0" w:color="auto"/>
              <w:right w:val="single" w:sz="4" w:space="0" w:color="auto"/>
            </w:tcBorders>
            <w:noWrap/>
            <w:vAlign w:val="center"/>
            <w:hideMark/>
          </w:tcPr>
          <w:p w14:paraId="06CB1A8F" w14:textId="77777777" w:rsidR="00E67A69" w:rsidRPr="00E67A69" w:rsidRDefault="00E67A69" w:rsidP="00E67A69">
            <w:pPr>
              <w:spacing w:after="0"/>
              <w:ind w:firstLine="0"/>
              <w:jc w:val="right"/>
              <w:rPr>
                <w:rFonts w:eastAsia="Times New Roman" w:cs="Times New Roman"/>
                <w:b/>
                <w:bCs/>
                <w:color w:val="EE0000"/>
                <w:sz w:val="18"/>
                <w:szCs w:val="18"/>
              </w:rPr>
            </w:pPr>
            <w:r w:rsidRPr="00E67A69">
              <w:rPr>
                <w:b/>
                <w:bCs/>
                <w:sz w:val="18"/>
                <w:szCs w:val="18"/>
              </w:rPr>
              <w:t>-4,0</w:t>
            </w:r>
          </w:p>
        </w:tc>
      </w:tr>
      <w:tr w:rsidR="00E67A69" w:rsidRPr="00E67A69" w14:paraId="547CC4B3" w14:textId="77777777" w:rsidTr="00C217B4">
        <w:trPr>
          <w:trHeight w:val="75"/>
          <w:jc w:val="center"/>
        </w:trPr>
        <w:tc>
          <w:tcPr>
            <w:tcW w:w="2263" w:type="dxa"/>
            <w:tcBorders>
              <w:top w:val="nil"/>
              <w:left w:val="single" w:sz="4" w:space="0" w:color="auto"/>
              <w:bottom w:val="single" w:sz="4" w:space="0" w:color="auto"/>
              <w:right w:val="single" w:sz="4" w:space="0" w:color="auto"/>
            </w:tcBorders>
            <w:noWrap/>
            <w:vAlign w:val="center"/>
            <w:hideMark/>
          </w:tcPr>
          <w:p w14:paraId="33C51D46" w14:textId="77777777" w:rsidR="00E67A69" w:rsidRPr="00E67A69" w:rsidRDefault="00E67A69" w:rsidP="00E67A69">
            <w:pPr>
              <w:spacing w:after="0"/>
              <w:ind w:left="-183" w:firstLineChars="100" w:firstLine="190"/>
              <w:jc w:val="left"/>
              <w:rPr>
                <w:rFonts w:eastAsia="Times New Roman" w:cs="Times New Roman"/>
                <w:sz w:val="19"/>
                <w:szCs w:val="19"/>
              </w:rPr>
            </w:pPr>
            <w:r w:rsidRPr="00E67A69">
              <w:rPr>
                <w:rFonts w:eastAsia="Times New Roman" w:cs="Times New Roman"/>
                <w:sz w:val="19"/>
                <w:szCs w:val="19"/>
              </w:rPr>
              <w:t>Ieņēmumi</w:t>
            </w:r>
          </w:p>
        </w:tc>
        <w:tc>
          <w:tcPr>
            <w:tcW w:w="850" w:type="dxa"/>
            <w:tcBorders>
              <w:top w:val="nil"/>
              <w:left w:val="nil"/>
              <w:bottom w:val="single" w:sz="4" w:space="0" w:color="auto"/>
              <w:right w:val="single" w:sz="4" w:space="0" w:color="auto"/>
            </w:tcBorders>
            <w:noWrap/>
            <w:vAlign w:val="center"/>
            <w:hideMark/>
          </w:tcPr>
          <w:p w14:paraId="2C00CB24" w14:textId="77777777" w:rsidR="00E67A69" w:rsidRPr="00E67A69" w:rsidRDefault="00E67A69" w:rsidP="00E67A69">
            <w:pPr>
              <w:spacing w:after="0"/>
              <w:ind w:firstLine="0"/>
              <w:jc w:val="right"/>
              <w:rPr>
                <w:rFonts w:eastAsia="Times New Roman" w:cs="Times New Roman"/>
                <w:sz w:val="18"/>
                <w:szCs w:val="18"/>
              </w:rPr>
            </w:pPr>
            <w:r w:rsidRPr="00E67A69">
              <w:rPr>
                <w:sz w:val="18"/>
                <w:szCs w:val="18"/>
              </w:rPr>
              <w:t>677,5</w:t>
            </w:r>
          </w:p>
        </w:tc>
        <w:tc>
          <w:tcPr>
            <w:tcW w:w="851" w:type="dxa"/>
            <w:tcBorders>
              <w:top w:val="nil"/>
              <w:left w:val="nil"/>
              <w:bottom w:val="single" w:sz="4" w:space="0" w:color="auto"/>
              <w:right w:val="single" w:sz="4" w:space="0" w:color="auto"/>
            </w:tcBorders>
            <w:noWrap/>
            <w:vAlign w:val="center"/>
            <w:hideMark/>
          </w:tcPr>
          <w:p w14:paraId="357DED36"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717,9</w:t>
            </w:r>
          </w:p>
        </w:tc>
        <w:tc>
          <w:tcPr>
            <w:tcW w:w="850" w:type="dxa"/>
            <w:tcBorders>
              <w:top w:val="nil"/>
              <w:left w:val="nil"/>
              <w:bottom w:val="single" w:sz="4" w:space="0" w:color="auto"/>
              <w:right w:val="single" w:sz="4" w:space="0" w:color="auto"/>
            </w:tcBorders>
            <w:noWrap/>
            <w:vAlign w:val="center"/>
            <w:hideMark/>
          </w:tcPr>
          <w:p w14:paraId="3B01EEE2"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694,3</w:t>
            </w:r>
          </w:p>
        </w:tc>
        <w:tc>
          <w:tcPr>
            <w:tcW w:w="851" w:type="dxa"/>
            <w:tcBorders>
              <w:top w:val="nil"/>
              <w:left w:val="nil"/>
              <w:bottom w:val="single" w:sz="4" w:space="0" w:color="auto"/>
              <w:right w:val="single" w:sz="4" w:space="0" w:color="auto"/>
            </w:tcBorders>
            <w:noWrap/>
            <w:vAlign w:val="center"/>
            <w:hideMark/>
          </w:tcPr>
          <w:p w14:paraId="54362BC4"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673,9</w:t>
            </w:r>
          </w:p>
        </w:tc>
        <w:tc>
          <w:tcPr>
            <w:tcW w:w="850" w:type="dxa"/>
            <w:tcBorders>
              <w:top w:val="single" w:sz="4" w:space="0" w:color="auto"/>
              <w:left w:val="nil"/>
              <w:bottom w:val="single" w:sz="4" w:space="0" w:color="auto"/>
              <w:right w:val="single" w:sz="4" w:space="0" w:color="auto"/>
            </w:tcBorders>
            <w:vAlign w:val="center"/>
          </w:tcPr>
          <w:p w14:paraId="3D39EBF9"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667,6</w:t>
            </w:r>
          </w:p>
        </w:tc>
        <w:tc>
          <w:tcPr>
            <w:tcW w:w="851" w:type="dxa"/>
            <w:tcBorders>
              <w:top w:val="nil"/>
              <w:left w:val="single" w:sz="4" w:space="0" w:color="auto"/>
              <w:bottom w:val="single" w:sz="4" w:space="0" w:color="auto"/>
              <w:right w:val="single" w:sz="4" w:space="0" w:color="auto"/>
            </w:tcBorders>
            <w:noWrap/>
            <w:vAlign w:val="center"/>
            <w:hideMark/>
          </w:tcPr>
          <w:p w14:paraId="721E8D44"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698,5</w:t>
            </w:r>
          </w:p>
        </w:tc>
        <w:tc>
          <w:tcPr>
            <w:tcW w:w="850" w:type="dxa"/>
            <w:tcBorders>
              <w:top w:val="nil"/>
              <w:left w:val="nil"/>
              <w:bottom w:val="single" w:sz="4" w:space="0" w:color="auto"/>
              <w:right w:val="single" w:sz="4" w:space="0" w:color="auto"/>
            </w:tcBorders>
            <w:noWrap/>
            <w:vAlign w:val="center"/>
            <w:hideMark/>
          </w:tcPr>
          <w:p w14:paraId="191E536E" w14:textId="77777777" w:rsidR="00E67A69" w:rsidRPr="00E67A69" w:rsidRDefault="00E67A69" w:rsidP="00E67A69">
            <w:pPr>
              <w:spacing w:after="0"/>
              <w:ind w:firstLine="0"/>
              <w:jc w:val="right"/>
              <w:rPr>
                <w:rFonts w:eastAsia="Times New Roman" w:cs="Times New Roman"/>
                <w:bCs/>
                <w:color w:val="EE0000"/>
                <w:sz w:val="18"/>
                <w:szCs w:val="18"/>
              </w:rPr>
            </w:pPr>
            <w:r w:rsidRPr="00E67A69">
              <w:rPr>
                <w:sz w:val="18"/>
                <w:szCs w:val="18"/>
              </w:rPr>
              <w:t>674,1</w:t>
            </w:r>
          </w:p>
        </w:tc>
        <w:tc>
          <w:tcPr>
            <w:tcW w:w="851" w:type="dxa"/>
            <w:tcBorders>
              <w:top w:val="nil"/>
              <w:left w:val="nil"/>
              <w:bottom w:val="single" w:sz="4" w:space="0" w:color="auto"/>
              <w:right w:val="single" w:sz="4" w:space="0" w:color="auto"/>
            </w:tcBorders>
            <w:noWrap/>
            <w:vAlign w:val="center"/>
            <w:hideMark/>
          </w:tcPr>
          <w:p w14:paraId="3B7361D4" w14:textId="77777777" w:rsidR="00E67A69" w:rsidRPr="00E67A69" w:rsidRDefault="00E67A69" w:rsidP="00E67A69">
            <w:pPr>
              <w:spacing w:after="0"/>
              <w:ind w:firstLine="0"/>
              <w:jc w:val="right"/>
              <w:rPr>
                <w:rFonts w:eastAsia="Times New Roman" w:cs="Times New Roman"/>
                <w:bCs/>
                <w:color w:val="EE0000"/>
                <w:sz w:val="18"/>
                <w:szCs w:val="18"/>
              </w:rPr>
            </w:pPr>
            <w:r w:rsidRPr="00E67A69">
              <w:rPr>
                <w:sz w:val="18"/>
                <w:szCs w:val="18"/>
              </w:rPr>
              <w:t>667,5</w:t>
            </w:r>
          </w:p>
        </w:tc>
      </w:tr>
      <w:tr w:rsidR="00E67A69" w:rsidRPr="00E67A69" w14:paraId="4E97E9D6" w14:textId="77777777" w:rsidTr="00C217B4">
        <w:trPr>
          <w:trHeight w:val="75"/>
          <w:jc w:val="center"/>
        </w:trPr>
        <w:tc>
          <w:tcPr>
            <w:tcW w:w="2263" w:type="dxa"/>
            <w:tcBorders>
              <w:top w:val="single" w:sz="4" w:space="0" w:color="auto"/>
              <w:left w:val="single" w:sz="4" w:space="0" w:color="auto"/>
              <w:bottom w:val="single" w:sz="4" w:space="0" w:color="auto"/>
              <w:right w:val="single" w:sz="4" w:space="0" w:color="auto"/>
            </w:tcBorders>
            <w:noWrap/>
            <w:vAlign w:val="center"/>
            <w:hideMark/>
          </w:tcPr>
          <w:p w14:paraId="5192FA31" w14:textId="77777777" w:rsidR="00E67A69" w:rsidRPr="00E67A69" w:rsidRDefault="00E67A69" w:rsidP="00E67A69">
            <w:pPr>
              <w:spacing w:after="0"/>
              <w:ind w:left="-183" w:firstLineChars="100" w:firstLine="190"/>
              <w:jc w:val="left"/>
              <w:rPr>
                <w:rFonts w:eastAsia="Times New Roman" w:cs="Times New Roman"/>
                <w:sz w:val="19"/>
                <w:szCs w:val="19"/>
              </w:rPr>
            </w:pPr>
            <w:r w:rsidRPr="00E67A69">
              <w:rPr>
                <w:rFonts w:eastAsia="Times New Roman" w:cs="Times New Roman"/>
                <w:sz w:val="19"/>
                <w:szCs w:val="19"/>
              </w:rPr>
              <w:t>Izdevumi</w:t>
            </w:r>
          </w:p>
        </w:tc>
        <w:tc>
          <w:tcPr>
            <w:tcW w:w="850" w:type="dxa"/>
            <w:tcBorders>
              <w:top w:val="single" w:sz="4" w:space="0" w:color="auto"/>
              <w:left w:val="nil"/>
              <w:bottom w:val="single" w:sz="4" w:space="0" w:color="auto"/>
              <w:right w:val="single" w:sz="4" w:space="0" w:color="auto"/>
            </w:tcBorders>
            <w:noWrap/>
            <w:vAlign w:val="center"/>
            <w:hideMark/>
          </w:tcPr>
          <w:p w14:paraId="0E950A9D"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616,8</w:t>
            </w:r>
          </w:p>
        </w:tc>
        <w:tc>
          <w:tcPr>
            <w:tcW w:w="851" w:type="dxa"/>
            <w:tcBorders>
              <w:top w:val="single" w:sz="4" w:space="0" w:color="auto"/>
              <w:left w:val="nil"/>
              <w:bottom w:val="single" w:sz="4" w:space="0" w:color="auto"/>
              <w:right w:val="single" w:sz="4" w:space="0" w:color="auto"/>
            </w:tcBorders>
            <w:noWrap/>
            <w:vAlign w:val="center"/>
            <w:hideMark/>
          </w:tcPr>
          <w:p w14:paraId="06C4D03A" w14:textId="77777777" w:rsidR="00E67A69" w:rsidRPr="00E67A69" w:rsidRDefault="00E67A69" w:rsidP="00E67A69">
            <w:pPr>
              <w:spacing w:after="0"/>
              <w:ind w:firstLine="0"/>
              <w:jc w:val="right"/>
              <w:rPr>
                <w:rFonts w:eastAsia="Times New Roman" w:cs="Times New Roman"/>
                <w:color w:val="EE0000"/>
                <w:sz w:val="18"/>
                <w:szCs w:val="18"/>
              </w:rPr>
            </w:pPr>
            <w:r w:rsidRPr="00E67A69">
              <w:rPr>
                <w:sz w:val="18"/>
                <w:szCs w:val="18"/>
              </w:rPr>
              <w:t>656,6</w:t>
            </w:r>
          </w:p>
        </w:tc>
        <w:tc>
          <w:tcPr>
            <w:tcW w:w="850" w:type="dxa"/>
            <w:tcBorders>
              <w:top w:val="single" w:sz="4" w:space="0" w:color="auto"/>
              <w:left w:val="nil"/>
              <w:bottom w:val="single" w:sz="4" w:space="0" w:color="auto"/>
              <w:right w:val="single" w:sz="4" w:space="0" w:color="auto"/>
            </w:tcBorders>
            <w:noWrap/>
            <w:vAlign w:val="center"/>
            <w:hideMark/>
          </w:tcPr>
          <w:p w14:paraId="4774F479"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667,2</w:t>
            </w:r>
          </w:p>
        </w:tc>
        <w:tc>
          <w:tcPr>
            <w:tcW w:w="851" w:type="dxa"/>
            <w:tcBorders>
              <w:top w:val="single" w:sz="4" w:space="0" w:color="auto"/>
              <w:left w:val="nil"/>
              <w:bottom w:val="single" w:sz="4" w:space="0" w:color="auto"/>
              <w:right w:val="single" w:sz="4" w:space="0" w:color="auto"/>
            </w:tcBorders>
            <w:noWrap/>
            <w:vAlign w:val="center"/>
            <w:hideMark/>
          </w:tcPr>
          <w:p w14:paraId="6CD390A8"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669,6</w:t>
            </w:r>
          </w:p>
        </w:tc>
        <w:tc>
          <w:tcPr>
            <w:tcW w:w="850" w:type="dxa"/>
            <w:tcBorders>
              <w:top w:val="single" w:sz="4" w:space="0" w:color="auto"/>
              <w:left w:val="nil"/>
              <w:bottom w:val="single" w:sz="4" w:space="0" w:color="auto"/>
              <w:right w:val="single" w:sz="4" w:space="0" w:color="auto"/>
            </w:tcBorders>
            <w:vAlign w:val="center"/>
          </w:tcPr>
          <w:p w14:paraId="0B6180E9" w14:textId="77777777" w:rsidR="00E67A69" w:rsidRPr="00E67A69" w:rsidRDefault="00E67A69" w:rsidP="00E67A69">
            <w:pPr>
              <w:spacing w:after="0"/>
              <w:ind w:firstLine="0"/>
              <w:jc w:val="right"/>
              <w:rPr>
                <w:rFonts w:eastAsia="Times New Roman" w:cs="Times New Roman"/>
                <w:sz w:val="18"/>
                <w:szCs w:val="18"/>
                <w:highlight w:val="yellow"/>
              </w:rPr>
            </w:pPr>
            <w:r w:rsidRPr="00E67A69">
              <w:rPr>
                <w:sz w:val="18"/>
                <w:szCs w:val="18"/>
              </w:rPr>
              <w:t>671,6</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69B1222" w14:textId="77777777" w:rsidR="00E67A69" w:rsidRPr="00E67A69" w:rsidRDefault="00E67A69" w:rsidP="00E67A69">
            <w:pPr>
              <w:spacing w:after="0"/>
              <w:ind w:firstLine="0"/>
              <w:jc w:val="right"/>
              <w:rPr>
                <w:rFonts w:eastAsia="Times New Roman" w:cs="Times New Roman"/>
                <w:bCs/>
                <w:color w:val="EE0000"/>
                <w:sz w:val="18"/>
                <w:szCs w:val="18"/>
              </w:rPr>
            </w:pPr>
            <w:r w:rsidRPr="00E67A69">
              <w:rPr>
                <w:sz w:val="18"/>
                <w:szCs w:val="18"/>
              </w:rPr>
              <w:t>671,4</w:t>
            </w:r>
          </w:p>
        </w:tc>
        <w:tc>
          <w:tcPr>
            <w:tcW w:w="850" w:type="dxa"/>
            <w:tcBorders>
              <w:top w:val="single" w:sz="4" w:space="0" w:color="auto"/>
              <w:left w:val="nil"/>
              <w:bottom w:val="single" w:sz="4" w:space="0" w:color="auto"/>
              <w:right w:val="single" w:sz="4" w:space="0" w:color="auto"/>
            </w:tcBorders>
            <w:noWrap/>
            <w:vAlign w:val="center"/>
            <w:hideMark/>
          </w:tcPr>
          <w:p w14:paraId="7613719F" w14:textId="77777777" w:rsidR="00E67A69" w:rsidRPr="00E67A69" w:rsidRDefault="00E67A69" w:rsidP="00E67A69">
            <w:pPr>
              <w:spacing w:after="0"/>
              <w:ind w:firstLine="0"/>
              <w:jc w:val="right"/>
              <w:rPr>
                <w:rFonts w:eastAsia="Times New Roman" w:cs="Times New Roman"/>
                <w:bCs/>
                <w:color w:val="EE0000"/>
                <w:sz w:val="18"/>
                <w:szCs w:val="18"/>
              </w:rPr>
            </w:pPr>
            <w:r w:rsidRPr="00E67A69">
              <w:rPr>
                <w:sz w:val="18"/>
                <w:szCs w:val="18"/>
              </w:rPr>
              <w:t>669,9</w:t>
            </w:r>
          </w:p>
        </w:tc>
        <w:tc>
          <w:tcPr>
            <w:tcW w:w="851" w:type="dxa"/>
            <w:tcBorders>
              <w:top w:val="single" w:sz="4" w:space="0" w:color="auto"/>
              <w:left w:val="nil"/>
              <w:bottom w:val="single" w:sz="4" w:space="0" w:color="auto"/>
              <w:right w:val="single" w:sz="4" w:space="0" w:color="auto"/>
            </w:tcBorders>
            <w:noWrap/>
            <w:vAlign w:val="center"/>
            <w:hideMark/>
          </w:tcPr>
          <w:p w14:paraId="62FAE7B5" w14:textId="77777777" w:rsidR="00E67A69" w:rsidRPr="00E67A69" w:rsidRDefault="00E67A69" w:rsidP="00E67A69">
            <w:pPr>
              <w:spacing w:after="0"/>
              <w:ind w:firstLine="0"/>
              <w:jc w:val="right"/>
              <w:rPr>
                <w:rFonts w:eastAsia="Times New Roman" w:cs="Times New Roman"/>
                <w:bCs/>
                <w:color w:val="EE0000"/>
                <w:sz w:val="18"/>
                <w:szCs w:val="18"/>
              </w:rPr>
            </w:pPr>
            <w:r w:rsidRPr="00E67A69">
              <w:rPr>
                <w:sz w:val="18"/>
                <w:szCs w:val="18"/>
              </w:rPr>
              <w:t>671,5</w:t>
            </w:r>
          </w:p>
        </w:tc>
      </w:tr>
    </w:tbl>
    <w:p w14:paraId="34F2A3D7" w14:textId="77777777" w:rsidR="00E67A69" w:rsidRPr="00E67A69" w:rsidRDefault="00E67A69" w:rsidP="00E67A69">
      <w:pPr>
        <w:tabs>
          <w:tab w:val="left" w:pos="1965"/>
        </w:tabs>
        <w:spacing w:before="240" w:after="240"/>
        <w:ind w:firstLine="0"/>
        <w:jc w:val="center"/>
        <w:rPr>
          <w:rFonts w:eastAsia="Times New Roman" w:cs="Times New Roman"/>
          <w:b/>
          <w:color w:val="000000"/>
          <w:sz w:val="28"/>
          <w:szCs w:val="32"/>
          <w:lang w:eastAsia="en-US"/>
        </w:rPr>
      </w:pPr>
      <w:bookmarkStart w:id="59" w:name="_Hlk83887516"/>
      <w:r w:rsidRPr="00E67A69">
        <w:rPr>
          <w:rFonts w:eastAsia="Times New Roman" w:cs="Times New Roman"/>
          <w:b/>
          <w:color w:val="000000"/>
          <w:sz w:val="28"/>
          <w:szCs w:val="32"/>
          <w:lang w:eastAsia="en-US"/>
        </w:rPr>
        <w:t>Pašvaldību budžets</w:t>
      </w:r>
    </w:p>
    <w:p w14:paraId="5B843490" w14:textId="77777777" w:rsidR="00E67A69" w:rsidRPr="00E67A69" w:rsidRDefault="00E67A69" w:rsidP="00E67A69">
      <w:pPr>
        <w:rPr>
          <w:noProof/>
        </w:rPr>
      </w:pPr>
      <w:bookmarkStart w:id="60" w:name="_Hlk179282634"/>
      <w:bookmarkEnd w:id="59"/>
      <w:r w:rsidRPr="00E67A69">
        <w:rPr>
          <w:noProof/>
        </w:rPr>
        <w:t xml:space="preserve">Pašvaldību budžetā 2025. gada astoņi mēneši noslēgti ar pārpalikumu 66,1 milj. </w:t>
      </w:r>
      <w:r w:rsidRPr="00E67A69">
        <w:rPr>
          <w:i/>
          <w:iCs/>
          <w:noProof/>
        </w:rPr>
        <w:t>euro</w:t>
      </w:r>
      <w:r w:rsidRPr="00E67A69">
        <w:rPr>
          <w:noProof/>
        </w:rPr>
        <w:t xml:space="preserve"> apmērā, taču tas bijis zemāks - par 18,8 milj.</w:t>
      </w:r>
      <w:r w:rsidRPr="00E67A69">
        <w:rPr>
          <w:i/>
          <w:iCs/>
          <w:noProof/>
        </w:rPr>
        <w:t xml:space="preserve"> euro</w:t>
      </w:r>
      <w:r w:rsidRPr="00E67A69">
        <w:rPr>
          <w:noProof/>
        </w:rPr>
        <w:t xml:space="preserve">, salīdzinot ar attiecīgo periodu pirms gada. Lai gan pašvaldību budžetā vērojams ieņēmumu kāpums par 177,4 milj. </w:t>
      </w:r>
      <w:r w:rsidRPr="00E67A69">
        <w:rPr>
          <w:i/>
          <w:iCs/>
          <w:noProof/>
        </w:rPr>
        <w:t>euro</w:t>
      </w:r>
      <w:r w:rsidRPr="00E67A69">
        <w:rPr>
          <w:noProof/>
        </w:rPr>
        <w:t xml:space="preserve"> jeb 7,2%, sasniedzot 2,7 mljrd.</w:t>
      </w:r>
      <w:r w:rsidRPr="00E67A69">
        <w:rPr>
          <w:i/>
          <w:iCs/>
          <w:noProof/>
        </w:rPr>
        <w:t xml:space="preserve"> euro</w:t>
      </w:r>
      <w:r w:rsidRPr="00E67A69">
        <w:rPr>
          <w:noProof/>
        </w:rPr>
        <w:t>, izdevumi palielinājās straujāk, salīdzinot ar 2024. gada astoņiem mēnešiem – par 196,2 milj.</w:t>
      </w:r>
      <w:r w:rsidRPr="00E67A69">
        <w:rPr>
          <w:i/>
          <w:iCs/>
          <w:noProof/>
        </w:rPr>
        <w:t xml:space="preserve"> euro</w:t>
      </w:r>
      <w:r w:rsidRPr="00E67A69">
        <w:rPr>
          <w:noProof/>
        </w:rPr>
        <w:t xml:space="preserve"> jeb 8,2%, sasniedzot 2,6 mljrd. </w:t>
      </w:r>
      <w:r w:rsidRPr="00E67A69">
        <w:rPr>
          <w:i/>
          <w:iCs/>
          <w:noProof/>
        </w:rPr>
        <w:t>euro</w:t>
      </w:r>
      <w:r w:rsidRPr="00E67A69">
        <w:rPr>
          <w:noProof/>
        </w:rPr>
        <w:t xml:space="preserve">. Pašvaldību budžeta izdevumi pamatkapitāla veidošanai auga par 124 milj. </w:t>
      </w:r>
      <w:r w:rsidRPr="00E67A69">
        <w:rPr>
          <w:i/>
          <w:iCs/>
          <w:noProof/>
        </w:rPr>
        <w:t>euro</w:t>
      </w:r>
      <w:r w:rsidRPr="00E67A69">
        <w:rPr>
          <w:noProof/>
        </w:rPr>
        <w:t xml:space="preserve"> jeb 58%, sasniedzot 337,5 milj. </w:t>
      </w:r>
      <w:r w:rsidRPr="00E67A69">
        <w:rPr>
          <w:i/>
          <w:iCs/>
          <w:noProof/>
        </w:rPr>
        <w:t>euro</w:t>
      </w:r>
      <w:r w:rsidRPr="00E67A69">
        <w:rPr>
          <w:noProof/>
        </w:rPr>
        <w:t xml:space="preserve">. Tostarp par 118,2 milj. </w:t>
      </w:r>
      <w:r w:rsidRPr="00E67A69">
        <w:rPr>
          <w:i/>
          <w:iCs/>
          <w:noProof/>
        </w:rPr>
        <w:t>euro</w:t>
      </w:r>
      <w:r w:rsidRPr="00E67A69">
        <w:rPr>
          <w:noProof/>
        </w:rPr>
        <w:t xml:space="preserve"> vairāk izdots pašvaldību ES līdzfinansēto projektu īstenošanai. Pašvaldību budžetā izdevumi atlīdzībai 2025. gada astoņos mēnešos sasniedza 1,3 mljrd.</w:t>
      </w:r>
      <w:r w:rsidRPr="00E67A69">
        <w:rPr>
          <w:i/>
          <w:iCs/>
          <w:noProof/>
        </w:rPr>
        <w:t xml:space="preserve"> euro</w:t>
      </w:r>
      <w:r w:rsidRPr="00E67A69">
        <w:rPr>
          <w:noProof/>
        </w:rPr>
        <w:t xml:space="preserve">. Izdevumu kāpums veidoja 55,8 milj. </w:t>
      </w:r>
      <w:r w:rsidRPr="00E67A69">
        <w:rPr>
          <w:i/>
          <w:iCs/>
          <w:noProof/>
        </w:rPr>
        <w:t>euro</w:t>
      </w:r>
      <w:r w:rsidRPr="00E67A69">
        <w:rPr>
          <w:noProof/>
        </w:rPr>
        <w:t xml:space="preserve"> jeb 4,4%, ko pamatā noteica minimālās algas celšana un pedagogu darba samaksas pieaugums – no 2025. gada 1. janvāra minimālā likme visiem pedagogiem tika palielināta par 2,6%. </w:t>
      </w:r>
    </w:p>
    <w:p w14:paraId="79E160C2" w14:textId="77777777" w:rsidR="00E67A69" w:rsidRPr="00E67A69" w:rsidRDefault="00E67A69" w:rsidP="00E67A69">
      <w:pPr>
        <w:rPr>
          <w:noProof/>
        </w:rPr>
      </w:pPr>
      <w:r w:rsidRPr="00E67A69">
        <w:rPr>
          <w:noProof/>
        </w:rPr>
        <w:t>2025. gadā un vidējā termiņā pašvaldību budžetā tiek prognozēts pārpalikums, un to sekmēs no 2025. gada 1. janvāra ieviestā norma, ka pašvaldības budžeta izpildes laikā saņem tikai likumā plānotos iedzīvotāju ienākuma nodokļa ieņēmumus, savukārt</w:t>
      </w:r>
      <w:r w:rsidRPr="00E67A69">
        <w:rPr>
          <w:szCs w:val="28"/>
          <w:lang w:eastAsia="en-US"/>
        </w:rPr>
        <w:t xml:space="preserve"> pašvaldību ieņēmumi virs garantētās IIN prognozes tiks ieskaitīti speciālā Valsts kases kontā un gada beigās pārskaitīti pašvaldībām saistību dzēšanai.</w:t>
      </w:r>
    </w:p>
    <w:p w14:paraId="5649FA9F" w14:textId="77777777" w:rsidR="00E67A69" w:rsidRPr="00E67A69" w:rsidRDefault="00E67A69" w:rsidP="00E67A69">
      <w:pPr>
        <w:rPr>
          <w:rFonts w:eastAsia="Times New Roman" w:cs="Times New Roman"/>
          <w:szCs w:val="24"/>
          <w:lang w:eastAsia="en-US"/>
        </w:rPr>
      </w:pPr>
      <w:r w:rsidRPr="00E67A69">
        <w:rPr>
          <w:rFonts w:eastAsia="Times New Roman" w:cs="Times New Roman"/>
          <w:szCs w:val="24"/>
          <w:lang w:eastAsia="en-US"/>
        </w:rPr>
        <w:t>Sagatavojot pašvaldību budžeta ieņēmumu un izdevumu prognozes 2026.-2028. gadam, ir ņemtas vērā šādas izmaiņas:</w:t>
      </w:r>
    </w:p>
    <w:p w14:paraId="6F20813F" w14:textId="77777777" w:rsidR="00E67A69" w:rsidRPr="00E67A69" w:rsidRDefault="00E67A69" w:rsidP="00812C49">
      <w:pPr>
        <w:numPr>
          <w:ilvl w:val="0"/>
          <w:numId w:val="8"/>
        </w:numPr>
        <w:shd w:val="clear" w:color="auto" w:fill="FFFFFF"/>
        <w:ind w:left="0" w:firstLine="709"/>
        <w:rPr>
          <w:noProof/>
          <w:szCs w:val="28"/>
          <w:lang w:eastAsia="en-US"/>
        </w:rPr>
      </w:pPr>
      <w:r w:rsidRPr="00E67A69">
        <w:rPr>
          <w:szCs w:val="28"/>
          <w:lang w:eastAsia="en-US"/>
        </w:rPr>
        <w:t xml:space="preserve">Aktualizējot IIN prognozes, tika konstatēts, ka nodokļu reforma ir īstenota ar labākiem rezultātiem </w:t>
      </w:r>
      <w:r w:rsidRPr="00E67A69">
        <w:rPr>
          <w:noProof/>
          <w:szCs w:val="28"/>
          <w:lang w:eastAsia="en-US"/>
        </w:rPr>
        <w:t xml:space="preserve">un to ietekme uz pašvaldību budžetiem ir zemāka, nekā tas tika sākotnēji prognozēts, kas ļauj precizēt (samazināt) valsts budžeta dotāciju 2026. gadā par 58,7 milj. </w:t>
      </w:r>
      <w:r w:rsidRPr="00E67A69">
        <w:rPr>
          <w:i/>
          <w:iCs/>
          <w:noProof/>
          <w:szCs w:val="28"/>
          <w:lang w:eastAsia="en-US"/>
        </w:rPr>
        <w:t>euro</w:t>
      </w:r>
      <w:r w:rsidRPr="00E67A69">
        <w:rPr>
          <w:noProof/>
          <w:szCs w:val="28"/>
          <w:lang w:eastAsia="en-US"/>
        </w:rPr>
        <w:t xml:space="preserve">, 2027. gadā par 63 milj. </w:t>
      </w:r>
      <w:r w:rsidRPr="00E67A69">
        <w:rPr>
          <w:i/>
          <w:iCs/>
          <w:noProof/>
          <w:szCs w:val="28"/>
          <w:lang w:eastAsia="en-US"/>
        </w:rPr>
        <w:t>euro</w:t>
      </w:r>
      <w:r w:rsidRPr="00E67A69">
        <w:rPr>
          <w:noProof/>
          <w:szCs w:val="28"/>
          <w:lang w:eastAsia="en-US"/>
        </w:rPr>
        <w:t xml:space="preserve"> un 2028. gadā par 57,6 milj.</w:t>
      </w:r>
      <w:r w:rsidRPr="00E67A69">
        <w:rPr>
          <w:i/>
          <w:iCs/>
          <w:noProof/>
          <w:szCs w:val="28"/>
          <w:lang w:eastAsia="en-US"/>
        </w:rPr>
        <w:t xml:space="preserve"> euro</w:t>
      </w:r>
      <w:r w:rsidRPr="00E67A69">
        <w:rPr>
          <w:noProof/>
          <w:szCs w:val="28"/>
          <w:lang w:eastAsia="en-US"/>
        </w:rPr>
        <w:t xml:space="preserve"> attiecīgi samazinot pašvaldību budžeta izdevumus;</w:t>
      </w:r>
    </w:p>
    <w:p w14:paraId="4D0B45C6" w14:textId="77777777" w:rsidR="00E67A69" w:rsidRPr="00E67A69" w:rsidRDefault="00E67A69" w:rsidP="00812C49">
      <w:pPr>
        <w:numPr>
          <w:ilvl w:val="0"/>
          <w:numId w:val="8"/>
        </w:numPr>
        <w:shd w:val="clear" w:color="auto" w:fill="FFFFFF"/>
        <w:ind w:left="0" w:firstLine="709"/>
        <w:rPr>
          <w:noProof/>
          <w:szCs w:val="28"/>
          <w:lang w:eastAsia="en-US"/>
        </w:rPr>
      </w:pPr>
      <w:r w:rsidRPr="00E67A69">
        <w:rPr>
          <w:noProof/>
          <w:szCs w:val="28"/>
          <w:lang w:eastAsia="en-US"/>
        </w:rPr>
        <w:t xml:space="preserve">Pašvaldību budžeta atlīdzības izdevumu prognozē 2026.-2028. gadam ir iekļauts papildus finansējums (valsts budžeta transferts) jaunā finansēšanas modeļa “Programma skolā” ietvaros – 2026. gadā 42,4 milj. </w:t>
      </w:r>
      <w:r w:rsidRPr="00E67A69">
        <w:rPr>
          <w:i/>
          <w:iCs/>
          <w:noProof/>
          <w:szCs w:val="28"/>
          <w:lang w:eastAsia="en-US"/>
        </w:rPr>
        <w:t>euro</w:t>
      </w:r>
      <w:r w:rsidRPr="00E67A69">
        <w:rPr>
          <w:noProof/>
          <w:szCs w:val="28"/>
          <w:lang w:eastAsia="en-US"/>
        </w:rPr>
        <w:t xml:space="preserve">, 2027. gadā 85,6 milj. </w:t>
      </w:r>
      <w:r w:rsidRPr="00E67A69">
        <w:rPr>
          <w:i/>
          <w:iCs/>
          <w:noProof/>
          <w:szCs w:val="28"/>
          <w:lang w:eastAsia="en-US"/>
        </w:rPr>
        <w:t>euro</w:t>
      </w:r>
      <w:r w:rsidRPr="00E67A69">
        <w:rPr>
          <w:noProof/>
          <w:szCs w:val="28"/>
          <w:lang w:eastAsia="en-US"/>
        </w:rPr>
        <w:t xml:space="preserve"> un 2028. gadā 81,6 milj. </w:t>
      </w:r>
      <w:r w:rsidRPr="00E67A69">
        <w:rPr>
          <w:i/>
          <w:iCs/>
          <w:noProof/>
          <w:szCs w:val="28"/>
          <w:lang w:eastAsia="en-US"/>
        </w:rPr>
        <w:t>euro</w:t>
      </w:r>
      <w:r w:rsidRPr="00E67A69">
        <w:rPr>
          <w:noProof/>
          <w:szCs w:val="28"/>
          <w:lang w:eastAsia="en-US"/>
        </w:rPr>
        <w:t>;</w:t>
      </w:r>
    </w:p>
    <w:p w14:paraId="44808862" w14:textId="77777777" w:rsidR="00E67A69" w:rsidRPr="00E67A69" w:rsidRDefault="00E67A69" w:rsidP="00812C49">
      <w:pPr>
        <w:numPr>
          <w:ilvl w:val="0"/>
          <w:numId w:val="8"/>
        </w:numPr>
        <w:ind w:left="0" w:firstLine="709"/>
        <w:rPr>
          <w:szCs w:val="28"/>
          <w:lang w:eastAsia="en-US"/>
        </w:rPr>
      </w:pPr>
      <w:r w:rsidRPr="00E67A69">
        <w:rPr>
          <w:szCs w:val="28"/>
          <w:lang w:eastAsia="en-US"/>
        </w:rPr>
        <w:t xml:space="preserve">Sociāla rakstura maksājumi 2026. gadā un vidējā termiņā tiek prognozēti ar pieaugumu, ņemot vērā pieaugošu samaksu par pašvaldību sociālās aprūpes pakalpojumiem, tostarp par sociālo aprūpi institūcijās un aprūpi mājās. Šo izdevumu prognozēs vidējam termiņam ir ņemts vērā papildus valsts budžeta </w:t>
      </w:r>
      <w:r w:rsidRPr="00E67A69">
        <w:rPr>
          <w:noProof/>
          <w:szCs w:val="28"/>
          <w:lang w:eastAsia="en-US"/>
        </w:rPr>
        <w:t>finansējums atbalstam ārpusģimenes</w:t>
      </w:r>
      <w:r w:rsidRPr="00E67A69">
        <w:rPr>
          <w:szCs w:val="28"/>
          <w:lang w:eastAsia="en-US"/>
        </w:rPr>
        <w:t xml:space="preserve"> aprūpei;</w:t>
      </w:r>
    </w:p>
    <w:p w14:paraId="11FCEE12" w14:textId="77777777" w:rsidR="00E67A69" w:rsidRDefault="00E67A69" w:rsidP="00812C49">
      <w:pPr>
        <w:numPr>
          <w:ilvl w:val="0"/>
          <w:numId w:val="8"/>
        </w:numPr>
        <w:spacing w:after="240"/>
        <w:ind w:left="0" w:firstLine="709"/>
        <w:rPr>
          <w:szCs w:val="28"/>
          <w:lang w:eastAsia="en-US"/>
        </w:rPr>
      </w:pPr>
      <w:r w:rsidRPr="00E67A69">
        <w:rPr>
          <w:szCs w:val="28"/>
          <w:lang w:eastAsia="en-US"/>
        </w:rPr>
        <w:t xml:space="preserve">Tiek prognozēts, ka kapitālie izdevumi 2026. gadā un vidējā termiņā samazināsies, ņemot vērā, ka līdz 2026. gada augustam jānoslēdzas Atveseļošanas fonda projektu īstenošanai. Savukārt, 2028. gadā sagaidāms kapitālo izdevumu pieaugums, palielinoties izdevumiem pamatfunkcijās. Jāatzīmē, ka piecām pierobežas pašvaldībām 2026. gadā paredzēta papildu valsts budžeta dotācija 3 milj. </w:t>
      </w:r>
      <w:r w:rsidRPr="00E67A69">
        <w:rPr>
          <w:i/>
          <w:iCs/>
          <w:szCs w:val="28"/>
          <w:lang w:eastAsia="en-US"/>
        </w:rPr>
        <w:t>euro</w:t>
      </w:r>
      <w:r w:rsidRPr="00E67A69">
        <w:rPr>
          <w:szCs w:val="28"/>
          <w:lang w:eastAsia="en-US"/>
        </w:rPr>
        <w:t xml:space="preserve"> apmērā ES ārējās robežas drošības stiprināšanai.</w:t>
      </w:r>
    </w:p>
    <w:p w14:paraId="5C97E59F" w14:textId="77777777" w:rsidR="00812C49" w:rsidRPr="00E67A69" w:rsidRDefault="00812C49" w:rsidP="00812C49">
      <w:pPr>
        <w:spacing w:after="240"/>
        <w:ind w:left="709" w:firstLine="0"/>
        <w:rPr>
          <w:szCs w:val="28"/>
          <w:lang w:eastAsia="en-US"/>
        </w:rPr>
      </w:pPr>
    </w:p>
    <w:bookmarkEnd w:id="60"/>
    <w:p w14:paraId="2F45F38B" w14:textId="1BAAAC91" w:rsidR="00E67A69" w:rsidRPr="00E67A69" w:rsidRDefault="00E67A69" w:rsidP="00E67A69">
      <w:pPr>
        <w:ind w:firstLine="0"/>
        <w:jc w:val="right"/>
        <w:rPr>
          <w:rFonts w:eastAsia="Times New Roman" w:cs="Times New Roman"/>
          <w:b/>
          <w:i/>
          <w:szCs w:val="24"/>
          <w:lang w:eastAsia="en-US"/>
        </w:rPr>
      </w:pPr>
      <w:r w:rsidRPr="00E67A69">
        <w:rPr>
          <w:rFonts w:eastAsia="Times New Roman" w:cs="Times New Roman"/>
          <w:b/>
          <w:i/>
          <w:szCs w:val="24"/>
          <w:lang w:eastAsia="en-US"/>
        </w:rPr>
        <w:lastRenderedPageBreak/>
        <w:t>2.2</w:t>
      </w:r>
      <w:r w:rsidR="00AB3311" w:rsidRPr="00AB3311">
        <w:rPr>
          <w:rFonts w:eastAsia="Times New Roman" w:cs="Times New Roman"/>
          <w:b/>
          <w:i/>
          <w:szCs w:val="24"/>
          <w:lang w:eastAsia="en-US"/>
        </w:rPr>
        <w:t>0</w:t>
      </w:r>
      <w:r w:rsidRPr="00E67A69">
        <w:rPr>
          <w:rFonts w:eastAsia="Times New Roman" w:cs="Times New Roman"/>
          <w:b/>
          <w:i/>
          <w:szCs w:val="24"/>
          <w:lang w:eastAsia="en-US"/>
        </w:rPr>
        <w:t xml:space="preserve">. tabula. Pašvaldību konsolidētā budžeta bilance 2024.-2028. gadā, milj. </w:t>
      </w:r>
      <w:r w:rsidRPr="00E67A69">
        <w:rPr>
          <w:rFonts w:eastAsia="Times New Roman" w:cs="Times New Roman"/>
          <w:b/>
          <w:i/>
          <w:noProof/>
          <w:szCs w:val="24"/>
          <w:lang w:eastAsia="en-US"/>
        </w:rPr>
        <w:t>euro</w:t>
      </w:r>
    </w:p>
    <w:tbl>
      <w:tblPr>
        <w:tblW w:w="8947" w:type="dxa"/>
        <w:jc w:val="center"/>
        <w:tblLayout w:type="fixed"/>
        <w:tblLook w:val="04A0" w:firstRow="1" w:lastRow="0" w:firstColumn="1" w:lastColumn="0" w:noHBand="0" w:noVBand="1"/>
      </w:tblPr>
      <w:tblGrid>
        <w:gridCol w:w="2141"/>
        <w:gridCol w:w="851"/>
        <w:gridCol w:w="850"/>
        <w:gridCol w:w="851"/>
        <w:gridCol w:w="850"/>
        <w:gridCol w:w="851"/>
        <w:gridCol w:w="851"/>
        <w:gridCol w:w="850"/>
        <w:gridCol w:w="852"/>
      </w:tblGrid>
      <w:tr w:rsidR="00E67A69" w:rsidRPr="00E67A69" w14:paraId="5688292D" w14:textId="77777777" w:rsidTr="00C217B4">
        <w:trPr>
          <w:trHeight w:val="113"/>
          <w:tblHeader/>
          <w:jc w:val="center"/>
        </w:trPr>
        <w:tc>
          <w:tcPr>
            <w:tcW w:w="2141" w:type="dxa"/>
            <w:vMerge w:val="restart"/>
            <w:tcBorders>
              <w:top w:val="single" w:sz="4" w:space="0" w:color="auto"/>
              <w:left w:val="single" w:sz="4" w:space="0" w:color="auto"/>
              <w:right w:val="single" w:sz="4" w:space="0" w:color="auto"/>
            </w:tcBorders>
            <w:shd w:val="clear" w:color="auto" w:fill="C6D9F1"/>
            <w:noWrap/>
            <w:vAlign w:val="bottom"/>
            <w:hideMark/>
          </w:tcPr>
          <w:p w14:paraId="299CEE85" w14:textId="77777777" w:rsidR="00E67A69" w:rsidRPr="00E67A69" w:rsidRDefault="00E67A69" w:rsidP="00E67A69">
            <w:pPr>
              <w:spacing w:after="0"/>
              <w:ind w:firstLine="0"/>
              <w:jc w:val="left"/>
              <w:rPr>
                <w:rFonts w:eastAsia="Times New Roman" w:cs="Times New Roman"/>
                <w:color w:val="000000"/>
                <w:sz w:val="18"/>
                <w:szCs w:val="18"/>
              </w:rPr>
            </w:pPr>
            <w:r w:rsidRPr="00E67A69">
              <w:rPr>
                <w:rFonts w:eastAsia="Times New Roman" w:cs="Times New Roman"/>
                <w:color w:val="000000"/>
                <w:sz w:val="18"/>
                <w:szCs w:val="18"/>
              </w:rPr>
              <w:t> </w:t>
            </w:r>
          </w:p>
          <w:p w14:paraId="047721B0" w14:textId="77777777" w:rsidR="00E67A69" w:rsidRPr="00E67A69" w:rsidRDefault="00E67A69" w:rsidP="00E67A69">
            <w:pPr>
              <w:spacing w:after="0"/>
              <w:jc w:val="left"/>
              <w:rPr>
                <w:rFonts w:eastAsia="Times New Roman" w:cs="Times New Roman"/>
                <w:color w:val="000000"/>
                <w:sz w:val="18"/>
                <w:szCs w:val="18"/>
              </w:rPr>
            </w:pPr>
            <w:r w:rsidRPr="00E67A69">
              <w:rPr>
                <w:rFonts w:eastAsia="Times New Roman" w:cs="Times New Roman"/>
                <w:b/>
                <w:bCs/>
                <w:color w:val="000000"/>
                <w:sz w:val="18"/>
                <w:szCs w:val="18"/>
              </w:rPr>
              <w:t> </w:t>
            </w:r>
          </w:p>
        </w:tc>
        <w:tc>
          <w:tcPr>
            <w:tcW w:w="851" w:type="dxa"/>
            <w:tcBorders>
              <w:top w:val="single" w:sz="4" w:space="0" w:color="auto"/>
              <w:left w:val="nil"/>
              <w:bottom w:val="single" w:sz="4" w:space="0" w:color="auto"/>
              <w:right w:val="single" w:sz="4" w:space="0" w:color="auto"/>
            </w:tcBorders>
            <w:shd w:val="clear" w:color="auto" w:fill="C6D9F1"/>
            <w:noWrap/>
            <w:vAlign w:val="center"/>
            <w:hideMark/>
          </w:tcPr>
          <w:p w14:paraId="69540758"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color w:val="000000"/>
                <w:sz w:val="18"/>
                <w:szCs w:val="18"/>
              </w:rPr>
              <w:t>2024</w:t>
            </w:r>
          </w:p>
        </w:tc>
        <w:tc>
          <w:tcPr>
            <w:tcW w:w="850" w:type="dxa"/>
            <w:tcBorders>
              <w:top w:val="single" w:sz="4" w:space="0" w:color="auto"/>
              <w:left w:val="nil"/>
              <w:bottom w:val="single" w:sz="4" w:space="0" w:color="auto"/>
              <w:right w:val="single" w:sz="4" w:space="0" w:color="auto"/>
            </w:tcBorders>
            <w:shd w:val="clear" w:color="auto" w:fill="C6D9F1"/>
            <w:noWrap/>
            <w:vAlign w:val="center"/>
            <w:hideMark/>
          </w:tcPr>
          <w:p w14:paraId="57AAB3D4"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color w:val="000000"/>
                <w:sz w:val="18"/>
                <w:szCs w:val="18"/>
              </w:rPr>
              <w:t>2025</w:t>
            </w:r>
          </w:p>
        </w:tc>
        <w:tc>
          <w:tcPr>
            <w:tcW w:w="851" w:type="dxa"/>
            <w:tcBorders>
              <w:top w:val="single" w:sz="4" w:space="0" w:color="auto"/>
              <w:left w:val="nil"/>
              <w:bottom w:val="single" w:sz="4" w:space="0" w:color="auto"/>
              <w:right w:val="single" w:sz="4" w:space="0" w:color="auto"/>
            </w:tcBorders>
            <w:shd w:val="clear" w:color="auto" w:fill="C6D9F1"/>
            <w:noWrap/>
            <w:vAlign w:val="center"/>
            <w:hideMark/>
          </w:tcPr>
          <w:p w14:paraId="4AC1A554"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color w:val="000000"/>
                <w:sz w:val="18"/>
                <w:szCs w:val="18"/>
              </w:rPr>
              <w:t>2026</w:t>
            </w:r>
          </w:p>
        </w:tc>
        <w:tc>
          <w:tcPr>
            <w:tcW w:w="850" w:type="dxa"/>
            <w:tcBorders>
              <w:top w:val="single" w:sz="4" w:space="0" w:color="auto"/>
              <w:left w:val="nil"/>
              <w:bottom w:val="single" w:sz="4" w:space="0" w:color="auto"/>
              <w:right w:val="single" w:sz="4" w:space="0" w:color="auto"/>
            </w:tcBorders>
            <w:shd w:val="clear" w:color="auto" w:fill="C6D9F1"/>
            <w:noWrap/>
            <w:vAlign w:val="center"/>
            <w:hideMark/>
          </w:tcPr>
          <w:p w14:paraId="01F07524"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color w:val="000000"/>
                <w:sz w:val="18"/>
                <w:szCs w:val="18"/>
              </w:rPr>
              <w:t>2027</w:t>
            </w:r>
          </w:p>
        </w:tc>
        <w:tc>
          <w:tcPr>
            <w:tcW w:w="851" w:type="dxa"/>
            <w:tcBorders>
              <w:top w:val="single" w:sz="4" w:space="0" w:color="auto"/>
              <w:left w:val="nil"/>
              <w:bottom w:val="single" w:sz="4" w:space="0" w:color="auto"/>
              <w:right w:val="single" w:sz="4" w:space="0" w:color="auto"/>
            </w:tcBorders>
            <w:shd w:val="clear" w:color="auto" w:fill="C6D9F1"/>
          </w:tcPr>
          <w:p w14:paraId="00CA8F98" w14:textId="77777777" w:rsidR="00E67A69" w:rsidRPr="00E67A69" w:rsidRDefault="00E67A69" w:rsidP="00E67A69">
            <w:pPr>
              <w:spacing w:after="0"/>
              <w:ind w:firstLine="0"/>
              <w:jc w:val="center"/>
              <w:rPr>
                <w:rFonts w:eastAsia="Times New Roman" w:cs="Times New Roman"/>
                <w:b/>
                <w:bCs/>
                <w:color w:val="000000"/>
                <w:sz w:val="18"/>
                <w:szCs w:val="18"/>
              </w:rPr>
            </w:pPr>
            <w:r w:rsidRPr="00E67A69">
              <w:rPr>
                <w:rFonts w:eastAsia="Times New Roman" w:cs="Times New Roman"/>
                <w:b/>
                <w:bCs/>
                <w:color w:val="000000"/>
                <w:sz w:val="18"/>
                <w:szCs w:val="18"/>
              </w:rPr>
              <w:t>2028</w:t>
            </w:r>
          </w:p>
        </w:tc>
        <w:tc>
          <w:tcPr>
            <w:tcW w:w="851" w:type="dxa"/>
            <w:tcBorders>
              <w:top w:val="single" w:sz="4" w:space="0" w:color="auto"/>
              <w:left w:val="nil"/>
              <w:bottom w:val="single" w:sz="4" w:space="0" w:color="auto"/>
              <w:right w:val="single" w:sz="4" w:space="0" w:color="auto"/>
            </w:tcBorders>
            <w:shd w:val="clear" w:color="auto" w:fill="C6D9F1"/>
            <w:vAlign w:val="center"/>
          </w:tcPr>
          <w:p w14:paraId="75F35F75" w14:textId="77777777" w:rsidR="00E67A69" w:rsidRPr="00E67A69" w:rsidRDefault="00E67A69" w:rsidP="00E67A69">
            <w:pPr>
              <w:spacing w:after="0"/>
              <w:ind w:firstLine="0"/>
              <w:jc w:val="center"/>
              <w:rPr>
                <w:rFonts w:eastAsia="Times New Roman" w:cs="Times New Roman"/>
                <w:b/>
                <w:bCs/>
                <w:color w:val="000000"/>
                <w:sz w:val="18"/>
                <w:szCs w:val="18"/>
              </w:rPr>
            </w:pPr>
            <w:r w:rsidRPr="00E67A69">
              <w:rPr>
                <w:rFonts w:eastAsia="Times New Roman" w:cs="Times New Roman"/>
                <w:b/>
                <w:bCs/>
                <w:color w:val="000000"/>
                <w:sz w:val="18"/>
                <w:szCs w:val="18"/>
              </w:rPr>
              <w:t>2026</w:t>
            </w:r>
          </w:p>
        </w:tc>
        <w:tc>
          <w:tcPr>
            <w:tcW w:w="850" w:type="dxa"/>
            <w:tcBorders>
              <w:top w:val="single" w:sz="4" w:space="0" w:color="auto"/>
              <w:left w:val="single" w:sz="4" w:space="0" w:color="auto"/>
              <w:bottom w:val="single" w:sz="4" w:space="0" w:color="auto"/>
              <w:right w:val="single" w:sz="4" w:space="0" w:color="auto"/>
            </w:tcBorders>
            <w:shd w:val="clear" w:color="auto" w:fill="C6D9F1"/>
          </w:tcPr>
          <w:p w14:paraId="14A206E8" w14:textId="77777777" w:rsidR="00E67A69" w:rsidRPr="00E67A69" w:rsidRDefault="00E67A69" w:rsidP="00E67A69">
            <w:pPr>
              <w:spacing w:after="0"/>
              <w:ind w:firstLine="0"/>
              <w:jc w:val="center"/>
              <w:rPr>
                <w:rFonts w:eastAsia="Times New Roman" w:cs="Times New Roman"/>
                <w:b/>
                <w:bCs/>
                <w:color w:val="000000"/>
                <w:sz w:val="18"/>
                <w:szCs w:val="18"/>
              </w:rPr>
            </w:pPr>
            <w:r w:rsidRPr="00E67A69">
              <w:rPr>
                <w:rFonts w:eastAsia="Times New Roman" w:cs="Times New Roman"/>
                <w:b/>
                <w:bCs/>
                <w:color w:val="000000"/>
                <w:sz w:val="18"/>
                <w:szCs w:val="18"/>
              </w:rPr>
              <w:t>2027</w:t>
            </w:r>
          </w:p>
        </w:tc>
        <w:tc>
          <w:tcPr>
            <w:tcW w:w="852" w:type="dxa"/>
            <w:tcBorders>
              <w:top w:val="single" w:sz="4" w:space="0" w:color="auto"/>
              <w:left w:val="single" w:sz="4" w:space="0" w:color="auto"/>
              <w:bottom w:val="single" w:sz="4" w:space="0" w:color="auto"/>
              <w:right w:val="single" w:sz="4" w:space="0" w:color="auto"/>
            </w:tcBorders>
            <w:shd w:val="clear" w:color="auto" w:fill="C6D9F1"/>
            <w:noWrap/>
            <w:vAlign w:val="center"/>
            <w:hideMark/>
          </w:tcPr>
          <w:p w14:paraId="26EFBF3C" w14:textId="77777777" w:rsidR="00E67A69" w:rsidRPr="00E67A69" w:rsidRDefault="00E67A69" w:rsidP="00E67A69">
            <w:pPr>
              <w:spacing w:after="0"/>
              <w:ind w:firstLine="0"/>
              <w:jc w:val="center"/>
              <w:rPr>
                <w:rFonts w:eastAsia="Times New Roman" w:cs="Times New Roman"/>
                <w:b/>
                <w:bCs/>
                <w:sz w:val="18"/>
                <w:szCs w:val="18"/>
              </w:rPr>
            </w:pPr>
            <w:r w:rsidRPr="00E67A69">
              <w:rPr>
                <w:rFonts w:eastAsia="Times New Roman" w:cs="Times New Roman"/>
                <w:b/>
                <w:bCs/>
                <w:color w:val="000000"/>
                <w:sz w:val="18"/>
                <w:szCs w:val="18"/>
              </w:rPr>
              <w:t>2028</w:t>
            </w:r>
          </w:p>
        </w:tc>
      </w:tr>
      <w:tr w:rsidR="00E67A69" w:rsidRPr="00E67A69" w14:paraId="23970DFE" w14:textId="77777777" w:rsidTr="00C217B4">
        <w:trPr>
          <w:trHeight w:val="423"/>
          <w:tblHeader/>
          <w:jc w:val="center"/>
        </w:trPr>
        <w:tc>
          <w:tcPr>
            <w:tcW w:w="2141" w:type="dxa"/>
            <w:vMerge/>
            <w:tcBorders>
              <w:left w:val="single" w:sz="4" w:space="0" w:color="auto"/>
              <w:bottom w:val="single" w:sz="4" w:space="0" w:color="auto"/>
              <w:right w:val="single" w:sz="4" w:space="0" w:color="auto"/>
            </w:tcBorders>
            <w:shd w:val="clear" w:color="auto" w:fill="C6D9F1"/>
            <w:noWrap/>
            <w:vAlign w:val="bottom"/>
            <w:hideMark/>
          </w:tcPr>
          <w:p w14:paraId="40A08F05" w14:textId="77777777" w:rsidR="00E67A69" w:rsidRPr="00E67A69" w:rsidRDefault="00E67A69" w:rsidP="00E67A69">
            <w:pPr>
              <w:spacing w:after="0"/>
              <w:ind w:firstLine="0"/>
              <w:jc w:val="left"/>
              <w:rPr>
                <w:rFonts w:eastAsia="Times New Roman" w:cs="Times New Roman"/>
                <w:b/>
                <w:bCs/>
                <w:color w:val="000000"/>
                <w:sz w:val="18"/>
                <w:szCs w:val="18"/>
              </w:rPr>
            </w:pPr>
          </w:p>
        </w:tc>
        <w:tc>
          <w:tcPr>
            <w:tcW w:w="851" w:type="dxa"/>
            <w:tcBorders>
              <w:top w:val="single" w:sz="4" w:space="0" w:color="auto"/>
              <w:left w:val="nil"/>
              <w:bottom w:val="single" w:sz="4" w:space="0" w:color="auto"/>
              <w:right w:val="single" w:sz="4" w:space="0" w:color="auto"/>
            </w:tcBorders>
            <w:shd w:val="clear" w:color="auto" w:fill="C6D9F1"/>
            <w:noWrap/>
            <w:vAlign w:val="center"/>
            <w:hideMark/>
          </w:tcPr>
          <w:p w14:paraId="6A9B8D54" w14:textId="77777777" w:rsidR="00E67A69" w:rsidRPr="00E67A69" w:rsidRDefault="00E67A69" w:rsidP="00E67A69">
            <w:pPr>
              <w:spacing w:after="0"/>
              <w:ind w:firstLine="0"/>
              <w:jc w:val="center"/>
              <w:rPr>
                <w:rFonts w:eastAsia="Times New Roman" w:cs="Times New Roman"/>
                <w:b/>
                <w:sz w:val="18"/>
                <w:szCs w:val="18"/>
              </w:rPr>
            </w:pPr>
            <w:r w:rsidRPr="00E67A69">
              <w:rPr>
                <w:rFonts w:eastAsia="Times New Roman" w:cs="Times New Roman"/>
                <w:b/>
                <w:color w:val="000000"/>
                <w:sz w:val="18"/>
                <w:szCs w:val="18"/>
              </w:rPr>
              <w:t>Fakts</w:t>
            </w:r>
          </w:p>
        </w:tc>
        <w:tc>
          <w:tcPr>
            <w:tcW w:w="850" w:type="dxa"/>
            <w:tcBorders>
              <w:top w:val="single" w:sz="4" w:space="0" w:color="auto"/>
              <w:left w:val="nil"/>
              <w:bottom w:val="single" w:sz="4" w:space="0" w:color="auto"/>
              <w:right w:val="single" w:sz="4" w:space="0" w:color="auto"/>
            </w:tcBorders>
            <w:shd w:val="clear" w:color="auto" w:fill="C6D9F1"/>
            <w:vAlign w:val="center"/>
          </w:tcPr>
          <w:p w14:paraId="6C89B989" w14:textId="77777777" w:rsidR="00E67A69" w:rsidRPr="00E67A69" w:rsidRDefault="00E67A69" w:rsidP="00E67A69">
            <w:pPr>
              <w:spacing w:after="0"/>
              <w:ind w:firstLine="0"/>
              <w:jc w:val="center"/>
              <w:rPr>
                <w:rFonts w:eastAsia="Times New Roman" w:cs="Times New Roman"/>
                <w:b/>
                <w:sz w:val="18"/>
                <w:szCs w:val="18"/>
              </w:rPr>
            </w:pPr>
            <w:r w:rsidRPr="00E67A69">
              <w:rPr>
                <w:rFonts w:eastAsia="Times New Roman" w:cs="Times New Roman"/>
                <w:b/>
                <w:color w:val="000000"/>
                <w:sz w:val="18"/>
                <w:szCs w:val="18"/>
              </w:rPr>
              <w:t>Novērt.</w:t>
            </w:r>
          </w:p>
        </w:tc>
        <w:tc>
          <w:tcPr>
            <w:tcW w:w="2552" w:type="dxa"/>
            <w:gridSpan w:val="3"/>
            <w:tcBorders>
              <w:top w:val="single" w:sz="4" w:space="0" w:color="auto"/>
              <w:left w:val="nil"/>
              <w:bottom w:val="single" w:sz="4" w:space="0" w:color="auto"/>
              <w:right w:val="single" w:sz="4" w:space="0" w:color="auto"/>
            </w:tcBorders>
            <w:shd w:val="clear" w:color="auto" w:fill="C6D9F1"/>
          </w:tcPr>
          <w:p w14:paraId="7A9FBDCB" w14:textId="77777777" w:rsidR="00E67A69" w:rsidRPr="00E67A69" w:rsidRDefault="00E67A69" w:rsidP="00E67A69">
            <w:pPr>
              <w:spacing w:after="0"/>
              <w:ind w:firstLine="0"/>
              <w:jc w:val="center"/>
              <w:rPr>
                <w:rFonts w:eastAsia="Times New Roman" w:cs="Times New Roman"/>
                <w:b/>
                <w:sz w:val="18"/>
                <w:szCs w:val="18"/>
              </w:rPr>
            </w:pPr>
            <w:r w:rsidRPr="00E67A69">
              <w:rPr>
                <w:rFonts w:eastAsia="Times New Roman" w:cs="Times New Roman"/>
                <w:b/>
                <w:color w:val="000000"/>
                <w:sz w:val="18"/>
                <w:szCs w:val="18"/>
              </w:rPr>
              <w:t>Prognoze</w:t>
            </w:r>
            <w:r w:rsidRPr="00E67A69">
              <w:rPr>
                <w:rFonts w:eastAsia="Times New Roman" w:cs="Times New Roman"/>
                <w:b/>
                <w:color w:val="000000"/>
                <w:sz w:val="18"/>
                <w:szCs w:val="18"/>
              </w:rPr>
              <w:br/>
              <w:t>(pie nemainīgas politikas)</w:t>
            </w:r>
          </w:p>
        </w:tc>
        <w:tc>
          <w:tcPr>
            <w:tcW w:w="2553" w:type="dxa"/>
            <w:gridSpan w:val="3"/>
            <w:tcBorders>
              <w:top w:val="single" w:sz="4" w:space="0" w:color="auto"/>
              <w:left w:val="single" w:sz="4" w:space="0" w:color="auto"/>
              <w:bottom w:val="single" w:sz="4" w:space="0" w:color="auto"/>
              <w:right w:val="single" w:sz="4" w:space="0" w:color="auto"/>
            </w:tcBorders>
            <w:shd w:val="clear" w:color="auto" w:fill="C6D9F1"/>
            <w:vAlign w:val="center"/>
          </w:tcPr>
          <w:p w14:paraId="5D410CDB" w14:textId="77777777" w:rsidR="00E67A69" w:rsidRPr="00E67A69" w:rsidRDefault="00E67A69" w:rsidP="00E67A69">
            <w:pPr>
              <w:spacing w:after="0"/>
              <w:ind w:firstLine="0"/>
              <w:jc w:val="center"/>
              <w:rPr>
                <w:rFonts w:eastAsia="Times New Roman" w:cs="Times New Roman"/>
                <w:b/>
                <w:sz w:val="18"/>
                <w:szCs w:val="18"/>
              </w:rPr>
            </w:pPr>
            <w:r w:rsidRPr="00E67A69">
              <w:rPr>
                <w:rFonts w:eastAsia="Times New Roman" w:cs="Times New Roman"/>
                <w:b/>
                <w:sz w:val="18"/>
                <w:szCs w:val="18"/>
              </w:rPr>
              <w:t>Prognoze</w:t>
            </w:r>
          </w:p>
        </w:tc>
      </w:tr>
      <w:tr w:rsidR="00E67A69" w:rsidRPr="00E67A69" w14:paraId="6B7A0B8A" w14:textId="77777777" w:rsidTr="00C217B4">
        <w:trPr>
          <w:trHeight w:val="207"/>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009A58" w14:textId="77777777" w:rsidR="00E67A69" w:rsidRPr="00E67A69" w:rsidRDefault="00E67A69" w:rsidP="00E67A69">
            <w:pPr>
              <w:spacing w:after="0"/>
              <w:ind w:firstLine="0"/>
              <w:jc w:val="left"/>
              <w:rPr>
                <w:rFonts w:eastAsia="Times New Roman" w:cs="Times New Roman"/>
                <w:b/>
                <w:bCs/>
                <w:sz w:val="16"/>
                <w:szCs w:val="16"/>
              </w:rPr>
            </w:pPr>
            <w:r w:rsidRPr="00E67A69">
              <w:rPr>
                <w:rFonts w:eastAsia="Times New Roman" w:cs="Times New Roman"/>
                <w:b/>
                <w:bCs/>
                <w:sz w:val="16"/>
                <w:szCs w:val="16"/>
              </w:rPr>
              <w:t>BILANCE</w:t>
            </w:r>
          </w:p>
        </w:tc>
        <w:tc>
          <w:tcPr>
            <w:tcW w:w="851" w:type="dxa"/>
            <w:tcBorders>
              <w:top w:val="single" w:sz="4" w:space="0" w:color="auto"/>
              <w:left w:val="nil"/>
              <w:bottom w:val="single" w:sz="4" w:space="0" w:color="auto"/>
              <w:right w:val="single" w:sz="4" w:space="0" w:color="auto"/>
            </w:tcBorders>
            <w:noWrap/>
            <w:vAlign w:val="bottom"/>
            <w:hideMark/>
          </w:tcPr>
          <w:p w14:paraId="332E1057" w14:textId="77777777" w:rsidR="00E67A69" w:rsidRPr="00E67A69" w:rsidRDefault="00E67A69" w:rsidP="00E67A69">
            <w:pPr>
              <w:spacing w:after="0"/>
              <w:ind w:firstLine="0"/>
              <w:jc w:val="right"/>
              <w:rPr>
                <w:rFonts w:eastAsia="Times New Roman" w:cs="Times New Roman"/>
                <w:b/>
                <w:bCs/>
                <w:sz w:val="18"/>
                <w:szCs w:val="18"/>
              </w:rPr>
            </w:pPr>
            <w:r w:rsidRPr="00E67A69">
              <w:rPr>
                <w:rFonts w:cs="Times New Roman"/>
                <w:b/>
                <w:bCs/>
                <w:color w:val="000000"/>
                <w:sz w:val="18"/>
                <w:szCs w:val="18"/>
              </w:rPr>
              <w:t>-48,3</w:t>
            </w:r>
          </w:p>
        </w:tc>
        <w:tc>
          <w:tcPr>
            <w:tcW w:w="850" w:type="dxa"/>
            <w:tcBorders>
              <w:top w:val="single" w:sz="4" w:space="0" w:color="auto"/>
              <w:left w:val="nil"/>
              <w:bottom w:val="single" w:sz="4" w:space="0" w:color="auto"/>
              <w:right w:val="single" w:sz="4" w:space="0" w:color="auto"/>
            </w:tcBorders>
            <w:noWrap/>
            <w:vAlign w:val="bottom"/>
            <w:hideMark/>
          </w:tcPr>
          <w:p w14:paraId="0935A284" w14:textId="77777777" w:rsidR="00E67A69" w:rsidRPr="00E67A69" w:rsidRDefault="00E67A69" w:rsidP="00E67A69">
            <w:pPr>
              <w:spacing w:after="0"/>
              <w:ind w:firstLine="0"/>
              <w:jc w:val="right"/>
              <w:rPr>
                <w:rFonts w:eastAsia="Times New Roman" w:cs="Times New Roman"/>
                <w:b/>
                <w:bCs/>
                <w:sz w:val="18"/>
                <w:szCs w:val="18"/>
              </w:rPr>
            </w:pPr>
            <w:r w:rsidRPr="00E67A69">
              <w:rPr>
                <w:rFonts w:cs="Times New Roman"/>
                <w:b/>
                <w:bCs/>
                <w:color w:val="000000"/>
                <w:sz w:val="18"/>
                <w:szCs w:val="18"/>
              </w:rPr>
              <w:t>28,7</w:t>
            </w:r>
          </w:p>
        </w:tc>
        <w:tc>
          <w:tcPr>
            <w:tcW w:w="851" w:type="dxa"/>
            <w:tcBorders>
              <w:top w:val="single" w:sz="4" w:space="0" w:color="auto"/>
              <w:left w:val="nil"/>
              <w:bottom w:val="single" w:sz="4" w:space="0" w:color="auto"/>
              <w:right w:val="single" w:sz="4" w:space="0" w:color="auto"/>
            </w:tcBorders>
            <w:noWrap/>
            <w:vAlign w:val="bottom"/>
            <w:hideMark/>
          </w:tcPr>
          <w:p w14:paraId="69A84B50" w14:textId="77777777" w:rsidR="00E67A69" w:rsidRPr="00E67A69" w:rsidRDefault="00E67A69" w:rsidP="00E67A69">
            <w:pPr>
              <w:spacing w:after="0"/>
              <w:ind w:firstLine="0"/>
              <w:jc w:val="right"/>
              <w:rPr>
                <w:rFonts w:eastAsia="Times New Roman" w:cs="Times New Roman"/>
                <w:b/>
                <w:bCs/>
                <w:sz w:val="18"/>
                <w:szCs w:val="18"/>
              </w:rPr>
            </w:pPr>
            <w:r w:rsidRPr="00E67A69">
              <w:rPr>
                <w:rFonts w:cs="Times New Roman"/>
                <w:b/>
                <w:bCs/>
                <w:color w:val="000000"/>
                <w:sz w:val="18"/>
                <w:szCs w:val="18"/>
              </w:rPr>
              <w:t>65,7</w:t>
            </w:r>
          </w:p>
        </w:tc>
        <w:tc>
          <w:tcPr>
            <w:tcW w:w="850" w:type="dxa"/>
            <w:tcBorders>
              <w:top w:val="single" w:sz="4" w:space="0" w:color="auto"/>
              <w:left w:val="nil"/>
              <w:bottom w:val="single" w:sz="4" w:space="0" w:color="auto"/>
              <w:right w:val="single" w:sz="4" w:space="0" w:color="auto"/>
            </w:tcBorders>
            <w:noWrap/>
            <w:vAlign w:val="bottom"/>
            <w:hideMark/>
          </w:tcPr>
          <w:p w14:paraId="785E2017" w14:textId="77777777" w:rsidR="00E67A69" w:rsidRPr="00E67A69" w:rsidRDefault="00E67A69" w:rsidP="00E67A69">
            <w:pPr>
              <w:spacing w:after="0"/>
              <w:ind w:firstLine="0"/>
              <w:jc w:val="right"/>
              <w:rPr>
                <w:rFonts w:eastAsia="Times New Roman" w:cs="Times New Roman"/>
                <w:b/>
                <w:bCs/>
                <w:sz w:val="18"/>
                <w:szCs w:val="18"/>
              </w:rPr>
            </w:pPr>
            <w:r w:rsidRPr="00E67A69">
              <w:rPr>
                <w:rFonts w:cs="Times New Roman"/>
                <w:b/>
                <w:bCs/>
                <w:color w:val="000000"/>
                <w:sz w:val="18"/>
                <w:szCs w:val="18"/>
              </w:rPr>
              <w:t>68,6</w:t>
            </w:r>
          </w:p>
        </w:tc>
        <w:tc>
          <w:tcPr>
            <w:tcW w:w="851" w:type="dxa"/>
            <w:tcBorders>
              <w:top w:val="single" w:sz="4" w:space="0" w:color="auto"/>
              <w:left w:val="nil"/>
              <w:bottom w:val="single" w:sz="4" w:space="0" w:color="auto"/>
              <w:right w:val="single" w:sz="4" w:space="0" w:color="auto"/>
            </w:tcBorders>
            <w:vAlign w:val="bottom"/>
          </w:tcPr>
          <w:p w14:paraId="4E01FF00" w14:textId="77777777" w:rsidR="00E67A69" w:rsidRPr="00E67A69" w:rsidRDefault="00E67A69" w:rsidP="00E67A69">
            <w:pPr>
              <w:spacing w:after="0"/>
              <w:ind w:firstLine="0"/>
              <w:jc w:val="right"/>
              <w:rPr>
                <w:rFonts w:cs="Times New Roman"/>
                <w:b/>
                <w:bCs/>
                <w:sz w:val="18"/>
                <w:szCs w:val="18"/>
              </w:rPr>
            </w:pPr>
            <w:r w:rsidRPr="00E67A69">
              <w:rPr>
                <w:rFonts w:cs="Times New Roman"/>
                <w:b/>
                <w:bCs/>
                <w:color w:val="000000"/>
                <w:sz w:val="18"/>
                <w:szCs w:val="18"/>
              </w:rPr>
              <w:t>74,8</w:t>
            </w:r>
          </w:p>
        </w:tc>
        <w:tc>
          <w:tcPr>
            <w:tcW w:w="851" w:type="dxa"/>
            <w:tcBorders>
              <w:top w:val="single" w:sz="4" w:space="0" w:color="auto"/>
              <w:left w:val="nil"/>
              <w:bottom w:val="single" w:sz="4" w:space="0" w:color="auto"/>
              <w:right w:val="single" w:sz="4" w:space="0" w:color="auto"/>
            </w:tcBorders>
            <w:vAlign w:val="bottom"/>
          </w:tcPr>
          <w:p w14:paraId="3DA08B87" w14:textId="77777777" w:rsidR="00E67A69" w:rsidRPr="00E67A69" w:rsidRDefault="00E67A69" w:rsidP="00E67A69">
            <w:pPr>
              <w:spacing w:after="0"/>
              <w:ind w:firstLine="0"/>
              <w:jc w:val="right"/>
              <w:rPr>
                <w:rFonts w:eastAsia="Times New Roman" w:cs="Times New Roman"/>
                <w:b/>
                <w:bCs/>
                <w:color w:val="EE0000"/>
                <w:sz w:val="18"/>
                <w:szCs w:val="18"/>
              </w:rPr>
            </w:pPr>
            <w:r w:rsidRPr="00E67A69">
              <w:rPr>
                <w:rFonts w:cs="Times New Roman"/>
                <w:b/>
                <w:bCs/>
                <w:color w:val="000000"/>
                <w:sz w:val="18"/>
                <w:szCs w:val="18"/>
              </w:rPr>
              <w:t>67,8</w:t>
            </w:r>
          </w:p>
        </w:tc>
        <w:tc>
          <w:tcPr>
            <w:tcW w:w="850" w:type="dxa"/>
            <w:tcBorders>
              <w:top w:val="single" w:sz="4" w:space="0" w:color="auto"/>
              <w:left w:val="nil"/>
              <w:bottom w:val="single" w:sz="4" w:space="0" w:color="auto"/>
              <w:right w:val="single" w:sz="4" w:space="0" w:color="auto"/>
            </w:tcBorders>
            <w:vAlign w:val="bottom"/>
          </w:tcPr>
          <w:p w14:paraId="53157C6E" w14:textId="77777777" w:rsidR="00E67A69" w:rsidRPr="00E67A69" w:rsidRDefault="00E67A69" w:rsidP="00E67A69">
            <w:pPr>
              <w:spacing w:after="0"/>
              <w:ind w:firstLine="0"/>
              <w:jc w:val="right"/>
              <w:rPr>
                <w:rFonts w:cs="Times New Roman"/>
                <w:b/>
                <w:bCs/>
                <w:color w:val="EE0000"/>
                <w:sz w:val="18"/>
                <w:szCs w:val="18"/>
              </w:rPr>
            </w:pPr>
            <w:r w:rsidRPr="00E67A69">
              <w:rPr>
                <w:rFonts w:cs="Times New Roman"/>
                <w:b/>
                <w:bCs/>
                <w:color w:val="000000"/>
                <w:sz w:val="18"/>
                <w:szCs w:val="18"/>
              </w:rPr>
              <w:t>61,9</w:t>
            </w:r>
          </w:p>
        </w:tc>
        <w:tc>
          <w:tcPr>
            <w:tcW w:w="852" w:type="dxa"/>
            <w:tcBorders>
              <w:top w:val="single" w:sz="4" w:space="0" w:color="auto"/>
              <w:left w:val="nil"/>
              <w:bottom w:val="single" w:sz="4" w:space="0" w:color="auto"/>
              <w:right w:val="single" w:sz="4" w:space="0" w:color="auto"/>
            </w:tcBorders>
            <w:noWrap/>
            <w:vAlign w:val="bottom"/>
            <w:hideMark/>
          </w:tcPr>
          <w:p w14:paraId="7A535F40" w14:textId="77777777" w:rsidR="00E67A69" w:rsidRPr="00E67A69" w:rsidRDefault="00E67A69" w:rsidP="00E67A69">
            <w:pPr>
              <w:spacing w:after="0"/>
              <w:ind w:firstLine="0"/>
              <w:jc w:val="right"/>
              <w:rPr>
                <w:rFonts w:eastAsia="Times New Roman" w:cs="Times New Roman"/>
                <w:b/>
                <w:bCs/>
                <w:color w:val="EE0000"/>
                <w:sz w:val="18"/>
                <w:szCs w:val="18"/>
              </w:rPr>
            </w:pPr>
            <w:r w:rsidRPr="00E67A69">
              <w:rPr>
                <w:rFonts w:cs="Times New Roman"/>
                <w:b/>
                <w:bCs/>
                <w:color w:val="000000"/>
                <w:sz w:val="18"/>
                <w:szCs w:val="18"/>
              </w:rPr>
              <w:t>60,3</w:t>
            </w:r>
          </w:p>
        </w:tc>
      </w:tr>
      <w:tr w:rsidR="00E67A69" w:rsidRPr="00E67A69" w14:paraId="5B74E442" w14:textId="77777777" w:rsidTr="00C217B4">
        <w:trPr>
          <w:trHeight w:val="80"/>
          <w:jc w:val="center"/>
        </w:trPr>
        <w:tc>
          <w:tcPr>
            <w:tcW w:w="2141" w:type="dxa"/>
            <w:tcBorders>
              <w:top w:val="single" w:sz="4" w:space="0" w:color="auto"/>
              <w:left w:val="single" w:sz="4" w:space="0" w:color="auto"/>
              <w:bottom w:val="single" w:sz="4" w:space="0" w:color="auto"/>
              <w:right w:val="single" w:sz="4" w:space="0" w:color="auto"/>
            </w:tcBorders>
            <w:noWrap/>
            <w:vAlign w:val="center"/>
            <w:hideMark/>
          </w:tcPr>
          <w:p w14:paraId="44199F8C" w14:textId="77777777" w:rsidR="00E67A69" w:rsidRPr="00E67A69" w:rsidRDefault="00E67A69" w:rsidP="00E67A69">
            <w:pPr>
              <w:spacing w:after="0"/>
              <w:ind w:left="-225" w:firstLineChars="100" w:firstLine="181"/>
              <w:rPr>
                <w:rFonts w:eastAsia="Times New Roman" w:cs="Times New Roman"/>
                <w:b/>
                <w:bCs/>
                <w:sz w:val="18"/>
                <w:szCs w:val="18"/>
              </w:rPr>
            </w:pPr>
            <w:r w:rsidRPr="00E67A69">
              <w:rPr>
                <w:rFonts w:eastAsia="Times New Roman" w:cs="Times New Roman"/>
                <w:b/>
                <w:bCs/>
                <w:sz w:val="18"/>
                <w:szCs w:val="18"/>
              </w:rPr>
              <w:t>Ieņēmumi</w:t>
            </w:r>
          </w:p>
        </w:tc>
        <w:tc>
          <w:tcPr>
            <w:tcW w:w="851" w:type="dxa"/>
            <w:tcBorders>
              <w:top w:val="single" w:sz="4" w:space="0" w:color="auto"/>
              <w:left w:val="nil"/>
              <w:bottom w:val="single" w:sz="4" w:space="0" w:color="auto"/>
              <w:right w:val="single" w:sz="4" w:space="0" w:color="auto"/>
            </w:tcBorders>
            <w:noWrap/>
            <w:vAlign w:val="bottom"/>
          </w:tcPr>
          <w:p w14:paraId="260AA5C9" w14:textId="77777777" w:rsidR="00E67A69" w:rsidRPr="00E67A69" w:rsidRDefault="00E67A69" w:rsidP="00E67A69">
            <w:pPr>
              <w:spacing w:after="0"/>
              <w:ind w:firstLine="0"/>
              <w:jc w:val="right"/>
              <w:rPr>
                <w:rFonts w:eastAsia="Times New Roman" w:cs="Times New Roman"/>
                <w:b/>
                <w:bCs/>
                <w:sz w:val="18"/>
                <w:szCs w:val="18"/>
              </w:rPr>
            </w:pPr>
            <w:r w:rsidRPr="00E67A69">
              <w:rPr>
                <w:rFonts w:cs="Times New Roman"/>
                <w:b/>
                <w:bCs/>
                <w:color w:val="000000"/>
                <w:sz w:val="18"/>
                <w:szCs w:val="18"/>
              </w:rPr>
              <w:t>3 750,9</w:t>
            </w:r>
          </w:p>
        </w:tc>
        <w:tc>
          <w:tcPr>
            <w:tcW w:w="850" w:type="dxa"/>
            <w:tcBorders>
              <w:top w:val="single" w:sz="4" w:space="0" w:color="auto"/>
              <w:left w:val="nil"/>
              <w:bottom w:val="single" w:sz="4" w:space="0" w:color="auto"/>
              <w:right w:val="single" w:sz="4" w:space="0" w:color="auto"/>
            </w:tcBorders>
            <w:noWrap/>
            <w:vAlign w:val="bottom"/>
            <w:hideMark/>
          </w:tcPr>
          <w:p w14:paraId="0186E764" w14:textId="77777777" w:rsidR="00E67A69" w:rsidRPr="00E67A69" w:rsidRDefault="00E67A69" w:rsidP="00E67A69">
            <w:pPr>
              <w:spacing w:after="0"/>
              <w:ind w:firstLine="0"/>
              <w:jc w:val="right"/>
              <w:rPr>
                <w:rFonts w:eastAsia="Times New Roman" w:cs="Times New Roman"/>
                <w:b/>
                <w:bCs/>
                <w:color w:val="FF0000"/>
                <w:sz w:val="18"/>
                <w:szCs w:val="18"/>
              </w:rPr>
            </w:pPr>
            <w:r w:rsidRPr="00E67A69">
              <w:rPr>
                <w:rFonts w:cs="Times New Roman"/>
                <w:b/>
                <w:bCs/>
                <w:color w:val="000000"/>
                <w:sz w:val="18"/>
                <w:szCs w:val="18"/>
              </w:rPr>
              <w:t>4 094,3</w:t>
            </w:r>
          </w:p>
        </w:tc>
        <w:tc>
          <w:tcPr>
            <w:tcW w:w="851" w:type="dxa"/>
            <w:tcBorders>
              <w:top w:val="single" w:sz="4" w:space="0" w:color="auto"/>
              <w:left w:val="nil"/>
              <w:bottom w:val="single" w:sz="4" w:space="0" w:color="auto"/>
              <w:right w:val="single" w:sz="4" w:space="0" w:color="auto"/>
            </w:tcBorders>
            <w:noWrap/>
            <w:vAlign w:val="bottom"/>
            <w:hideMark/>
          </w:tcPr>
          <w:p w14:paraId="2F6792DD" w14:textId="77777777" w:rsidR="00E67A69" w:rsidRPr="00E67A69" w:rsidRDefault="00E67A69" w:rsidP="00E67A69">
            <w:pPr>
              <w:spacing w:after="0"/>
              <w:ind w:firstLine="0"/>
              <w:jc w:val="right"/>
              <w:rPr>
                <w:rFonts w:eastAsia="Times New Roman" w:cs="Times New Roman"/>
                <w:b/>
                <w:bCs/>
                <w:color w:val="FF0000"/>
                <w:sz w:val="18"/>
                <w:szCs w:val="18"/>
              </w:rPr>
            </w:pPr>
            <w:r w:rsidRPr="00E67A69">
              <w:rPr>
                <w:rFonts w:cs="Times New Roman"/>
                <w:b/>
                <w:bCs/>
                <w:color w:val="000000"/>
                <w:sz w:val="18"/>
                <w:szCs w:val="18"/>
              </w:rPr>
              <w:t>4 206,0</w:t>
            </w:r>
          </w:p>
        </w:tc>
        <w:tc>
          <w:tcPr>
            <w:tcW w:w="850" w:type="dxa"/>
            <w:tcBorders>
              <w:top w:val="single" w:sz="4" w:space="0" w:color="auto"/>
              <w:left w:val="nil"/>
              <w:bottom w:val="single" w:sz="4" w:space="0" w:color="auto"/>
              <w:right w:val="single" w:sz="4" w:space="0" w:color="auto"/>
            </w:tcBorders>
            <w:noWrap/>
            <w:vAlign w:val="bottom"/>
            <w:hideMark/>
          </w:tcPr>
          <w:p w14:paraId="3379F038" w14:textId="77777777" w:rsidR="00E67A69" w:rsidRPr="00E67A69" w:rsidRDefault="00E67A69" w:rsidP="00E67A69">
            <w:pPr>
              <w:spacing w:after="0"/>
              <w:ind w:firstLine="0"/>
              <w:jc w:val="right"/>
              <w:rPr>
                <w:rFonts w:eastAsia="Times New Roman" w:cs="Times New Roman"/>
                <w:b/>
                <w:bCs/>
                <w:color w:val="FF0000"/>
                <w:sz w:val="18"/>
                <w:szCs w:val="18"/>
              </w:rPr>
            </w:pPr>
            <w:r w:rsidRPr="00E67A69">
              <w:rPr>
                <w:rFonts w:cs="Times New Roman"/>
                <w:b/>
                <w:bCs/>
                <w:color w:val="000000"/>
                <w:sz w:val="18"/>
                <w:szCs w:val="18"/>
              </w:rPr>
              <w:t>4 296,5</w:t>
            </w:r>
          </w:p>
        </w:tc>
        <w:tc>
          <w:tcPr>
            <w:tcW w:w="851" w:type="dxa"/>
            <w:tcBorders>
              <w:top w:val="single" w:sz="4" w:space="0" w:color="auto"/>
              <w:left w:val="nil"/>
              <w:bottom w:val="single" w:sz="4" w:space="0" w:color="auto"/>
              <w:right w:val="single" w:sz="4" w:space="0" w:color="auto"/>
            </w:tcBorders>
            <w:vAlign w:val="bottom"/>
          </w:tcPr>
          <w:p w14:paraId="680161B5" w14:textId="77777777" w:rsidR="00E67A69" w:rsidRPr="00E67A69" w:rsidRDefault="00E67A69" w:rsidP="00E67A69">
            <w:pPr>
              <w:spacing w:after="0"/>
              <w:ind w:firstLine="0"/>
              <w:jc w:val="right"/>
              <w:rPr>
                <w:rFonts w:cs="Times New Roman"/>
                <w:b/>
                <w:bCs/>
                <w:sz w:val="18"/>
                <w:szCs w:val="18"/>
              </w:rPr>
            </w:pPr>
            <w:r w:rsidRPr="00E67A69">
              <w:rPr>
                <w:rFonts w:cs="Times New Roman"/>
                <w:b/>
                <w:bCs/>
                <w:color w:val="000000"/>
                <w:sz w:val="18"/>
                <w:szCs w:val="18"/>
              </w:rPr>
              <w:t>4 412,3</w:t>
            </w:r>
          </w:p>
        </w:tc>
        <w:tc>
          <w:tcPr>
            <w:tcW w:w="851" w:type="dxa"/>
            <w:tcBorders>
              <w:top w:val="single" w:sz="4" w:space="0" w:color="auto"/>
              <w:left w:val="nil"/>
              <w:bottom w:val="single" w:sz="4" w:space="0" w:color="auto"/>
              <w:right w:val="single" w:sz="4" w:space="0" w:color="auto"/>
            </w:tcBorders>
            <w:vAlign w:val="bottom"/>
          </w:tcPr>
          <w:p w14:paraId="180E3848" w14:textId="77777777" w:rsidR="00E67A69" w:rsidRPr="00E67A69" w:rsidRDefault="00E67A69" w:rsidP="00E67A69">
            <w:pPr>
              <w:spacing w:after="0"/>
              <w:ind w:firstLine="0"/>
              <w:jc w:val="right"/>
              <w:rPr>
                <w:rFonts w:eastAsia="Times New Roman" w:cs="Times New Roman"/>
                <w:b/>
                <w:bCs/>
                <w:sz w:val="18"/>
                <w:szCs w:val="18"/>
              </w:rPr>
            </w:pPr>
            <w:r w:rsidRPr="00E67A69">
              <w:rPr>
                <w:rFonts w:cs="Times New Roman"/>
                <w:b/>
                <w:bCs/>
                <w:color w:val="000000"/>
                <w:sz w:val="18"/>
                <w:szCs w:val="18"/>
              </w:rPr>
              <w:t>4 198,4</w:t>
            </w:r>
          </w:p>
        </w:tc>
        <w:tc>
          <w:tcPr>
            <w:tcW w:w="850" w:type="dxa"/>
            <w:tcBorders>
              <w:top w:val="single" w:sz="4" w:space="0" w:color="auto"/>
              <w:left w:val="nil"/>
              <w:bottom w:val="single" w:sz="4" w:space="0" w:color="auto"/>
              <w:right w:val="single" w:sz="4" w:space="0" w:color="auto"/>
            </w:tcBorders>
            <w:vAlign w:val="bottom"/>
          </w:tcPr>
          <w:p w14:paraId="7491E3F1" w14:textId="77777777" w:rsidR="00E67A69" w:rsidRPr="00E67A69" w:rsidRDefault="00E67A69" w:rsidP="00E67A69">
            <w:pPr>
              <w:spacing w:after="0"/>
              <w:ind w:firstLine="0"/>
              <w:jc w:val="right"/>
              <w:rPr>
                <w:rFonts w:cs="Times New Roman"/>
                <w:b/>
                <w:bCs/>
                <w:sz w:val="18"/>
                <w:szCs w:val="18"/>
              </w:rPr>
            </w:pPr>
            <w:r w:rsidRPr="00E67A69">
              <w:rPr>
                <w:rFonts w:cs="Times New Roman"/>
                <w:b/>
                <w:bCs/>
                <w:color w:val="000000"/>
                <w:sz w:val="18"/>
                <w:szCs w:val="18"/>
              </w:rPr>
              <w:t>4 328,8</w:t>
            </w:r>
          </w:p>
        </w:tc>
        <w:tc>
          <w:tcPr>
            <w:tcW w:w="852" w:type="dxa"/>
            <w:tcBorders>
              <w:top w:val="single" w:sz="4" w:space="0" w:color="auto"/>
              <w:left w:val="single" w:sz="4" w:space="0" w:color="auto"/>
              <w:bottom w:val="single" w:sz="4" w:space="0" w:color="auto"/>
              <w:right w:val="single" w:sz="4" w:space="0" w:color="auto"/>
            </w:tcBorders>
            <w:noWrap/>
            <w:vAlign w:val="bottom"/>
            <w:hideMark/>
          </w:tcPr>
          <w:p w14:paraId="1BE280D3" w14:textId="77777777" w:rsidR="00E67A69" w:rsidRPr="00E67A69" w:rsidRDefault="00E67A69" w:rsidP="00E67A69">
            <w:pPr>
              <w:spacing w:after="0"/>
              <w:ind w:firstLine="0"/>
              <w:jc w:val="right"/>
              <w:rPr>
                <w:rFonts w:eastAsia="Times New Roman" w:cs="Times New Roman"/>
                <w:b/>
                <w:bCs/>
                <w:sz w:val="18"/>
                <w:szCs w:val="18"/>
              </w:rPr>
            </w:pPr>
            <w:r w:rsidRPr="00E67A69">
              <w:rPr>
                <w:rFonts w:cs="Times New Roman"/>
                <w:b/>
                <w:bCs/>
                <w:color w:val="000000"/>
                <w:sz w:val="18"/>
                <w:szCs w:val="18"/>
              </w:rPr>
              <w:t>4 457,3</w:t>
            </w:r>
          </w:p>
        </w:tc>
      </w:tr>
      <w:tr w:rsidR="00E67A69" w:rsidRPr="00E67A69" w14:paraId="2F714110" w14:textId="77777777" w:rsidTr="00C217B4">
        <w:trPr>
          <w:trHeight w:val="88"/>
          <w:jc w:val="center"/>
        </w:trPr>
        <w:tc>
          <w:tcPr>
            <w:tcW w:w="2141" w:type="dxa"/>
            <w:tcBorders>
              <w:top w:val="nil"/>
              <w:left w:val="single" w:sz="4" w:space="0" w:color="auto"/>
              <w:bottom w:val="single" w:sz="4" w:space="0" w:color="auto"/>
              <w:right w:val="single" w:sz="4" w:space="0" w:color="auto"/>
            </w:tcBorders>
            <w:noWrap/>
            <w:vAlign w:val="center"/>
            <w:hideMark/>
          </w:tcPr>
          <w:p w14:paraId="2E65AE5D" w14:textId="77777777" w:rsidR="00E67A69" w:rsidRPr="00E67A69" w:rsidRDefault="00E67A69" w:rsidP="00E67A69">
            <w:pPr>
              <w:spacing w:after="0"/>
              <w:ind w:firstLine="0"/>
              <w:jc w:val="left"/>
              <w:rPr>
                <w:rFonts w:eastAsia="Times New Roman" w:cs="Times New Roman"/>
                <w:sz w:val="18"/>
                <w:szCs w:val="18"/>
              </w:rPr>
            </w:pPr>
            <w:r w:rsidRPr="00E67A69">
              <w:rPr>
                <w:rFonts w:eastAsia="Times New Roman" w:cs="Times New Roman"/>
                <w:sz w:val="18"/>
                <w:szCs w:val="18"/>
              </w:rPr>
              <w:t>Nodokļu ieņēmumi</w:t>
            </w:r>
          </w:p>
        </w:tc>
        <w:tc>
          <w:tcPr>
            <w:tcW w:w="851" w:type="dxa"/>
            <w:tcBorders>
              <w:top w:val="single" w:sz="4" w:space="0" w:color="auto"/>
              <w:left w:val="single" w:sz="4" w:space="0" w:color="auto"/>
              <w:bottom w:val="single" w:sz="4" w:space="0" w:color="auto"/>
              <w:right w:val="single" w:sz="4" w:space="0" w:color="auto"/>
            </w:tcBorders>
            <w:noWrap/>
            <w:vAlign w:val="bottom"/>
          </w:tcPr>
          <w:p w14:paraId="0DDEFF54"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2 364,0</w:t>
            </w:r>
          </w:p>
        </w:tc>
        <w:tc>
          <w:tcPr>
            <w:tcW w:w="850" w:type="dxa"/>
            <w:tcBorders>
              <w:top w:val="single" w:sz="4" w:space="0" w:color="auto"/>
              <w:left w:val="nil"/>
              <w:bottom w:val="single" w:sz="4" w:space="0" w:color="auto"/>
              <w:right w:val="single" w:sz="4" w:space="0" w:color="auto"/>
            </w:tcBorders>
            <w:noWrap/>
            <w:vAlign w:val="bottom"/>
            <w:hideMark/>
          </w:tcPr>
          <w:p w14:paraId="3EF5EF51"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2 451,6</w:t>
            </w:r>
          </w:p>
        </w:tc>
        <w:tc>
          <w:tcPr>
            <w:tcW w:w="851" w:type="dxa"/>
            <w:tcBorders>
              <w:top w:val="single" w:sz="4" w:space="0" w:color="auto"/>
              <w:left w:val="nil"/>
              <w:bottom w:val="single" w:sz="4" w:space="0" w:color="auto"/>
              <w:right w:val="single" w:sz="4" w:space="0" w:color="auto"/>
            </w:tcBorders>
            <w:noWrap/>
            <w:vAlign w:val="bottom"/>
            <w:hideMark/>
          </w:tcPr>
          <w:p w14:paraId="7BEAB9EF"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2 553,0</w:t>
            </w:r>
          </w:p>
        </w:tc>
        <w:tc>
          <w:tcPr>
            <w:tcW w:w="850" w:type="dxa"/>
            <w:tcBorders>
              <w:top w:val="single" w:sz="4" w:space="0" w:color="auto"/>
              <w:left w:val="nil"/>
              <w:bottom w:val="single" w:sz="4" w:space="0" w:color="auto"/>
              <w:right w:val="single" w:sz="4" w:space="0" w:color="auto"/>
            </w:tcBorders>
            <w:noWrap/>
            <w:vAlign w:val="bottom"/>
            <w:hideMark/>
          </w:tcPr>
          <w:p w14:paraId="76EBF8E9"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2 661,2</w:t>
            </w:r>
          </w:p>
        </w:tc>
        <w:tc>
          <w:tcPr>
            <w:tcW w:w="851" w:type="dxa"/>
            <w:tcBorders>
              <w:top w:val="single" w:sz="4" w:space="0" w:color="auto"/>
              <w:left w:val="nil"/>
              <w:bottom w:val="single" w:sz="4" w:space="0" w:color="auto"/>
              <w:right w:val="single" w:sz="4" w:space="0" w:color="auto"/>
            </w:tcBorders>
            <w:vAlign w:val="bottom"/>
          </w:tcPr>
          <w:p w14:paraId="55B902D9"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2 790,5</w:t>
            </w:r>
          </w:p>
        </w:tc>
        <w:tc>
          <w:tcPr>
            <w:tcW w:w="851" w:type="dxa"/>
            <w:tcBorders>
              <w:top w:val="single" w:sz="4" w:space="0" w:color="auto"/>
              <w:left w:val="nil"/>
              <w:bottom w:val="single" w:sz="4" w:space="0" w:color="auto"/>
              <w:right w:val="single" w:sz="4" w:space="0" w:color="auto"/>
            </w:tcBorders>
            <w:vAlign w:val="bottom"/>
          </w:tcPr>
          <w:p w14:paraId="35AF1094"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2 553,6</w:t>
            </w:r>
          </w:p>
        </w:tc>
        <w:tc>
          <w:tcPr>
            <w:tcW w:w="850" w:type="dxa"/>
            <w:tcBorders>
              <w:top w:val="single" w:sz="4" w:space="0" w:color="auto"/>
              <w:left w:val="nil"/>
              <w:bottom w:val="single" w:sz="4" w:space="0" w:color="auto"/>
              <w:right w:val="single" w:sz="4" w:space="0" w:color="auto"/>
            </w:tcBorders>
            <w:vAlign w:val="bottom"/>
          </w:tcPr>
          <w:p w14:paraId="181BDE20"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2 666,4</w:t>
            </w:r>
          </w:p>
        </w:tc>
        <w:tc>
          <w:tcPr>
            <w:tcW w:w="852" w:type="dxa"/>
            <w:tcBorders>
              <w:top w:val="single" w:sz="4" w:space="0" w:color="auto"/>
              <w:left w:val="single" w:sz="4" w:space="0" w:color="auto"/>
              <w:bottom w:val="single" w:sz="4" w:space="0" w:color="auto"/>
              <w:right w:val="single" w:sz="4" w:space="0" w:color="auto"/>
            </w:tcBorders>
            <w:noWrap/>
            <w:vAlign w:val="bottom"/>
            <w:hideMark/>
          </w:tcPr>
          <w:p w14:paraId="00253BBC"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2 807,2</w:t>
            </w:r>
          </w:p>
        </w:tc>
      </w:tr>
      <w:tr w:rsidR="00E67A69" w:rsidRPr="00E67A69" w14:paraId="6F6A451B" w14:textId="77777777" w:rsidTr="00C217B4">
        <w:trPr>
          <w:trHeight w:val="97"/>
          <w:jc w:val="center"/>
        </w:trPr>
        <w:tc>
          <w:tcPr>
            <w:tcW w:w="2141" w:type="dxa"/>
            <w:tcBorders>
              <w:top w:val="nil"/>
              <w:left w:val="single" w:sz="4" w:space="0" w:color="auto"/>
              <w:bottom w:val="single" w:sz="4" w:space="0" w:color="auto"/>
              <w:right w:val="single" w:sz="4" w:space="0" w:color="auto"/>
            </w:tcBorders>
            <w:noWrap/>
            <w:vAlign w:val="center"/>
            <w:hideMark/>
          </w:tcPr>
          <w:p w14:paraId="26D9CB46" w14:textId="77777777" w:rsidR="00E67A69" w:rsidRPr="00E67A69" w:rsidRDefault="00E67A69" w:rsidP="00E67A69">
            <w:pPr>
              <w:spacing w:after="0"/>
              <w:ind w:firstLine="0"/>
              <w:jc w:val="left"/>
              <w:rPr>
                <w:rFonts w:eastAsia="Times New Roman" w:cs="Times New Roman"/>
                <w:sz w:val="18"/>
                <w:szCs w:val="18"/>
              </w:rPr>
            </w:pPr>
            <w:r w:rsidRPr="00E67A69">
              <w:rPr>
                <w:rFonts w:eastAsia="Times New Roman" w:cs="Times New Roman"/>
                <w:noProof/>
                <w:sz w:val="18"/>
                <w:szCs w:val="18"/>
              </w:rPr>
              <w:t xml:space="preserve">Transferts </w:t>
            </w:r>
            <w:r w:rsidRPr="00E67A69">
              <w:rPr>
                <w:rFonts w:eastAsia="Times New Roman" w:cs="Times New Roman"/>
                <w:sz w:val="18"/>
                <w:szCs w:val="18"/>
              </w:rPr>
              <w:t>no valsts budžeta</w:t>
            </w:r>
          </w:p>
        </w:tc>
        <w:tc>
          <w:tcPr>
            <w:tcW w:w="851" w:type="dxa"/>
            <w:tcBorders>
              <w:top w:val="nil"/>
              <w:left w:val="single" w:sz="4" w:space="0" w:color="auto"/>
              <w:bottom w:val="single" w:sz="4" w:space="0" w:color="auto"/>
              <w:right w:val="single" w:sz="4" w:space="0" w:color="auto"/>
            </w:tcBorders>
            <w:noWrap/>
            <w:vAlign w:val="bottom"/>
          </w:tcPr>
          <w:p w14:paraId="0C57F0BC"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1 099,9</w:t>
            </w:r>
          </w:p>
        </w:tc>
        <w:tc>
          <w:tcPr>
            <w:tcW w:w="850" w:type="dxa"/>
            <w:tcBorders>
              <w:top w:val="nil"/>
              <w:left w:val="nil"/>
              <w:bottom w:val="single" w:sz="4" w:space="0" w:color="auto"/>
              <w:right w:val="single" w:sz="4" w:space="0" w:color="auto"/>
            </w:tcBorders>
            <w:noWrap/>
            <w:vAlign w:val="bottom"/>
            <w:hideMark/>
          </w:tcPr>
          <w:p w14:paraId="24BB0788"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1 343,9</w:t>
            </w:r>
          </w:p>
        </w:tc>
        <w:tc>
          <w:tcPr>
            <w:tcW w:w="851" w:type="dxa"/>
            <w:tcBorders>
              <w:top w:val="nil"/>
              <w:left w:val="nil"/>
              <w:bottom w:val="single" w:sz="4" w:space="0" w:color="auto"/>
              <w:right w:val="single" w:sz="4" w:space="0" w:color="auto"/>
            </w:tcBorders>
            <w:noWrap/>
            <w:vAlign w:val="bottom"/>
            <w:hideMark/>
          </w:tcPr>
          <w:p w14:paraId="361CBED4"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1 347,6</w:t>
            </w:r>
          </w:p>
        </w:tc>
        <w:tc>
          <w:tcPr>
            <w:tcW w:w="850" w:type="dxa"/>
            <w:tcBorders>
              <w:top w:val="nil"/>
              <w:left w:val="nil"/>
              <w:bottom w:val="single" w:sz="4" w:space="0" w:color="auto"/>
              <w:right w:val="single" w:sz="4" w:space="0" w:color="auto"/>
            </w:tcBorders>
            <w:noWrap/>
            <w:vAlign w:val="bottom"/>
            <w:hideMark/>
          </w:tcPr>
          <w:p w14:paraId="07D19D5E"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1 323,4</w:t>
            </w:r>
          </w:p>
        </w:tc>
        <w:tc>
          <w:tcPr>
            <w:tcW w:w="851" w:type="dxa"/>
            <w:tcBorders>
              <w:top w:val="nil"/>
              <w:left w:val="nil"/>
              <w:bottom w:val="single" w:sz="4" w:space="0" w:color="auto"/>
              <w:right w:val="single" w:sz="4" w:space="0" w:color="auto"/>
            </w:tcBorders>
            <w:vAlign w:val="bottom"/>
          </w:tcPr>
          <w:p w14:paraId="0F8EC42B"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1 303,2</w:t>
            </w:r>
          </w:p>
        </w:tc>
        <w:tc>
          <w:tcPr>
            <w:tcW w:w="851" w:type="dxa"/>
            <w:tcBorders>
              <w:top w:val="single" w:sz="4" w:space="0" w:color="auto"/>
              <w:left w:val="nil"/>
              <w:bottom w:val="single" w:sz="4" w:space="0" w:color="auto"/>
              <w:right w:val="single" w:sz="4" w:space="0" w:color="auto"/>
            </w:tcBorders>
            <w:vAlign w:val="bottom"/>
          </w:tcPr>
          <w:p w14:paraId="73084EC1" w14:textId="77777777" w:rsidR="00E67A69" w:rsidRPr="00E67A69" w:rsidRDefault="00E67A69" w:rsidP="00E67A69">
            <w:pPr>
              <w:spacing w:after="0"/>
              <w:ind w:firstLine="0"/>
              <w:jc w:val="right"/>
              <w:rPr>
                <w:rFonts w:eastAsia="Times New Roman" w:cs="Times New Roman"/>
                <w:sz w:val="18"/>
                <w:szCs w:val="18"/>
                <w:lang w:eastAsia="en-US"/>
              </w:rPr>
            </w:pPr>
            <w:r w:rsidRPr="00E67A69">
              <w:rPr>
                <w:rFonts w:cs="Times New Roman"/>
                <w:color w:val="000000"/>
                <w:sz w:val="18"/>
                <w:szCs w:val="18"/>
              </w:rPr>
              <w:t>1 339,4</w:t>
            </w:r>
          </w:p>
        </w:tc>
        <w:tc>
          <w:tcPr>
            <w:tcW w:w="850" w:type="dxa"/>
            <w:tcBorders>
              <w:top w:val="nil"/>
              <w:left w:val="nil"/>
              <w:bottom w:val="single" w:sz="4" w:space="0" w:color="auto"/>
              <w:right w:val="single" w:sz="4" w:space="0" w:color="auto"/>
            </w:tcBorders>
            <w:vAlign w:val="bottom"/>
          </w:tcPr>
          <w:p w14:paraId="20C2379A"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1 350,4</w:t>
            </w:r>
          </w:p>
        </w:tc>
        <w:tc>
          <w:tcPr>
            <w:tcW w:w="852" w:type="dxa"/>
            <w:tcBorders>
              <w:top w:val="nil"/>
              <w:left w:val="single" w:sz="4" w:space="0" w:color="auto"/>
              <w:bottom w:val="single" w:sz="4" w:space="0" w:color="auto"/>
              <w:right w:val="single" w:sz="4" w:space="0" w:color="auto"/>
            </w:tcBorders>
            <w:noWrap/>
            <w:vAlign w:val="bottom"/>
            <w:hideMark/>
          </w:tcPr>
          <w:p w14:paraId="55DBE197"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1 331,4</w:t>
            </w:r>
          </w:p>
        </w:tc>
      </w:tr>
      <w:tr w:rsidR="00E67A69" w:rsidRPr="00E67A69" w14:paraId="33063ABE" w14:textId="77777777" w:rsidTr="00C217B4">
        <w:trPr>
          <w:trHeight w:val="88"/>
          <w:jc w:val="center"/>
        </w:trPr>
        <w:tc>
          <w:tcPr>
            <w:tcW w:w="2141" w:type="dxa"/>
            <w:tcBorders>
              <w:top w:val="nil"/>
              <w:left w:val="single" w:sz="4" w:space="0" w:color="auto"/>
              <w:bottom w:val="single" w:sz="4" w:space="0" w:color="auto"/>
              <w:right w:val="single" w:sz="4" w:space="0" w:color="auto"/>
            </w:tcBorders>
            <w:noWrap/>
            <w:vAlign w:val="center"/>
            <w:hideMark/>
          </w:tcPr>
          <w:p w14:paraId="5AEA022F" w14:textId="77777777" w:rsidR="00E67A69" w:rsidRPr="00E67A69" w:rsidRDefault="00E67A69" w:rsidP="00E67A69">
            <w:pPr>
              <w:spacing w:after="0"/>
              <w:ind w:firstLine="0"/>
              <w:jc w:val="left"/>
              <w:rPr>
                <w:rFonts w:eastAsia="Times New Roman" w:cs="Times New Roman"/>
                <w:sz w:val="18"/>
                <w:szCs w:val="18"/>
              </w:rPr>
            </w:pPr>
            <w:r w:rsidRPr="00E67A69">
              <w:rPr>
                <w:rFonts w:eastAsia="Times New Roman" w:cs="Times New Roman"/>
                <w:sz w:val="18"/>
                <w:szCs w:val="18"/>
              </w:rPr>
              <w:t>Pārējie ieņēmumi</w:t>
            </w:r>
          </w:p>
        </w:tc>
        <w:tc>
          <w:tcPr>
            <w:tcW w:w="851" w:type="dxa"/>
            <w:tcBorders>
              <w:top w:val="nil"/>
              <w:left w:val="single" w:sz="4" w:space="0" w:color="auto"/>
              <w:bottom w:val="single" w:sz="4" w:space="0" w:color="auto"/>
              <w:right w:val="single" w:sz="4" w:space="0" w:color="auto"/>
            </w:tcBorders>
            <w:noWrap/>
            <w:vAlign w:val="bottom"/>
          </w:tcPr>
          <w:p w14:paraId="5E62BC22" w14:textId="77777777" w:rsidR="00E67A69" w:rsidRPr="00E67A69" w:rsidRDefault="00E67A69" w:rsidP="00E67A69">
            <w:pPr>
              <w:spacing w:after="0"/>
              <w:ind w:firstLine="0"/>
              <w:jc w:val="right"/>
              <w:rPr>
                <w:rFonts w:eastAsia="Times New Roman" w:cs="Times New Roman"/>
                <w:iCs/>
                <w:sz w:val="18"/>
                <w:szCs w:val="18"/>
              </w:rPr>
            </w:pPr>
            <w:r w:rsidRPr="00E67A69">
              <w:rPr>
                <w:rFonts w:cs="Times New Roman"/>
                <w:color w:val="000000"/>
                <w:sz w:val="18"/>
                <w:szCs w:val="18"/>
              </w:rPr>
              <w:t>287,1</w:t>
            </w:r>
          </w:p>
        </w:tc>
        <w:tc>
          <w:tcPr>
            <w:tcW w:w="850" w:type="dxa"/>
            <w:tcBorders>
              <w:top w:val="nil"/>
              <w:left w:val="nil"/>
              <w:bottom w:val="single" w:sz="4" w:space="0" w:color="auto"/>
              <w:right w:val="single" w:sz="4" w:space="0" w:color="auto"/>
            </w:tcBorders>
            <w:noWrap/>
            <w:vAlign w:val="bottom"/>
          </w:tcPr>
          <w:p w14:paraId="0CD8563F"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298,7</w:t>
            </w:r>
          </w:p>
        </w:tc>
        <w:tc>
          <w:tcPr>
            <w:tcW w:w="851" w:type="dxa"/>
            <w:tcBorders>
              <w:top w:val="nil"/>
              <w:left w:val="nil"/>
              <w:bottom w:val="single" w:sz="4" w:space="0" w:color="auto"/>
              <w:right w:val="single" w:sz="4" w:space="0" w:color="auto"/>
            </w:tcBorders>
            <w:noWrap/>
            <w:vAlign w:val="bottom"/>
          </w:tcPr>
          <w:p w14:paraId="627165F5"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305,4</w:t>
            </w:r>
          </w:p>
        </w:tc>
        <w:tc>
          <w:tcPr>
            <w:tcW w:w="850" w:type="dxa"/>
            <w:tcBorders>
              <w:top w:val="nil"/>
              <w:left w:val="nil"/>
              <w:bottom w:val="single" w:sz="4" w:space="0" w:color="auto"/>
              <w:right w:val="single" w:sz="4" w:space="0" w:color="auto"/>
            </w:tcBorders>
            <w:noWrap/>
            <w:vAlign w:val="bottom"/>
          </w:tcPr>
          <w:p w14:paraId="33615540"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312,0</w:t>
            </w:r>
          </w:p>
        </w:tc>
        <w:tc>
          <w:tcPr>
            <w:tcW w:w="851" w:type="dxa"/>
            <w:tcBorders>
              <w:top w:val="nil"/>
              <w:left w:val="nil"/>
              <w:bottom w:val="single" w:sz="4" w:space="0" w:color="auto"/>
              <w:right w:val="single" w:sz="4" w:space="0" w:color="auto"/>
            </w:tcBorders>
            <w:vAlign w:val="bottom"/>
          </w:tcPr>
          <w:p w14:paraId="38104BA5"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318,6</w:t>
            </w:r>
          </w:p>
        </w:tc>
        <w:tc>
          <w:tcPr>
            <w:tcW w:w="851" w:type="dxa"/>
            <w:tcBorders>
              <w:top w:val="single" w:sz="4" w:space="0" w:color="auto"/>
              <w:left w:val="nil"/>
              <w:bottom w:val="single" w:sz="4" w:space="0" w:color="auto"/>
              <w:right w:val="single" w:sz="4" w:space="0" w:color="auto"/>
            </w:tcBorders>
            <w:vAlign w:val="bottom"/>
          </w:tcPr>
          <w:p w14:paraId="6432D926"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305,4</w:t>
            </w:r>
          </w:p>
        </w:tc>
        <w:tc>
          <w:tcPr>
            <w:tcW w:w="850" w:type="dxa"/>
            <w:tcBorders>
              <w:top w:val="nil"/>
              <w:left w:val="nil"/>
              <w:bottom w:val="single" w:sz="4" w:space="0" w:color="auto"/>
              <w:right w:val="single" w:sz="4" w:space="0" w:color="auto"/>
            </w:tcBorders>
            <w:vAlign w:val="bottom"/>
          </w:tcPr>
          <w:p w14:paraId="0DC16957"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312,0</w:t>
            </w:r>
          </w:p>
        </w:tc>
        <w:tc>
          <w:tcPr>
            <w:tcW w:w="852" w:type="dxa"/>
            <w:tcBorders>
              <w:top w:val="nil"/>
              <w:left w:val="single" w:sz="4" w:space="0" w:color="auto"/>
              <w:bottom w:val="single" w:sz="4" w:space="0" w:color="auto"/>
              <w:right w:val="single" w:sz="4" w:space="0" w:color="auto"/>
            </w:tcBorders>
            <w:noWrap/>
            <w:vAlign w:val="bottom"/>
          </w:tcPr>
          <w:p w14:paraId="4FF2DC9C"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318,6</w:t>
            </w:r>
          </w:p>
        </w:tc>
      </w:tr>
      <w:tr w:rsidR="00E67A69" w:rsidRPr="00E67A69" w14:paraId="440D9222" w14:textId="77777777" w:rsidTr="00C217B4">
        <w:trPr>
          <w:trHeight w:val="80"/>
          <w:jc w:val="center"/>
        </w:trPr>
        <w:tc>
          <w:tcPr>
            <w:tcW w:w="2141" w:type="dxa"/>
            <w:tcBorders>
              <w:top w:val="nil"/>
              <w:left w:val="single" w:sz="4" w:space="0" w:color="auto"/>
              <w:bottom w:val="single" w:sz="4" w:space="0" w:color="auto"/>
              <w:right w:val="single" w:sz="4" w:space="0" w:color="auto"/>
            </w:tcBorders>
            <w:noWrap/>
            <w:vAlign w:val="center"/>
            <w:hideMark/>
          </w:tcPr>
          <w:p w14:paraId="11085E59" w14:textId="77777777" w:rsidR="00E67A69" w:rsidRPr="00E67A69" w:rsidRDefault="00E67A69" w:rsidP="00E67A69">
            <w:pPr>
              <w:spacing w:after="0"/>
              <w:ind w:left="-225" w:firstLineChars="100" w:firstLine="181"/>
              <w:rPr>
                <w:rFonts w:eastAsia="Times New Roman" w:cs="Times New Roman"/>
                <w:b/>
                <w:bCs/>
                <w:sz w:val="18"/>
                <w:szCs w:val="18"/>
              </w:rPr>
            </w:pPr>
            <w:r w:rsidRPr="00E67A69">
              <w:rPr>
                <w:rFonts w:eastAsia="Times New Roman" w:cs="Times New Roman"/>
                <w:b/>
                <w:bCs/>
                <w:sz w:val="18"/>
                <w:szCs w:val="18"/>
              </w:rPr>
              <w:t>Izdevumi</w:t>
            </w:r>
          </w:p>
        </w:tc>
        <w:tc>
          <w:tcPr>
            <w:tcW w:w="851" w:type="dxa"/>
            <w:tcBorders>
              <w:top w:val="single" w:sz="4" w:space="0" w:color="auto"/>
              <w:left w:val="nil"/>
              <w:bottom w:val="single" w:sz="4" w:space="0" w:color="auto"/>
              <w:right w:val="single" w:sz="4" w:space="0" w:color="auto"/>
            </w:tcBorders>
            <w:noWrap/>
            <w:vAlign w:val="bottom"/>
          </w:tcPr>
          <w:p w14:paraId="09182F36" w14:textId="77777777" w:rsidR="00E67A69" w:rsidRPr="00E67A69" w:rsidRDefault="00E67A69" w:rsidP="00E67A69">
            <w:pPr>
              <w:spacing w:after="0"/>
              <w:ind w:firstLine="0"/>
              <w:jc w:val="right"/>
              <w:rPr>
                <w:rFonts w:eastAsia="Times New Roman" w:cs="Times New Roman"/>
                <w:b/>
                <w:bCs/>
                <w:sz w:val="18"/>
                <w:szCs w:val="18"/>
              </w:rPr>
            </w:pPr>
            <w:r w:rsidRPr="00E67A69">
              <w:rPr>
                <w:rFonts w:cs="Times New Roman"/>
                <w:b/>
                <w:bCs/>
                <w:color w:val="000000"/>
                <w:sz w:val="18"/>
                <w:szCs w:val="18"/>
              </w:rPr>
              <w:t>3 799,2</w:t>
            </w:r>
          </w:p>
        </w:tc>
        <w:tc>
          <w:tcPr>
            <w:tcW w:w="850" w:type="dxa"/>
            <w:tcBorders>
              <w:top w:val="single" w:sz="4" w:space="0" w:color="auto"/>
              <w:left w:val="nil"/>
              <w:bottom w:val="single" w:sz="4" w:space="0" w:color="auto"/>
              <w:right w:val="single" w:sz="4" w:space="0" w:color="auto"/>
            </w:tcBorders>
            <w:noWrap/>
            <w:vAlign w:val="bottom"/>
            <w:hideMark/>
          </w:tcPr>
          <w:p w14:paraId="7FD7EAE7" w14:textId="77777777" w:rsidR="00E67A69" w:rsidRPr="00E67A69" w:rsidRDefault="00E67A69" w:rsidP="00E67A69">
            <w:pPr>
              <w:spacing w:after="0"/>
              <w:ind w:firstLine="0"/>
              <w:jc w:val="center"/>
              <w:rPr>
                <w:rFonts w:cs="Times New Roman"/>
                <w:b/>
                <w:bCs/>
                <w:sz w:val="18"/>
                <w:szCs w:val="18"/>
              </w:rPr>
            </w:pPr>
            <w:r w:rsidRPr="00E67A69">
              <w:rPr>
                <w:rFonts w:cs="Times New Roman"/>
                <w:b/>
                <w:bCs/>
                <w:color w:val="000000"/>
                <w:sz w:val="18"/>
                <w:szCs w:val="18"/>
              </w:rPr>
              <w:t>4 065,6</w:t>
            </w:r>
          </w:p>
        </w:tc>
        <w:tc>
          <w:tcPr>
            <w:tcW w:w="851" w:type="dxa"/>
            <w:tcBorders>
              <w:top w:val="single" w:sz="4" w:space="0" w:color="auto"/>
              <w:left w:val="nil"/>
              <w:bottom w:val="single" w:sz="4" w:space="0" w:color="auto"/>
              <w:right w:val="single" w:sz="4" w:space="0" w:color="auto"/>
            </w:tcBorders>
            <w:noWrap/>
            <w:vAlign w:val="bottom"/>
            <w:hideMark/>
          </w:tcPr>
          <w:p w14:paraId="195B9A47" w14:textId="77777777" w:rsidR="00E67A69" w:rsidRPr="00E67A69" w:rsidRDefault="00E67A69" w:rsidP="00E67A69">
            <w:pPr>
              <w:spacing w:after="0"/>
              <w:ind w:firstLine="0"/>
              <w:jc w:val="center"/>
              <w:rPr>
                <w:rFonts w:cs="Times New Roman"/>
                <w:b/>
                <w:bCs/>
                <w:sz w:val="18"/>
                <w:szCs w:val="18"/>
              </w:rPr>
            </w:pPr>
            <w:r w:rsidRPr="00E67A69">
              <w:rPr>
                <w:rFonts w:cs="Times New Roman"/>
                <w:b/>
                <w:bCs/>
                <w:color w:val="000000"/>
                <w:sz w:val="18"/>
                <w:szCs w:val="18"/>
              </w:rPr>
              <w:t>4 140,3</w:t>
            </w:r>
          </w:p>
        </w:tc>
        <w:tc>
          <w:tcPr>
            <w:tcW w:w="850" w:type="dxa"/>
            <w:tcBorders>
              <w:top w:val="single" w:sz="4" w:space="0" w:color="auto"/>
              <w:left w:val="nil"/>
              <w:bottom w:val="single" w:sz="4" w:space="0" w:color="auto"/>
              <w:right w:val="single" w:sz="4" w:space="0" w:color="auto"/>
            </w:tcBorders>
            <w:noWrap/>
            <w:vAlign w:val="bottom"/>
            <w:hideMark/>
          </w:tcPr>
          <w:p w14:paraId="6A3A6118" w14:textId="77777777" w:rsidR="00E67A69" w:rsidRPr="00E67A69" w:rsidRDefault="00E67A69" w:rsidP="00E67A69">
            <w:pPr>
              <w:spacing w:after="0"/>
              <w:ind w:firstLine="0"/>
              <w:jc w:val="center"/>
              <w:rPr>
                <w:rFonts w:cs="Times New Roman"/>
                <w:b/>
                <w:bCs/>
                <w:sz w:val="18"/>
                <w:szCs w:val="18"/>
              </w:rPr>
            </w:pPr>
            <w:r w:rsidRPr="00E67A69">
              <w:rPr>
                <w:rFonts w:cs="Times New Roman"/>
                <w:b/>
                <w:bCs/>
                <w:color w:val="000000"/>
                <w:sz w:val="18"/>
                <w:szCs w:val="18"/>
              </w:rPr>
              <w:t>4 227,9</w:t>
            </w:r>
          </w:p>
        </w:tc>
        <w:tc>
          <w:tcPr>
            <w:tcW w:w="851" w:type="dxa"/>
            <w:tcBorders>
              <w:top w:val="single" w:sz="4" w:space="0" w:color="auto"/>
              <w:left w:val="nil"/>
              <w:bottom w:val="single" w:sz="4" w:space="0" w:color="auto"/>
              <w:right w:val="single" w:sz="4" w:space="0" w:color="auto"/>
            </w:tcBorders>
            <w:vAlign w:val="bottom"/>
          </w:tcPr>
          <w:p w14:paraId="5CABC49C" w14:textId="77777777" w:rsidR="00E67A69" w:rsidRPr="00E67A69" w:rsidRDefault="00E67A69" w:rsidP="00E67A69">
            <w:pPr>
              <w:spacing w:after="0"/>
              <w:ind w:firstLine="0"/>
              <w:jc w:val="center"/>
              <w:rPr>
                <w:rFonts w:cs="Times New Roman"/>
                <w:b/>
                <w:bCs/>
                <w:sz w:val="18"/>
                <w:szCs w:val="18"/>
              </w:rPr>
            </w:pPr>
            <w:r w:rsidRPr="00E67A69">
              <w:rPr>
                <w:rFonts w:cs="Times New Roman"/>
                <w:b/>
                <w:bCs/>
                <w:color w:val="000000"/>
                <w:sz w:val="18"/>
                <w:szCs w:val="18"/>
              </w:rPr>
              <w:t>4 337,4</w:t>
            </w:r>
          </w:p>
        </w:tc>
        <w:tc>
          <w:tcPr>
            <w:tcW w:w="851" w:type="dxa"/>
            <w:tcBorders>
              <w:top w:val="single" w:sz="4" w:space="0" w:color="auto"/>
              <w:left w:val="nil"/>
              <w:bottom w:val="single" w:sz="4" w:space="0" w:color="auto"/>
              <w:right w:val="single" w:sz="4" w:space="0" w:color="auto"/>
            </w:tcBorders>
            <w:vAlign w:val="bottom"/>
          </w:tcPr>
          <w:p w14:paraId="44A28E48" w14:textId="77777777" w:rsidR="00E67A69" w:rsidRPr="00E67A69" w:rsidRDefault="00E67A69" w:rsidP="00E67A69">
            <w:pPr>
              <w:spacing w:after="0"/>
              <w:ind w:firstLine="0"/>
              <w:jc w:val="right"/>
              <w:rPr>
                <w:rFonts w:eastAsia="Times New Roman" w:cs="Times New Roman"/>
                <w:b/>
                <w:bCs/>
                <w:sz w:val="18"/>
                <w:szCs w:val="18"/>
              </w:rPr>
            </w:pPr>
            <w:r w:rsidRPr="00E67A69">
              <w:rPr>
                <w:rFonts w:cs="Times New Roman"/>
                <w:b/>
                <w:bCs/>
                <w:color w:val="000000"/>
                <w:sz w:val="18"/>
                <w:szCs w:val="18"/>
              </w:rPr>
              <w:t>4 130,6</w:t>
            </w:r>
          </w:p>
        </w:tc>
        <w:tc>
          <w:tcPr>
            <w:tcW w:w="850" w:type="dxa"/>
            <w:tcBorders>
              <w:top w:val="single" w:sz="4" w:space="0" w:color="auto"/>
              <w:left w:val="nil"/>
              <w:bottom w:val="single" w:sz="4" w:space="0" w:color="auto"/>
              <w:right w:val="single" w:sz="4" w:space="0" w:color="auto"/>
            </w:tcBorders>
            <w:vAlign w:val="bottom"/>
          </w:tcPr>
          <w:p w14:paraId="2B39326E" w14:textId="77777777" w:rsidR="00E67A69" w:rsidRPr="00E67A69" w:rsidRDefault="00E67A69" w:rsidP="00E67A69">
            <w:pPr>
              <w:spacing w:after="0"/>
              <w:ind w:firstLine="0"/>
              <w:jc w:val="right"/>
              <w:rPr>
                <w:rFonts w:cs="Times New Roman"/>
                <w:b/>
                <w:bCs/>
                <w:sz w:val="18"/>
                <w:szCs w:val="18"/>
              </w:rPr>
            </w:pPr>
            <w:r w:rsidRPr="00E67A69">
              <w:rPr>
                <w:rFonts w:cs="Times New Roman"/>
                <w:b/>
                <w:bCs/>
                <w:color w:val="000000"/>
                <w:sz w:val="18"/>
                <w:szCs w:val="18"/>
              </w:rPr>
              <w:t>4 266,9</w:t>
            </w:r>
          </w:p>
        </w:tc>
        <w:tc>
          <w:tcPr>
            <w:tcW w:w="852" w:type="dxa"/>
            <w:tcBorders>
              <w:top w:val="single" w:sz="4" w:space="0" w:color="auto"/>
              <w:left w:val="single" w:sz="4" w:space="0" w:color="auto"/>
              <w:bottom w:val="single" w:sz="4" w:space="0" w:color="auto"/>
              <w:right w:val="single" w:sz="4" w:space="0" w:color="auto"/>
            </w:tcBorders>
            <w:noWrap/>
            <w:vAlign w:val="bottom"/>
            <w:hideMark/>
          </w:tcPr>
          <w:p w14:paraId="4C506A5F" w14:textId="77777777" w:rsidR="00E67A69" w:rsidRPr="00E67A69" w:rsidRDefault="00E67A69" w:rsidP="00E67A69">
            <w:pPr>
              <w:spacing w:after="0"/>
              <w:ind w:firstLine="0"/>
              <w:jc w:val="right"/>
              <w:rPr>
                <w:rFonts w:eastAsia="Times New Roman" w:cs="Times New Roman"/>
                <w:b/>
                <w:bCs/>
                <w:sz w:val="18"/>
                <w:szCs w:val="18"/>
              </w:rPr>
            </w:pPr>
            <w:r w:rsidRPr="00E67A69">
              <w:rPr>
                <w:rFonts w:cs="Times New Roman"/>
                <w:b/>
                <w:bCs/>
                <w:color w:val="000000"/>
                <w:sz w:val="18"/>
                <w:szCs w:val="18"/>
              </w:rPr>
              <w:t>4 397,0</w:t>
            </w:r>
          </w:p>
        </w:tc>
      </w:tr>
      <w:tr w:rsidR="00E67A69" w:rsidRPr="00E67A69" w14:paraId="319560C1" w14:textId="77777777" w:rsidTr="00C217B4">
        <w:trPr>
          <w:trHeight w:val="88"/>
          <w:jc w:val="center"/>
        </w:trPr>
        <w:tc>
          <w:tcPr>
            <w:tcW w:w="2141" w:type="dxa"/>
            <w:tcBorders>
              <w:top w:val="nil"/>
              <w:left w:val="single" w:sz="4" w:space="0" w:color="auto"/>
              <w:bottom w:val="single" w:sz="4" w:space="0" w:color="auto"/>
              <w:right w:val="single" w:sz="4" w:space="0" w:color="auto"/>
            </w:tcBorders>
            <w:noWrap/>
            <w:vAlign w:val="center"/>
            <w:hideMark/>
          </w:tcPr>
          <w:p w14:paraId="57ABF11A" w14:textId="77777777" w:rsidR="00E67A69" w:rsidRPr="00E67A69" w:rsidRDefault="00E67A69" w:rsidP="00E67A69">
            <w:pPr>
              <w:spacing w:after="0"/>
              <w:ind w:left="32" w:firstLine="0"/>
              <w:rPr>
                <w:rFonts w:eastAsia="Times New Roman" w:cs="Times New Roman"/>
                <w:sz w:val="18"/>
                <w:szCs w:val="18"/>
              </w:rPr>
            </w:pPr>
            <w:r w:rsidRPr="00E67A69">
              <w:rPr>
                <w:rFonts w:eastAsia="Times New Roman" w:cs="Times New Roman"/>
                <w:sz w:val="18"/>
                <w:szCs w:val="18"/>
              </w:rPr>
              <w:t>Uzturēšanas izdevumi</w:t>
            </w:r>
          </w:p>
        </w:tc>
        <w:tc>
          <w:tcPr>
            <w:tcW w:w="851" w:type="dxa"/>
            <w:tcBorders>
              <w:top w:val="single" w:sz="4" w:space="0" w:color="auto"/>
              <w:left w:val="single" w:sz="4" w:space="0" w:color="auto"/>
              <w:bottom w:val="single" w:sz="4" w:space="0" w:color="auto"/>
              <w:right w:val="single" w:sz="4" w:space="0" w:color="auto"/>
            </w:tcBorders>
            <w:noWrap/>
            <w:vAlign w:val="bottom"/>
          </w:tcPr>
          <w:p w14:paraId="7A4D489C"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3 312,0</w:t>
            </w:r>
          </w:p>
        </w:tc>
        <w:tc>
          <w:tcPr>
            <w:tcW w:w="850" w:type="dxa"/>
            <w:tcBorders>
              <w:top w:val="single" w:sz="4" w:space="0" w:color="auto"/>
              <w:left w:val="nil"/>
              <w:bottom w:val="single" w:sz="4" w:space="0" w:color="auto"/>
              <w:right w:val="single" w:sz="4" w:space="0" w:color="auto"/>
            </w:tcBorders>
            <w:noWrap/>
            <w:vAlign w:val="bottom"/>
            <w:hideMark/>
          </w:tcPr>
          <w:p w14:paraId="01E78488"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3 416,5</w:t>
            </w:r>
          </w:p>
        </w:tc>
        <w:tc>
          <w:tcPr>
            <w:tcW w:w="851" w:type="dxa"/>
            <w:tcBorders>
              <w:top w:val="single" w:sz="4" w:space="0" w:color="auto"/>
              <w:left w:val="nil"/>
              <w:bottom w:val="single" w:sz="4" w:space="0" w:color="auto"/>
              <w:right w:val="single" w:sz="4" w:space="0" w:color="auto"/>
            </w:tcBorders>
            <w:noWrap/>
            <w:vAlign w:val="bottom"/>
            <w:hideMark/>
          </w:tcPr>
          <w:p w14:paraId="29D412A0"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3 511,2</w:t>
            </w:r>
          </w:p>
        </w:tc>
        <w:tc>
          <w:tcPr>
            <w:tcW w:w="850" w:type="dxa"/>
            <w:tcBorders>
              <w:top w:val="single" w:sz="4" w:space="0" w:color="auto"/>
              <w:left w:val="nil"/>
              <w:bottom w:val="single" w:sz="4" w:space="0" w:color="auto"/>
              <w:right w:val="single" w:sz="4" w:space="0" w:color="auto"/>
            </w:tcBorders>
            <w:noWrap/>
            <w:vAlign w:val="bottom"/>
            <w:hideMark/>
          </w:tcPr>
          <w:p w14:paraId="47DB46F7"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3 618,4</w:t>
            </w:r>
          </w:p>
        </w:tc>
        <w:tc>
          <w:tcPr>
            <w:tcW w:w="851" w:type="dxa"/>
            <w:tcBorders>
              <w:top w:val="single" w:sz="4" w:space="0" w:color="auto"/>
              <w:left w:val="nil"/>
              <w:bottom w:val="single" w:sz="4" w:space="0" w:color="auto"/>
              <w:right w:val="single" w:sz="4" w:space="0" w:color="auto"/>
            </w:tcBorders>
            <w:vAlign w:val="bottom"/>
          </w:tcPr>
          <w:p w14:paraId="423E3D1C"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3 706,7</w:t>
            </w:r>
          </w:p>
        </w:tc>
        <w:tc>
          <w:tcPr>
            <w:tcW w:w="851" w:type="dxa"/>
            <w:tcBorders>
              <w:top w:val="single" w:sz="4" w:space="0" w:color="auto"/>
              <w:left w:val="nil"/>
              <w:bottom w:val="single" w:sz="4" w:space="0" w:color="auto"/>
              <w:right w:val="single" w:sz="4" w:space="0" w:color="auto"/>
            </w:tcBorders>
            <w:vAlign w:val="bottom"/>
          </w:tcPr>
          <w:p w14:paraId="68BB2AAB"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3 544,9</w:t>
            </w:r>
          </w:p>
        </w:tc>
        <w:tc>
          <w:tcPr>
            <w:tcW w:w="850" w:type="dxa"/>
            <w:tcBorders>
              <w:top w:val="single" w:sz="4" w:space="0" w:color="auto"/>
              <w:left w:val="nil"/>
              <w:bottom w:val="single" w:sz="4" w:space="0" w:color="auto"/>
              <w:right w:val="single" w:sz="4" w:space="0" w:color="auto"/>
            </w:tcBorders>
            <w:vAlign w:val="bottom"/>
          </w:tcPr>
          <w:p w14:paraId="6F60D79B"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3 693,0</w:t>
            </w:r>
          </w:p>
        </w:tc>
        <w:tc>
          <w:tcPr>
            <w:tcW w:w="852" w:type="dxa"/>
            <w:tcBorders>
              <w:top w:val="single" w:sz="4" w:space="0" w:color="auto"/>
              <w:left w:val="single" w:sz="4" w:space="0" w:color="auto"/>
              <w:bottom w:val="single" w:sz="4" w:space="0" w:color="auto"/>
              <w:right w:val="single" w:sz="4" w:space="0" w:color="auto"/>
            </w:tcBorders>
            <w:noWrap/>
            <w:vAlign w:val="bottom"/>
            <w:hideMark/>
          </w:tcPr>
          <w:p w14:paraId="713C4E51"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3 777,6</w:t>
            </w:r>
          </w:p>
        </w:tc>
      </w:tr>
      <w:tr w:rsidR="00E67A69" w:rsidRPr="00E67A69" w14:paraId="2C571F77" w14:textId="77777777" w:rsidTr="00C217B4">
        <w:trPr>
          <w:trHeight w:val="88"/>
          <w:jc w:val="center"/>
        </w:trPr>
        <w:tc>
          <w:tcPr>
            <w:tcW w:w="2141" w:type="dxa"/>
            <w:tcBorders>
              <w:top w:val="nil"/>
              <w:left w:val="single" w:sz="4" w:space="0" w:color="auto"/>
              <w:bottom w:val="single" w:sz="4" w:space="0" w:color="auto"/>
              <w:right w:val="single" w:sz="4" w:space="0" w:color="auto"/>
            </w:tcBorders>
            <w:noWrap/>
            <w:vAlign w:val="center"/>
            <w:hideMark/>
          </w:tcPr>
          <w:p w14:paraId="4AAD922C" w14:textId="77777777" w:rsidR="00E67A69" w:rsidRPr="00E67A69" w:rsidRDefault="00E67A69" w:rsidP="00E67A69">
            <w:pPr>
              <w:spacing w:after="0"/>
              <w:ind w:left="32" w:firstLine="0"/>
              <w:rPr>
                <w:rFonts w:eastAsia="Times New Roman" w:cs="Times New Roman"/>
                <w:sz w:val="18"/>
                <w:szCs w:val="18"/>
              </w:rPr>
            </w:pPr>
            <w:r w:rsidRPr="00E67A69">
              <w:rPr>
                <w:rFonts w:eastAsia="Times New Roman" w:cs="Times New Roman"/>
                <w:sz w:val="18"/>
                <w:szCs w:val="18"/>
              </w:rPr>
              <w:t>Kapitālie izdevumi</w:t>
            </w:r>
          </w:p>
        </w:tc>
        <w:tc>
          <w:tcPr>
            <w:tcW w:w="851" w:type="dxa"/>
            <w:tcBorders>
              <w:top w:val="nil"/>
              <w:left w:val="single" w:sz="4" w:space="0" w:color="auto"/>
              <w:bottom w:val="single" w:sz="4" w:space="0" w:color="auto"/>
              <w:right w:val="single" w:sz="4" w:space="0" w:color="auto"/>
            </w:tcBorders>
            <w:noWrap/>
            <w:vAlign w:val="bottom"/>
          </w:tcPr>
          <w:p w14:paraId="7FCD7573"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487,3</w:t>
            </w:r>
          </w:p>
        </w:tc>
        <w:tc>
          <w:tcPr>
            <w:tcW w:w="850" w:type="dxa"/>
            <w:tcBorders>
              <w:top w:val="nil"/>
              <w:left w:val="nil"/>
              <w:bottom w:val="single" w:sz="4" w:space="0" w:color="auto"/>
              <w:right w:val="single" w:sz="4" w:space="0" w:color="auto"/>
            </w:tcBorders>
            <w:noWrap/>
            <w:vAlign w:val="bottom"/>
            <w:hideMark/>
          </w:tcPr>
          <w:p w14:paraId="081FCA52"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649,1</w:t>
            </w:r>
          </w:p>
        </w:tc>
        <w:tc>
          <w:tcPr>
            <w:tcW w:w="851" w:type="dxa"/>
            <w:tcBorders>
              <w:top w:val="nil"/>
              <w:left w:val="nil"/>
              <w:bottom w:val="single" w:sz="4" w:space="0" w:color="auto"/>
              <w:right w:val="single" w:sz="4" w:space="0" w:color="auto"/>
            </w:tcBorders>
            <w:noWrap/>
            <w:vAlign w:val="bottom"/>
            <w:hideMark/>
          </w:tcPr>
          <w:p w14:paraId="46A163E9"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629,2</w:t>
            </w:r>
          </w:p>
        </w:tc>
        <w:tc>
          <w:tcPr>
            <w:tcW w:w="850" w:type="dxa"/>
            <w:tcBorders>
              <w:top w:val="nil"/>
              <w:left w:val="nil"/>
              <w:bottom w:val="single" w:sz="4" w:space="0" w:color="auto"/>
              <w:right w:val="single" w:sz="4" w:space="0" w:color="auto"/>
            </w:tcBorders>
            <w:noWrap/>
            <w:vAlign w:val="bottom"/>
            <w:hideMark/>
          </w:tcPr>
          <w:p w14:paraId="3882BD5C"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609,5</w:t>
            </w:r>
          </w:p>
        </w:tc>
        <w:tc>
          <w:tcPr>
            <w:tcW w:w="851" w:type="dxa"/>
            <w:tcBorders>
              <w:top w:val="nil"/>
              <w:left w:val="nil"/>
              <w:bottom w:val="single" w:sz="4" w:space="0" w:color="auto"/>
              <w:right w:val="single" w:sz="4" w:space="0" w:color="auto"/>
            </w:tcBorders>
            <w:vAlign w:val="bottom"/>
          </w:tcPr>
          <w:p w14:paraId="0AA7327D" w14:textId="77777777" w:rsidR="00E67A69" w:rsidRPr="00E67A69" w:rsidRDefault="00E67A69" w:rsidP="00E67A69">
            <w:pPr>
              <w:spacing w:after="0"/>
              <w:ind w:firstLine="0"/>
              <w:jc w:val="center"/>
              <w:rPr>
                <w:rFonts w:cs="Times New Roman"/>
                <w:sz w:val="18"/>
                <w:szCs w:val="18"/>
              </w:rPr>
            </w:pPr>
            <w:r w:rsidRPr="00E67A69">
              <w:rPr>
                <w:rFonts w:cs="Times New Roman"/>
                <w:color w:val="000000"/>
                <w:sz w:val="18"/>
                <w:szCs w:val="18"/>
              </w:rPr>
              <w:t>630,7</w:t>
            </w:r>
          </w:p>
        </w:tc>
        <w:tc>
          <w:tcPr>
            <w:tcW w:w="851" w:type="dxa"/>
            <w:tcBorders>
              <w:top w:val="single" w:sz="4" w:space="0" w:color="auto"/>
              <w:left w:val="nil"/>
              <w:bottom w:val="single" w:sz="4" w:space="0" w:color="auto"/>
              <w:right w:val="single" w:sz="4" w:space="0" w:color="auto"/>
            </w:tcBorders>
            <w:vAlign w:val="bottom"/>
          </w:tcPr>
          <w:p w14:paraId="4B48A480"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585,8</w:t>
            </w:r>
          </w:p>
        </w:tc>
        <w:tc>
          <w:tcPr>
            <w:tcW w:w="850" w:type="dxa"/>
            <w:tcBorders>
              <w:top w:val="nil"/>
              <w:left w:val="nil"/>
              <w:bottom w:val="single" w:sz="4" w:space="0" w:color="auto"/>
              <w:right w:val="single" w:sz="4" w:space="0" w:color="auto"/>
            </w:tcBorders>
            <w:vAlign w:val="bottom"/>
          </w:tcPr>
          <w:p w14:paraId="3CDB9A17" w14:textId="77777777" w:rsidR="00E67A69" w:rsidRPr="00E67A69" w:rsidRDefault="00E67A69" w:rsidP="00E67A69">
            <w:pPr>
              <w:spacing w:after="0"/>
              <w:ind w:firstLine="0"/>
              <w:jc w:val="right"/>
              <w:rPr>
                <w:rFonts w:cs="Times New Roman"/>
                <w:sz w:val="18"/>
                <w:szCs w:val="18"/>
              </w:rPr>
            </w:pPr>
            <w:r w:rsidRPr="00E67A69">
              <w:rPr>
                <w:rFonts w:cs="Times New Roman"/>
                <w:color w:val="000000"/>
                <w:sz w:val="18"/>
                <w:szCs w:val="18"/>
              </w:rPr>
              <w:t>573,9</w:t>
            </w:r>
          </w:p>
        </w:tc>
        <w:tc>
          <w:tcPr>
            <w:tcW w:w="852" w:type="dxa"/>
            <w:tcBorders>
              <w:top w:val="nil"/>
              <w:left w:val="single" w:sz="4" w:space="0" w:color="auto"/>
              <w:bottom w:val="single" w:sz="4" w:space="0" w:color="auto"/>
              <w:right w:val="single" w:sz="4" w:space="0" w:color="auto"/>
            </w:tcBorders>
            <w:noWrap/>
            <w:vAlign w:val="bottom"/>
            <w:hideMark/>
          </w:tcPr>
          <w:p w14:paraId="4FB34B28" w14:textId="77777777" w:rsidR="00E67A69" w:rsidRPr="00E67A69" w:rsidRDefault="00E67A69" w:rsidP="00E67A69">
            <w:pPr>
              <w:spacing w:after="0"/>
              <w:ind w:firstLine="0"/>
              <w:jc w:val="right"/>
              <w:rPr>
                <w:rFonts w:eastAsia="Times New Roman" w:cs="Times New Roman"/>
                <w:sz w:val="18"/>
                <w:szCs w:val="18"/>
              </w:rPr>
            </w:pPr>
            <w:r w:rsidRPr="00E67A69">
              <w:rPr>
                <w:rFonts w:cs="Times New Roman"/>
                <w:color w:val="000000"/>
                <w:sz w:val="18"/>
                <w:szCs w:val="18"/>
              </w:rPr>
              <w:t>619,4</w:t>
            </w:r>
          </w:p>
        </w:tc>
      </w:tr>
    </w:tbl>
    <w:p w14:paraId="7BDFAF6F" w14:textId="77777777" w:rsidR="00BC40C9" w:rsidRPr="00D8017D" w:rsidRDefault="00BC40C9" w:rsidP="00AB3311">
      <w:pPr>
        <w:spacing w:after="0"/>
        <w:ind w:firstLine="0"/>
        <w:rPr>
          <w:highlight w:val="lightGray"/>
        </w:rPr>
      </w:pPr>
    </w:p>
    <w:p w14:paraId="406C13F2" w14:textId="407F7C12" w:rsidR="003F3FCD" w:rsidRPr="00AB3311" w:rsidRDefault="005D361F" w:rsidP="00AB3311">
      <w:pPr>
        <w:pStyle w:val="Heading3"/>
        <w:numPr>
          <w:ilvl w:val="0"/>
          <w:numId w:val="0"/>
        </w:numPr>
        <w:spacing w:before="120"/>
        <w:ind w:left="425"/>
      </w:pPr>
      <w:bookmarkStart w:id="61" w:name="_Toc210289891"/>
      <w:r w:rsidRPr="00AB3311">
        <w:t>2.2.</w:t>
      </w:r>
      <w:r w:rsidR="00846E8F">
        <w:t>3</w:t>
      </w:r>
      <w:r w:rsidRPr="00AB3311">
        <w:t>.</w:t>
      </w:r>
      <w:r w:rsidR="006C030A" w:rsidRPr="00AB3311">
        <w:t xml:space="preserve"> </w:t>
      </w:r>
      <w:r w:rsidR="000548A5" w:rsidRPr="00AB3311">
        <w:t xml:space="preserve">Budžeta prognožu salīdzinājums ar aktuālajām </w:t>
      </w:r>
      <w:r w:rsidR="00531C50" w:rsidRPr="00AB3311">
        <w:t>EK</w:t>
      </w:r>
      <w:r w:rsidR="000548A5" w:rsidRPr="00AB3311">
        <w:t xml:space="preserve"> prognozēm</w:t>
      </w:r>
      <w:bookmarkEnd w:id="61"/>
    </w:p>
    <w:p w14:paraId="66CA40E3" w14:textId="60E76FA8" w:rsidR="00AB3311" w:rsidRPr="00854F1A" w:rsidRDefault="00AB3311" w:rsidP="00AB3311">
      <w:pPr>
        <w:rPr>
          <w:color w:val="000000" w:themeColor="text1"/>
        </w:rPr>
      </w:pPr>
      <w:bookmarkStart w:id="62" w:name="_Toc210289892"/>
      <w:r w:rsidRPr="008B2FFF">
        <w:rPr>
          <w:rFonts w:eastAsia="Calibri" w:cs="Times New Roman"/>
          <w:bCs/>
          <w:szCs w:val="28"/>
          <w:lang w:eastAsia="en-US"/>
        </w:rPr>
        <w:t xml:space="preserve">Salīdzinot FM sagatavotās vispārējās valdības budžeta prognozes ar aktuālajām EK prognozēm, ir būtiski ņemt vērā to izstrādes laiku. Paskaidrojumu sagatavošanas brīdī ir pieejamas EK fiskālās prognozes, kas tika publicētas 2025. gada pavasarī. </w:t>
      </w:r>
      <w:r>
        <w:rPr>
          <w:rFonts w:eastAsia="Calibri" w:cs="Times New Roman"/>
          <w:bCs/>
          <w:szCs w:val="28"/>
          <w:lang w:eastAsia="en-US"/>
        </w:rPr>
        <w:t xml:space="preserve">Savukārt </w:t>
      </w:r>
      <w:r w:rsidRPr="008B2FFF">
        <w:rPr>
          <w:rFonts w:eastAsia="Calibri" w:cs="Times New Roman"/>
          <w:bCs/>
          <w:szCs w:val="28"/>
          <w:lang w:eastAsia="en-US"/>
        </w:rPr>
        <w:t>Latvijas nacionāl</w:t>
      </w:r>
      <w:r>
        <w:rPr>
          <w:rFonts w:eastAsia="Calibri" w:cs="Times New Roman"/>
          <w:bCs/>
          <w:szCs w:val="28"/>
          <w:lang w:eastAsia="en-US"/>
        </w:rPr>
        <w:t>ās</w:t>
      </w:r>
      <w:r w:rsidRPr="008B2FFF">
        <w:rPr>
          <w:rFonts w:eastAsia="Calibri" w:cs="Times New Roman"/>
          <w:bCs/>
          <w:szCs w:val="28"/>
          <w:lang w:eastAsia="en-US"/>
        </w:rPr>
        <w:t xml:space="preserve"> </w:t>
      </w:r>
      <w:r>
        <w:rPr>
          <w:rFonts w:eastAsia="Calibri" w:cs="Times New Roman"/>
          <w:bCs/>
          <w:szCs w:val="28"/>
          <w:lang w:eastAsia="en-US"/>
        </w:rPr>
        <w:t xml:space="preserve">2025.-2026. gada vispārējās valdības budžeta deficīta </w:t>
      </w:r>
      <w:r w:rsidRPr="008B2FFF">
        <w:rPr>
          <w:rFonts w:eastAsia="Calibri" w:cs="Times New Roman"/>
          <w:bCs/>
          <w:szCs w:val="28"/>
          <w:lang w:eastAsia="en-US"/>
        </w:rPr>
        <w:t>prognoz</w:t>
      </w:r>
      <w:r>
        <w:rPr>
          <w:rFonts w:eastAsia="Calibri" w:cs="Times New Roman"/>
          <w:bCs/>
          <w:szCs w:val="28"/>
          <w:lang w:eastAsia="en-US"/>
        </w:rPr>
        <w:t>es</w:t>
      </w:r>
      <w:r w:rsidRPr="008B2FFF">
        <w:rPr>
          <w:rFonts w:eastAsia="Calibri" w:cs="Times New Roman"/>
          <w:bCs/>
          <w:szCs w:val="28"/>
          <w:lang w:eastAsia="en-US"/>
        </w:rPr>
        <w:t xml:space="preserve"> tika</w:t>
      </w:r>
      <w:r>
        <w:rPr>
          <w:rFonts w:eastAsia="Calibri" w:cs="Times New Roman"/>
          <w:bCs/>
          <w:szCs w:val="28"/>
          <w:lang w:eastAsia="en-US"/>
        </w:rPr>
        <w:t xml:space="preserve"> sagatavotas, izmantojot</w:t>
      </w:r>
      <w:r w:rsidRPr="008B2FFF">
        <w:rPr>
          <w:rFonts w:eastAsia="Calibri" w:cs="Times New Roman"/>
          <w:bCs/>
          <w:szCs w:val="28"/>
          <w:lang w:eastAsia="en-US"/>
        </w:rPr>
        <w:t xml:space="preserve"> 2025.</w:t>
      </w:r>
      <w:r>
        <w:rPr>
          <w:rFonts w:eastAsia="Calibri" w:cs="Times New Roman"/>
          <w:bCs/>
          <w:szCs w:val="28"/>
          <w:lang w:eastAsia="en-US"/>
        </w:rPr>
        <w:t> </w:t>
      </w:r>
      <w:r w:rsidRPr="008B2FFF">
        <w:rPr>
          <w:rFonts w:eastAsia="Calibri" w:cs="Times New Roman"/>
          <w:bCs/>
          <w:szCs w:val="28"/>
          <w:lang w:eastAsia="en-US"/>
        </w:rPr>
        <w:t xml:space="preserve">gada jūnijā izstrādāto un Fiskālās disciplīnas padomes apstiprināto </w:t>
      </w:r>
      <w:r>
        <w:rPr>
          <w:rFonts w:eastAsia="Calibri" w:cs="Times New Roman"/>
          <w:bCs/>
          <w:szCs w:val="28"/>
          <w:lang w:eastAsia="en-US"/>
        </w:rPr>
        <w:t>IKP prognozi</w:t>
      </w:r>
      <w:r w:rsidRPr="008B2FFF">
        <w:rPr>
          <w:rFonts w:eastAsia="Calibri" w:cs="Times New Roman"/>
          <w:bCs/>
          <w:szCs w:val="28"/>
          <w:lang w:eastAsia="en-US"/>
        </w:rPr>
        <w:t>. Ieņēmumu</w:t>
      </w:r>
      <w:r w:rsidRPr="008B2FFF">
        <w:rPr>
          <w:rFonts w:eastAsia="Calibri" w:cs="Times New Roman"/>
          <w:bCs/>
          <w:noProof/>
          <w:szCs w:val="28"/>
          <w:lang w:eastAsia="en-US"/>
        </w:rPr>
        <w:t xml:space="preserve"> un izdevumu prognozes ir aktualizētas, ņemot vērā valdības pieņemtos lēmumus </w:t>
      </w:r>
      <w:r w:rsidR="00812C49">
        <w:rPr>
          <w:rFonts w:eastAsia="Calibri" w:cs="Times New Roman"/>
          <w:bCs/>
          <w:noProof/>
          <w:szCs w:val="28"/>
          <w:lang w:eastAsia="en-US"/>
        </w:rPr>
        <w:t xml:space="preserve">2025. gada </w:t>
      </w:r>
      <w:r w:rsidRPr="008B2FFF">
        <w:rPr>
          <w:rFonts w:eastAsia="Calibri" w:cs="Times New Roman"/>
          <w:bCs/>
          <w:noProof/>
          <w:szCs w:val="28"/>
          <w:lang w:eastAsia="en-US"/>
        </w:rPr>
        <w:t xml:space="preserve">augustā-septembrī </w:t>
      </w:r>
      <w:r w:rsidRPr="008B2FFF">
        <w:rPr>
          <w:color w:val="000000" w:themeColor="text1"/>
        </w:rPr>
        <w:t xml:space="preserve">attiecībā uz publiskā sektora izdevumu samazināšanu un prioritārajiem pasākumiem, galvenokārt novirzot papildu finansējumu </w:t>
      </w:r>
      <w:r>
        <w:rPr>
          <w:color w:val="000000" w:themeColor="text1"/>
        </w:rPr>
        <w:t>aizsardzībai</w:t>
      </w:r>
      <w:r w:rsidRPr="008B2FFF">
        <w:rPr>
          <w:color w:val="000000" w:themeColor="text1"/>
        </w:rPr>
        <w:t xml:space="preserve">, </w:t>
      </w:r>
      <w:r>
        <w:rPr>
          <w:color w:val="000000" w:themeColor="text1"/>
        </w:rPr>
        <w:t xml:space="preserve">izglītībai un </w:t>
      </w:r>
      <w:r w:rsidRPr="008B2FFF">
        <w:rPr>
          <w:color w:val="000000" w:themeColor="text1"/>
        </w:rPr>
        <w:t>atbalstam ģimenēm ar bērniem</w:t>
      </w:r>
      <w:r>
        <w:rPr>
          <w:color w:val="000000" w:themeColor="text1"/>
        </w:rPr>
        <w:t>.</w:t>
      </w:r>
    </w:p>
    <w:p w14:paraId="7828214C" w14:textId="5A8CD8E4" w:rsidR="00AB3311" w:rsidRPr="00FE74AD" w:rsidRDefault="00AB3311" w:rsidP="00AB3311">
      <w:pPr>
        <w:keepNext/>
        <w:spacing w:before="120"/>
        <w:ind w:firstLine="357"/>
        <w:jc w:val="right"/>
        <w:rPr>
          <w:rFonts w:eastAsia="Times New Roman" w:cs="Times New Roman"/>
          <w:i/>
          <w:szCs w:val="24"/>
          <w:lang w:eastAsia="en-US"/>
        </w:rPr>
      </w:pPr>
      <w:r w:rsidRPr="00AB3311">
        <w:rPr>
          <w:rFonts w:eastAsia="Times New Roman" w:cs="Times New Roman"/>
          <w:b/>
          <w:i/>
          <w:szCs w:val="24"/>
          <w:lang w:eastAsia="en-US"/>
        </w:rPr>
        <w:t>2.21</w:t>
      </w:r>
      <w:r w:rsidRPr="00FE74AD">
        <w:rPr>
          <w:rFonts w:eastAsia="Times New Roman" w:cs="Times New Roman"/>
          <w:b/>
          <w:i/>
          <w:szCs w:val="24"/>
          <w:lang w:eastAsia="en-US"/>
        </w:rPr>
        <w:t>. tabula</w:t>
      </w:r>
      <w:r>
        <w:rPr>
          <w:rFonts w:eastAsia="Times New Roman" w:cs="Times New Roman"/>
          <w:b/>
          <w:i/>
          <w:szCs w:val="24"/>
          <w:lang w:eastAsia="en-US"/>
        </w:rPr>
        <w:t>.</w:t>
      </w:r>
      <w:r w:rsidRPr="00FE74AD">
        <w:rPr>
          <w:rFonts w:eastAsia="Times New Roman" w:cs="Times New Roman"/>
          <w:b/>
          <w:i/>
          <w:szCs w:val="24"/>
          <w:lang w:eastAsia="en-US"/>
        </w:rPr>
        <w:t xml:space="preserve"> FM budžeta prognozes salīdzinājums ar EK prognozi, % no IKP</w:t>
      </w:r>
    </w:p>
    <w:tbl>
      <w:tblPr>
        <w:tblW w:w="9025" w:type="dxa"/>
        <w:jc w:val="center"/>
        <w:tblLook w:val="04A0" w:firstRow="1" w:lastRow="0" w:firstColumn="1" w:lastColumn="0" w:noHBand="0" w:noVBand="1"/>
      </w:tblPr>
      <w:tblGrid>
        <w:gridCol w:w="3397"/>
        <w:gridCol w:w="936"/>
        <w:gridCol w:w="936"/>
        <w:gridCol w:w="936"/>
        <w:gridCol w:w="948"/>
        <w:gridCol w:w="936"/>
        <w:gridCol w:w="936"/>
      </w:tblGrid>
      <w:tr w:rsidR="00AB3311" w:rsidRPr="00130AFF" w14:paraId="4E585FE1" w14:textId="77777777" w:rsidTr="00C217B4">
        <w:trPr>
          <w:trHeight w:val="246"/>
          <w:tblHeader/>
          <w:jc w:val="center"/>
        </w:trPr>
        <w:tc>
          <w:tcPr>
            <w:tcW w:w="3397"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14:paraId="369262D6" w14:textId="77777777" w:rsidR="00AB3311" w:rsidRPr="00130AFF" w:rsidRDefault="00AB3311" w:rsidP="00C217B4">
            <w:pPr>
              <w:spacing w:after="0"/>
              <w:ind w:firstLine="360"/>
              <w:jc w:val="center"/>
              <w:rPr>
                <w:rFonts w:eastAsia="Times New Roman" w:cs="Times New Roman"/>
                <w:color w:val="FF0000"/>
                <w:sz w:val="18"/>
                <w:szCs w:val="18"/>
              </w:rPr>
            </w:pPr>
          </w:p>
        </w:tc>
        <w:tc>
          <w:tcPr>
            <w:tcW w:w="1872" w:type="dxa"/>
            <w:gridSpan w:val="2"/>
            <w:tcBorders>
              <w:top w:val="single" w:sz="4" w:space="0" w:color="auto"/>
              <w:left w:val="single" w:sz="4" w:space="0" w:color="auto"/>
              <w:bottom w:val="single" w:sz="4" w:space="0" w:color="auto"/>
              <w:right w:val="double" w:sz="4" w:space="0" w:color="auto"/>
            </w:tcBorders>
            <w:shd w:val="clear" w:color="auto" w:fill="BDD6EE" w:themeFill="accent1" w:themeFillTint="66"/>
            <w:noWrap/>
            <w:vAlign w:val="center"/>
            <w:hideMark/>
          </w:tcPr>
          <w:p w14:paraId="28E679E5" w14:textId="77777777" w:rsidR="00AB3311" w:rsidRPr="00130AFF" w:rsidRDefault="00AB3311" w:rsidP="00C217B4">
            <w:pPr>
              <w:spacing w:after="0"/>
              <w:ind w:firstLine="0"/>
              <w:jc w:val="center"/>
              <w:rPr>
                <w:rFonts w:eastAsia="Times New Roman" w:cs="Times New Roman"/>
                <w:b/>
                <w:bCs/>
                <w:sz w:val="18"/>
                <w:szCs w:val="18"/>
              </w:rPr>
            </w:pPr>
            <w:r w:rsidRPr="00130AFF">
              <w:rPr>
                <w:rFonts w:eastAsia="Times New Roman" w:cs="Times New Roman"/>
                <w:b/>
                <w:bCs/>
                <w:sz w:val="18"/>
                <w:szCs w:val="18"/>
              </w:rPr>
              <w:t>LV</w:t>
            </w:r>
          </w:p>
        </w:tc>
        <w:tc>
          <w:tcPr>
            <w:tcW w:w="1884" w:type="dxa"/>
            <w:gridSpan w:val="2"/>
            <w:tcBorders>
              <w:top w:val="single" w:sz="4" w:space="0" w:color="auto"/>
              <w:left w:val="double" w:sz="4" w:space="0" w:color="auto"/>
              <w:bottom w:val="single" w:sz="4" w:space="0" w:color="auto"/>
              <w:right w:val="double" w:sz="4" w:space="0" w:color="auto"/>
            </w:tcBorders>
            <w:shd w:val="clear" w:color="auto" w:fill="BDD6EE" w:themeFill="accent1" w:themeFillTint="66"/>
            <w:vAlign w:val="center"/>
          </w:tcPr>
          <w:p w14:paraId="2CDF0AFA" w14:textId="77777777" w:rsidR="00AB3311" w:rsidRPr="00130AFF" w:rsidRDefault="00AB3311" w:rsidP="00C217B4">
            <w:pPr>
              <w:spacing w:after="0"/>
              <w:ind w:firstLine="0"/>
              <w:jc w:val="center"/>
              <w:rPr>
                <w:rFonts w:eastAsia="Times New Roman" w:cs="Times New Roman"/>
                <w:b/>
                <w:bCs/>
                <w:sz w:val="18"/>
                <w:szCs w:val="18"/>
              </w:rPr>
            </w:pPr>
            <w:r w:rsidRPr="00130AFF">
              <w:rPr>
                <w:rFonts w:eastAsia="Times New Roman" w:cs="Times New Roman"/>
                <w:b/>
                <w:bCs/>
                <w:sz w:val="18"/>
                <w:szCs w:val="18"/>
              </w:rPr>
              <w:t>EK</w:t>
            </w:r>
            <w:r w:rsidRPr="00130AFF">
              <w:rPr>
                <w:rFonts w:eastAsia="Times New Roman" w:cs="Times New Roman"/>
                <w:b/>
                <w:bCs/>
                <w:sz w:val="18"/>
                <w:szCs w:val="18"/>
              </w:rPr>
              <w:br/>
            </w:r>
            <w:r w:rsidRPr="00130AFF">
              <w:rPr>
                <w:rFonts w:eastAsia="Times New Roman" w:cs="Times New Roman"/>
                <w:bCs/>
                <w:sz w:val="18"/>
                <w:szCs w:val="18"/>
              </w:rPr>
              <w:t>(pavasaris</w:t>
            </w:r>
            <w:r>
              <w:rPr>
                <w:rFonts w:eastAsia="Times New Roman" w:cs="Times New Roman"/>
                <w:bCs/>
                <w:sz w:val="18"/>
                <w:szCs w:val="18"/>
              </w:rPr>
              <w:t xml:space="preserve">, </w:t>
            </w:r>
            <w:r w:rsidRPr="00130AFF">
              <w:rPr>
                <w:rFonts w:eastAsia="Times New Roman" w:cs="Times New Roman"/>
                <w:bCs/>
                <w:sz w:val="18"/>
                <w:szCs w:val="18"/>
              </w:rPr>
              <w:t>202</w:t>
            </w:r>
            <w:r>
              <w:rPr>
                <w:rFonts w:eastAsia="Times New Roman" w:cs="Times New Roman"/>
                <w:bCs/>
                <w:sz w:val="18"/>
                <w:szCs w:val="18"/>
              </w:rPr>
              <w:t>5</w:t>
            </w:r>
            <w:r w:rsidRPr="00130AFF">
              <w:rPr>
                <w:rFonts w:eastAsia="Times New Roman" w:cs="Times New Roman"/>
                <w:bCs/>
                <w:sz w:val="18"/>
                <w:szCs w:val="18"/>
              </w:rPr>
              <w:t>)</w:t>
            </w:r>
            <w:r w:rsidRPr="00130AFF">
              <w:rPr>
                <w:rFonts w:eastAsia="Times New Roman" w:cs="Times New Roman"/>
                <w:bCs/>
                <w:sz w:val="18"/>
                <w:szCs w:val="18"/>
                <w:vertAlign w:val="superscript"/>
              </w:rPr>
              <w:footnoteReference w:id="32"/>
            </w:r>
          </w:p>
        </w:tc>
        <w:tc>
          <w:tcPr>
            <w:tcW w:w="1872" w:type="dxa"/>
            <w:gridSpan w:val="2"/>
            <w:tcBorders>
              <w:top w:val="single" w:sz="4" w:space="0" w:color="auto"/>
              <w:left w:val="double" w:sz="4" w:space="0" w:color="auto"/>
              <w:bottom w:val="single" w:sz="4" w:space="0" w:color="auto"/>
              <w:right w:val="single" w:sz="4" w:space="0" w:color="auto"/>
            </w:tcBorders>
            <w:shd w:val="clear" w:color="auto" w:fill="BDD6EE" w:themeFill="accent1" w:themeFillTint="66"/>
            <w:vAlign w:val="center"/>
          </w:tcPr>
          <w:p w14:paraId="03B4E8EC" w14:textId="77777777" w:rsidR="00AB3311" w:rsidRPr="00130AFF" w:rsidRDefault="00AB3311" w:rsidP="00C217B4">
            <w:pPr>
              <w:spacing w:after="0"/>
              <w:ind w:firstLine="0"/>
              <w:jc w:val="center"/>
              <w:rPr>
                <w:rFonts w:eastAsia="Times New Roman" w:cs="Times New Roman"/>
                <w:b/>
                <w:bCs/>
                <w:sz w:val="18"/>
                <w:szCs w:val="18"/>
              </w:rPr>
            </w:pPr>
            <w:r w:rsidRPr="00130AFF">
              <w:rPr>
                <w:rFonts w:eastAsia="Times New Roman" w:cs="Times New Roman"/>
                <w:b/>
                <w:bCs/>
                <w:sz w:val="18"/>
                <w:szCs w:val="18"/>
              </w:rPr>
              <w:t>Starpība</w:t>
            </w:r>
            <w:r w:rsidRPr="00130AFF">
              <w:rPr>
                <w:rFonts w:eastAsia="Times New Roman" w:cs="Times New Roman"/>
                <w:b/>
                <w:bCs/>
                <w:sz w:val="18"/>
                <w:szCs w:val="18"/>
              </w:rPr>
              <w:br/>
            </w:r>
            <w:r w:rsidRPr="00130AFF">
              <w:rPr>
                <w:rFonts w:eastAsia="Times New Roman" w:cs="Times New Roman"/>
                <w:bCs/>
                <w:sz w:val="18"/>
                <w:szCs w:val="18"/>
              </w:rPr>
              <w:t>(</w:t>
            </w:r>
            <w:r>
              <w:rPr>
                <w:rFonts w:eastAsia="Times New Roman" w:cs="Times New Roman"/>
                <w:bCs/>
                <w:sz w:val="18"/>
                <w:szCs w:val="18"/>
              </w:rPr>
              <w:t>pp</w:t>
            </w:r>
            <w:r w:rsidRPr="00130AFF">
              <w:rPr>
                <w:rFonts w:eastAsia="Times New Roman" w:cs="Times New Roman"/>
                <w:bCs/>
                <w:sz w:val="18"/>
                <w:szCs w:val="18"/>
              </w:rPr>
              <w:t>)</w:t>
            </w:r>
          </w:p>
        </w:tc>
      </w:tr>
      <w:tr w:rsidR="00AB3311" w:rsidRPr="00A54B9F" w14:paraId="44F25364" w14:textId="77777777" w:rsidTr="00C217B4">
        <w:trPr>
          <w:trHeight w:val="246"/>
          <w:tblHeader/>
          <w:jc w:val="center"/>
        </w:trPr>
        <w:tc>
          <w:tcPr>
            <w:tcW w:w="3397"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tcPr>
          <w:p w14:paraId="2F6312C8" w14:textId="77777777" w:rsidR="00AB3311" w:rsidRPr="00130AFF" w:rsidRDefault="00AB3311" w:rsidP="00C217B4">
            <w:pPr>
              <w:spacing w:after="0"/>
              <w:ind w:firstLine="360"/>
              <w:jc w:val="left"/>
              <w:rPr>
                <w:rFonts w:eastAsia="Times New Roman" w:cs="Times New Roman"/>
                <w:color w:val="FF0000"/>
                <w:sz w:val="18"/>
                <w:szCs w:val="18"/>
              </w:rPr>
            </w:pPr>
          </w:p>
        </w:tc>
        <w:tc>
          <w:tcPr>
            <w:tcW w:w="93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06D4468C" w14:textId="77777777" w:rsidR="00AB3311" w:rsidRPr="00130AFF" w:rsidRDefault="00AB3311" w:rsidP="00C217B4">
            <w:pPr>
              <w:spacing w:after="0"/>
              <w:ind w:firstLine="360"/>
              <w:jc w:val="center"/>
              <w:rPr>
                <w:rFonts w:eastAsia="Times New Roman" w:cs="Times New Roman"/>
                <w:b/>
                <w:bCs/>
                <w:sz w:val="18"/>
                <w:szCs w:val="18"/>
              </w:rPr>
            </w:pPr>
            <w:r w:rsidRPr="00130AFF">
              <w:rPr>
                <w:rFonts w:eastAsia="Times New Roman" w:cs="Times New Roman"/>
                <w:b/>
                <w:bCs/>
                <w:sz w:val="18"/>
                <w:szCs w:val="18"/>
              </w:rPr>
              <w:t>202</w:t>
            </w:r>
            <w:r>
              <w:rPr>
                <w:rFonts w:eastAsia="Times New Roman" w:cs="Times New Roman"/>
                <w:b/>
                <w:bCs/>
                <w:sz w:val="18"/>
                <w:szCs w:val="18"/>
              </w:rPr>
              <w:t>5</w:t>
            </w:r>
          </w:p>
        </w:tc>
        <w:tc>
          <w:tcPr>
            <w:tcW w:w="936" w:type="dxa"/>
            <w:tcBorders>
              <w:top w:val="single" w:sz="4" w:space="0" w:color="auto"/>
              <w:left w:val="nil"/>
              <w:bottom w:val="single" w:sz="4" w:space="0" w:color="auto"/>
              <w:right w:val="double" w:sz="4" w:space="0" w:color="auto"/>
            </w:tcBorders>
            <w:shd w:val="clear" w:color="auto" w:fill="BDD6EE" w:themeFill="accent1" w:themeFillTint="66"/>
            <w:vAlign w:val="center"/>
          </w:tcPr>
          <w:p w14:paraId="18A30BB4" w14:textId="77777777" w:rsidR="00AB3311" w:rsidRPr="00130AFF" w:rsidRDefault="00AB3311" w:rsidP="00C217B4">
            <w:pPr>
              <w:spacing w:after="0"/>
              <w:ind w:firstLine="360"/>
              <w:jc w:val="center"/>
              <w:rPr>
                <w:rFonts w:eastAsia="Times New Roman" w:cs="Times New Roman"/>
                <w:b/>
                <w:bCs/>
                <w:sz w:val="18"/>
                <w:szCs w:val="18"/>
              </w:rPr>
            </w:pPr>
            <w:r w:rsidRPr="00130AFF">
              <w:rPr>
                <w:rFonts w:eastAsia="Times New Roman" w:cs="Times New Roman"/>
                <w:b/>
                <w:bCs/>
                <w:sz w:val="18"/>
                <w:szCs w:val="18"/>
              </w:rPr>
              <w:t>202</w:t>
            </w:r>
            <w:r>
              <w:rPr>
                <w:rFonts w:eastAsia="Times New Roman" w:cs="Times New Roman"/>
                <w:b/>
                <w:bCs/>
                <w:sz w:val="18"/>
                <w:szCs w:val="18"/>
              </w:rPr>
              <w:t>6</w:t>
            </w:r>
          </w:p>
        </w:tc>
        <w:tc>
          <w:tcPr>
            <w:tcW w:w="936" w:type="dxa"/>
            <w:tcBorders>
              <w:top w:val="single" w:sz="4" w:space="0" w:color="auto"/>
              <w:left w:val="double" w:sz="4" w:space="0" w:color="auto"/>
              <w:bottom w:val="single" w:sz="4" w:space="0" w:color="auto"/>
              <w:right w:val="single" w:sz="4" w:space="0" w:color="auto"/>
            </w:tcBorders>
            <w:shd w:val="clear" w:color="auto" w:fill="BDD6EE" w:themeFill="accent1" w:themeFillTint="66"/>
            <w:vAlign w:val="center"/>
          </w:tcPr>
          <w:p w14:paraId="4204BDA0" w14:textId="77777777" w:rsidR="00AB3311" w:rsidRPr="00130AFF" w:rsidRDefault="00AB3311" w:rsidP="00C217B4">
            <w:pPr>
              <w:spacing w:after="0"/>
              <w:ind w:firstLine="360"/>
              <w:jc w:val="center"/>
              <w:rPr>
                <w:rFonts w:eastAsia="Times New Roman" w:cs="Times New Roman"/>
                <w:b/>
                <w:bCs/>
                <w:sz w:val="18"/>
                <w:szCs w:val="18"/>
              </w:rPr>
            </w:pPr>
            <w:r w:rsidRPr="00130AFF">
              <w:rPr>
                <w:rFonts w:eastAsia="Times New Roman" w:cs="Times New Roman"/>
                <w:b/>
                <w:bCs/>
                <w:sz w:val="18"/>
                <w:szCs w:val="18"/>
              </w:rPr>
              <w:t>202</w:t>
            </w:r>
            <w:r>
              <w:rPr>
                <w:rFonts w:eastAsia="Times New Roman" w:cs="Times New Roman"/>
                <w:b/>
                <w:bCs/>
                <w:sz w:val="18"/>
                <w:szCs w:val="18"/>
              </w:rPr>
              <w:t>5</w:t>
            </w:r>
          </w:p>
        </w:tc>
        <w:tc>
          <w:tcPr>
            <w:tcW w:w="948" w:type="dxa"/>
            <w:tcBorders>
              <w:top w:val="single" w:sz="4" w:space="0" w:color="auto"/>
              <w:left w:val="single" w:sz="4" w:space="0" w:color="auto"/>
              <w:bottom w:val="single" w:sz="4" w:space="0" w:color="auto"/>
              <w:right w:val="double" w:sz="4" w:space="0" w:color="auto"/>
            </w:tcBorders>
            <w:shd w:val="clear" w:color="auto" w:fill="BDD6EE" w:themeFill="accent1" w:themeFillTint="66"/>
            <w:noWrap/>
            <w:vAlign w:val="center"/>
          </w:tcPr>
          <w:p w14:paraId="4AEB76AB" w14:textId="77777777" w:rsidR="00AB3311" w:rsidRPr="00130AFF" w:rsidRDefault="00AB3311" w:rsidP="00C217B4">
            <w:pPr>
              <w:spacing w:after="0"/>
              <w:ind w:firstLine="360"/>
              <w:jc w:val="center"/>
              <w:rPr>
                <w:rFonts w:eastAsia="Times New Roman" w:cs="Times New Roman"/>
                <w:b/>
                <w:bCs/>
                <w:sz w:val="18"/>
                <w:szCs w:val="18"/>
              </w:rPr>
            </w:pPr>
            <w:r w:rsidRPr="00130AFF">
              <w:rPr>
                <w:rFonts w:eastAsia="Times New Roman" w:cs="Times New Roman"/>
                <w:b/>
                <w:bCs/>
                <w:sz w:val="18"/>
                <w:szCs w:val="18"/>
              </w:rPr>
              <w:t>202</w:t>
            </w:r>
            <w:r>
              <w:rPr>
                <w:rFonts w:eastAsia="Times New Roman" w:cs="Times New Roman"/>
                <w:b/>
                <w:bCs/>
                <w:sz w:val="18"/>
                <w:szCs w:val="18"/>
              </w:rPr>
              <w:t>6</w:t>
            </w:r>
          </w:p>
        </w:tc>
        <w:tc>
          <w:tcPr>
            <w:tcW w:w="936" w:type="dxa"/>
            <w:tcBorders>
              <w:top w:val="single" w:sz="4" w:space="0" w:color="auto"/>
              <w:left w:val="double" w:sz="4" w:space="0" w:color="auto"/>
              <w:bottom w:val="single" w:sz="4" w:space="0" w:color="auto"/>
              <w:right w:val="single" w:sz="4" w:space="0" w:color="auto"/>
            </w:tcBorders>
            <w:shd w:val="clear" w:color="auto" w:fill="BDD6EE" w:themeFill="accent1" w:themeFillTint="66"/>
            <w:vAlign w:val="center"/>
          </w:tcPr>
          <w:p w14:paraId="46346C44" w14:textId="77777777" w:rsidR="00AB3311" w:rsidRPr="00130AFF" w:rsidRDefault="00AB3311" w:rsidP="00C217B4">
            <w:pPr>
              <w:spacing w:after="0"/>
              <w:ind w:firstLine="360"/>
              <w:jc w:val="center"/>
              <w:rPr>
                <w:rFonts w:eastAsia="Times New Roman" w:cs="Times New Roman"/>
                <w:b/>
                <w:bCs/>
                <w:sz w:val="18"/>
                <w:szCs w:val="18"/>
              </w:rPr>
            </w:pPr>
            <w:r w:rsidRPr="00130AFF">
              <w:rPr>
                <w:rFonts w:eastAsia="Times New Roman" w:cs="Times New Roman"/>
                <w:b/>
                <w:bCs/>
                <w:sz w:val="18"/>
                <w:szCs w:val="18"/>
              </w:rPr>
              <w:t>202</w:t>
            </w:r>
            <w:r>
              <w:rPr>
                <w:rFonts w:eastAsia="Times New Roman" w:cs="Times New Roman"/>
                <w:b/>
                <w:bCs/>
                <w:sz w:val="18"/>
                <w:szCs w:val="18"/>
              </w:rPr>
              <w:t>5</w:t>
            </w:r>
          </w:p>
        </w:tc>
        <w:tc>
          <w:tcPr>
            <w:tcW w:w="936"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tcPr>
          <w:p w14:paraId="642A46FD" w14:textId="77777777" w:rsidR="00AB3311" w:rsidRPr="00130AFF" w:rsidRDefault="00AB3311" w:rsidP="00C217B4">
            <w:pPr>
              <w:spacing w:after="0"/>
              <w:ind w:firstLine="360"/>
              <w:jc w:val="center"/>
              <w:rPr>
                <w:rFonts w:eastAsia="Times New Roman" w:cs="Times New Roman"/>
                <w:b/>
                <w:bCs/>
                <w:sz w:val="18"/>
                <w:szCs w:val="18"/>
              </w:rPr>
            </w:pPr>
            <w:r w:rsidRPr="00130AFF">
              <w:rPr>
                <w:rFonts w:eastAsia="Times New Roman" w:cs="Times New Roman"/>
                <w:b/>
                <w:bCs/>
                <w:sz w:val="18"/>
                <w:szCs w:val="18"/>
              </w:rPr>
              <w:t>202</w:t>
            </w:r>
            <w:r>
              <w:rPr>
                <w:rFonts w:eastAsia="Times New Roman" w:cs="Times New Roman"/>
                <w:b/>
                <w:bCs/>
                <w:sz w:val="18"/>
                <w:szCs w:val="18"/>
              </w:rPr>
              <w:t>6</w:t>
            </w:r>
          </w:p>
        </w:tc>
      </w:tr>
      <w:tr w:rsidR="00AB3311" w:rsidRPr="00A54B9F" w14:paraId="6B051966" w14:textId="77777777" w:rsidTr="00C217B4">
        <w:trPr>
          <w:trHeight w:val="166"/>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1F760A5B" w14:textId="77777777" w:rsidR="00AB3311" w:rsidRPr="00C503C7" w:rsidRDefault="00AB3311" w:rsidP="00C217B4">
            <w:pPr>
              <w:spacing w:after="0"/>
              <w:ind w:firstLine="0"/>
              <w:jc w:val="left"/>
              <w:rPr>
                <w:rFonts w:eastAsia="Times New Roman" w:cs="Times New Roman"/>
                <w:b/>
                <w:bCs/>
                <w:sz w:val="18"/>
                <w:szCs w:val="18"/>
              </w:rPr>
            </w:pPr>
            <w:r w:rsidRPr="00C503C7">
              <w:rPr>
                <w:rFonts w:eastAsia="Times New Roman" w:cs="Times New Roman"/>
                <w:b/>
                <w:bCs/>
                <w:sz w:val="18"/>
                <w:szCs w:val="18"/>
              </w:rPr>
              <w:t>Vispārējās valdības budžeta bilance</w:t>
            </w:r>
          </w:p>
        </w:tc>
        <w:tc>
          <w:tcPr>
            <w:tcW w:w="936" w:type="dxa"/>
            <w:tcBorders>
              <w:top w:val="single" w:sz="4" w:space="0" w:color="auto"/>
              <w:left w:val="single" w:sz="4" w:space="0" w:color="auto"/>
              <w:bottom w:val="single" w:sz="4" w:space="0" w:color="auto"/>
              <w:right w:val="single" w:sz="4" w:space="0" w:color="auto"/>
            </w:tcBorders>
            <w:noWrap/>
          </w:tcPr>
          <w:p w14:paraId="0E781589" w14:textId="77777777" w:rsidR="00AB3311" w:rsidRPr="00821AF1" w:rsidRDefault="00AB3311" w:rsidP="00C217B4">
            <w:pPr>
              <w:spacing w:after="0"/>
              <w:ind w:firstLine="360"/>
              <w:jc w:val="right"/>
              <w:rPr>
                <w:rFonts w:eastAsia="Times New Roman" w:cs="Times New Roman"/>
                <w:b/>
                <w:bCs/>
                <w:color w:val="FF0000"/>
                <w:sz w:val="18"/>
                <w:szCs w:val="18"/>
                <w:lang w:eastAsia="en-US"/>
              </w:rPr>
            </w:pPr>
            <w:r w:rsidRPr="00821AF1">
              <w:rPr>
                <w:rFonts w:cs="Times New Roman"/>
                <w:b/>
                <w:bCs/>
                <w:sz w:val="18"/>
                <w:szCs w:val="18"/>
              </w:rPr>
              <w:t>-2,9</w:t>
            </w:r>
          </w:p>
        </w:tc>
        <w:tc>
          <w:tcPr>
            <w:tcW w:w="936" w:type="dxa"/>
            <w:tcBorders>
              <w:top w:val="single" w:sz="4" w:space="0" w:color="auto"/>
              <w:left w:val="nil"/>
              <w:bottom w:val="single" w:sz="4" w:space="0" w:color="auto"/>
              <w:right w:val="double" w:sz="4" w:space="0" w:color="auto"/>
            </w:tcBorders>
          </w:tcPr>
          <w:p w14:paraId="2FDEDF65"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-3,3</w:t>
            </w:r>
          </w:p>
        </w:tc>
        <w:tc>
          <w:tcPr>
            <w:tcW w:w="936" w:type="dxa"/>
            <w:tcBorders>
              <w:top w:val="single" w:sz="4" w:space="0" w:color="auto"/>
              <w:left w:val="double" w:sz="4" w:space="0" w:color="auto"/>
              <w:bottom w:val="single" w:sz="4" w:space="0" w:color="auto"/>
              <w:right w:val="single" w:sz="4" w:space="0" w:color="auto"/>
            </w:tcBorders>
          </w:tcPr>
          <w:p w14:paraId="142CE921" w14:textId="77777777" w:rsidR="00AB3311" w:rsidRPr="00821AF1" w:rsidRDefault="00AB3311" w:rsidP="00C217B4">
            <w:pPr>
              <w:spacing w:after="0"/>
              <w:ind w:firstLine="360"/>
              <w:jc w:val="right"/>
              <w:rPr>
                <w:rFonts w:cs="Times New Roman"/>
                <w:b/>
                <w:bCs/>
                <w:color w:val="000000"/>
                <w:sz w:val="18"/>
                <w:szCs w:val="18"/>
              </w:rPr>
            </w:pPr>
            <w:r w:rsidRPr="00821AF1">
              <w:rPr>
                <w:rFonts w:cs="Times New Roman"/>
                <w:b/>
                <w:bCs/>
                <w:sz w:val="18"/>
                <w:szCs w:val="18"/>
              </w:rPr>
              <w:t>-3,1</w:t>
            </w:r>
          </w:p>
        </w:tc>
        <w:tc>
          <w:tcPr>
            <w:tcW w:w="948" w:type="dxa"/>
            <w:tcBorders>
              <w:top w:val="single" w:sz="4" w:space="0" w:color="auto"/>
              <w:left w:val="nil"/>
              <w:bottom w:val="single" w:sz="4" w:space="0" w:color="auto"/>
              <w:right w:val="double" w:sz="4" w:space="0" w:color="auto"/>
            </w:tcBorders>
            <w:noWrap/>
          </w:tcPr>
          <w:p w14:paraId="19F85CC0" w14:textId="77777777" w:rsidR="00AB3311" w:rsidRPr="00821AF1" w:rsidRDefault="00AB3311" w:rsidP="00C217B4">
            <w:pPr>
              <w:spacing w:after="0"/>
              <w:ind w:firstLine="360"/>
              <w:jc w:val="right"/>
              <w:rPr>
                <w:rFonts w:cs="Times New Roman"/>
                <w:b/>
                <w:bCs/>
                <w:color w:val="000000"/>
                <w:sz w:val="18"/>
                <w:szCs w:val="18"/>
              </w:rPr>
            </w:pPr>
            <w:r w:rsidRPr="00821AF1">
              <w:rPr>
                <w:rFonts w:cs="Times New Roman"/>
                <w:b/>
                <w:bCs/>
                <w:sz w:val="18"/>
                <w:szCs w:val="18"/>
              </w:rPr>
              <w:t>-3,1</w:t>
            </w:r>
          </w:p>
        </w:tc>
        <w:tc>
          <w:tcPr>
            <w:tcW w:w="936" w:type="dxa"/>
            <w:tcBorders>
              <w:top w:val="single" w:sz="4" w:space="0" w:color="auto"/>
              <w:left w:val="double" w:sz="4" w:space="0" w:color="auto"/>
              <w:bottom w:val="single" w:sz="4" w:space="0" w:color="auto"/>
              <w:right w:val="single" w:sz="4" w:space="0" w:color="auto"/>
            </w:tcBorders>
          </w:tcPr>
          <w:p w14:paraId="680AE958"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-0,2</w:t>
            </w:r>
          </w:p>
        </w:tc>
        <w:tc>
          <w:tcPr>
            <w:tcW w:w="936" w:type="dxa"/>
            <w:tcBorders>
              <w:top w:val="single" w:sz="4" w:space="0" w:color="auto"/>
              <w:left w:val="nil"/>
              <w:bottom w:val="single" w:sz="4" w:space="0" w:color="auto"/>
              <w:right w:val="single" w:sz="4" w:space="0" w:color="auto"/>
            </w:tcBorders>
            <w:noWrap/>
          </w:tcPr>
          <w:p w14:paraId="05A6CCA2" w14:textId="77777777" w:rsidR="00AB3311" w:rsidRPr="00821AF1" w:rsidRDefault="00AB3311" w:rsidP="00C217B4">
            <w:pPr>
              <w:spacing w:after="0"/>
              <w:ind w:firstLine="360"/>
              <w:jc w:val="right"/>
              <w:rPr>
                <w:rFonts w:eastAsia="Times New Roman" w:cs="Times New Roman"/>
                <w:b/>
                <w:bCs/>
                <w:sz w:val="18"/>
                <w:szCs w:val="18"/>
                <w:highlight w:val="yellow"/>
                <w:lang w:eastAsia="en-US"/>
              </w:rPr>
            </w:pPr>
            <w:r w:rsidRPr="00821AF1">
              <w:rPr>
                <w:rFonts w:cs="Times New Roman"/>
                <w:b/>
                <w:bCs/>
                <w:sz w:val="18"/>
                <w:szCs w:val="18"/>
              </w:rPr>
              <w:t>0,2</w:t>
            </w:r>
          </w:p>
        </w:tc>
      </w:tr>
      <w:tr w:rsidR="00AB3311" w:rsidRPr="00A54B9F" w14:paraId="583E3D1E" w14:textId="77777777" w:rsidTr="00C217B4">
        <w:trPr>
          <w:trHeight w:val="64"/>
          <w:jc w:val="center"/>
        </w:trPr>
        <w:tc>
          <w:tcPr>
            <w:tcW w:w="3397" w:type="dxa"/>
            <w:tcBorders>
              <w:top w:val="single" w:sz="4" w:space="0" w:color="auto"/>
              <w:left w:val="single" w:sz="4" w:space="0" w:color="auto"/>
              <w:bottom w:val="single" w:sz="4" w:space="0" w:color="auto"/>
              <w:right w:val="single" w:sz="4" w:space="0" w:color="auto"/>
            </w:tcBorders>
            <w:noWrap/>
            <w:vAlign w:val="center"/>
            <w:hideMark/>
          </w:tcPr>
          <w:p w14:paraId="3DAC40E3" w14:textId="77777777" w:rsidR="00AB3311" w:rsidRPr="00C503C7" w:rsidRDefault="00AB3311" w:rsidP="00C217B4">
            <w:pPr>
              <w:spacing w:after="0"/>
              <w:ind w:firstLine="0"/>
              <w:rPr>
                <w:rFonts w:eastAsia="Times New Roman" w:cs="Times New Roman"/>
                <w:b/>
                <w:sz w:val="18"/>
                <w:szCs w:val="18"/>
              </w:rPr>
            </w:pPr>
            <w:r w:rsidRPr="00C503C7">
              <w:rPr>
                <w:rFonts w:eastAsia="Times New Roman" w:cs="Times New Roman"/>
                <w:b/>
                <w:sz w:val="18"/>
                <w:szCs w:val="18"/>
              </w:rPr>
              <w:t>Ieņēmumi</w:t>
            </w:r>
          </w:p>
        </w:tc>
        <w:tc>
          <w:tcPr>
            <w:tcW w:w="936" w:type="dxa"/>
            <w:tcBorders>
              <w:top w:val="nil"/>
              <w:left w:val="single" w:sz="4" w:space="0" w:color="auto"/>
              <w:bottom w:val="single" w:sz="4" w:space="0" w:color="auto"/>
              <w:right w:val="single" w:sz="4" w:space="0" w:color="auto"/>
            </w:tcBorders>
            <w:noWrap/>
          </w:tcPr>
          <w:p w14:paraId="14420E6C" w14:textId="77777777" w:rsidR="00AB3311" w:rsidRPr="00821AF1" w:rsidRDefault="00AB3311" w:rsidP="00C217B4">
            <w:pPr>
              <w:spacing w:after="0"/>
              <w:ind w:firstLine="360"/>
              <w:jc w:val="right"/>
              <w:rPr>
                <w:rFonts w:eastAsia="Times New Roman" w:cs="Times New Roman"/>
                <w:b/>
                <w:bCs/>
                <w:color w:val="FF0000"/>
                <w:sz w:val="18"/>
                <w:szCs w:val="18"/>
                <w:lang w:eastAsia="en-US"/>
              </w:rPr>
            </w:pPr>
            <w:r w:rsidRPr="00821AF1">
              <w:rPr>
                <w:rFonts w:cs="Times New Roman"/>
                <w:b/>
                <w:bCs/>
                <w:sz w:val="18"/>
                <w:szCs w:val="18"/>
              </w:rPr>
              <w:t>44,6</w:t>
            </w:r>
          </w:p>
        </w:tc>
        <w:tc>
          <w:tcPr>
            <w:tcW w:w="936" w:type="dxa"/>
            <w:tcBorders>
              <w:top w:val="nil"/>
              <w:left w:val="nil"/>
              <w:bottom w:val="single" w:sz="4" w:space="0" w:color="auto"/>
              <w:right w:val="double" w:sz="4" w:space="0" w:color="auto"/>
            </w:tcBorders>
          </w:tcPr>
          <w:p w14:paraId="4530036D"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43,7</w:t>
            </w:r>
          </w:p>
        </w:tc>
        <w:tc>
          <w:tcPr>
            <w:tcW w:w="936" w:type="dxa"/>
            <w:tcBorders>
              <w:top w:val="single" w:sz="4" w:space="0" w:color="auto"/>
              <w:left w:val="double" w:sz="4" w:space="0" w:color="auto"/>
              <w:bottom w:val="single" w:sz="4" w:space="0" w:color="auto"/>
              <w:right w:val="single" w:sz="4" w:space="0" w:color="auto"/>
            </w:tcBorders>
          </w:tcPr>
          <w:p w14:paraId="5E003D4B"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44,4</w:t>
            </w:r>
          </w:p>
        </w:tc>
        <w:tc>
          <w:tcPr>
            <w:tcW w:w="948" w:type="dxa"/>
            <w:tcBorders>
              <w:top w:val="single" w:sz="4" w:space="0" w:color="auto"/>
              <w:left w:val="nil"/>
              <w:bottom w:val="single" w:sz="4" w:space="0" w:color="auto"/>
              <w:right w:val="double" w:sz="4" w:space="0" w:color="auto"/>
            </w:tcBorders>
            <w:noWrap/>
          </w:tcPr>
          <w:p w14:paraId="4A3C5823"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44,4</w:t>
            </w:r>
          </w:p>
        </w:tc>
        <w:tc>
          <w:tcPr>
            <w:tcW w:w="936" w:type="dxa"/>
            <w:tcBorders>
              <w:top w:val="nil"/>
              <w:left w:val="double" w:sz="4" w:space="0" w:color="auto"/>
              <w:bottom w:val="single" w:sz="4" w:space="0" w:color="auto"/>
              <w:right w:val="single" w:sz="4" w:space="0" w:color="auto"/>
            </w:tcBorders>
          </w:tcPr>
          <w:p w14:paraId="080E1427"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-0,2</w:t>
            </w:r>
          </w:p>
        </w:tc>
        <w:tc>
          <w:tcPr>
            <w:tcW w:w="936" w:type="dxa"/>
            <w:tcBorders>
              <w:top w:val="nil"/>
              <w:left w:val="nil"/>
              <w:bottom w:val="single" w:sz="4" w:space="0" w:color="auto"/>
              <w:right w:val="single" w:sz="4" w:space="0" w:color="auto"/>
            </w:tcBorders>
            <w:noWrap/>
          </w:tcPr>
          <w:p w14:paraId="1F27E30D"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0,7</w:t>
            </w:r>
          </w:p>
        </w:tc>
      </w:tr>
      <w:tr w:rsidR="00AB3311" w:rsidRPr="00A54B9F" w14:paraId="34126F3F" w14:textId="77777777" w:rsidTr="00C217B4">
        <w:trPr>
          <w:trHeight w:val="70"/>
          <w:jc w:val="center"/>
        </w:trPr>
        <w:tc>
          <w:tcPr>
            <w:tcW w:w="3397" w:type="dxa"/>
            <w:tcBorders>
              <w:top w:val="nil"/>
              <w:left w:val="single" w:sz="4" w:space="0" w:color="auto"/>
              <w:bottom w:val="single" w:sz="4" w:space="0" w:color="auto"/>
              <w:right w:val="single" w:sz="4" w:space="0" w:color="auto"/>
            </w:tcBorders>
            <w:noWrap/>
            <w:vAlign w:val="center"/>
            <w:hideMark/>
          </w:tcPr>
          <w:p w14:paraId="66BB881B" w14:textId="77777777" w:rsidR="00AB3311" w:rsidRPr="00C503C7" w:rsidRDefault="00AB3311" w:rsidP="00C217B4">
            <w:pPr>
              <w:spacing w:after="0"/>
              <w:ind w:firstLine="360"/>
              <w:rPr>
                <w:rFonts w:eastAsia="Times New Roman" w:cs="Times New Roman"/>
                <w:sz w:val="18"/>
                <w:szCs w:val="18"/>
              </w:rPr>
            </w:pPr>
            <w:r w:rsidRPr="00C503C7">
              <w:rPr>
                <w:rFonts w:eastAsia="Times New Roman" w:cs="Times New Roman"/>
                <w:sz w:val="18"/>
                <w:szCs w:val="18"/>
              </w:rPr>
              <w:t>Nodokļu ieņēmumi</w:t>
            </w:r>
            <w:r w:rsidRPr="00C503C7">
              <w:rPr>
                <w:rFonts w:eastAsia="Times New Roman" w:cs="Times New Roman"/>
                <w:sz w:val="18"/>
                <w:szCs w:val="18"/>
                <w:vertAlign w:val="superscript"/>
              </w:rPr>
              <w:footnoteReference w:id="33"/>
            </w:r>
          </w:p>
        </w:tc>
        <w:tc>
          <w:tcPr>
            <w:tcW w:w="936" w:type="dxa"/>
            <w:tcBorders>
              <w:top w:val="nil"/>
              <w:left w:val="single" w:sz="4" w:space="0" w:color="auto"/>
              <w:bottom w:val="single" w:sz="4" w:space="0" w:color="auto"/>
              <w:right w:val="single" w:sz="4" w:space="0" w:color="auto"/>
            </w:tcBorders>
            <w:noWrap/>
          </w:tcPr>
          <w:p w14:paraId="43615657"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35,9</w:t>
            </w:r>
          </w:p>
        </w:tc>
        <w:tc>
          <w:tcPr>
            <w:tcW w:w="936" w:type="dxa"/>
            <w:tcBorders>
              <w:top w:val="nil"/>
              <w:left w:val="nil"/>
              <w:bottom w:val="single" w:sz="4" w:space="0" w:color="auto"/>
              <w:right w:val="double" w:sz="4" w:space="0" w:color="auto"/>
            </w:tcBorders>
          </w:tcPr>
          <w:p w14:paraId="083A1BFA"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35,9</w:t>
            </w:r>
          </w:p>
        </w:tc>
        <w:tc>
          <w:tcPr>
            <w:tcW w:w="936" w:type="dxa"/>
            <w:tcBorders>
              <w:top w:val="single" w:sz="4" w:space="0" w:color="auto"/>
              <w:left w:val="double" w:sz="4" w:space="0" w:color="auto"/>
              <w:bottom w:val="single" w:sz="4" w:space="0" w:color="auto"/>
              <w:right w:val="single" w:sz="4" w:space="0" w:color="auto"/>
            </w:tcBorders>
          </w:tcPr>
          <w:p w14:paraId="38500D87"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35,3</w:t>
            </w:r>
          </w:p>
        </w:tc>
        <w:tc>
          <w:tcPr>
            <w:tcW w:w="948" w:type="dxa"/>
            <w:tcBorders>
              <w:top w:val="single" w:sz="4" w:space="0" w:color="auto"/>
              <w:left w:val="nil"/>
              <w:bottom w:val="single" w:sz="4" w:space="0" w:color="auto"/>
              <w:right w:val="double" w:sz="4" w:space="0" w:color="auto"/>
            </w:tcBorders>
            <w:noWrap/>
          </w:tcPr>
          <w:p w14:paraId="7223C75C"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35,4</w:t>
            </w:r>
          </w:p>
        </w:tc>
        <w:tc>
          <w:tcPr>
            <w:tcW w:w="936" w:type="dxa"/>
            <w:tcBorders>
              <w:top w:val="nil"/>
              <w:left w:val="double" w:sz="4" w:space="0" w:color="auto"/>
              <w:bottom w:val="single" w:sz="4" w:space="0" w:color="auto"/>
              <w:right w:val="single" w:sz="4" w:space="0" w:color="auto"/>
            </w:tcBorders>
          </w:tcPr>
          <w:p w14:paraId="61A41406"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-0,6</w:t>
            </w:r>
          </w:p>
        </w:tc>
        <w:tc>
          <w:tcPr>
            <w:tcW w:w="936" w:type="dxa"/>
            <w:tcBorders>
              <w:top w:val="nil"/>
              <w:left w:val="nil"/>
              <w:bottom w:val="single" w:sz="4" w:space="0" w:color="auto"/>
              <w:right w:val="single" w:sz="4" w:space="0" w:color="auto"/>
            </w:tcBorders>
            <w:noWrap/>
          </w:tcPr>
          <w:p w14:paraId="6EA110E7"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-0,5</w:t>
            </w:r>
          </w:p>
        </w:tc>
      </w:tr>
      <w:tr w:rsidR="00AB3311" w:rsidRPr="00A54B9F" w14:paraId="47E3FECF" w14:textId="77777777" w:rsidTr="00C217B4">
        <w:trPr>
          <w:trHeight w:val="70"/>
          <w:jc w:val="center"/>
        </w:trPr>
        <w:tc>
          <w:tcPr>
            <w:tcW w:w="3397" w:type="dxa"/>
            <w:tcBorders>
              <w:top w:val="nil"/>
              <w:left w:val="single" w:sz="4" w:space="0" w:color="auto"/>
              <w:bottom w:val="single" w:sz="4" w:space="0" w:color="auto"/>
              <w:right w:val="single" w:sz="4" w:space="0" w:color="auto"/>
            </w:tcBorders>
            <w:noWrap/>
            <w:vAlign w:val="center"/>
          </w:tcPr>
          <w:p w14:paraId="42428B25" w14:textId="77777777" w:rsidR="00AB3311" w:rsidRPr="00C503C7" w:rsidRDefault="00AB3311" w:rsidP="00C217B4">
            <w:pPr>
              <w:spacing w:after="0"/>
              <w:ind w:firstLine="0"/>
              <w:jc w:val="center"/>
              <w:rPr>
                <w:rFonts w:eastAsia="Times New Roman" w:cs="Times New Roman"/>
                <w:i/>
                <w:iCs/>
                <w:sz w:val="18"/>
                <w:szCs w:val="18"/>
              </w:rPr>
            </w:pPr>
            <w:r w:rsidRPr="00C503C7">
              <w:rPr>
                <w:rFonts w:eastAsia="Times New Roman" w:cs="Times New Roman"/>
                <w:i/>
                <w:iCs/>
                <w:sz w:val="18"/>
                <w:szCs w:val="18"/>
              </w:rPr>
              <w:t xml:space="preserve"> Ražošanas un importa nodokļi</w:t>
            </w:r>
          </w:p>
        </w:tc>
        <w:tc>
          <w:tcPr>
            <w:tcW w:w="936" w:type="dxa"/>
            <w:tcBorders>
              <w:top w:val="nil"/>
              <w:left w:val="single" w:sz="4" w:space="0" w:color="auto"/>
              <w:bottom w:val="single" w:sz="4" w:space="0" w:color="auto"/>
              <w:right w:val="single" w:sz="4" w:space="0" w:color="auto"/>
            </w:tcBorders>
            <w:noWrap/>
          </w:tcPr>
          <w:p w14:paraId="0DE0DA51"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14,8</w:t>
            </w:r>
          </w:p>
        </w:tc>
        <w:tc>
          <w:tcPr>
            <w:tcW w:w="936" w:type="dxa"/>
            <w:tcBorders>
              <w:top w:val="nil"/>
              <w:left w:val="nil"/>
              <w:bottom w:val="single" w:sz="4" w:space="0" w:color="auto"/>
              <w:right w:val="double" w:sz="4" w:space="0" w:color="auto"/>
            </w:tcBorders>
          </w:tcPr>
          <w:p w14:paraId="06242108"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14,7</w:t>
            </w:r>
          </w:p>
        </w:tc>
        <w:tc>
          <w:tcPr>
            <w:tcW w:w="936" w:type="dxa"/>
            <w:tcBorders>
              <w:top w:val="single" w:sz="4" w:space="0" w:color="auto"/>
              <w:left w:val="double" w:sz="4" w:space="0" w:color="auto"/>
              <w:bottom w:val="single" w:sz="4" w:space="0" w:color="auto"/>
              <w:right w:val="single" w:sz="4" w:space="0" w:color="auto"/>
            </w:tcBorders>
          </w:tcPr>
          <w:p w14:paraId="3313EDF3" w14:textId="77777777" w:rsidR="00AB3311" w:rsidRPr="00821AF1" w:rsidRDefault="00AB3311" w:rsidP="00C217B4">
            <w:pPr>
              <w:spacing w:after="0"/>
              <w:ind w:firstLine="360"/>
              <w:jc w:val="right"/>
              <w:rPr>
                <w:rFonts w:eastAsia="Times New Roman" w:cs="Times New Roman"/>
                <w:i/>
                <w:iCs/>
                <w:color w:val="FF0000"/>
                <w:sz w:val="18"/>
                <w:szCs w:val="18"/>
                <w:lang w:eastAsia="en-US"/>
              </w:rPr>
            </w:pPr>
            <w:r w:rsidRPr="00821AF1">
              <w:rPr>
                <w:rFonts w:cs="Times New Roman"/>
                <w:sz w:val="18"/>
                <w:szCs w:val="18"/>
              </w:rPr>
              <w:t>14,6</w:t>
            </w:r>
          </w:p>
        </w:tc>
        <w:tc>
          <w:tcPr>
            <w:tcW w:w="948" w:type="dxa"/>
            <w:tcBorders>
              <w:top w:val="single" w:sz="4" w:space="0" w:color="auto"/>
              <w:left w:val="nil"/>
              <w:bottom w:val="single" w:sz="4" w:space="0" w:color="auto"/>
              <w:right w:val="double" w:sz="4" w:space="0" w:color="auto"/>
            </w:tcBorders>
            <w:noWrap/>
          </w:tcPr>
          <w:p w14:paraId="1E9C460A" w14:textId="77777777" w:rsidR="00AB3311" w:rsidRPr="00821AF1" w:rsidRDefault="00AB3311" w:rsidP="00C217B4">
            <w:pPr>
              <w:spacing w:after="0"/>
              <w:ind w:firstLine="360"/>
              <w:jc w:val="right"/>
              <w:rPr>
                <w:rFonts w:eastAsia="Times New Roman" w:cs="Times New Roman"/>
                <w:i/>
                <w:iCs/>
                <w:color w:val="FF0000"/>
                <w:sz w:val="18"/>
                <w:szCs w:val="18"/>
                <w:lang w:eastAsia="en-US"/>
              </w:rPr>
            </w:pPr>
            <w:r w:rsidRPr="00821AF1">
              <w:rPr>
                <w:rFonts w:cs="Times New Roman"/>
                <w:sz w:val="18"/>
                <w:szCs w:val="18"/>
              </w:rPr>
              <w:t>14,8</w:t>
            </w:r>
          </w:p>
        </w:tc>
        <w:tc>
          <w:tcPr>
            <w:tcW w:w="936" w:type="dxa"/>
            <w:tcBorders>
              <w:top w:val="nil"/>
              <w:left w:val="double" w:sz="4" w:space="0" w:color="auto"/>
              <w:bottom w:val="single" w:sz="4" w:space="0" w:color="auto"/>
              <w:right w:val="single" w:sz="4" w:space="0" w:color="auto"/>
            </w:tcBorders>
          </w:tcPr>
          <w:p w14:paraId="6C37C166"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-0,2</w:t>
            </w:r>
          </w:p>
        </w:tc>
        <w:tc>
          <w:tcPr>
            <w:tcW w:w="936" w:type="dxa"/>
            <w:tcBorders>
              <w:top w:val="nil"/>
              <w:left w:val="nil"/>
              <w:bottom w:val="single" w:sz="4" w:space="0" w:color="auto"/>
              <w:right w:val="single" w:sz="4" w:space="0" w:color="auto"/>
            </w:tcBorders>
            <w:noWrap/>
          </w:tcPr>
          <w:p w14:paraId="3203691B"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0,1</w:t>
            </w:r>
          </w:p>
        </w:tc>
      </w:tr>
      <w:tr w:rsidR="00AB3311" w:rsidRPr="00A54B9F" w14:paraId="551E02F8" w14:textId="77777777" w:rsidTr="00C217B4">
        <w:trPr>
          <w:trHeight w:val="70"/>
          <w:jc w:val="center"/>
        </w:trPr>
        <w:tc>
          <w:tcPr>
            <w:tcW w:w="3397" w:type="dxa"/>
            <w:tcBorders>
              <w:top w:val="nil"/>
              <w:left w:val="single" w:sz="4" w:space="0" w:color="auto"/>
              <w:bottom w:val="single" w:sz="4" w:space="0" w:color="auto"/>
              <w:right w:val="single" w:sz="4" w:space="0" w:color="auto"/>
            </w:tcBorders>
            <w:noWrap/>
            <w:vAlign w:val="center"/>
          </w:tcPr>
          <w:p w14:paraId="10B3286A" w14:textId="77777777" w:rsidR="00AB3311" w:rsidRPr="00C503C7" w:rsidRDefault="00AB3311" w:rsidP="00C217B4">
            <w:pPr>
              <w:spacing w:after="0"/>
              <w:ind w:firstLine="0"/>
              <w:jc w:val="right"/>
              <w:rPr>
                <w:rFonts w:eastAsia="Times New Roman" w:cs="Times New Roman"/>
                <w:i/>
                <w:iCs/>
                <w:sz w:val="18"/>
                <w:szCs w:val="18"/>
              </w:rPr>
            </w:pPr>
            <w:r w:rsidRPr="00C503C7">
              <w:rPr>
                <w:rFonts w:eastAsia="Times New Roman" w:cs="Times New Roman"/>
                <w:i/>
                <w:iCs/>
                <w:sz w:val="18"/>
                <w:szCs w:val="18"/>
                <w:lang w:eastAsia="en-US"/>
              </w:rPr>
              <w:t xml:space="preserve"> Ienākuma un mantas kārtējie nodokļi</w:t>
            </w:r>
          </w:p>
        </w:tc>
        <w:tc>
          <w:tcPr>
            <w:tcW w:w="936" w:type="dxa"/>
            <w:tcBorders>
              <w:top w:val="nil"/>
              <w:left w:val="single" w:sz="4" w:space="0" w:color="auto"/>
              <w:bottom w:val="single" w:sz="4" w:space="0" w:color="auto"/>
              <w:right w:val="single" w:sz="4" w:space="0" w:color="auto"/>
            </w:tcBorders>
            <w:noWrap/>
          </w:tcPr>
          <w:p w14:paraId="44221C7C"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8,7</w:t>
            </w:r>
          </w:p>
        </w:tc>
        <w:tc>
          <w:tcPr>
            <w:tcW w:w="936" w:type="dxa"/>
            <w:tcBorders>
              <w:top w:val="nil"/>
              <w:left w:val="nil"/>
              <w:bottom w:val="single" w:sz="4" w:space="0" w:color="auto"/>
              <w:right w:val="double" w:sz="4" w:space="0" w:color="auto"/>
            </w:tcBorders>
          </w:tcPr>
          <w:p w14:paraId="6BABA0CE"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8,7</w:t>
            </w:r>
          </w:p>
        </w:tc>
        <w:tc>
          <w:tcPr>
            <w:tcW w:w="936" w:type="dxa"/>
            <w:tcBorders>
              <w:top w:val="single" w:sz="4" w:space="0" w:color="auto"/>
              <w:left w:val="double" w:sz="4" w:space="0" w:color="auto"/>
              <w:bottom w:val="single" w:sz="4" w:space="0" w:color="auto"/>
              <w:right w:val="single" w:sz="4" w:space="0" w:color="auto"/>
            </w:tcBorders>
          </w:tcPr>
          <w:p w14:paraId="3244DDEC" w14:textId="77777777" w:rsidR="00AB3311" w:rsidRPr="00821AF1" w:rsidRDefault="00AB3311" w:rsidP="00C217B4">
            <w:pPr>
              <w:spacing w:after="0"/>
              <w:ind w:firstLine="360"/>
              <w:jc w:val="right"/>
              <w:rPr>
                <w:rFonts w:eastAsia="Times New Roman" w:cs="Times New Roman"/>
                <w:i/>
                <w:iCs/>
                <w:color w:val="FF0000"/>
                <w:sz w:val="18"/>
                <w:szCs w:val="18"/>
                <w:lang w:eastAsia="en-US"/>
              </w:rPr>
            </w:pPr>
            <w:r w:rsidRPr="00821AF1">
              <w:rPr>
                <w:rFonts w:cs="Times New Roman"/>
                <w:sz w:val="18"/>
                <w:szCs w:val="18"/>
              </w:rPr>
              <w:t>8,6</w:t>
            </w:r>
          </w:p>
        </w:tc>
        <w:tc>
          <w:tcPr>
            <w:tcW w:w="948" w:type="dxa"/>
            <w:tcBorders>
              <w:top w:val="single" w:sz="4" w:space="0" w:color="auto"/>
              <w:left w:val="nil"/>
              <w:bottom w:val="single" w:sz="4" w:space="0" w:color="auto"/>
              <w:right w:val="double" w:sz="4" w:space="0" w:color="auto"/>
            </w:tcBorders>
            <w:noWrap/>
          </w:tcPr>
          <w:p w14:paraId="17026D8B" w14:textId="77777777" w:rsidR="00AB3311" w:rsidRPr="00821AF1" w:rsidRDefault="00AB3311" w:rsidP="00C217B4">
            <w:pPr>
              <w:spacing w:after="0"/>
              <w:ind w:firstLine="360"/>
              <w:jc w:val="right"/>
              <w:rPr>
                <w:rFonts w:eastAsia="Times New Roman" w:cs="Times New Roman"/>
                <w:i/>
                <w:iCs/>
                <w:color w:val="FF0000"/>
                <w:sz w:val="18"/>
                <w:szCs w:val="18"/>
                <w:lang w:eastAsia="en-US"/>
              </w:rPr>
            </w:pPr>
            <w:r w:rsidRPr="00821AF1">
              <w:rPr>
                <w:rFonts w:cs="Times New Roman"/>
                <w:sz w:val="18"/>
                <w:szCs w:val="18"/>
              </w:rPr>
              <w:t>8,6</w:t>
            </w:r>
          </w:p>
        </w:tc>
        <w:tc>
          <w:tcPr>
            <w:tcW w:w="936" w:type="dxa"/>
            <w:tcBorders>
              <w:top w:val="nil"/>
              <w:left w:val="double" w:sz="4" w:space="0" w:color="auto"/>
              <w:bottom w:val="single" w:sz="4" w:space="0" w:color="auto"/>
              <w:right w:val="single" w:sz="4" w:space="0" w:color="auto"/>
            </w:tcBorders>
          </w:tcPr>
          <w:p w14:paraId="533139EC"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-0,1</w:t>
            </w:r>
          </w:p>
        </w:tc>
        <w:tc>
          <w:tcPr>
            <w:tcW w:w="936" w:type="dxa"/>
            <w:tcBorders>
              <w:top w:val="nil"/>
              <w:left w:val="nil"/>
              <w:bottom w:val="single" w:sz="4" w:space="0" w:color="auto"/>
              <w:right w:val="single" w:sz="4" w:space="0" w:color="auto"/>
            </w:tcBorders>
            <w:noWrap/>
          </w:tcPr>
          <w:p w14:paraId="2287F711"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-0,1</w:t>
            </w:r>
          </w:p>
        </w:tc>
      </w:tr>
      <w:tr w:rsidR="00AB3311" w:rsidRPr="00A54B9F" w14:paraId="2EB8F304" w14:textId="77777777" w:rsidTr="00C217B4">
        <w:trPr>
          <w:trHeight w:val="70"/>
          <w:jc w:val="center"/>
        </w:trPr>
        <w:tc>
          <w:tcPr>
            <w:tcW w:w="3397" w:type="dxa"/>
            <w:tcBorders>
              <w:top w:val="nil"/>
              <w:left w:val="single" w:sz="4" w:space="0" w:color="auto"/>
              <w:bottom w:val="single" w:sz="4" w:space="0" w:color="auto"/>
              <w:right w:val="single" w:sz="4" w:space="0" w:color="auto"/>
            </w:tcBorders>
            <w:noWrap/>
            <w:vAlign w:val="center"/>
          </w:tcPr>
          <w:p w14:paraId="7B64BBFB" w14:textId="77777777" w:rsidR="00AB3311" w:rsidRPr="00C503C7" w:rsidRDefault="00AB3311" w:rsidP="00C217B4">
            <w:pPr>
              <w:spacing w:after="0"/>
              <w:ind w:firstLine="0"/>
              <w:rPr>
                <w:rFonts w:eastAsia="Times New Roman" w:cs="Times New Roman"/>
                <w:i/>
                <w:iCs/>
                <w:sz w:val="18"/>
                <w:szCs w:val="18"/>
              </w:rPr>
            </w:pPr>
            <w:r w:rsidRPr="00C503C7">
              <w:rPr>
                <w:rFonts w:eastAsia="Times New Roman" w:cs="Times New Roman"/>
                <w:i/>
                <w:iCs/>
                <w:sz w:val="18"/>
                <w:szCs w:val="18"/>
                <w:lang w:eastAsia="en-US"/>
              </w:rPr>
              <w:t xml:space="preserve">           Neto sociālās iemaksas</w:t>
            </w:r>
          </w:p>
        </w:tc>
        <w:tc>
          <w:tcPr>
            <w:tcW w:w="936" w:type="dxa"/>
            <w:tcBorders>
              <w:top w:val="nil"/>
              <w:left w:val="single" w:sz="4" w:space="0" w:color="auto"/>
              <w:bottom w:val="single" w:sz="4" w:space="0" w:color="auto"/>
              <w:right w:val="single" w:sz="4" w:space="0" w:color="auto"/>
            </w:tcBorders>
            <w:noWrap/>
          </w:tcPr>
          <w:p w14:paraId="628C8EDB"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12,1</w:t>
            </w:r>
          </w:p>
        </w:tc>
        <w:tc>
          <w:tcPr>
            <w:tcW w:w="936" w:type="dxa"/>
            <w:tcBorders>
              <w:top w:val="nil"/>
              <w:left w:val="nil"/>
              <w:bottom w:val="single" w:sz="4" w:space="0" w:color="auto"/>
              <w:right w:val="double" w:sz="4" w:space="0" w:color="auto"/>
            </w:tcBorders>
          </w:tcPr>
          <w:p w14:paraId="45515F5E"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12,3</w:t>
            </w:r>
          </w:p>
        </w:tc>
        <w:tc>
          <w:tcPr>
            <w:tcW w:w="936" w:type="dxa"/>
            <w:tcBorders>
              <w:top w:val="single" w:sz="4" w:space="0" w:color="auto"/>
              <w:left w:val="double" w:sz="4" w:space="0" w:color="auto"/>
              <w:bottom w:val="single" w:sz="4" w:space="0" w:color="auto"/>
              <w:right w:val="single" w:sz="4" w:space="0" w:color="auto"/>
            </w:tcBorders>
          </w:tcPr>
          <w:p w14:paraId="5DC483FF" w14:textId="77777777" w:rsidR="00AB3311" w:rsidRPr="00821AF1" w:rsidRDefault="00AB3311" w:rsidP="00C217B4">
            <w:pPr>
              <w:spacing w:after="0"/>
              <w:ind w:firstLine="360"/>
              <w:jc w:val="right"/>
              <w:rPr>
                <w:rFonts w:eastAsia="Times New Roman" w:cs="Times New Roman"/>
                <w:i/>
                <w:iCs/>
                <w:color w:val="FF0000"/>
                <w:sz w:val="18"/>
                <w:szCs w:val="18"/>
                <w:lang w:eastAsia="en-US"/>
              </w:rPr>
            </w:pPr>
            <w:r w:rsidRPr="00821AF1">
              <w:rPr>
                <w:rFonts w:cs="Times New Roman"/>
                <w:sz w:val="18"/>
                <w:szCs w:val="18"/>
              </w:rPr>
              <w:t>11,9</w:t>
            </w:r>
          </w:p>
        </w:tc>
        <w:tc>
          <w:tcPr>
            <w:tcW w:w="948" w:type="dxa"/>
            <w:tcBorders>
              <w:top w:val="single" w:sz="4" w:space="0" w:color="auto"/>
              <w:left w:val="nil"/>
              <w:bottom w:val="single" w:sz="4" w:space="0" w:color="auto"/>
              <w:right w:val="double" w:sz="4" w:space="0" w:color="auto"/>
            </w:tcBorders>
            <w:noWrap/>
          </w:tcPr>
          <w:p w14:paraId="5708A839"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11,9</w:t>
            </w:r>
          </w:p>
        </w:tc>
        <w:tc>
          <w:tcPr>
            <w:tcW w:w="936" w:type="dxa"/>
            <w:tcBorders>
              <w:top w:val="nil"/>
              <w:left w:val="double" w:sz="4" w:space="0" w:color="auto"/>
              <w:bottom w:val="single" w:sz="4" w:space="0" w:color="auto"/>
              <w:right w:val="single" w:sz="4" w:space="0" w:color="auto"/>
            </w:tcBorders>
          </w:tcPr>
          <w:p w14:paraId="022A83B4"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-0,2</w:t>
            </w:r>
          </w:p>
        </w:tc>
        <w:tc>
          <w:tcPr>
            <w:tcW w:w="936" w:type="dxa"/>
            <w:tcBorders>
              <w:top w:val="nil"/>
              <w:left w:val="nil"/>
              <w:bottom w:val="single" w:sz="4" w:space="0" w:color="auto"/>
              <w:right w:val="single" w:sz="4" w:space="0" w:color="auto"/>
            </w:tcBorders>
            <w:noWrap/>
          </w:tcPr>
          <w:p w14:paraId="340B4092" w14:textId="77777777" w:rsidR="00AB3311" w:rsidRPr="00821AF1" w:rsidRDefault="00AB3311" w:rsidP="00C217B4">
            <w:pPr>
              <w:spacing w:after="0"/>
              <w:ind w:firstLine="360"/>
              <w:jc w:val="right"/>
              <w:rPr>
                <w:rFonts w:eastAsia="Times New Roman" w:cs="Times New Roman"/>
                <w:i/>
                <w:iCs/>
                <w:sz w:val="18"/>
                <w:szCs w:val="18"/>
                <w:lang w:eastAsia="en-US"/>
              </w:rPr>
            </w:pPr>
            <w:r w:rsidRPr="00821AF1">
              <w:rPr>
                <w:rFonts w:cs="Times New Roman"/>
                <w:sz w:val="18"/>
                <w:szCs w:val="18"/>
              </w:rPr>
              <w:t>-0,4</w:t>
            </w:r>
          </w:p>
        </w:tc>
      </w:tr>
      <w:tr w:rsidR="00AB3311" w:rsidRPr="00A54B9F" w14:paraId="7187817D" w14:textId="77777777" w:rsidTr="00C217B4">
        <w:trPr>
          <w:trHeight w:val="70"/>
          <w:jc w:val="center"/>
        </w:trPr>
        <w:tc>
          <w:tcPr>
            <w:tcW w:w="3397" w:type="dxa"/>
            <w:tcBorders>
              <w:top w:val="nil"/>
              <w:left w:val="single" w:sz="4" w:space="0" w:color="auto"/>
              <w:bottom w:val="single" w:sz="4" w:space="0" w:color="auto"/>
              <w:right w:val="single" w:sz="4" w:space="0" w:color="auto"/>
            </w:tcBorders>
            <w:noWrap/>
            <w:vAlign w:val="center"/>
            <w:hideMark/>
          </w:tcPr>
          <w:p w14:paraId="084F9FFF" w14:textId="77777777" w:rsidR="00AB3311" w:rsidRPr="00C503C7" w:rsidRDefault="00AB3311" w:rsidP="00C217B4">
            <w:pPr>
              <w:spacing w:after="0"/>
              <w:ind w:firstLine="360"/>
              <w:rPr>
                <w:rFonts w:eastAsia="Times New Roman" w:cs="Times New Roman"/>
                <w:sz w:val="18"/>
                <w:szCs w:val="18"/>
              </w:rPr>
            </w:pPr>
            <w:r w:rsidRPr="00C503C7">
              <w:rPr>
                <w:rFonts w:eastAsia="Times New Roman" w:cs="Times New Roman"/>
                <w:sz w:val="18"/>
                <w:szCs w:val="18"/>
              </w:rPr>
              <w:t>Pārējie ieņēmumi</w:t>
            </w:r>
          </w:p>
        </w:tc>
        <w:tc>
          <w:tcPr>
            <w:tcW w:w="936" w:type="dxa"/>
            <w:tcBorders>
              <w:top w:val="nil"/>
              <w:left w:val="single" w:sz="4" w:space="0" w:color="auto"/>
              <w:bottom w:val="single" w:sz="4" w:space="0" w:color="auto"/>
              <w:right w:val="single" w:sz="4" w:space="0" w:color="auto"/>
            </w:tcBorders>
            <w:noWrap/>
          </w:tcPr>
          <w:p w14:paraId="71B9AE4F"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8,9</w:t>
            </w:r>
          </w:p>
        </w:tc>
        <w:tc>
          <w:tcPr>
            <w:tcW w:w="936" w:type="dxa"/>
            <w:tcBorders>
              <w:top w:val="nil"/>
              <w:left w:val="nil"/>
              <w:bottom w:val="single" w:sz="4" w:space="0" w:color="auto"/>
              <w:right w:val="double" w:sz="4" w:space="0" w:color="auto"/>
            </w:tcBorders>
          </w:tcPr>
          <w:p w14:paraId="7B610122"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8,0</w:t>
            </w:r>
          </w:p>
        </w:tc>
        <w:tc>
          <w:tcPr>
            <w:tcW w:w="936" w:type="dxa"/>
            <w:tcBorders>
              <w:top w:val="single" w:sz="4" w:space="0" w:color="auto"/>
              <w:left w:val="double" w:sz="4" w:space="0" w:color="auto"/>
              <w:bottom w:val="single" w:sz="4" w:space="0" w:color="auto"/>
              <w:right w:val="single" w:sz="4" w:space="0" w:color="auto"/>
            </w:tcBorders>
          </w:tcPr>
          <w:p w14:paraId="5375800B"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9,3</w:t>
            </w:r>
          </w:p>
        </w:tc>
        <w:tc>
          <w:tcPr>
            <w:tcW w:w="948" w:type="dxa"/>
            <w:tcBorders>
              <w:top w:val="single" w:sz="4" w:space="0" w:color="auto"/>
              <w:left w:val="nil"/>
              <w:bottom w:val="single" w:sz="4" w:space="0" w:color="auto"/>
              <w:right w:val="double" w:sz="4" w:space="0" w:color="auto"/>
            </w:tcBorders>
            <w:noWrap/>
          </w:tcPr>
          <w:p w14:paraId="5DBE083A"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9,1</w:t>
            </w:r>
          </w:p>
        </w:tc>
        <w:tc>
          <w:tcPr>
            <w:tcW w:w="936" w:type="dxa"/>
            <w:tcBorders>
              <w:top w:val="nil"/>
              <w:left w:val="double" w:sz="4" w:space="0" w:color="auto"/>
              <w:bottom w:val="single" w:sz="4" w:space="0" w:color="auto"/>
              <w:right w:val="single" w:sz="4" w:space="0" w:color="auto"/>
            </w:tcBorders>
          </w:tcPr>
          <w:p w14:paraId="5E4E77EE"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0,4</w:t>
            </w:r>
          </w:p>
        </w:tc>
        <w:tc>
          <w:tcPr>
            <w:tcW w:w="936" w:type="dxa"/>
            <w:tcBorders>
              <w:top w:val="nil"/>
              <w:left w:val="nil"/>
              <w:bottom w:val="single" w:sz="4" w:space="0" w:color="auto"/>
              <w:right w:val="single" w:sz="4" w:space="0" w:color="auto"/>
            </w:tcBorders>
            <w:noWrap/>
          </w:tcPr>
          <w:p w14:paraId="035BBDA8"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1,1</w:t>
            </w:r>
          </w:p>
        </w:tc>
      </w:tr>
      <w:tr w:rsidR="00AB3311" w:rsidRPr="00A54B9F" w14:paraId="57BF8648" w14:textId="77777777" w:rsidTr="00C217B4">
        <w:trPr>
          <w:trHeight w:val="64"/>
          <w:jc w:val="center"/>
        </w:trPr>
        <w:tc>
          <w:tcPr>
            <w:tcW w:w="3397" w:type="dxa"/>
            <w:tcBorders>
              <w:top w:val="nil"/>
              <w:left w:val="single" w:sz="4" w:space="0" w:color="auto"/>
              <w:bottom w:val="single" w:sz="4" w:space="0" w:color="auto"/>
              <w:right w:val="single" w:sz="4" w:space="0" w:color="auto"/>
            </w:tcBorders>
            <w:noWrap/>
            <w:vAlign w:val="center"/>
            <w:hideMark/>
          </w:tcPr>
          <w:p w14:paraId="767F7FBC" w14:textId="77777777" w:rsidR="00AB3311" w:rsidRPr="00C503C7" w:rsidRDefault="00AB3311" w:rsidP="00C217B4">
            <w:pPr>
              <w:spacing w:after="0"/>
              <w:ind w:firstLine="0"/>
              <w:rPr>
                <w:rFonts w:eastAsia="Times New Roman" w:cs="Times New Roman"/>
                <w:b/>
                <w:sz w:val="18"/>
                <w:szCs w:val="18"/>
              </w:rPr>
            </w:pPr>
            <w:r w:rsidRPr="00C503C7">
              <w:rPr>
                <w:rFonts w:eastAsia="Times New Roman" w:cs="Times New Roman"/>
                <w:b/>
                <w:sz w:val="18"/>
                <w:szCs w:val="18"/>
              </w:rPr>
              <w:t>Izdevumi</w:t>
            </w:r>
          </w:p>
        </w:tc>
        <w:tc>
          <w:tcPr>
            <w:tcW w:w="936" w:type="dxa"/>
            <w:tcBorders>
              <w:top w:val="nil"/>
              <w:left w:val="single" w:sz="4" w:space="0" w:color="auto"/>
              <w:bottom w:val="single" w:sz="4" w:space="0" w:color="auto"/>
              <w:right w:val="single" w:sz="4" w:space="0" w:color="auto"/>
            </w:tcBorders>
            <w:noWrap/>
          </w:tcPr>
          <w:p w14:paraId="14543BB9" w14:textId="77777777" w:rsidR="00AB3311" w:rsidRPr="00821AF1" w:rsidRDefault="00AB3311" w:rsidP="00C217B4">
            <w:pPr>
              <w:spacing w:after="0"/>
              <w:ind w:firstLine="360"/>
              <w:jc w:val="right"/>
              <w:rPr>
                <w:rFonts w:eastAsia="Times New Roman" w:cs="Times New Roman"/>
                <w:b/>
                <w:bCs/>
                <w:color w:val="FF0000"/>
                <w:sz w:val="18"/>
                <w:szCs w:val="18"/>
                <w:lang w:eastAsia="en-US"/>
              </w:rPr>
            </w:pPr>
            <w:r w:rsidRPr="00821AF1">
              <w:rPr>
                <w:rFonts w:cs="Times New Roman"/>
                <w:b/>
                <w:bCs/>
                <w:sz w:val="18"/>
                <w:szCs w:val="18"/>
              </w:rPr>
              <w:t>47,5</w:t>
            </w:r>
          </w:p>
        </w:tc>
        <w:tc>
          <w:tcPr>
            <w:tcW w:w="936" w:type="dxa"/>
            <w:tcBorders>
              <w:top w:val="nil"/>
              <w:left w:val="nil"/>
              <w:bottom w:val="single" w:sz="4" w:space="0" w:color="auto"/>
              <w:right w:val="double" w:sz="4" w:space="0" w:color="auto"/>
            </w:tcBorders>
          </w:tcPr>
          <w:p w14:paraId="7E83D563"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47,0</w:t>
            </w:r>
          </w:p>
        </w:tc>
        <w:tc>
          <w:tcPr>
            <w:tcW w:w="936" w:type="dxa"/>
            <w:tcBorders>
              <w:top w:val="single" w:sz="4" w:space="0" w:color="auto"/>
              <w:left w:val="double" w:sz="4" w:space="0" w:color="auto"/>
              <w:bottom w:val="single" w:sz="4" w:space="0" w:color="auto"/>
              <w:right w:val="single" w:sz="4" w:space="0" w:color="auto"/>
            </w:tcBorders>
          </w:tcPr>
          <w:p w14:paraId="229E251D"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47,6</w:t>
            </w:r>
          </w:p>
        </w:tc>
        <w:tc>
          <w:tcPr>
            <w:tcW w:w="948" w:type="dxa"/>
            <w:tcBorders>
              <w:top w:val="single" w:sz="4" w:space="0" w:color="auto"/>
              <w:left w:val="nil"/>
              <w:bottom w:val="single" w:sz="4" w:space="0" w:color="auto"/>
              <w:right w:val="double" w:sz="4" w:space="0" w:color="auto"/>
            </w:tcBorders>
            <w:noWrap/>
          </w:tcPr>
          <w:p w14:paraId="28027D9D"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47,5</w:t>
            </w:r>
          </w:p>
        </w:tc>
        <w:tc>
          <w:tcPr>
            <w:tcW w:w="936" w:type="dxa"/>
            <w:tcBorders>
              <w:top w:val="nil"/>
              <w:left w:val="double" w:sz="4" w:space="0" w:color="auto"/>
              <w:bottom w:val="single" w:sz="4" w:space="0" w:color="auto"/>
              <w:right w:val="single" w:sz="4" w:space="0" w:color="auto"/>
            </w:tcBorders>
          </w:tcPr>
          <w:p w14:paraId="0299ACBB"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0,1</w:t>
            </w:r>
          </w:p>
        </w:tc>
        <w:tc>
          <w:tcPr>
            <w:tcW w:w="936" w:type="dxa"/>
            <w:tcBorders>
              <w:top w:val="nil"/>
              <w:left w:val="nil"/>
              <w:bottom w:val="single" w:sz="4" w:space="0" w:color="auto"/>
              <w:right w:val="single" w:sz="4" w:space="0" w:color="auto"/>
            </w:tcBorders>
            <w:noWrap/>
          </w:tcPr>
          <w:p w14:paraId="5C843A5A" w14:textId="77777777" w:rsidR="00AB3311" w:rsidRPr="00821AF1" w:rsidRDefault="00AB3311" w:rsidP="00C217B4">
            <w:pPr>
              <w:spacing w:after="0"/>
              <w:ind w:firstLine="360"/>
              <w:jc w:val="right"/>
              <w:rPr>
                <w:rFonts w:eastAsia="Times New Roman" w:cs="Times New Roman"/>
                <w:b/>
                <w:bCs/>
                <w:sz w:val="18"/>
                <w:szCs w:val="18"/>
                <w:lang w:eastAsia="en-US"/>
              </w:rPr>
            </w:pPr>
            <w:r w:rsidRPr="00821AF1">
              <w:rPr>
                <w:rFonts w:cs="Times New Roman"/>
                <w:b/>
                <w:bCs/>
                <w:sz w:val="18"/>
                <w:szCs w:val="18"/>
              </w:rPr>
              <w:t>0,5</w:t>
            </w:r>
          </w:p>
        </w:tc>
      </w:tr>
      <w:tr w:rsidR="00AB3311" w:rsidRPr="00A54B9F" w14:paraId="581CD7B7" w14:textId="77777777" w:rsidTr="00C217B4">
        <w:trPr>
          <w:trHeight w:val="70"/>
          <w:jc w:val="center"/>
        </w:trPr>
        <w:tc>
          <w:tcPr>
            <w:tcW w:w="3397" w:type="dxa"/>
            <w:tcBorders>
              <w:top w:val="nil"/>
              <w:left w:val="single" w:sz="4" w:space="0" w:color="auto"/>
              <w:bottom w:val="single" w:sz="4" w:space="0" w:color="auto"/>
              <w:right w:val="single" w:sz="4" w:space="0" w:color="auto"/>
            </w:tcBorders>
            <w:noWrap/>
            <w:vAlign w:val="center"/>
            <w:hideMark/>
          </w:tcPr>
          <w:p w14:paraId="698F651A" w14:textId="77777777" w:rsidR="00AB3311" w:rsidRPr="00C503C7" w:rsidRDefault="00AB3311" w:rsidP="00C217B4">
            <w:pPr>
              <w:spacing w:after="0"/>
              <w:ind w:firstLine="360"/>
              <w:rPr>
                <w:rFonts w:eastAsia="Times New Roman" w:cs="Times New Roman"/>
                <w:sz w:val="18"/>
                <w:szCs w:val="18"/>
              </w:rPr>
            </w:pPr>
            <w:r w:rsidRPr="00C503C7">
              <w:rPr>
                <w:rFonts w:eastAsia="Times New Roman" w:cs="Times New Roman"/>
                <w:sz w:val="18"/>
                <w:szCs w:val="18"/>
              </w:rPr>
              <w:t>Atlīdzība</w:t>
            </w:r>
          </w:p>
        </w:tc>
        <w:tc>
          <w:tcPr>
            <w:tcW w:w="936" w:type="dxa"/>
            <w:tcBorders>
              <w:top w:val="nil"/>
              <w:left w:val="single" w:sz="4" w:space="0" w:color="auto"/>
              <w:bottom w:val="single" w:sz="4" w:space="0" w:color="auto"/>
              <w:right w:val="single" w:sz="4" w:space="0" w:color="auto"/>
            </w:tcBorders>
            <w:noWrap/>
          </w:tcPr>
          <w:p w14:paraId="3D267455"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13,1</w:t>
            </w:r>
          </w:p>
        </w:tc>
        <w:tc>
          <w:tcPr>
            <w:tcW w:w="936" w:type="dxa"/>
            <w:tcBorders>
              <w:top w:val="nil"/>
              <w:left w:val="nil"/>
              <w:bottom w:val="single" w:sz="4" w:space="0" w:color="auto"/>
              <w:right w:val="double" w:sz="4" w:space="0" w:color="auto"/>
            </w:tcBorders>
          </w:tcPr>
          <w:p w14:paraId="0749AB36"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12,7</w:t>
            </w:r>
          </w:p>
        </w:tc>
        <w:tc>
          <w:tcPr>
            <w:tcW w:w="936" w:type="dxa"/>
            <w:tcBorders>
              <w:top w:val="single" w:sz="4" w:space="0" w:color="auto"/>
              <w:left w:val="double" w:sz="4" w:space="0" w:color="auto"/>
              <w:bottom w:val="single" w:sz="4" w:space="0" w:color="auto"/>
              <w:right w:val="single" w:sz="4" w:space="0" w:color="auto"/>
            </w:tcBorders>
          </w:tcPr>
          <w:p w14:paraId="3039F14A"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13,4</w:t>
            </w:r>
          </w:p>
        </w:tc>
        <w:tc>
          <w:tcPr>
            <w:tcW w:w="948" w:type="dxa"/>
            <w:tcBorders>
              <w:top w:val="single" w:sz="4" w:space="0" w:color="auto"/>
              <w:left w:val="nil"/>
              <w:bottom w:val="single" w:sz="4" w:space="0" w:color="auto"/>
              <w:right w:val="double" w:sz="4" w:space="0" w:color="auto"/>
            </w:tcBorders>
            <w:noWrap/>
          </w:tcPr>
          <w:p w14:paraId="39EA5FFA"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13,3</w:t>
            </w:r>
          </w:p>
        </w:tc>
        <w:tc>
          <w:tcPr>
            <w:tcW w:w="936" w:type="dxa"/>
            <w:tcBorders>
              <w:top w:val="nil"/>
              <w:left w:val="double" w:sz="4" w:space="0" w:color="auto"/>
              <w:bottom w:val="single" w:sz="4" w:space="0" w:color="auto"/>
              <w:right w:val="single" w:sz="4" w:space="0" w:color="auto"/>
            </w:tcBorders>
          </w:tcPr>
          <w:p w14:paraId="6F70C738"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0,3</w:t>
            </w:r>
          </w:p>
        </w:tc>
        <w:tc>
          <w:tcPr>
            <w:tcW w:w="936" w:type="dxa"/>
            <w:tcBorders>
              <w:top w:val="nil"/>
              <w:left w:val="nil"/>
              <w:bottom w:val="single" w:sz="4" w:space="0" w:color="auto"/>
              <w:right w:val="single" w:sz="4" w:space="0" w:color="auto"/>
            </w:tcBorders>
            <w:noWrap/>
          </w:tcPr>
          <w:p w14:paraId="5497A189"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0,6</w:t>
            </w:r>
          </w:p>
        </w:tc>
      </w:tr>
      <w:tr w:rsidR="00AB3311" w:rsidRPr="00A54B9F" w14:paraId="3ADFCF22" w14:textId="77777777" w:rsidTr="00C217B4">
        <w:trPr>
          <w:trHeight w:val="70"/>
          <w:jc w:val="center"/>
        </w:trPr>
        <w:tc>
          <w:tcPr>
            <w:tcW w:w="3397" w:type="dxa"/>
            <w:tcBorders>
              <w:top w:val="nil"/>
              <w:left w:val="single" w:sz="4" w:space="0" w:color="auto"/>
              <w:bottom w:val="single" w:sz="4" w:space="0" w:color="auto"/>
              <w:right w:val="single" w:sz="4" w:space="0" w:color="auto"/>
            </w:tcBorders>
            <w:noWrap/>
            <w:vAlign w:val="center"/>
          </w:tcPr>
          <w:p w14:paraId="658C643D" w14:textId="77777777" w:rsidR="00AB3311" w:rsidRPr="00C503C7" w:rsidRDefault="00AB3311" w:rsidP="00C217B4">
            <w:pPr>
              <w:spacing w:after="0"/>
              <w:ind w:firstLine="360"/>
              <w:rPr>
                <w:rFonts w:eastAsia="Times New Roman" w:cs="Times New Roman"/>
                <w:sz w:val="18"/>
                <w:szCs w:val="18"/>
              </w:rPr>
            </w:pPr>
            <w:r w:rsidRPr="00C503C7">
              <w:rPr>
                <w:rFonts w:eastAsia="Times New Roman" w:cs="Times New Roman"/>
                <w:sz w:val="18"/>
                <w:szCs w:val="18"/>
              </w:rPr>
              <w:t>Starppatēriņš</w:t>
            </w:r>
          </w:p>
        </w:tc>
        <w:tc>
          <w:tcPr>
            <w:tcW w:w="936" w:type="dxa"/>
            <w:tcBorders>
              <w:top w:val="nil"/>
              <w:left w:val="single" w:sz="4" w:space="0" w:color="auto"/>
              <w:bottom w:val="single" w:sz="4" w:space="0" w:color="auto"/>
              <w:right w:val="single" w:sz="4" w:space="0" w:color="auto"/>
            </w:tcBorders>
            <w:noWrap/>
          </w:tcPr>
          <w:p w14:paraId="55EE736B"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6,6</w:t>
            </w:r>
          </w:p>
        </w:tc>
        <w:tc>
          <w:tcPr>
            <w:tcW w:w="936" w:type="dxa"/>
            <w:tcBorders>
              <w:top w:val="nil"/>
              <w:left w:val="nil"/>
              <w:bottom w:val="single" w:sz="4" w:space="0" w:color="auto"/>
              <w:right w:val="double" w:sz="4" w:space="0" w:color="auto"/>
            </w:tcBorders>
          </w:tcPr>
          <w:p w14:paraId="37CEA1FE"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6,2</w:t>
            </w:r>
          </w:p>
        </w:tc>
        <w:tc>
          <w:tcPr>
            <w:tcW w:w="936" w:type="dxa"/>
            <w:tcBorders>
              <w:top w:val="single" w:sz="4" w:space="0" w:color="auto"/>
              <w:left w:val="double" w:sz="4" w:space="0" w:color="auto"/>
              <w:bottom w:val="single" w:sz="4" w:space="0" w:color="auto"/>
              <w:right w:val="single" w:sz="4" w:space="0" w:color="auto"/>
            </w:tcBorders>
          </w:tcPr>
          <w:p w14:paraId="0D296A1D"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6,4</w:t>
            </w:r>
          </w:p>
        </w:tc>
        <w:tc>
          <w:tcPr>
            <w:tcW w:w="948" w:type="dxa"/>
            <w:tcBorders>
              <w:top w:val="single" w:sz="4" w:space="0" w:color="auto"/>
              <w:left w:val="nil"/>
              <w:bottom w:val="single" w:sz="4" w:space="0" w:color="auto"/>
              <w:right w:val="double" w:sz="4" w:space="0" w:color="auto"/>
            </w:tcBorders>
            <w:noWrap/>
          </w:tcPr>
          <w:p w14:paraId="08D8900A"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6,4</w:t>
            </w:r>
          </w:p>
        </w:tc>
        <w:tc>
          <w:tcPr>
            <w:tcW w:w="936" w:type="dxa"/>
            <w:tcBorders>
              <w:top w:val="nil"/>
              <w:left w:val="double" w:sz="4" w:space="0" w:color="auto"/>
              <w:bottom w:val="single" w:sz="4" w:space="0" w:color="auto"/>
              <w:right w:val="single" w:sz="4" w:space="0" w:color="auto"/>
            </w:tcBorders>
          </w:tcPr>
          <w:p w14:paraId="771A7744"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-0,2</w:t>
            </w:r>
          </w:p>
        </w:tc>
        <w:tc>
          <w:tcPr>
            <w:tcW w:w="936" w:type="dxa"/>
            <w:tcBorders>
              <w:top w:val="nil"/>
              <w:left w:val="nil"/>
              <w:bottom w:val="single" w:sz="4" w:space="0" w:color="auto"/>
              <w:right w:val="single" w:sz="4" w:space="0" w:color="auto"/>
            </w:tcBorders>
            <w:noWrap/>
          </w:tcPr>
          <w:p w14:paraId="4D5E6F47"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0,2</w:t>
            </w:r>
          </w:p>
        </w:tc>
      </w:tr>
      <w:tr w:rsidR="00AB3311" w:rsidRPr="00A54B9F" w14:paraId="0069E49B" w14:textId="77777777" w:rsidTr="00C217B4">
        <w:trPr>
          <w:trHeight w:val="70"/>
          <w:jc w:val="center"/>
        </w:trPr>
        <w:tc>
          <w:tcPr>
            <w:tcW w:w="3397" w:type="dxa"/>
            <w:tcBorders>
              <w:top w:val="nil"/>
              <w:left w:val="single" w:sz="4" w:space="0" w:color="auto"/>
              <w:bottom w:val="single" w:sz="4" w:space="0" w:color="auto"/>
              <w:right w:val="single" w:sz="4" w:space="0" w:color="auto"/>
            </w:tcBorders>
            <w:noWrap/>
            <w:vAlign w:val="center"/>
          </w:tcPr>
          <w:p w14:paraId="371A2B1C" w14:textId="77777777" w:rsidR="00AB3311" w:rsidRPr="00C503C7" w:rsidRDefault="00AB3311" w:rsidP="00C217B4">
            <w:pPr>
              <w:spacing w:after="0"/>
              <w:ind w:firstLine="360"/>
              <w:rPr>
                <w:rFonts w:eastAsia="Times New Roman" w:cs="Times New Roman"/>
                <w:sz w:val="18"/>
                <w:szCs w:val="18"/>
              </w:rPr>
            </w:pPr>
            <w:r w:rsidRPr="00C503C7">
              <w:rPr>
                <w:rFonts w:eastAsia="Times New Roman" w:cs="Times New Roman"/>
                <w:sz w:val="18"/>
                <w:szCs w:val="18"/>
              </w:rPr>
              <w:t>Sociālie maksājumi</w:t>
            </w:r>
          </w:p>
        </w:tc>
        <w:tc>
          <w:tcPr>
            <w:tcW w:w="936" w:type="dxa"/>
            <w:tcBorders>
              <w:top w:val="nil"/>
              <w:left w:val="single" w:sz="4" w:space="0" w:color="auto"/>
              <w:bottom w:val="single" w:sz="4" w:space="0" w:color="auto"/>
              <w:right w:val="single" w:sz="4" w:space="0" w:color="auto"/>
            </w:tcBorders>
            <w:noWrap/>
          </w:tcPr>
          <w:p w14:paraId="01F4B043"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15,4</w:t>
            </w:r>
          </w:p>
        </w:tc>
        <w:tc>
          <w:tcPr>
            <w:tcW w:w="936" w:type="dxa"/>
            <w:tcBorders>
              <w:top w:val="nil"/>
              <w:left w:val="nil"/>
              <w:bottom w:val="single" w:sz="4" w:space="0" w:color="auto"/>
              <w:right w:val="double" w:sz="4" w:space="0" w:color="auto"/>
            </w:tcBorders>
          </w:tcPr>
          <w:p w14:paraId="231A9AB6"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15,6</w:t>
            </w:r>
          </w:p>
        </w:tc>
        <w:tc>
          <w:tcPr>
            <w:tcW w:w="936" w:type="dxa"/>
            <w:tcBorders>
              <w:top w:val="single" w:sz="4" w:space="0" w:color="auto"/>
              <w:left w:val="double" w:sz="4" w:space="0" w:color="auto"/>
              <w:bottom w:val="single" w:sz="4" w:space="0" w:color="auto"/>
              <w:right w:val="single" w:sz="4" w:space="0" w:color="auto"/>
            </w:tcBorders>
          </w:tcPr>
          <w:p w14:paraId="4EADFD94"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15,3</w:t>
            </w:r>
          </w:p>
        </w:tc>
        <w:tc>
          <w:tcPr>
            <w:tcW w:w="948" w:type="dxa"/>
            <w:tcBorders>
              <w:top w:val="single" w:sz="4" w:space="0" w:color="auto"/>
              <w:left w:val="nil"/>
              <w:bottom w:val="single" w:sz="4" w:space="0" w:color="auto"/>
              <w:right w:val="double" w:sz="4" w:space="0" w:color="auto"/>
            </w:tcBorders>
            <w:noWrap/>
          </w:tcPr>
          <w:p w14:paraId="03E5EFDC"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15,3</w:t>
            </w:r>
          </w:p>
        </w:tc>
        <w:tc>
          <w:tcPr>
            <w:tcW w:w="936" w:type="dxa"/>
            <w:tcBorders>
              <w:top w:val="nil"/>
              <w:left w:val="double" w:sz="4" w:space="0" w:color="auto"/>
              <w:bottom w:val="single" w:sz="4" w:space="0" w:color="auto"/>
              <w:right w:val="single" w:sz="4" w:space="0" w:color="auto"/>
            </w:tcBorders>
          </w:tcPr>
          <w:p w14:paraId="272F7D47"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-0,1</w:t>
            </w:r>
          </w:p>
        </w:tc>
        <w:tc>
          <w:tcPr>
            <w:tcW w:w="936" w:type="dxa"/>
            <w:tcBorders>
              <w:top w:val="nil"/>
              <w:left w:val="nil"/>
              <w:bottom w:val="single" w:sz="4" w:space="0" w:color="auto"/>
              <w:right w:val="single" w:sz="4" w:space="0" w:color="auto"/>
            </w:tcBorders>
            <w:noWrap/>
          </w:tcPr>
          <w:p w14:paraId="63E5C2AA"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-0,3</w:t>
            </w:r>
          </w:p>
        </w:tc>
      </w:tr>
      <w:tr w:rsidR="00AB3311" w:rsidRPr="00A54B9F" w14:paraId="7B58EBB0" w14:textId="77777777" w:rsidTr="00C217B4">
        <w:trPr>
          <w:trHeight w:val="70"/>
          <w:jc w:val="center"/>
        </w:trPr>
        <w:tc>
          <w:tcPr>
            <w:tcW w:w="3397" w:type="dxa"/>
            <w:tcBorders>
              <w:top w:val="nil"/>
              <w:left w:val="single" w:sz="4" w:space="0" w:color="auto"/>
              <w:bottom w:val="single" w:sz="4" w:space="0" w:color="auto"/>
              <w:right w:val="single" w:sz="4" w:space="0" w:color="auto"/>
            </w:tcBorders>
            <w:noWrap/>
            <w:vAlign w:val="center"/>
          </w:tcPr>
          <w:p w14:paraId="7973B08C" w14:textId="77777777" w:rsidR="00AB3311" w:rsidRPr="00C503C7" w:rsidRDefault="00AB3311" w:rsidP="00C217B4">
            <w:pPr>
              <w:spacing w:after="0"/>
              <w:ind w:firstLine="360"/>
              <w:rPr>
                <w:rFonts w:eastAsia="Times New Roman" w:cs="Times New Roman"/>
                <w:sz w:val="18"/>
                <w:szCs w:val="18"/>
              </w:rPr>
            </w:pPr>
            <w:r w:rsidRPr="00C503C7">
              <w:rPr>
                <w:rFonts w:eastAsia="Times New Roman" w:cs="Times New Roman"/>
                <w:sz w:val="18"/>
                <w:szCs w:val="18"/>
              </w:rPr>
              <w:t>Procentu izdevumi</w:t>
            </w:r>
          </w:p>
        </w:tc>
        <w:tc>
          <w:tcPr>
            <w:tcW w:w="936" w:type="dxa"/>
            <w:tcBorders>
              <w:top w:val="nil"/>
              <w:left w:val="single" w:sz="4" w:space="0" w:color="auto"/>
              <w:bottom w:val="single" w:sz="4" w:space="0" w:color="auto"/>
              <w:right w:val="single" w:sz="4" w:space="0" w:color="auto"/>
            </w:tcBorders>
            <w:noWrap/>
          </w:tcPr>
          <w:p w14:paraId="6648EB70"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1,2</w:t>
            </w:r>
          </w:p>
        </w:tc>
        <w:tc>
          <w:tcPr>
            <w:tcW w:w="936" w:type="dxa"/>
            <w:tcBorders>
              <w:top w:val="nil"/>
              <w:left w:val="nil"/>
              <w:bottom w:val="single" w:sz="4" w:space="0" w:color="auto"/>
              <w:right w:val="double" w:sz="4" w:space="0" w:color="auto"/>
            </w:tcBorders>
          </w:tcPr>
          <w:p w14:paraId="167D043A"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1,4</w:t>
            </w:r>
          </w:p>
        </w:tc>
        <w:tc>
          <w:tcPr>
            <w:tcW w:w="936" w:type="dxa"/>
            <w:tcBorders>
              <w:top w:val="single" w:sz="4" w:space="0" w:color="auto"/>
              <w:left w:val="double" w:sz="4" w:space="0" w:color="auto"/>
              <w:bottom w:val="single" w:sz="4" w:space="0" w:color="auto"/>
              <w:right w:val="single" w:sz="4" w:space="0" w:color="auto"/>
            </w:tcBorders>
          </w:tcPr>
          <w:p w14:paraId="5517E50F"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1,3</w:t>
            </w:r>
          </w:p>
        </w:tc>
        <w:tc>
          <w:tcPr>
            <w:tcW w:w="948" w:type="dxa"/>
            <w:tcBorders>
              <w:top w:val="single" w:sz="4" w:space="0" w:color="auto"/>
              <w:left w:val="nil"/>
              <w:bottom w:val="single" w:sz="4" w:space="0" w:color="auto"/>
              <w:right w:val="double" w:sz="4" w:space="0" w:color="auto"/>
            </w:tcBorders>
            <w:noWrap/>
          </w:tcPr>
          <w:p w14:paraId="10BB4EF0"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1,4</w:t>
            </w:r>
          </w:p>
        </w:tc>
        <w:tc>
          <w:tcPr>
            <w:tcW w:w="936" w:type="dxa"/>
            <w:tcBorders>
              <w:top w:val="nil"/>
              <w:left w:val="double" w:sz="4" w:space="0" w:color="auto"/>
              <w:bottom w:val="single" w:sz="4" w:space="0" w:color="auto"/>
              <w:right w:val="single" w:sz="4" w:space="0" w:color="auto"/>
            </w:tcBorders>
          </w:tcPr>
          <w:p w14:paraId="7CD00288"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0,1</w:t>
            </w:r>
          </w:p>
        </w:tc>
        <w:tc>
          <w:tcPr>
            <w:tcW w:w="936" w:type="dxa"/>
            <w:tcBorders>
              <w:top w:val="nil"/>
              <w:left w:val="nil"/>
              <w:bottom w:val="single" w:sz="4" w:space="0" w:color="auto"/>
              <w:right w:val="single" w:sz="4" w:space="0" w:color="auto"/>
            </w:tcBorders>
            <w:noWrap/>
          </w:tcPr>
          <w:p w14:paraId="52FE2832"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0,0</w:t>
            </w:r>
          </w:p>
        </w:tc>
      </w:tr>
      <w:tr w:rsidR="00AB3311" w:rsidRPr="00A54B9F" w14:paraId="4C11E5B2" w14:textId="77777777" w:rsidTr="00C217B4">
        <w:trPr>
          <w:trHeight w:val="70"/>
          <w:jc w:val="center"/>
        </w:trPr>
        <w:tc>
          <w:tcPr>
            <w:tcW w:w="3397" w:type="dxa"/>
            <w:tcBorders>
              <w:top w:val="nil"/>
              <w:left w:val="single" w:sz="4" w:space="0" w:color="auto"/>
              <w:bottom w:val="single" w:sz="4" w:space="0" w:color="auto"/>
              <w:right w:val="single" w:sz="4" w:space="0" w:color="auto"/>
            </w:tcBorders>
            <w:noWrap/>
            <w:vAlign w:val="center"/>
          </w:tcPr>
          <w:p w14:paraId="1D56C3DD" w14:textId="77777777" w:rsidR="00AB3311" w:rsidRPr="00C503C7" w:rsidRDefault="00AB3311" w:rsidP="00C217B4">
            <w:pPr>
              <w:spacing w:after="0"/>
              <w:ind w:firstLine="360"/>
              <w:rPr>
                <w:rFonts w:eastAsia="Times New Roman" w:cs="Times New Roman"/>
                <w:sz w:val="18"/>
                <w:szCs w:val="18"/>
              </w:rPr>
            </w:pPr>
            <w:r w:rsidRPr="00C503C7">
              <w:rPr>
                <w:rFonts w:eastAsia="Times New Roman" w:cs="Times New Roman"/>
                <w:sz w:val="18"/>
                <w:szCs w:val="18"/>
              </w:rPr>
              <w:t>Subsīdijas</w:t>
            </w:r>
          </w:p>
        </w:tc>
        <w:tc>
          <w:tcPr>
            <w:tcW w:w="936" w:type="dxa"/>
            <w:tcBorders>
              <w:top w:val="nil"/>
              <w:left w:val="single" w:sz="4" w:space="0" w:color="auto"/>
              <w:bottom w:val="single" w:sz="4" w:space="0" w:color="auto"/>
              <w:right w:val="single" w:sz="4" w:space="0" w:color="auto"/>
            </w:tcBorders>
            <w:noWrap/>
          </w:tcPr>
          <w:p w14:paraId="24A4B1C1"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0,8</w:t>
            </w:r>
          </w:p>
        </w:tc>
        <w:tc>
          <w:tcPr>
            <w:tcW w:w="936" w:type="dxa"/>
            <w:tcBorders>
              <w:top w:val="nil"/>
              <w:left w:val="nil"/>
              <w:bottom w:val="single" w:sz="4" w:space="0" w:color="auto"/>
              <w:right w:val="double" w:sz="4" w:space="0" w:color="auto"/>
            </w:tcBorders>
          </w:tcPr>
          <w:p w14:paraId="5D4402FE"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0,8</w:t>
            </w:r>
          </w:p>
        </w:tc>
        <w:tc>
          <w:tcPr>
            <w:tcW w:w="936" w:type="dxa"/>
            <w:tcBorders>
              <w:top w:val="single" w:sz="4" w:space="0" w:color="auto"/>
              <w:left w:val="double" w:sz="4" w:space="0" w:color="auto"/>
              <w:bottom w:val="single" w:sz="4" w:space="0" w:color="auto"/>
              <w:right w:val="single" w:sz="4" w:space="0" w:color="auto"/>
            </w:tcBorders>
          </w:tcPr>
          <w:p w14:paraId="1533A7DD"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0,7</w:t>
            </w:r>
          </w:p>
        </w:tc>
        <w:tc>
          <w:tcPr>
            <w:tcW w:w="948" w:type="dxa"/>
            <w:tcBorders>
              <w:top w:val="single" w:sz="4" w:space="0" w:color="auto"/>
              <w:left w:val="nil"/>
              <w:bottom w:val="single" w:sz="4" w:space="0" w:color="auto"/>
              <w:right w:val="double" w:sz="4" w:space="0" w:color="auto"/>
            </w:tcBorders>
            <w:noWrap/>
          </w:tcPr>
          <w:p w14:paraId="79BB77BD"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0,7</w:t>
            </w:r>
          </w:p>
        </w:tc>
        <w:tc>
          <w:tcPr>
            <w:tcW w:w="936" w:type="dxa"/>
            <w:tcBorders>
              <w:top w:val="nil"/>
              <w:left w:val="double" w:sz="4" w:space="0" w:color="auto"/>
              <w:bottom w:val="single" w:sz="4" w:space="0" w:color="auto"/>
              <w:right w:val="single" w:sz="4" w:space="0" w:color="auto"/>
            </w:tcBorders>
          </w:tcPr>
          <w:p w14:paraId="27ED7F2E"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-0,1</w:t>
            </w:r>
          </w:p>
        </w:tc>
        <w:tc>
          <w:tcPr>
            <w:tcW w:w="936" w:type="dxa"/>
            <w:tcBorders>
              <w:top w:val="nil"/>
              <w:left w:val="nil"/>
              <w:bottom w:val="single" w:sz="4" w:space="0" w:color="auto"/>
              <w:right w:val="single" w:sz="4" w:space="0" w:color="auto"/>
            </w:tcBorders>
            <w:noWrap/>
          </w:tcPr>
          <w:p w14:paraId="5D34C261"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-0,1</w:t>
            </w:r>
          </w:p>
        </w:tc>
      </w:tr>
      <w:tr w:rsidR="00AB3311" w:rsidRPr="00A54B9F" w14:paraId="7FC552A4" w14:textId="77777777" w:rsidTr="00C217B4">
        <w:trPr>
          <w:trHeight w:val="70"/>
          <w:jc w:val="center"/>
        </w:trPr>
        <w:tc>
          <w:tcPr>
            <w:tcW w:w="3397" w:type="dxa"/>
            <w:tcBorders>
              <w:top w:val="single" w:sz="4" w:space="0" w:color="auto"/>
              <w:left w:val="single" w:sz="4" w:space="0" w:color="auto"/>
              <w:bottom w:val="single" w:sz="4" w:space="0" w:color="auto"/>
              <w:right w:val="single" w:sz="4" w:space="0" w:color="auto"/>
            </w:tcBorders>
            <w:noWrap/>
            <w:vAlign w:val="center"/>
            <w:hideMark/>
          </w:tcPr>
          <w:p w14:paraId="65A5AB10" w14:textId="77777777" w:rsidR="00AB3311" w:rsidRPr="00C503C7" w:rsidRDefault="00AB3311" w:rsidP="00C217B4">
            <w:pPr>
              <w:spacing w:after="0"/>
              <w:ind w:firstLine="360"/>
              <w:jc w:val="left"/>
              <w:rPr>
                <w:rFonts w:eastAsia="Times New Roman" w:cs="Times New Roman"/>
                <w:sz w:val="18"/>
                <w:szCs w:val="18"/>
              </w:rPr>
            </w:pPr>
            <w:r w:rsidRPr="00C503C7">
              <w:rPr>
                <w:rFonts w:eastAsia="Times New Roman" w:cs="Times New Roman"/>
                <w:sz w:val="18"/>
                <w:szCs w:val="18"/>
              </w:rPr>
              <w:t>Bruto pamatkapitāla veidošana</w:t>
            </w:r>
          </w:p>
        </w:tc>
        <w:tc>
          <w:tcPr>
            <w:tcW w:w="936" w:type="dxa"/>
            <w:tcBorders>
              <w:top w:val="nil"/>
              <w:left w:val="single" w:sz="4" w:space="0" w:color="auto"/>
              <w:bottom w:val="single" w:sz="4" w:space="0" w:color="auto"/>
              <w:right w:val="single" w:sz="4" w:space="0" w:color="auto"/>
            </w:tcBorders>
            <w:noWrap/>
          </w:tcPr>
          <w:p w14:paraId="1FA07701"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6,4</w:t>
            </w:r>
          </w:p>
        </w:tc>
        <w:tc>
          <w:tcPr>
            <w:tcW w:w="936" w:type="dxa"/>
            <w:tcBorders>
              <w:top w:val="nil"/>
              <w:left w:val="nil"/>
              <w:bottom w:val="single" w:sz="4" w:space="0" w:color="auto"/>
              <w:right w:val="double" w:sz="4" w:space="0" w:color="auto"/>
            </w:tcBorders>
          </w:tcPr>
          <w:p w14:paraId="6A02344F"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6,3</w:t>
            </w:r>
          </w:p>
        </w:tc>
        <w:tc>
          <w:tcPr>
            <w:tcW w:w="936" w:type="dxa"/>
            <w:tcBorders>
              <w:top w:val="single" w:sz="4" w:space="0" w:color="auto"/>
              <w:left w:val="double" w:sz="4" w:space="0" w:color="auto"/>
              <w:bottom w:val="single" w:sz="4" w:space="0" w:color="auto"/>
              <w:right w:val="single" w:sz="4" w:space="0" w:color="auto"/>
            </w:tcBorders>
          </w:tcPr>
          <w:p w14:paraId="719D9775"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7,0</w:t>
            </w:r>
          </w:p>
        </w:tc>
        <w:tc>
          <w:tcPr>
            <w:tcW w:w="948" w:type="dxa"/>
            <w:tcBorders>
              <w:top w:val="single" w:sz="4" w:space="0" w:color="auto"/>
              <w:left w:val="nil"/>
              <w:bottom w:val="single" w:sz="4" w:space="0" w:color="auto"/>
              <w:right w:val="double" w:sz="4" w:space="0" w:color="auto"/>
            </w:tcBorders>
            <w:noWrap/>
          </w:tcPr>
          <w:p w14:paraId="45C85EC3"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7,2</w:t>
            </w:r>
          </w:p>
        </w:tc>
        <w:tc>
          <w:tcPr>
            <w:tcW w:w="936" w:type="dxa"/>
            <w:tcBorders>
              <w:top w:val="nil"/>
              <w:left w:val="double" w:sz="4" w:space="0" w:color="auto"/>
              <w:bottom w:val="single" w:sz="4" w:space="0" w:color="auto"/>
              <w:right w:val="single" w:sz="4" w:space="0" w:color="auto"/>
            </w:tcBorders>
          </w:tcPr>
          <w:p w14:paraId="32E8310A"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0,6</w:t>
            </w:r>
          </w:p>
        </w:tc>
        <w:tc>
          <w:tcPr>
            <w:tcW w:w="936" w:type="dxa"/>
            <w:tcBorders>
              <w:top w:val="nil"/>
              <w:left w:val="nil"/>
              <w:bottom w:val="single" w:sz="4" w:space="0" w:color="auto"/>
              <w:right w:val="single" w:sz="4" w:space="0" w:color="auto"/>
            </w:tcBorders>
            <w:noWrap/>
          </w:tcPr>
          <w:p w14:paraId="10AE0A14"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0,9</w:t>
            </w:r>
          </w:p>
        </w:tc>
      </w:tr>
      <w:tr w:rsidR="00AB3311" w:rsidRPr="00F061D0" w14:paraId="0CB3BDE4" w14:textId="77777777" w:rsidTr="00C217B4">
        <w:trPr>
          <w:trHeight w:val="70"/>
          <w:jc w:val="center"/>
        </w:trPr>
        <w:tc>
          <w:tcPr>
            <w:tcW w:w="3397" w:type="dxa"/>
            <w:tcBorders>
              <w:top w:val="single" w:sz="4" w:space="0" w:color="auto"/>
              <w:left w:val="single" w:sz="4" w:space="0" w:color="auto"/>
              <w:bottom w:val="single" w:sz="4" w:space="0" w:color="auto"/>
              <w:right w:val="single" w:sz="4" w:space="0" w:color="auto"/>
            </w:tcBorders>
            <w:noWrap/>
            <w:vAlign w:val="center"/>
          </w:tcPr>
          <w:p w14:paraId="50005251" w14:textId="77777777" w:rsidR="00AB3311" w:rsidRPr="00C503C7" w:rsidRDefault="00AB3311" w:rsidP="00C217B4">
            <w:pPr>
              <w:spacing w:after="0"/>
              <w:ind w:firstLine="360"/>
              <w:rPr>
                <w:rFonts w:eastAsia="Times New Roman" w:cs="Times New Roman"/>
                <w:sz w:val="18"/>
                <w:szCs w:val="18"/>
              </w:rPr>
            </w:pPr>
            <w:r w:rsidRPr="00C503C7">
              <w:rPr>
                <w:rFonts w:eastAsia="Times New Roman" w:cs="Times New Roman"/>
                <w:sz w:val="18"/>
                <w:szCs w:val="18"/>
              </w:rPr>
              <w:t>Pārējie izdevumi</w:t>
            </w:r>
          </w:p>
        </w:tc>
        <w:tc>
          <w:tcPr>
            <w:tcW w:w="936" w:type="dxa"/>
            <w:tcBorders>
              <w:top w:val="nil"/>
              <w:left w:val="single" w:sz="4" w:space="0" w:color="auto"/>
              <w:bottom w:val="single" w:sz="4" w:space="0" w:color="auto"/>
              <w:right w:val="single" w:sz="4" w:space="0" w:color="auto"/>
            </w:tcBorders>
            <w:noWrap/>
          </w:tcPr>
          <w:p w14:paraId="3762C744"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4,0</w:t>
            </w:r>
          </w:p>
        </w:tc>
        <w:tc>
          <w:tcPr>
            <w:tcW w:w="936" w:type="dxa"/>
            <w:tcBorders>
              <w:top w:val="nil"/>
              <w:left w:val="nil"/>
              <w:bottom w:val="single" w:sz="4" w:space="0" w:color="auto"/>
              <w:right w:val="double" w:sz="4" w:space="0" w:color="auto"/>
            </w:tcBorders>
          </w:tcPr>
          <w:p w14:paraId="63834D60"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4,1</w:t>
            </w:r>
          </w:p>
        </w:tc>
        <w:tc>
          <w:tcPr>
            <w:tcW w:w="936" w:type="dxa"/>
            <w:tcBorders>
              <w:top w:val="single" w:sz="4" w:space="0" w:color="auto"/>
              <w:left w:val="double" w:sz="4" w:space="0" w:color="auto"/>
              <w:bottom w:val="single" w:sz="4" w:space="0" w:color="auto"/>
              <w:right w:val="single" w:sz="4" w:space="0" w:color="auto"/>
            </w:tcBorders>
          </w:tcPr>
          <w:p w14:paraId="3F3C3544"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3,5</w:t>
            </w:r>
          </w:p>
        </w:tc>
        <w:tc>
          <w:tcPr>
            <w:tcW w:w="948" w:type="dxa"/>
            <w:tcBorders>
              <w:top w:val="single" w:sz="4" w:space="0" w:color="auto"/>
              <w:left w:val="nil"/>
              <w:bottom w:val="single" w:sz="4" w:space="0" w:color="auto"/>
              <w:right w:val="double" w:sz="4" w:space="0" w:color="auto"/>
            </w:tcBorders>
            <w:noWrap/>
          </w:tcPr>
          <w:p w14:paraId="03D43FEF"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3,2</w:t>
            </w:r>
          </w:p>
        </w:tc>
        <w:tc>
          <w:tcPr>
            <w:tcW w:w="936" w:type="dxa"/>
            <w:tcBorders>
              <w:top w:val="nil"/>
              <w:left w:val="double" w:sz="4" w:space="0" w:color="auto"/>
              <w:bottom w:val="single" w:sz="4" w:space="0" w:color="auto"/>
              <w:right w:val="single" w:sz="4" w:space="0" w:color="auto"/>
            </w:tcBorders>
          </w:tcPr>
          <w:p w14:paraId="00A55938"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-0,5</w:t>
            </w:r>
          </w:p>
        </w:tc>
        <w:tc>
          <w:tcPr>
            <w:tcW w:w="936" w:type="dxa"/>
            <w:tcBorders>
              <w:top w:val="nil"/>
              <w:left w:val="nil"/>
              <w:bottom w:val="single" w:sz="4" w:space="0" w:color="auto"/>
              <w:right w:val="single" w:sz="4" w:space="0" w:color="auto"/>
            </w:tcBorders>
            <w:noWrap/>
          </w:tcPr>
          <w:p w14:paraId="625C5EF5" w14:textId="77777777" w:rsidR="00AB3311" w:rsidRPr="00821AF1" w:rsidRDefault="00AB3311" w:rsidP="00C217B4">
            <w:pPr>
              <w:spacing w:after="0"/>
              <w:ind w:firstLine="360"/>
              <w:jc w:val="right"/>
              <w:rPr>
                <w:rFonts w:eastAsia="Times New Roman" w:cs="Times New Roman"/>
                <w:sz w:val="18"/>
                <w:szCs w:val="18"/>
                <w:lang w:eastAsia="en-US"/>
              </w:rPr>
            </w:pPr>
            <w:r w:rsidRPr="00821AF1">
              <w:rPr>
                <w:rFonts w:cs="Times New Roman"/>
                <w:sz w:val="18"/>
                <w:szCs w:val="18"/>
              </w:rPr>
              <w:t>-0,9</w:t>
            </w:r>
          </w:p>
        </w:tc>
      </w:tr>
    </w:tbl>
    <w:p w14:paraId="66888D72" w14:textId="77777777" w:rsidR="00AB3311" w:rsidRPr="00F061D0" w:rsidRDefault="00AB3311" w:rsidP="00AB3311">
      <w:pPr>
        <w:spacing w:after="0"/>
        <w:ind w:firstLine="0"/>
        <w:rPr>
          <w:rFonts w:eastAsia="Calibri" w:cs="Times New Roman"/>
          <w:bCs/>
          <w:color w:val="FF0000"/>
          <w:szCs w:val="20"/>
          <w:lang w:eastAsia="en-US"/>
        </w:rPr>
      </w:pPr>
    </w:p>
    <w:p w14:paraId="1FA74268" w14:textId="77777777" w:rsidR="00AB3311" w:rsidRDefault="00AB3311" w:rsidP="00AB3311">
      <w:pPr>
        <w:rPr>
          <w:rFonts w:eastAsia="Calibri" w:cs="Times New Roman"/>
          <w:bCs/>
          <w:noProof/>
          <w:szCs w:val="28"/>
          <w:lang w:eastAsia="en-US"/>
        </w:rPr>
      </w:pPr>
      <w:r w:rsidRPr="008E3EDB">
        <w:rPr>
          <w:rFonts w:eastAsia="Calibri" w:cs="Times New Roman"/>
          <w:bCs/>
          <w:noProof/>
          <w:szCs w:val="28"/>
          <w:lang w:eastAsia="en-US"/>
        </w:rPr>
        <w:t>Atbilstoši 2025.</w:t>
      </w:r>
      <w:r>
        <w:rPr>
          <w:rFonts w:eastAsia="Calibri" w:cs="Times New Roman"/>
          <w:bCs/>
          <w:noProof/>
          <w:szCs w:val="28"/>
          <w:lang w:eastAsia="en-US"/>
        </w:rPr>
        <w:t> </w:t>
      </w:r>
      <w:r w:rsidRPr="008E3EDB">
        <w:rPr>
          <w:rFonts w:eastAsia="Calibri" w:cs="Times New Roman"/>
          <w:bCs/>
          <w:noProof/>
          <w:szCs w:val="28"/>
          <w:lang w:eastAsia="en-US"/>
        </w:rPr>
        <w:t>gada pavasara prognozēm EK sagaida, ka Latvijas vispārējās valdības budžeta deficīts gan 2025. gadā, gan 2026. gadā būs 3,1% no IKP. EK prognozētais deficīts 2025.</w:t>
      </w:r>
      <w:r>
        <w:rPr>
          <w:rFonts w:eastAsia="Calibri" w:cs="Times New Roman"/>
          <w:bCs/>
          <w:noProof/>
          <w:szCs w:val="28"/>
          <w:lang w:eastAsia="en-US"/>
        </w:rPr>
        <w:t> </w:t>
      </w:r>
      <w:r w:rsidRPr="008E3EDB">
        <w:rPr>
          <w:rFonts w:eastAsia="Calibri" w:cs="Times New Roman"/>
          <w:bCs/>
          <w:noProof/>
          <w:szCs w:val="28"/>
          <w:lang w:eastAsia="en-US"/>
        </w:rPr>
        <w:t>gadā ir nedaudz augstāks nekā FM novērtētais, pamatā sagaidot zemākus nodokļu ieņēmumus. Turklāt vispārējās valdības izdevumi arī tiek prognozēti nedaudz augstāki, prognozējot lielāku investīciju (bruto pamatkapitāla veidošanas) īstenošanu, kā arī nozīmīgāku atlīdzības pieaugumu. Kopumā ieņēmumu un izdevumu līmeņ</w:t>
      </w:r>
      <w:r>
        <w:rPr>
          <w:rFonts w:eastAsia="Calibri" w:cs="Times New Roman"/>
          <w:bCs/>
          <w:noProof/>
          <w:szCs w:val="28"/>
          <w:lang w:eastAsia="en-US"/>
        </w:rPr>
        <w:t>u</w:t>
      </w:r>
      <w:r w:rsidRPr="008E3EDB">
        <w:rPr>
          <w:rFonts w:eastAsia="Calibri" w:cs="Times New Roman"/>
          <w:bCs/>
          <w:noProof/>
          <w:szCs w:val="28"/>
          <w:lang w:eastAsia="en-US"/>
        </w:rPr>
        <w:t xml:space="preserve"> atšķirības </w:t>
      </w:r>
      <w:r>
        <w:rPr>
          <w:rFonts w:eastAsia="Calibri" w:cs="Times New Roman"/>
          <w:bCs/>
          <w:noProof/>
          <w:szCs w:val="28"/>
          <w:lang w:eastAsia="en-US"/>
        </w:rPr>
        <w:t>pret</w:t>
      </w:r>
      <w:r w:rsidRPr="008E3EDB">
        <w:rPr>
          <w:rFonts w:eastAsia="Calibri" w:cs="Times New Roman"/>
          <w:bCs/>
          <w:noProof/>
          <w:szCs w:val="28"/>
          <w:lang w:eastAsia="en-US"/>
        </w:rPr>
        <w:t xml:space="preserve"> EK prognozēm </w:t>
      </w:r>
      <w:r w:rsidRPr="008E3EDB">
        <w:rPr>
          <w:rFonts w:eastAsia="Calibri" w:cs="Times New Roman"/>
          <w:bCs/>
          <w:noProof/>
          <w:szCs w:val="28"/>
          <w:lang w:eastAsia="en-US"/>
        </w:rPr>
        <w:lastRenderedPageBreak/>
        <w:t>būtiski ietekmē prognožu izst</w:t>
      </w:r>
      <w:r>
        <w:rPr>
          <w:rFonts w:eastAsia="Calibri" w:cs="Times New Roman"/>
          <w:bCs/>
          <w:noProof/>
          <w:szCs w:val="28"/>
          <w:lang w:eastAsia="en-US"/>
        </w:rPr>
        <w:t>r</w:t>
      </w:r>
      <w:r w:rsidRPr="008E3EDB">
        <w:rPr>
          <w:rFonts w:eastAsia="Calibri" w:cs="Times New Roman"/>
          <w:bCs/>
          <w:noProof/>
          <w:szCs w:val="28"/>
          <w:lang w:eastAsia="en-US"/>
        </w:rPr>
        <w:t>ādes brīdis</w:t>
      </w:r>
      <w:r>
        <w:rPr>
          <w:rFonts w:eastAsia="Calibri" w:cs="Times New Roman"/>
          <w:bCs/>
          <w:noProof/>
          <w:szCs w:val="28"/>
          <w:lang w:eastAsia="en-US"/>
        </w:rPr>
        <w:t>, kurā tiek izvirzīti</w:t>
      </w:r>
      <w:r w:rsidRPr="008E3EDB">
        <w:rPr>
          <w:rFonts w:eastAsia="Calibri" w:cs="Times New Roman"/>
          <w:bCs/>
          <w:noProof/>
          <w:szCs w:val="28"/>
          <w:lang w:eastAsia="en-US"/>
        </w:rPr>
        <w:t xml:space="preserve"> pieņēmumi un</w:t>
      </w:r>
      <w:r>
        <w:rPr>
          <w:rFonts w:eastAsia="Calibri" w:cs="Times New Roman"/>
          <w:bCs/>
          <w:noProof/>
          <w:szCs w:val="28"/>
          <w:lang w:eastAsia="en-US"/>
        </w:rPr>
        <w:t xml:space="preserve"> ir zināmi</w:t>
      </w:r>
      <w:r w:rsidRPr="008E3EDB">
        <w:rPr>
          <w:rFonts w:eastAsia="Calibri" w:cs="Times New Roman"/>
          <w:bCs/>
          <w:noProof/>
          <w:szCs w:val="28"/>
          <w:lang w:eastAsia="en-US"/>
        </w:rPr>
        <w:t xml:space="preserve"> lēmumi par politikas </w:t>
      </w:r>
      <w:r>
        <w:rPr>
          <w:rFonts w:eastAsia="Calibri" w:cs="Times New Roman"/>
          <w:bCs/>
          <w:noProof/>
          <w:szCs w:val="28"/>
          <w:lang w:eastAsia="en-US"/>
        </w:rPr>
        <w:t>izmaiņām</w:t>
      </w:r>
      <w:r w:rsidRPr="008E3EDB">
        <w:rPr>
          <w:rFonts w:eastAsia="Calibri" w:cs="Times New Roman"/>
          <w:bCs/>
          <w:noProof/>
          <w:szCs w:val="28"/>
          <w:lang w:eastAsia="en-US"/>
        </w:rPr>
        <w:t xml:space="preserve">. </w:t>
      </w:r>
    </w:p>
    <w:p w14:paraId="463E3DE3" w14:textId="2B7E3343" w:rsidR="003F3FCD" w:rsidRPr="00D8017D" w:rsidRDefault="000548A5" w:rsidP="008349F0">
      <w:pPr>
        <w:pStyle w:val="Heading2"/>
      </w:pPr>
      <w:r w:rsidRPr="00D8017D">
        <w:t>2.3. Vidēja termiņa budžeta prioritārie attīstības virzieni</w:t>
      </w:r>
      <w:bookmarkEnd w:id="62"/>
    </w:p>
    <w:p w14:paraId="7BF8BC50" w14:textId="26145761" w:rsidR="00BF29C9" w:rsidRPr="00D8017D" w:rsidRDefault="00A419DD" w:rsidP="00BF29C9">
      <w:pPr>
        <w:shd w:val="clear" w:color="auto" w:fill="FFFFFF"/>
      </w:pPr>
      <w:bookmarkStart w:id="63" w:name="_Hlk125536131"/>
      <w:r w:rsidRPr="00D8017D">
        <w:rPr>
          <w:rFonts w:eastAsia="Times New Roman" w:cs="Times New Roman"/>
          <w:szCs w:val="24"/>
        </w:rPr>
        <w:t>Ņ</w:t>
      </w:r>
      <w:r w:rsidR="00103113" w:rsidRPr="00D8017D">
        <w:rPr>
          <w:rFonts w:eastAsia="Times New Roman" w:cs="Times New Roman"/>
          <w:szCs w:val="24"/>
        </w:rPr>
        <w:t xml:space="preserve">emot vērā </w:t>
      </w:r>
      <w:r w:rsidRPr="00D8017D">
        <w:rPr>
          <w:rFonts w:eastAsia="Times New Roman" w:cs="Times New Roman"/>
          <w:szCs w:val="24"/>
        </w:rPr>
        <w:t>2. sadaļā</w:t>
      </w:r>
      <w:r w:rsidRPr="00D8017D">
        <w:rPr>
          <w:rFonts w:eastAsia="Times New Roman" w:cs="Times New Roman"/>
          <w:bCs/>
          <w:szCs w:val="24"/>
        </w:rPr>
        <w:t xml:space="preserve"> minētos </w:t>
      </w:r>
      <w:r w:rsidR="00E11486" w:rsidRPr="00D8017D">
        <w:rPr>
          <w:rFonts w:eastAsia="Times New Roman" w:cs="Times New Roman"/>
          <w:bCs/>
          <w:szCs w:val="24"/>
        </w:rPr>
        <w:t>MK</w:t>
      </w:r>
      <w:r w:rsidR="00C12798" w:rsidRPr="00D8017D">
        <w:rPr>
          <w:rFonts w:eastAsia="Times New Roman" w:cs="Times New Roman"/>
          <w:bCs/>
          <w:szCs w:val="24"/>
        </w:rPr>
        <w:t xml:space="preserve"> </w:t>
      </w:r>
      <w:r w:rsidR="00C558F8" w:rsidRPr="00D8017D">
        <w:rPr>
          <w:rFonts w:eastAsia="Times New Roman" w:cs="Times New Roman"/>
          <w:bCs/>
          <w:szCs w:val="24"/>
        </w:rPr>
        <w:t>pie</w:t>
      </w:r>
      <w:r w:rsidR="00103113" w:rsidRPr="00D8017D">
        <w:rPr>
          <w:rFonts w:eastAsia="Times New Roman" w:cs="Times New Roman"/>
          <w:bCs/>
          <w:szCs w:val="24"/>
        </w:rPr>
        <w:t>ņemtos lēmumus</w:t>
      </w:r>
      <w:r w:rsidRPr="00D8017D">
        <w:rPr>
          <w:rFonts w:eastAsia="Times New Roman" w:cs="Times New Roman"/>
          <w:bCs/>
          <w:szCs w:val="24"/>
        </w:rPr>
        <w:t xml:space="preserve">, </w:t>
      </w:r>
      <w:r w:rsidR="00C558F8" w:rsidRPr="00D8017D">
        <w:rPr>
          <w:rFonts w:eastAsia="Times New Roman" w:cs="Times New Roman"/>
          <w:bCs/>
          <w:szCs w:val="24"/>
        </w:rPr>
        <w:t>likumprojekta “Par</w:t>
      </w:r>
      <w:r w:rsidR="00C558F8" w:rsidRPr="00D8017D">
        <w:rPr>
          <w:rFonts w:eastAsia="Times New Roman" w:cs="Times New Roman"/>
          <w:szCs w:val="24"/>
        </w:rPr>
        <w:t xml:space="preserve"> valsts budžetu 202</w:t>
      </w:r>
      <w:r w:rsidR="00103113" w:rsidRPr="00D8017D">
        <w:rPr>
          <w:rFonts w:eastAsia="Times New Roman" w:cs="Times New Roman"/>
          <w:szCs w:val="24"/>
        </w:rPr>
        <w:t>6</w:t>
      </w:r>
      <w:r w:rsidR="00C558F8" w:rsidRPr="00D8017D">
        <w:rPr>
          <w:rFonts w:eastAsia="Times New Roman" w:cs="Times New Roman"/>
          <w:szCs w:val="24"/>
        </w:rPr>
        <w:t>. gadam un budžeta ietvaru 202</w:t>
      </w:r>
      <w:r w:rsidR="00103113" w:rsidRPr="00D8017D">
        <w:rPr>
          <w:rFonts w:eastAsia="Times New Roman" w:cs="Times New Roman"/>
          <w:szCs w:val="24"/>
        </w:rPr>
        <w:t>6</w:t>
      </w:r>
      <w:r w:rsidR="00C558F8" w:rsidRPr="00D8017D">
        <w:rPr>
          <w:rFonts w:eastAsia="Times New Roman" w:cs="Times New Roman"/>
          <w:szCs w:val="24"/>
        </w:rPr>
        <w:t>., 202</w:t>
      </w:r>
      <w:r w:rsidR="00103113" w:rsidRPr="00D8017D">
        <w:rPr>
          <w:rFonts w:eastAsia="Times New Roman" w:cs="Times New Roman"/>
          <w:szCs w:val="24"/>
        </w:rPr>
        <w:t>7</w:t>
      </w:r>
      <w:r w:rsidR="00C558F8" w:rsidRPr="00D8017D">
        <w:rPr>
          <w:rFonts w:eastAsia="Times New Roman" w:cs="Times New Roman"/>
          <w:szCs w:val="24"/>
        </w:rPr>
        <w:t>. un 202</w:t>
      </w:r>
      <w:r w:rsidR="00103113" w:rsidRPr="00D8017D">
        <w:rPr>
          <w:rFonts w:eastAsia="Times New Roman" w:cs="Times New Roman"/>
          <w:szCs w:val="24"/>
        </w:rPr>
        <w:t>8</w:t>
      </w:r>
      <w:r w:rsidR="00C558F8" w:rsidRPr="00D8017D">
        <w:rPr>
          <w:rFonts w:eastAsia="Times New Roman" w:cs="Times New Roman"/>
          <w:szCs w:val="24"/>
        </w:rPr>
        <w:t xml:space="preserve">. gadam” sagatavošanā </w:t>
      </w:r>
      <w:r w:rsidRPr="00D8017D">
        <w:rPr>
          <w:rFonts w:eastAsia="Times New Roman" w:cs="Times New Roman"/>
          <w:szCs w:val="24"/>
        </w:rPr>
        <w:t xml:space="preserve">par </w:t>
      </w:r>
      <w:r w:rsidR="00C558F8" w:rsidRPr="00D8017D">
        <w:rPr>
          <w:rFonts w:eastAsia="Times New Roman" w:cs="Times New Roman"/>
          <w:b/>
          <w:bCs/>
          <w:szCs w:val="24"/>
        </w:rPr>
        <w:t>vidēja termiņa budžeta prioritār</w:t>
      </w:r>
      <w:r w:rsidRPr="00D8017D">
        <w:rPr>
          <w:rFonts w:eastAsia="Times New Roman" w:cs="Times New Roman"/>
          <w:b/>
          <w:bCs/>
          <w:szCs w:val="24"/>
        </w:rPr>
        <w:t>ajiem</w:t>
      </w:r>
      <w:r w:rsidR="00C558F8" w:rsidRPr="00D8017D">
        <w:rPr>
          <w:rFonts w:eastAsia="Times New Roman" w:cs="Times New Roman"/>
          <w:b/>
          <w:bCs/>
          <w:szCs w:val="24"/>
        </w:rPr>
        <w:t xml:space="preserve"> attīstības virzien</w:t>
      </w:r>
      <w:r w:rsidRPr="00D8017D">
        <w:rPr>
          <w:rFonts w:eastAsia="Times New Roman" w:cs="Times New Roman"/>
          <w:b/>
          <w:bCs/>
          <w:szCs w:val="24"/>
        </w:rPr>
        <w:t>iem</w:t>
      </w:r>
      <w:r w:rsidR="00C558F8" w:rsidRPr="00D8017D">
        <w:rPr>
          <w:rFonts w:eastAsia="Times New Roman" w:cs="Times New Roman"/>
          <w:b/>
          <w:bCs/>
          <w:szCs w:val="24"/>
        </w:rPr>
        <w:t xml:space="preserve"> noteikt</w:t>
      </w:r>
      <w:r w:rsidRPr="00D8017D">
        <w:rPr>
          <w:rFonts w:eastAsia="Times New Roman" w:cs="Times New Roman"/>
          <w:b/>
          <w:bCs/>
          <w:szCs w:val="24"/>
        </w:rPr>
        <w:t>i</w:t>
      </w:r>
      <w:r w:rsidR="00C558F8" w:rsidRPr="00D8017D">
        <w:rPr>
          <w:rFonts w:eastAsia="Times New Roman" w:cs="Times New Roman"/>
          <w:b/>
          <w:bCs/>
          <w:szCs w:val="24"/>
        </w:rPr>
        <w:t xml:space="preserve"> drošību</w:t>
      </w:r>
      <w:r w:rsidRPr="00D8017D">
        <w:rPr>
          <w:rFonts w:eastAsia="Times New Roman" w:cs="Times New Roman"/>
          <w:b/>
          <w:bCs/>
          <w:szCs w:val="24"/>
        </w:rPr>
        <w:t>, demogrāfija un izglītība</w:t>
      </w:r>
      <w:r w:rsidR="00C558F8" w:rsidRPr="00D8017D">
        <w:rPr>
          <w:rFonts w:eastAsia="Times New Roman" w:cs="Times New Roman"/>
          <w:szCs w:val="24"/>
        </w:rPr>
        <w:t xml:space="preserve">. Šis ir </w:t>
      </w:r>
      <w:r w:rsidRPr="00D8017D">
        <w:rPr>
          <w:rFonts w:eastAsia="Times New Roman" w:cs="Times New Roman"/>
          <w:szCs w:val="24"/>
        </w:rPr>
        <w:t>ceturtais</w:t>
      </w:r>
      <w:r w:rsidR="00D1706D" w:rsidRPr="00D8017D">
        <w:rPr>
          <w:rFonts w:eastAsia="Times New Roman" w:cs="Times New Roman"/>
          <w:szCs w:val="24"/>
        </w:rPr>
        <w:t xml:space="preserve"> gad</w:t>
      </w:r>
      <w:r w:rsidR="00C558F8" w:rsidRPr="00D8017D">
        <w:rPr>
          <w:rFonts w:eastAsia="Times New Roman" w:cs="Times New Roman"/>
          <w:szCs w:val="24"/>
        </w:rPr>
        <w:t>s</w:t>
      </w:r>
      <w:r w:rsidR="00D1706D" w:rsidRPr="00D8017D">
        <w:rPr>
          <w:rFonts w:eastAsia="Times New Roman" w:cs="Times New Roman"/>
          <w:szCs w:val="24"/>
        </w:rPr>
        <w:t xml:space="preserve"> pēc kārtas,</w:t>
      </w:r>
      <w:r w:rsidR="00C12798" w:rsidRPr="00D8017D">
        <w:rPr>
          <w:rFonts w:eastAsia="Times New Roman" w:cs="Times New Roman"/>
          <w:szCs w:val="24"/>
        </w:rPr>
        <w:t xml:space="preserve"> kad</w:t>
      </w:r>
      <w:r w:rsidR="00D1706D" w:rsidRPr="00D8017D">
        <w:rPr>
          <w:rFonts w:eastAsia="Times New Roman" w:cs="Times New Roman"/>
          <w:szCs w:val="24"/>
        </w:rPr>
        <w:t xml:space="preserve"> drošība tiek izvirzīta par </w:t>
      </w:r>
      <w:r w:rsidRPr="00D8017D">
        <w:rPr>
          <w:rFonts w:eastAsia="Times New Roman" w:cs="Times New Roman"/>
          <w:szCs w:val="24"/>
        </w:rPr>
        <w:t xml:space="preserve">vienu no </w:t>
      </w:r>
      <w:r w:rsidR="00D1706D" w:rsidRPr="00D8017D">
        <w:rPr>
          <w:rFonts w:eastAsia="Times New Roman" w:cs="Times New Roman"/>
          <w:szCs w:val="24"/>
        </w:rPr>
        <w:t>vidēja termiņa budžeta politikas prioritā</w:t>
      </w:r>
      <w:r w:rsidRPr="00D8017D">
        <w:rPr>
          <w:rFonts w:eastAsia="Times New Roman" w:cs="Times New Roman"/>
          <w:szCs w:val="24"/>
        </w:rPr>
        <w:t>rajiem</w:t>
      </w:r>
      <w:r w:rsidR="00D1706D" w:rsidRPr="00D8017D">
        <w:rPr>
          <w:rFonts w:eastAsia="Times New Roman" w:cs="Times New Roman"/>
          <w:szCs w:val="24"/>
        </w:rPr>
        <w:t xml:space="preserve"> attīstības virzien</w:t>
      </w:r>
      <w:r w:rsidRPr="00D8017D">
        <w:rPr>
          <w:rFonts w:eastAsia="Times New Roman" w:cs="Times New Roman"/>
          <w:szCs w:val="24"/>
        </w:rPr>
        <w:t>iem</w:t>
      </w:r>
      <w:r w:rsidR="00D1706D" w:rsidRPr="00D8017D">
        <w:rPr>
          <w:rFonts w:eastAsia="Times New Roman" w:cs="Times New Roman"/>
          <w:szCs w:val="24"/>
        </w:rPr>
        <w:t>.</w:t>
      </w:r>
      <w:r w:rsidR="00BF29C9" w:rsidRPr="00D8017D">
        <w:rPr>
          <w:rFonts w:eastAsia="Times New Roman" w:cs="Times New Roman"/>
          <w:szCs w:val="24"/>
        </w:rPr>
        <w:t xml:space="preserve"> Savukārt izglītība tika noteikta par </w:t>
      </w:r>
      <w:r w:rsidR="00BF29C9" w:rsidRPr="00D8017D">
        <w:t xml:space="preserve">Evikas Siliņas vadītā MK </w:t>
      </w:r>
      <w:r w:rsidR="00BF29C9" w:rsidRPr="00D8017D">
        <w:rPr>
          <w:rFonts w:eastAsia="Times New Roman" w:cs="Times New Roman"/>
          <w:szCs w:val="24"/>
        </w:rPr>
        <w:t xml:space="preserve">vidēja termiņa budžeta politikas prioritāro attīstības virzienu arī 2023. gadā sagatavojot likumprojektu “Par valsts budžetu 2024. gadam un budžeta ietvaru 2024., 2025. un 2026. gadam”. </w:t>
      </w:r>
    </w:p>
    <w:p w14:paraId="4F075FC5" w14:textId="003C1511" w:rsidR="001531A9" w:rsidRPr="00D8017D" w:rsidRDefault="0047535A" w:rsidP="00BF29C9">
      <w:pPr>
        <w:shd w:val="clear" w:color="auto" w:fill="FFFFFF"/>
        <w:rPr>
          <w:rFonts w:cs="Times New Roman"/>
          <w:szCs w:val="24"/>
        </w:rPr>
      </w:pPr>
      <w:r w:rsidRPr="00D8017D">
        <w:rPr>
          <w:rFonts w:cs="Times New Roman"/>
          <w:szCs w:val="24"/>
        </w:rPr>
        <w:t>MK</w:t>
      </w:r>
      <w:r w:rsidR="00166096" w:rsidRPr="00D8017D">
        <w:rPr>
          <w:rFonts w:cs="Times New Roman"/>
          <w:szCs w:val="24"/>
        </w:rPr>
        <w:t xml:space="preserve"> 202</w:t>
      </w:r>
      <w:r w:rsidR="00BF29C9" w:rsidRPr="00D8017D">
        <w:rPr>
          <w:rFonts w:cs="Times New Roman"/>
          <w:szCs w:val="24"/>
        </w:rPr>
        <w:t>5</w:t>
      </w:r>
      <w:r w:rsidR="00166096" w:rsidRPr="00D8017D">
        <w:rPr>
          <w:rFonts w:cs="Times New Roman"/>
          <w:szCs w:val="24"/>
        </w:rPr>
        <w:t xml:space="preserve">. gada </w:t>
      </w:r>
      <w:r w:rsidR="00BF29C9" w:rsidRPr="00D8017D">
        <w:rPr>
          <w:rFonts w:cs="Times New Roman"/>
          <w:szCs w:val="24"/>
        </w:rPr>
        <w:t>19</w:t>
      </w:r>
      <w:r w:rsidR="00911F3E" w:rsidRPr="00D8017D">
        <w:rPr>
          <w:rFonts w:cs="Times New Roman"/>
          <w:szCs w:val="24"/>
        </w:rPr>
        <w:t>.</w:t>
      </w:r>
      <w:r w:rsidR="004069EA" w:rsidRPr="00D8017D">
        <w:rPr>
          <w:rFonts w:cs="Times New Roman"/>
          <w:szCs w:val="24"/>
        </w:rPr>
        <w:t xml:space="preserve"> </w:t>
      </w:r>
      <w:r w:rsidR="00911F3E" w:rsidRPr="00D8017D">
        <w:rPr>
          <w:rFonts w:cs="Times New Roman"/>
          <w:szCs w:val="24"/>
        </w:rPr>
        <w:t>augustā</w:t>
      </w:r>
      <w:r w:rsidR="00166096" w:rsidRPr="00D8017D">
        <w:rPr>
          <w:rFonts w:cs="Times New Roman"/>
          <w:szCs w:val="24"/>
        </w:rPr>
        <w:t xml:space="preserve"> sēdē, izskatot informatīvo ziņojumu „</w:t>
      </w:r>
      <w:r w:rsidR="0080093D" w:rsidRPr="00D8017D">
        <w:rPr>
          <w:rFonts w:cs="Times New Roman"/>
          <w:szCs w:val="24"/>
        </w:rPr>
        <w:t>Par makroekonomisko rādītāju, ieņēmumu un vispārējās valdības budžeta bilances prognozēm 2026., 2027., 2028. un 2029. gadā</w:t>
      </w:r>
      <w:r w:rsidR="00166096" w:rsidRPr="00D8017D">
        <w:rPr>
          <w:rFonts w:cs="Times New Roman"/>
          <w:szCs w:val="24"/>
        </w:rPr>
        <w:t>”</w:t>
      </w:r>
      <w:r w:rsidR="00911F3E" w:rsidRPr="00D8017D">
        <w:rPr>
          <w:rStyle w:val="FootnoteReference"/>
          <w:rFonts w:cs="Times New Roman"/>
          <w:szCs w:val="24"/>
        </w:rPr>
        <w:footnoteReference w:id="34"/>
      </w:r>
      <w:r w:rsidR="00166096" w:rsidRPr="00D8017D">
        <w:rPr>
          <w:rFonts w:cs="Times New Roman"/>
          <w:szCs w:val="24"/>
        </w:rPr>
        <w:t>, tika pieņemts zināšanai, ka</w:t>
      </w:r>
      <w:r w:rsidR="001531A9" w:rsidRPr="00D8017D">
        <w:rPr>
          <w:rFonts w:cs="Times New Roman"/>
          <w:szCs w:val="24"/>
        </w:rPr>
        <w:t xml:space="preserve">: </w:t>
      </w:r>
    </w:p>
    <w:p w14:paraId="42088A93" w14:textId="446C5679" w:rsidR="0080093D" w:rsidRPr="00D8017D" w:rsidRDefault="0080093D" w:rsidP="003160BE">
      <w:pPr>
        <w:pStyle w:val="ListParagraph"/>
        <w:numPr>
          <w:ilvl w:val="2"/>
          <w:numId w:val="13"/>
        </w:numPr>
        <w:ind w:left="0" w:firstLine="426"/>
        <w:rPr>
          <w:rFonts w:cs="Times New Roman"/>
          <w:szCs w:val="24"/>
        </w:rPr>
      </w:pPr>
      <w:r w:rsidRPr="00D8017D">
        <w:rPr>
          <w:rFonts w:cs="Times New Roman"/>
          <w:b/>
          <w:bCs/>
          <w:szCs w:val="24"/>
        </w:rPr>
        <w:t>vispārējās valdības budžeta bilance pie nemainīgas politikas</w:t>
      </w:r>
      <w:r w:rsidRPr="00D8017D">
        <w:rPr>
          <w:rFonts w:cs="Times New Roman"/>
          <w:szCs w:val="24"/>
        </w:rPr>
        <w:t xml:space="preserve"> tiek prognozēta 2026. gadā -1 326,1 milj. </w:t>
      </w:r>
      <w:r w:rsidRPr="00D8017D">
        <w:rPr>
          <w:rFonts w:cs="Times New Roman"/>
          <w:i/>
          <w:iCs/>
          <w:szCs w:val="24"/>
        </w:rPr>
        <w:t>euro</w:t>
      </w:r>
      <w:r w:rsidRPr="00D8017D">
        <w:rPr>
          <w:rFonts w:cs="Times New Roman"/>
          <w:szCs w:val="24"/>
        </w:rPr>
        <w:t> jeb -3,0% no IKP, 2027. gadā -1 864,1 milj. </w:t>
      </w:r>
      <w:r w:rsidRPr="00D8017D">
        <w:rPr>
          <w:rFonts w:cs="Times New Roman"/>
          <w:i/>
          <w:iCs/>
          <w:szCs w:val="24"/>
        </w:rPr>
        <w:t>euro</w:t>
      </w:r>
      <w:r w:rsidRPr="00D8017D">
        <w:rPr>
          <w:rFonts w:cs="Times New Roman"/>
          <w:szCs w:val="24"/>
        </w:rPr>
        <w:t> jeb -4,1% no IKP</w:t>
      </w:r>
      <w:r w:rsidR="009720A8">
        <w:rPr>
          <w:rFonts w:cs="Times New Roman"/>
          <w:szCs w:val="24"/>
        </w:rPr>
        <w:t xml:space="preserve"> un</w:t>
      </w:r>
      <w:r w:rsidRPr="00D8017D">
        <w:rPr>
          <w:rFonts w:cs="Times New Roman"/>
          <w:szCs w:val="24"/>
        </w:rPr>
        <w:t xml:space="preserve"> 2028. gadā -1 800,4 milj. </w:t>
      </w:r>
      <w:r w:rsidRPr="00D8017D">
        <w:rPr>
          <w:rFonts w:cs="Times New Roman"/>
          <w:i/>
          <w:iCs/>
          <w:szCs w:val="24"/>
        </w:rPr>
        <w:t>euro</w:t>
      </w:r>
      <w:r w:rsidRPr="00D8017D">
        <w:rPr>
          <w:rFonts w:cs="Times New Roman"/>
          <w:szCs w:val="24"/>
        </w:rPr>
        <w:t> jeb -3,7% no IKP (</w:t>
      </w:r>
      <w:r w:rsidRPr="00D8017D">
        <w:rPr>
          <w:rFonts w:cs="Times New Roman"/>
          <w:bCs/>
          <w:szCs w:val="24"/>
        </w:rPr>
        <w:t>protokols Nr. 32 48. § 3. punkts)</w:t>
      </w:r>
      <w:r w:rsidRPr="00D8017D">
        <w:rPr>
          <w:rFonts w:cs="Times New Roman"/>
          <w:szCs w:val="24"/>
        </w:rPr>
        <w:t>.</w:t>
      </w:r>
    </w:p>
    <w:p w14:paraId="052B1C74" w14:textId="63259791" w:rsidR="00C12798" w:rsidRPr="00D8017D" w:rsidRDefault="001531A9" w:rsidP="003160BE">
      <w:pPr>
        <w:pStyle w:val="ListParagraph"/>
        <w:numPr>
          <w:ilvl w:val="2"/>
          <w:numId w:val="13"/>
        </w:numPr>
        <w:ind w:left="0" w:firstLine="426"/>
        <w:rPr>
          <w:rFonts w:cs="Times New Roman"/>
          <w:szCs w:val="24"/>
        </w:rPr>
      </w:pPr>
      <w:r w:rsidRPr="00D8017D">
        <w:rPr>
          <w:rFonts w:cs="Times New Roman"/>
          <w:b/>
          <w:bCs/>
          <w:szCs w:val="24"/>
        </w:rPr>
        <w:t>fiskālā telpa</w:t>
      </w:r>
      <w:r w:rsidRPr="00D8017D">
        <w:rPr>
          <w:rFonts w:cs="Times New Roman"/>
          <w:szCs w:val="24"/>
        </w:rPr>
        <w:t xml:space="preserve"> </w:t>
      </w:r>
      <w:r w:rsidR="0080093D" w:rsidRPr="00D8017D">
        <w:rPr>
          <w:rFonts w:cs="Times New Roman"/>
          <w:szCs w:val="24"/>
        </w:rPr>
        <w:t>2026. gadā ir 39,7 milj. </w:t>
      </w:r>
      <w:r w:rsidR="0080093D" w:rsidRPr="00D8017D">
        <w:rPr>
          <w:rFonts w:cs="Times New Roman"/>
          <w:i/>
          <w:iCs/>
          <w:szCs w:val="24"/>
        </w:rPr>
        <w:t>euro</w:t>
      </w:r>
      <w:r w:rsidR="0080093D" w:rsidRPr="00D8017D">
        <w:rPr>
          <w:rFonts w:cs="Times New Roman"/>
          <w:szCs w:val="24"/>
        </w:rPr>
        <w:t>, 2027. gadā ir -140,1 milj. </w:t>
      </w:r>
      <w:r w:rsidR="0080093D" w:rsidRPr="00D8017D">
        <w:rPr>
          <w:rFonts w:cs="Times New Roman"/>
          <w:i/>
          <w:iCs/>
          <w:szCs w:val="24"/>
        </w:rPr>
        <w:t>euro</w:t>
      </w:r>
      <w:r w:rsidR="0080093D" w:rsidRPr="00D8017D">
        <w:rPr>
          <w:rFonts w:cs="Times New Roman"/>
          <w:szCs w:val="24"/>
        </w:rPr>
        <w:t>, 2028. gadā ir -144,4 milj. </w:t>
      </w:r>
      <w:r w:rsidR="0080093D" w:rsidRPr="00D8017D">
        <w:rPr>
          <w:rFonts w:cs="Times New Roman"/>
          <w:i/>
          <w:iCs/>
          <w:szCs w:val="24"/>
        </w:rPr>
        <w:t>euro</w:t>
      </w:r>
      <w:r w:rsidR="0080093D" w:rsidRPr="00D8017D">
        <w:rPr>
          <w:rFonts w:cs="Times New Roman"/>
          <w:iCs/>
          <w:szCs w:val="24"/>
        </w:rPr>
        <w:t xml:space="preserve"> </w:t>
      </w:r>
      <w:r w:rsidR="00C12798" w:rsidRPr="00D8017D">
        <w:rPr>
          <w:rFonts w:cs="Times New Roman"/>
          <w:iCs/>
          <w:szCs w:val="24"/>
        </w:rPr>
        <w:t>(</w:t>
      </w:r>
      <w:r w:rsidR="00C12798" w:rsidRPr="00D8017D">
        <w:rPr>
          <w:rFonts w:cs="Times New Roman"/>
          <w:szCs w:val="24"/>
        </w:rPr>
        <w:t xml:space="preserve">protokols Nr. 32 </w:t>
      </w:r>
      <w:r w:rsidR="0080093D" w:rsidRPr="00D8017D">
        <w:rPr>
          <w:rFonts w:cs="Times New Roman"/>
          <w:szCs w:val="24"/>
        </w:rPr>
        <w:t>48</w:t>
      </w:r>
      <w:r w:rsidR="00C12798" w:rsidRPr="00D8017D">
        <w:rPr>
          <w:rFonts w:cs="Times New Roman"/>
          <w:szCs w:val="24"/>
        </w:rPr>
        <w:t xml:space="preserve">. § </w:t>
      </w:r>
      <w:r w:rsidR="0080093D" w:rsidRPr="00D8017D">
        <w:rPr>
          <w:rFonts w:cs="Times New Roman"/>
          <w:szCs w:val="24"/>
        </w:rPr>
        <w:t>6</w:t>
      </w:r>
      <w:r w:rsidR="00C12798" w:rsidRPr="00D8017D">
        <w:rPr>
          <w:rFonts w:cs="Times New Roman"/>
          <w:szCs w:val="24"/>
        </w:rPr>
        <w:t>. punkts).</w:t>
      </w:r>
    </w:p>
    <w:p w14:paraId="510E596D" w14:textId="77777777" w:rsidR="00A93A08" w:rsidRPr="003C5D59" w:rsidRDefault="00A93A08" w:rsidP="008349F0">
      <w:pPr>
        <w:shd w:val="clear" w:color="auto" w:fill="FFFFFF"/>
        <w:rPr>
          <w:rFonts w:cs="Times New Roman"/>
          <w:szCs w:val="24"/>
        </w:rPr>
      </w:pPr>
      <w:r w:rsidRPr="003C5D59">
        <w:rPr>
          <w:rFonts w:cs="Times New Roman"/>
          <w:szCs w:val="24"/>
        </w:rPr>
        <w:t xml:space="preserve">MK 2025. gada 19. augusta sēdē, izskatot informatīvo ziņojumu “Par neatkarīgo institūciju prioritārajiem pasākumiem 2026., 2027., 2028. un 2029. gadam” (sēdes prot. Nr.32 50. §), tika pieņemti zināšanai neatkarīgo iestāžu papildu finansējuma pieprasījumi prioritārajiem pasākumiem. </w:t>
      </w:r>
    </w:p>
    <w:p w14:paraId="39556C2E" w14:textId="59A4CECC" w:rsidR="001E376C" w:rsidRPr="001E376C" w:rsidRDefault="001E376C" w:rsidP="009427E1">
      <w:pPr>
        <w:rPr>
          <w:rFonts w:eastAsia="Times New Roman" w:cs="Times New Roman"/>
          <w:szCs w:val="24"/>
        </w:rPr>
      </w:pPr>
      <w:r w:rsidRPr="00F829E6">
        <w:rPr>
          <w:rFonts w:eastAsia="Times New Roman" w:cs="Times New Roman"/>
          <w:szCs w:val="24"/>
        </w:rPr>
        <w:t>MK 2025. gada 26. augusta sēdē, izskatot informatīvo ziņojumu “Par valsts pamatbudžeta un valsts speciālā budžeta bāzi un izdevumu pārskatīšanas rezultātiem 2026., 2027., 2028. un 2029. gadam”, atbalstīts, ka 2026. gadā pieejamā fiskālā telpa 39 717 846 </w:t>
      </w:r>
      <w:r w:rsidRPr="00F829E6">
        <w:rPr>
          <w:rFonts w:eastAsia="Times New Roman" w:cs="Times New Roman"/>
          <w:i/>
          <w:iCs/>
          <w:szCs w:val="24"/>
        </w:rPr>
        <w:t>euro</w:t>
      </w:r>
      <w:r w:rsidRPr="00F829E6">
        <w:rPr>
          <w:rFonts w:eastAsia="Times New Roman" w:cs="Times New Roman"/>
          <w:szCs w:val="24"/>
        </w:rPr>
        <w:t> apmērā tiek novirzīta pasākumu plāna atbalsta sniegšanai Ukrainas civiliedzīvotājiem Latvijas Republikā īstenošanai.</w:t>
      </w:r>
    </w:p>
    <w:p w14:paraId="57B8D6C2" w14:textId="46B60C68" w:rsidR="00B7775D" w:rsidRPr="00D8017D" w:rsidRDefault="00E11486" w:rsidP="00B7775D">
      <w:pPr>
        <w:shd w:val="clear" w:color="auto" w:fill="FFFFFF"/>
        <w:rPr>
          <w:rFonts w:cs="Times New Roman"/>
          <w:szCs w:val="24"/>
        </w:rPr>
      </w:pPr>
      <w:r w:rsidRPr="00D8017D">
        <w:rPr>
          <w:rFonts w:cs="Times New Roman"/>
          <w:szCs w:val="24"/>
        </w:rPr>
        <w:t>MK</w:t>
      </w:r>
      <w:r w:rsidR="001531A9" w:rsidRPr="00D8017D">
        <w:rPr>
          <w:rFonts w:cs="Times New Roman"/>
          <w:szCs w:val="24"/>
        </w:rPr>
        <w:t xml:space="preserve"> 202</w:t>
      </w:r>
      <w:r w:rsidR="00A93A08" w:rsidRPr="00D8017D">
        <w:rPr>
          <w:rFonts w:cs="Times New Roman"/>
          <w:szCs w:val="24"/>
        </w:rPr>
        <w:t>5</w:t>
      </w:r>
      <w:r w:rsidR="001531A9" w:rsidRPr="00D8017D">
        <w:rPr>
          <w:rFonts w:cs="Times New Roman"/>
          <w:szCs w:val="24"/>
        </w:rPr>
        <w:t xml:space="preserve">. gada </w:t>
      </w:r>
      <w:r w:rsidR="00A93A08" w:rsidRPr="00D8017D">
        <w:rPr>
          <w:rFonts w:cs="Times New Roman"/>
          <w:szCs w:val="24"/>
        </w:rPr>
        <w:t>22</w:t>
      </w:r>
      <w:r w:rsidR="001531A9" w:rsidRPr="00D8017D">
        <w:rPr>
          <w:rFonts w:cs="Times New Roman"/>
          <w:szCs w:val="24"/>
        </w:rPr>
        <w:t xml:space="preserve">. </w:t>
      </w:r>
      <w:r w:rsidR="00A93A08" w:rsidRPr="00D8017D">
        <w:rPr>
          <w:rFonts w:cs="Times New Roman"/>
          <w:szCs w:val="24"/>
        </w:rPr>
        <w:t>septembra</w:t>
      </w:r>
      <w:r w:rsidR="001531A9" w:rsidRPr="00D8017D">
        <w:rPr>
          <w:rFonts w:cs="Times New Roman"/>
          <w:szCs w:val="24"/>
        </w:rPr>
        <w:t xml:space="preserve"> sēdē</w:t>
      </w:r>
      <w:r w:rsidR="00A93A08" w:rsidRPr="00D8017D">
        <w:rPr>
          <w:rFonts w:cs="Times New Roman"/>
          <w:szCs w:val="24"/>
        </w:rPr>
        <w:t xml:space="preserve"> </w:t>
      </w:r>
      <w:r w:rsidR="001531A9" w:rsidRPr="00D8017D">
        <w:rPr>
          <w:rFonts w:cs="Times New Roman"/>
          <w:szCs w:val="24"/>
        </w:rPr>
        <w:t>izskat</w:t>
      </w:r>
      <w:r w:rsidR="00A93A08" w:rsidRPr="00D8017D">
        <w:rPr>
          <w:rFonts w:cs="Times New Roman"/>
          <w:szCs w:val="24"/>
        </w:rPr>
        <w:t>īts</w:t>
      </w:r>
      <w:r w:rsidR="001531A9" w:rsidRPr="00D8017D">
        <w:rPr>
          <w:rFonts w:cs="Times New Roman"/>
          <w:szCs w:val="24"/>
        </w:rPr>
        <w:t xml:space="preserve"> informatīv</w:t>
      </w:r>
      <w:r w:rsidR="00A93A08" w:rsidRPr="00D8017D">
        <w:rPr>
          <w:rFonts w:cs="Times New Roman"/>
          <w:szCs w:val="24"/>
        </w:rPr>
        <w:t>ais</w:t>
      </w:r>
      <w:r w:rsidR="001531A9" w:rsidRPr="00D8017D">
        <w:rPr>
          <w:rFonts w:cs="Times New Roman"/>
          <w:szCs w:val="24"/>
        </w:rPr>
        <w:t xml:space="preserve"> ziņojum</w:t>
      </w:r>
      <w:r w:rsidR="00A93A08" w:rsidRPr="00D8017D">
        <w:rPr>
          <w:rFonts w:cs="Times New Roman"/>
          <w:szCs w:val="24"/>
        </w:rPr>
        <w:t>s</w:t>
      </w:r>
      <w:r w:rsidR="001531A9" w:rsidRPr="00D8017D">
        <w:rPr>
          <w:rFonts w:cs="Times New Roman"/>
          <w:szCs w:val="24"/>
        </w:rPr>
        <w:t xml:space="preserve"> “</w:t>
      </w:r>
      <w:r w:rsidR="00A93A08" w:rsidRPr="00D8017D">
        <w:rPr>
          <w:rFonts w:cs="Times New Roman"/>
          <w:szCs w:val="24"/>
        </w:rPr>
        <w:t>Par valsts budžeta likumprojektā iekļaujamiem prioritārajiem pasākumiem 2026., 2027. un 2028. gadam</w:t>
      </w:r>
      <w:r w:rsidR="001531A9" w:rsidRPr="00D8017D">
        <w:rPr>
          <w:rFonts w:cs="Times New Roman"/>
          <w:szCs w:val="24"/>
        </w:rPr>
        <w:t>” (prot. Nr. 3</w:t>
      </w:r>
      <w:r w:rsidR="00A93A08" w:rsidRPr="00D8017D">
        <w:rPr>
          <w:rFonts w:cs="Times New Roman"/>
          <w:szCs w:val="24"/>
        </w:rPr>
        <w:t>8</w:t>
      </w:r>
      <w:r w:rsidR="001531A9" w:rsidRPr="00D8017D">
        <w:rPr>
          <w:rFonts w:cs="Times New Roman"/>
          <w:szCs w:val="24"/>
        </w:rPr>
        <w:t xml:space="preserve"> </w:t>
      </w:r>
      <w:r w:rsidR="00A93A08" w:rsidRPr="00D8017D">
        <w:rPr>
          <w:rFonts w:cs="Times New Roman"/>
          <w:szCs w:val="24"/>
        </w:rPr>
        <w:t>1</w:t>
      </w:r>
      <w:r w:rsidR="001531A9" w:rsidRPr="00D8017D">
        <w:rPr>
          <w:rFonts w:cs="Times New Roman"/>
          <w:szCs w:val="24"/>
        </w:rPr>
        <w:t xml:space="preserve">. §), </w:t>
      </w:r>
      <w:r w:rsidR="00A93A08" w:rsidRPr="00D8017D">
        <w:rPr>
          <w:rFonts w:cs="Times New Roman"/>
          <w:szCs w:val="24"/>
        </w:rPr>
        <w:t xml:space="preserve">par nozaru ministriju un centrālo valsts iestāžu priekšlikumiem prioritārajiem pasākumiem 2026. – 2028. gadam. </w:t>
      </w:r>
    </w:p>
    <w:p w14:paraId="2EC2D4D2" w14:textId="26E92123" w:rsidR="003C5D59" w:rsidRDefault="00B7775D" w:rsidP="009720A8">
      <w:pPr>
        <w:shd w:val="clear" w:color="auto" w:fill="FFFFFF"/>
        <w:rPr>
          <w:rFonts w:eastAsia="Times New Roman" w:cs="Times New Roman"/>
          <w:szCs w:val="24"/>
        </w:rPr>
      </w:pPr>
      <w:r w:rsidRPr="00D8017D">
        <w:t xml:space="preserve">MK 2025. gada 23. septembra sēdē izskatīts informatīvais ziņojums </w:t>
      </w:r>
      <w:r w:rsidR="00CE3984">
        <w:t>“</w:t>
      </w:r>
      <w:r w:rsidRPr="00D8017D">
        <w:t xml:space="preserve">Par papildu nepieciešamajiem pasākumiem kaujas spēju palielināšanai, kas atbilst valsts izņēmuma klauzulas nosacījumiem” (25-TA-1795(IP)) (prot. Nr. </w:t>
      </w:r>
      <w:r w:rsidR="0003314E" w:rsidRPr="00D8017D">
        <w:t>39 52.</w:t>
      </w:r>
      <w:r w:rsidR="0003314E" w:rsidRPr="00D8017D">
        <w:rPr>
          <w:rFonts w:cs="Times New Roman"/>
          <w:szCs w:val="24"/>
        </w:rPr>
        <w:t xml:space="preserve"> §</w:t>
      </w:r>
      <w:r w:rsidR="0003314E" w:rsidRPr="00D8017D">
        <w:t>)</w:t>
      </w:r>
      <w:r w:rsidRPr="00D8017D">
        <w:t>, kas paredz ietekmi uz aizsardzības finansējuma apmēru</w:t>
      </w:r>
      <w:r w:rsidR="0003314E" w:rsidRPr="00D8017D">
        <w:t xml:space="preserve">, nosakot </w:t>
      </w:r>
      <w:r w:rsidRPr="00D8017D">
        <w:t xml:space="preserve">likumprojekta </w:t>
      </w:r>
      <w:r w:rsidR="00CE3984">
        <w:t>“</w:t>
      </w:r>
      <w:r w:rsidRPr="00D8017D">
        <w:t>Par valsts budžetu 2026. gadam un budžeta ietvaru 2026., 2027. un 2028. gadam</w:t>
      </w:r>
      <w:r w:rsidR="00CE3984">
        <w:t>”</w:t>
      </w:r>
      <w:r w:rsidRPr="00D8017D">
        <w:t xml:space="preserve"> sagatavošanas procesā paredzēt finansējumu valsts budžeta resora </w:t>
      </w:r>
      <w:r w:rsidR="00CE3984">
        <w:t>“</w:t>
      </w:r>
      <w:r w:rsidRPr="00D8017D">
        <w:t>74. Gadskārtējā valsts budžeta izpildes procesā pārdalāmais finansējums</w:t>
      </w:r>
      <w:r w:rsidR="00CE3984">
        <w:t>”</w:t>
      </w:r>
      <w:r w:rsidRPr="00D8017D">
        <w:t xml:space="preserve"> programmā 24.00.00. </w:t>
      </w:r>
      <w:r w:rsidR="00CE3984">
        <w:t>“</w:t>
      </w:r>
      <w:r w:rsidRPr="00D8017D">
        <w:t>Valsts aizsardzības un drošības fonds</w:t>
      </w:r>
      <w:r w:rsidR="00CE3984">
        <w:t>”</w:t>
      </w:r>
      <w:r w:rsidRPr="00D8017D">
        <w:t xml:space="preserve"> atbilstoši plānotajam finansējuma sadalījumam pa gadiem.</w:t>
      </w:r>
      <w:bookmarkStart w:id="64" w:name="_Hlk179388494"/>
    </w:p>
    <w:p w14:paraId="3EBAD279" w14:textId="1E5633CE" w:rsidR="00E673FF" w:rsidRPr="00D8017D" w:rsidRDefault="00E673FF" w:rsidP="00E673FF">
      <w:pPr>
        <w:shd w:val="clear" w:color="auto" w:fill="FFFFFF"/>
        <w:rPr>
          <w:rFonts w:eastAsia="Times New Roman" w:cs="Times New Roman"/>
          <w:szCs w:val="24"/>
        </w:rPr>
      </w:pPr>
      <w:r w:rsidRPr="00D8017D">
        <w:rPr>
          <w:rFonts w:eastAsia="Times New Roman" w:cs="Times New Roman"/>
          <w:szCs w:val="24"/>
        </w:rPr>
        <w:t>Šajā liku</w:t>
      </w:r>
      <w:r w:rsidR="00EA776D" w:rsidRPr="00D8017D">
        <w:rPr>
          <w:rFonts w:eastAsia="Times New Roman" w:cs="Times New Roman"/>
          <w:szCs w:val="24"/>
        </w:rPr>
        <w:t>mprojektā</w:t>
      </w:r>
      <w:r w:rsidRPr="00D8017D">
        <w:rPr>
          <w:rFonts w:eastAsia="Times New Roman" w:cs="Times New Roman"/>
          <w:b/>
          <w:bCs/>
          <w:szCs w:val="24"/>
        </w:rPr>
        <w:t xml:space="preserve"> </w:t>
      </w:r>
      <w:r w:rsidRPr="00D8017D">
        <w:rPr>
          <w:rFonts w:eastAsia="Times New Roman" w:cs="Times New Roman"/>
          <w:szCs w:val="24"/>
        </w:rPr>
        <w:t xml:space="preserve">paredzēts finansējums prioritārajiem pasākumiem </w:t>
      </w:r>
      <w:r w:rsidRPr="00D8017D">
        <w:rPr>
          <w:rFonts w:cs="Times New Roman"/>
          <w:b/>
          <w:bCs/>
          <w:szCs w:val="24"/>
        </w:rPr>
        <w:t>drošībai</w:t>
      </w:r>
      <w:r w:rsidR="00EA776D" w:rsidRPr="00D8017D">
        <w:rPr>
          <w:rFonts w:cs="Times New Roman"/>
          <w:b/>
          <w:bCs/>
          <w:szCs w:val="24"/>
        </w:rPr>
        <w:t xml:space="preserve"> (ar aizsardzību un iekšējo drošību saistīties pasākumi)</w:t>
      </w:r>
      <w:r w:rsidRPr="00D8017D">
        <w:rPr>
          <w:rFonts w:cs="Times New Roman"/>
          <w:szCs w:val="24"/>
        </w:rPr>
        <w:t>,</w:t>
      </w:r>
      <w:r w:rsidRPr="00D8017D">
        <w:rPr>
          <w:rFonts w:cs="Times New Roman"/>
          <w:b/>
          <w:bCs/>
          <w:szCs w:val="24"/>
        </w:rPr>
        <w:t xml:space="preserve"> </w:t>
      </w:r>
      <w:r w:rsidR="00EA776D" w:rsidRPr="00D8017D">
        <w:rPr>
          <w:rFonts w:cs="Times New Roman"/>
          <w:b/>
          <w:bCs/>
          <w:szCs w:val="24"/>
        </w:rPr>
        <w:t xml:space="preserve">demogrāfijas pasākumiem un </w:t>
      </w:r>
      <w:r w:rsidR="00EA776D" w:rsidRPr="00D8017D">
        <w:rPr>
          <w:rFonts w:cs="Times New Roman"/>
          <w:b/>
          <w:bCs/>
          <w:szCs w:val="24"/>
        </w:rPr>
        <w:lastRenderedPageBreak/>
        <w:t xml:space="preserve">izglītībai, </w:t>
      </w:r>
      <w:r w:rsidR="00EA776D" w:rsidRPr="00D8017D">
        <w:rPr>
          <w:rFonts w:cs="Times New Roman"/>
          <w:szCs w:val="24"/>
        </w:rPr>
        <w:t>normatīvo aktu</w:t>
      </w:r>
      <w:r w:rsidRPr="00D8017D">
        <w:rPr>
          <w:rFonts w:cs="Times New Roman"/>
          <w:szCs w:val="24"/>
        </w:rPr>
        <w:t xml:space="preserve"> izpildes nodrošināšanai</w:t>
      </w:r>
      <w:r w:rsidR="00EA776D" w:rsidRPr="00D8017D">
        <w:rPr>
          <w:rFonts w:cs="Times New Roman"/>
          <w:szCs w:val="24"/>
        </w:rPr>
        <w:t xml:space="preserve"> un citiem prioritārajiem pasākumiem </w:t>
      </w:r>
      <w:r w:rsidR="00EA776D" w:rsidRPr="00D8017D">
        <w:rPr>
          <w:rFonts w:cs="Times New Roman"/>
          <w:b/>
          <w:bCs/>
          <w:szCs w:val="24"/>
        </w:rPr>
        <w:t>2</w:t>
      </w:r>
      <w:r w:rsidR="0003314E" w:rsidRPr="00D8017D">
        <w:rPr>
          <w:rFonts w:cs="Times New Roman"/>
          <w:b/>
          <w:bCs/>
          <w:szCs w:val="24"/>
        </w:rPr>
        <w:t> 354,3</w:t>
      </w:r>
      <w:r w:rsidRPr="00D8017D">
        <w:rPr>
          <w:rFonts w:cs="Times New Roman"/>
          <w:b/>
          <w:bCs/>
          <w:szCs w:val="24"/>
        </w:rPr>
        <w:t xml:space="preserve"> m</w:t>
      </w:r>
      <w:r w:rsidR="00950B3F" w:rsidRPr="00D8017D">
        <w:rPr>
          <w:rFonts w:cs="Times New Roman"/>
          <w:b/>
          <w:bCs/>
          <w:szCs w:val="24"/>
        </w:rPr>
        <w:t>i</w:t>
      </w:r>
      <w:r w:rsidRPr="00D8017D">
        <w:rPr>
          <w:rFonts w:cs="Times New Roman"/>
          <w:b/>
          <w:bCs/>
          <w:szCs w:val="24"/>
        </w:rPr>
        <w:t>l</w:t>
      </w:r>
      <w:r w:rsidR="0003314E" w:rsidRPr="00D8017D">
        <w:rPr>
          <w:rFonts w:cs="Times New Roman"/>
          <w:b/>
          <w:bCs/>
          <w:szCs w:val="24"/>
        </w:rPr>
        <w:t>j</w:t>
      </w:r>
      <w:r w:rsidRPr="00D8017D">
        <w:rPr>
          <w:rFonts w:cs="Times New Roman"/>
          <w:b/>
          <w:bCs/>
          <w:szCs w:val="24"/>
        </w:rPr>
        <w:t xml:space="preserve">. </w:t>
      </w:r>
      <w:r w:rsidRPr="00D8017D">
        <w:rPr>
          <w:rFonts w:cs="Times New Roman"/>
          <w:b/>
          <w:bCs/>
          <w:i/>
          <w:iCs/>
          <w:szCs w:val="24"/>
        </w:rPr>
        <w:t>euro</w:t>
      </w:r>
      <w:r w:rsidRPr="00D8017D">
        <w:rPr>
          <w:rFonts w:cs="Times New Roman"/>
          <w:szCs w:val="24"/>
        </w:rPr>
        <w:t xml:space="preserve">, t.sk. </w:t>
      </w:r>
      <w:r w:rsidRPr="00D8017D">
        <w:rPr>
          <w:rFonts w:cs="Times New Roman"/>
          <w:b/>
          <w:bCs/>
          <w:szCs w:val="24"/>
        </w:rPr>
        <w:t>202</w:t>
      </w:r>
      <w:r w:rsidR="00EA776D" w:rsidRPr="00D8017D">
        <w:rPr>
          <w:rFonts w:cs="Times New Roman"/>
          <w:b/>
          <w:bCs/>
          <w:szCs w:val="24"/>
        </w:rPr>
        <w:t>6</w:t>
      </w:r>
      <w:r w:rsidRPr="00D8017D">
        <w:rPr>
          <w:rFonts w:cs="Times New Roman"/>
          <w:b/>
          <w:bCs/>
          <w:szCs w:val="24"/>
        </w:rPr>
        <w:t xml:space="preserve">. gadam </w:t>
      </w:r>
      <w:r w:rsidR="0003314E" w:rsidRPr="00D8017D">
        <w:rPr>
          <w:rFonts w:cs="Times New Roman"/>
          <w:b/>
          <w:bCs/>
          <w:szCs w:val="24"/>
        </w:rPr>
        <w:t>693,5</w:t>
      </w:r>
      <w:r w:rsidRPr="00D8017D">
        <w:rPr>
          <w:rFonts w:cs="Times New Roman"/>
          <w:b/>
          <w:bCs/>
          <w:szCs w:val="24"/>
        </w:rPr>
        <w:t xml:space="preserve"> milj. </w:t>
      </w:r>
      <w:r w:rsidRPr="00D8017D">
        <w:rPr>
          <w:rFonts w:cs="Times New Roman"/>
          <w:b/>
          <w:bCs/>
          <w:i/>
          <w:iCs/>
          <w:szCs w:val="24"/>
        </w:rPr>
        <w:t>euro</w:t>
      </w:r>
      <w:r w:rsidRPr="00D8017D">
        <w:rPr>
          <w:rFonts w:cs="Times New Roman"/>
          <w:b/>
          <w:bCs/>
          <w:szCs w:val="24"/>
        </w:rPr>
        <w:t xml:space="preserve"> (</w:t>
      </w:r>
      <w:r w:rsidR="00EA776D" w:rsidRPr="00D8017D">
        <w:rPr>
          <w:rFonts w:cs="Times New Roman"/>
          <w:b/>
          <w:bCs/>
          <w:szCs w:val="24"/>
        </w:rPr>
        <w:t>1,</w:t>
      </w:r>
      <w:r w:rsidR="0003314E" w:rsidRPr="00D8017D">
        <w:rPr>
          <w:rFonts w:cs="Times New Roman"/>
          <w:b/>
          <w:bCs/>
          <w:szCs w:val="24"/>
        </w:rPr>
        <w:t>6</w:t>
      </w:r>
      <w:r w:rsidRPr="00D8017D">
        <w:rPr>
          <w:rFonts w:cs="Times New Roman"/>
          <w:b/>
          <w:bCs/>
          <w:szCs w:val="24"/>
        </w:rPr>
        <w:t>% no IKP),</w:t>
      </w:r>
      <w:r w:rsidRPr="00D8017D">
        <w:rPr>
          <w:rFonts w:cs="Times New Roman"/>
          <w:szCs w:val="24"/>
        </w:rPr>
        <w:t xml:space="preserve"> </w:t>
      </w:r>
      <w:r w:rsidRPr="00D8017D">
        <w:rPr>
          <w:rFonts w:cs="Times New Roman"/>
          <w:b/>
          <w:bCs/>
          <w:szCs w:val="24"/>
        </w:rPr>
        <w:t>202</w:t>
      </w:r>
      <w:r w:rsidR="00EA776D" w:rsidRPr="00D8017D">
        <w:rPr>
          <w:rFonts w:cs="Times New Roman"/>
          <w:b/>
          <w:bCs/>
          <w:szCs w:val="24"/>
        </w:rPr>
        <w:t>7</w:t>
      </w:r>
      <w:r w:rsidRPr="00D8017D">
        <w:rPr>
          <w:rFonts w:cs="Times New Roman"/>
          <w:b/>
          <w:bCs/>
          <w:szCs w:val="24"/>
        </w:rPr>
        <w:t xml:space="preserve">. gadam </w:t>
      </w:r>
      <w:r w:rsidR="0003314E" w:rsidRPr="00D8017D">
        <w:rPr>
          <w:rFonts w:cs="Times New Roman"/>
          <w:b/>
          <w:bCs/>
          <w:szCs w:val="24"/>
        </w:rPr>
        <w:t>724,8</w:t>
      </w:r>
      <w:r w:rsidRPr="00D8017D">
        <w:rPr>
          <w:rFonts w:cs="Times New Roman"/>
          <w:b/>
          <w:bCs/>
          <w:szCs w:val="24"/>
        </w:rPr>
        <w:t xml:space="preserve"> milj. </w:t>
      </w:r>
      <w:r w:rsidRPr="00D8017D">
        <w:rPr>
          <w:rFonts w:cs="Times New Roman"/>
          <w:b/>
          <w:bCs/>
          <w:i/>
          <w:iCs/>
          <w:szCs w:val="24"/>
        </w:rPr>
        <w:t>euro</w:t>
      </w:r>
      <w:r w:rsidRPr="00D8017D">
        <w:rPr>
          <w:rFonts w:cs="Times New Roman"/>
          <w:b/>
          <w:bCs/>
          <w:szCs w:val="24"/>
        </w:rPr>
        <w:t xml:space="preserve"> (</w:t>
      </w:r>
      <w:r w:rsidR="0020704E" w:rsidRPr="00D8017D">
        <w:rPr>
          <w:rFonts w:cs="Times New Roman"/>
          <w:b/>
          <w:bCs/>
          <w:szCs w:val="24"/>
        </w:rPr>
        <w:t>1,</w:t>
      </w:r>
      <w:r w:rsidR="0003314E" w:rsidRPr="00D8017D">
        <w:rPr>
          <w:rFonts w:cs="Times New Roman"/>
          <w:b/>
          <w:bCs/>
          <w:szCs w:val="24"/>
        </w:rPr>
        <w:t>6</w:t>
      </w:r>
      <w:r w:rsidRPr="00D8017D">
        <w:rPr>
          <w:rFonts w:cs="Times New Roman"/>
          <w:b/>
          <w:bCs/>
          <w:szCs w:val="24"/>
        </w:rPr>
        <w:t>% no IKP)</w:t>
      </w:r>
      <w:r w:rsidR="0020704E" w:rsidRPr="00D8017D">
        <w:rPr>
          <w:rFonts w:cs="Times New Roman"/>
          <w:b/>
          <w:bCs/>
          <w:szCs w:val="24"/>
        </w:rPr>
        <w:t xml:space="preserve"> un</w:t>
      </w:r>
      <w:r w:rsidRPr="00D8017D">
        <w:rPr>
          <w:rFonts w:cs="Times New Roman"/>
          <w:b/>
          <w:bCs/>
          <w:szCs w:val="24"/>
        </w:rPr>
        <w:t xml:space="preserve"> 202</w:t>
      </w:r>
      <w:r w:rsidR="0020704E" w:rsidRPr="00D8017D">
        <w:rPr>
          <w:rFonts w:cs="Times New Roman"/>
          <w:b/>
          <w:bCs/>
          <w:szCs w:val="24"/>
        </w:rPr>
        <w:t>8</w:t>
      </w:r>
      <w:r w:rsidRPr="00D8017D">
        <w:rPr>
          <w:rFonts w:cs="Times New Roman"/>
          <w:b/>
          <w:bCs/>
          <w:szCs w:val="24"/>
        </w:rPr>
        <w:t xml:space="preserve">. gadam </w:t>
      </w:r>
      <w:r w:rsidR="0003314E" w:rsidRPr="00D8017D">
        <w:rPr>
          <w:rFonts w:cs="Times New Roman"/>
          <w:b/>
          <w:bCs/>
          <w:szCs w:val="24"/>
        </w:rPr>
        <w:t>935,9</w:t>
      </w:r>
      <w:r w:rsidR="0020704E" w:rsidRPr="00D8017D">
        <w:rPr>
          <w:rFonts w:cs="Times New Roman"/>
          <w:b/>
          <w:bCs/>
          <w:szCs w:val="24"/>
        </w:rPr>
        <w:t>1</w:t>
      </w:r>
      <w:r w:rsidRPr="00D8017D">
        <w:rPr>
          <w:rFonts w:cs="Times New Roman"/>
          <w:b/>
          <w:bCs/>
          <w:szCs w:val="24"/>
        </w:rPr>
        <w:t xml:space="preserve"> milj. </w:t>
      </w:r>
      <w:r w:rsidRPr="00D8017D">
        <w:rPr>
          <w:rFonts w:cs="Times New Roman"/>
          <w:b/>
          <w:bCs/>
          <w:i/>
          <w:iCs/>
          <w:szCs w:val="24"/>
        </w:rPr>
        <w:t>euro</w:t>
      </w:r>
      <w:r w:rsidRPr="00D8017D">
        <w:rPr>
          <w:rFonts w:cs="Times New Roman"/>
          <w:b/>
          <w:bCs/>
          <w:szCs w:val="24"/>
        </w:rPr>
        <w:t xml:space="preserve"> (</w:t>
      </w:r>
      <w:r w:rsidR="0020704E" w:rsidRPr="00D8017D">
        <w:rPr>
          <w:rFonts w:cs="Times New Roman"/>
          <w:b/>
          <w:bCs/>
          <w:szCs w:val="24"/>
        </w:rPr>
        <w:t>1</w:t>
      </w:r>
      <w:r w:rsidRPr="00D8017D">
        <w:rPr>
          <w:rFonts w:cs="Times New Roman"/>
          <w:b/>
          <w:bCs/>
          <w:szCs w:val="24"/>
        </w:rPr>
        <w:t>,</w:t>
      </w:r>
      <w:r w:rsidR="0003314E" w:rsidRPr="00D8017D">
        <w:rPr>
          <w:rFonts w:cs="Times New Roman"/>
          <w:b/>
          <w:bCs/>
          <w:szCs w:val="24"/>
        </w:rPr>
        <w:t>9</w:t>
      </w:r>
      <w:r w:rsidRPr="00D8017D">
        <w:rPr>
          <w:rFonts w:cs="Times New Roman"/>
          <w:b/>
          <w:bCs/>
          <w:szCs w:val="24"/>
        </w:rPr>
        <w:t>% no IKP</w:t>
      </w:r>
      <w:r w:rsidR="0020704E" w:rsidRPr="00D8017D">
        <w:rPr>
          <w:rFonts w:cs="Times New Roman"/>
          <w:b/>
          <w:bCs/>
          <w:szCs w:val="24"/>
        </w:rPr>
        <w:t>)</w:t>
      </w:r>
      <w:r w:rsidR="00A62708" w:rsidRPr="00D8017D">
        <w:rPr>
          <w:rStyle w:val="FootnoteReference"/>
          <w:rFonts w:cs="Times New Roman"/>
          <w:szCs w:val="24"/>
        </w:rPr>
        <w:footnoteReference w:id="35"/>
      </w:r>
      <w:r w:rsidRPr="008C0450">
        <w:rPr>
          <w:rFonts w:cs="Times New Roman"/>
          <w:szCs w:val="24"/>
        </w:rPr>
        <w:t>.</w:t>
      </w:r>
      <w:r w:rsidRPr="00D8017D">
        <w:rPr>
          <w:rFonts w:eastAsia="Times New Roman" w:cs="Times New Roman"/>
          <w:szCs w:val="24"/>
        </w:rPr>
        <w:t xml:space="preserve"> Ņemot vērā fiskālo telpu, </w:t>
      </w:r>
      <w:r w:rsidR="0020704E" w:rsidRPr="00D8017D">
        <w:rPr>
          <w:rFonts w:eastAsia="Times New Roman" w:cs="Times New Roman"/>
          <w:szCs w:val="24"/>
        </w:rPr>
        <w:t xml:space="preserve">kas ir pozitīva 2026. gadā un negatīva 2027. un 2028. gadā, </w:t>
      </w:r>
      <w:r w:rsidRPr="00D8017D">
        <w:rPr>
          <w:rFonts w:eastAsia="Times New Roman" w:cs="Times New Roman"/>
          <w:szCs w:val="24"/>
        </w:rPr>
        <w:t>papildus jau iepriekš piešķirtajam bāzes finansējumam, prioritāro pasākumu īstenošanai tiks izmantoti vairāki kompensējošie pasākumi</w:t>
      </w:r>
      <w:r w:rsidRPr="00D8017D">
        <w:rPr>
          <w:rFonts w:eastAsia="Times New Roman" w:cs="Times New Roman"/>
          <w:szCs w:val="24"/>
          <w:vertAlign w:val="superscript"/>
        </w:rPr>
        <w:footnoteReference w:id="36"/>
      </w:r>
      <w:r w:rsidRPr="00D8017D">
        <w:rPr>
          <w:rFonts w:eastAsia="Times New Roman" w:cs="Times New Roman"/>
          <w:szCs w:val="24"/>
        </w:rPr>
        <w:t xml:space="preserve">. </w:t>
      </w:r>
      <w:r w:rsidR="0020704E" w:rsidRPr="00D8017D">
        <w:rPr>
          <w:rFonts w:eastAsia="Times New Roman" w:cs="Times New Roman"/>
          <w:szCs w:val="24"/>
        </w:rPr>
        <w:t xml:space="preserve">Arī sagatavojot </w:t>
      </w:r>
      <w:r w:rsidR="0020704E" w:rsidRPr="00D8017D">
        <w:rPr>
          <w:rFonts w:eastAsia="Times New Roman" w:cs="Times New Roman"/>
          <w:bCs/>
          <w:szCs w:val="24"/>
        </w:rPr>
        <w:t>likumprojektu “Par</w:t>
      </w:r>
      <w:r w:rsidR="0020704E" w:rsidRPr="00D8017D">
        <w:rPr>
          <w:rFonts w:eastAsia="Times New Roman" w:cs="Times New Roman"/>
          <w:szCs w:val="24"/>
        </w:rPr>
        <w:t xml:space="preserve"> valsts budžetu 2026. gadam un budžeta ietvaru 2026., 2027. un 2028. gadam” </w:t>
      </w:r>
      <w:r w:rsidRPr="00D8017D">
        <w:rPr>
          <w:rFonts w:eastAsia="Times New Roman" w:cs="Times New Roman"/>
          <w:szCs w:val="24"/>
        </w:rPr>
        <w:t>vairs netiek izmantoti finanšu līdzekļi ārpus fiskālās telpas</w:t>
      </w:r>
      <w:r w:rsidR="00F829E6">
        <w:rPr>
          <w:rFonts w:eastAsia="Times New Roman" w:cs="Times New Roman"/>
          <w:szCs w:val="24"/>
        </w:rPr>
        <w:t xml:space="preserve"> (izņemot izdevumus, kas tiek plānoti saskaņā ar valsts izņēmuma klauzulas nosacījumiem)</w:t>
      </w:r>
      <w:r w:rsidRPr="00D8017D">
        <w:rPr>
          <w:rFonts w:eastAsia="Times New Roman" w:cs="Times New Roman"/>
          <w:szCs w:val="24"/>
        </w:rPr>
        <w:t xml:space="preserve">. </w:t>
      </w:r>
    </w:p>
    <w:p w14:paraId="26746DCC" w14:textId="2284EA02" w:rsidR="003B334F" w:rsidRPr="00D8017D" w:rsidRDefault="00E673FF" w:rsidP="00320D4E">
      <w:pPr>
        <w:shd w:val="clear" w:color="auto" w:fill="FFFFFF"/>
        <w:rPr>
          <w:rFonts w:eastAsia="Times New Roman" w:cs="Times New Roman"/>
          <w:szCs w:val="24"/>
        </w:rPr>
      </w:pPr>
      <w:r w:rsidRPr="00D8017D">
        <w:rPr>
          <w:rFonts w:eastAsia="Times New Roman" w:cs="Times New Roman"/>
          <w:szCs w:val="24"/>
        </w:rPr>
        <w:t xml:space="preserve">Vairāk kā </w:t>
      </w:r>
      <w:r w:rsidR="00950B3F" w:rsidRPr="00D8017D">
        <w:rPr>
          <w:rFonts w:eastAsia="Times New Roman" w:cs="Times New Roman"/>
          <w:szCs w:val="24"/>
        </w:rPr>
        <w:t>divas trešdaļas</w:t>
      </w:r>
      <w:r w:rsidRPr="00D8017D">
        <w:rPr>
          <w:rFonts w:eastAsia="Times New Roman" w:cs="Times New Roman"/>
          <w:szCs w:val="24"/>
        </w:rPr>
        <w:t xml:space="preserve"> (</w:t>
      </w:r>
      <w:r w:rsidR="0003314E" w:rsidRPr="00D8017D">
        <w:rPr>
          <w:rFonts w:eastAsia="Times New Roman" w:cs="Times New Roman"/>
          <w:szCs w:val="24"/>
        </w:rPr>
        <w:t>71</w:t>
      </w:r>
      <w:r w:rsidRPr="00D8017D">
        <w:rPr>
          <w:rFonts w:eastAsia="Times New Roman" w:cs="Times New Roman"/>
          <w:szCs w:val="24"/>
        </w:rPr>
        <w:t xml:space="preserve">%) jeb </w:t>
      </w:r>
      <w:r w:rsidR="003B334F" w:rsidRPr="00D8017D">
        <w:rPr>
          <w:rFonts w:eastAsia="Times New Roman" w:cs="Times New Roman"/>
          <w:b/>
          <w:bCs/>
          <w:szCs w:val="24"/>
        </w:rPr>
        <w:t>1</w:t>
      </w:r>
      <w:r w:rsidR="00950B3F" w:rsidRPr="00D8017D">
        <w:rPr>
          <w:rFonts w:eastAsia="Times New Roman" w:cs="Times New Roman"/>
          <w:b/>
          <w:bCs/>
          <w:szCs w:val="24"/>
        </w:rPr>
        <w:t> 676,4</w:t>
      </w:r>
      <w:r w:rsidRPr="00D8017D">
        <w:rPr>
          <w:rFonts w:eastAsia="Times New Roman" w:cs="Times New Roman"/>
          <w:b/>
          <w:bCs/>
          <w:szCs w:val="24"/>
        </w:rPr>
        <w:t xml:space="preserve"> m</w:t>
      </w:r>
      <w:r w:rsidR="00950B3F" w:rsidRPr="00D8017D">
        <w:rPr>
          <w:rFonts w:eastAsia="Times New Roman" w:cs="Times New Roman"/>
          <w:b/>
          <w:bCs/>
          <w:szCs w:val="24"/>
        </w:rPr>
        <w:t>i</w:t>
      </w:r>
      <w:r w:rsidR="00320D4E" w:rsidRPr="00D8017D">
        <w:rPr>
          <w:rFonts w:eastAsia="Times New Roman" w:cs="Times New Roman"/>
          <w:b/>
          <w:bCs/>
          <w:szCs w:val="24"/>
        </w:rPr>
        <w:t>l</w:t>
      </w:r>
      <w:r w:rsidR="00950B3F" w:rsidRPr="00D8017D">
        <w:rPr>
          <w:rFonts w:eastAsia="Times New Roman" w:cs="Times New Roman"/>
          <w:b/>
          <w:bCs/>
          <w:szCs w:val="24"/>
        </w:rPr>
        <w:t>j.</w:t>
      </w:r>
      <w:r w:rsidRPr="00D8017D">
        <w:rPr>
          <w:rFonts w:eastAsia="Times New Roman" w:cs="Times New Roman"/>
          <w:b/>
          <w:bCs/>
          <w:szCs w:val="24"/>
        </w:rPr>
        <w:t xml:space="preserve"> </w:t>
      </w:r>
      <w:r w:rsidRPr="00D8017D">
        <w:rPr>
          <w:rFonts w:eastAsia="Times New Roman" w:cs="Times New Roman"/>
          <w:b/>
          <w:bCs/>
          <w:i/>
          <w:iCs/>
          <w:szCs w:val="24"/>
        </w:rPr>
        <w:t>euro</w:t>
      </w:r>
      <w:r w:rsidRPr="00D8017D">
        <w:rPr>
          <w:rFonts w:eastAsia="Times New Roman" w:cs="Times New Roman"/>
          <w:i/>
          <w:iCs/>
          <w:szCs w:val="24"/>
        </w:rPr>
        <w:t xml:space="preserve"> </w:t>
      </w:r>
      <w:r w:rsidRPr="00D8017D">
        <w:rPr>
          <w:rFonts w:eastAsia="Times New Roman" w:cs="Times New Roman"/>
          <w:szCs w:val="24"/>
        </w:rPr>
        <w:t xml:space="preserve">no minētā finansējuma iezīmēta </w:t>
      </w:r>
      <w:r w:rsidRPr="00D8017D">
        <w:rPr>
          <w:rFonts w:eastAsia="Times New Roman" w:cs="Times New Roman"/>
          <w:b/>
          <w:bCs/>
          <w:szCs w:val="24"/>
        </w:rPr>
        <w:t>vidēja termiņa budžeta prioritātei – drošībai</w:t>
      </w:r>
      <w:r w:rsidRPr="00D8017D">
        <w:rPr>
          <w:rFonts w:eastAsia="Times New Roman" w:cs="Times New Roman"/>
          <w:szCs w:val="24"/>
        </w:rPr>
        <w:t xml:space="preserve">, t.sk. </w:t>
      </w:r>
      <w:r w:rsidR="00950B3F" w:rsidRPr="00D8017D">
        <w:rPr>
          <w:rFonts w:eastAsia="Times New Roman" w:cs="Times New Roman"/>
          <w:szCs w:val="24"/>
        </w:rPr>
        <w:t>448,3</w:t>
      </w:r>
      <w:r w:rsidRPr="00D8017D">
        <w:rPr>
          <w:rFonts w:eastAsia="Times New Roman" w:cs="Times New Roman"/>
          <w:szCs w:val="24"/>
        </w:rPr>
        <w:t xml:space="preserve"> milj. </w:t>
      </w:r>
      <w:r w:rsidRPr="00D8017D">
        <w:rPr>
          <w:rFonts w:eastAsia="Times New Roman" w:cs="Times New Roman"/>
          <w:i/>
          <w:iCs/>
          <w:szCs w:val="24"/>
        </w:rPr>
        <w:t>euro</w:t>
      </w:r>
      <w:r w:rsidRPr="00D8017D">
        <w:rPr>
          <w:rFonts w:eastAsia="Times New Roman" w:cs="Times New Roman"/>
          <w:szCs w:val="24"/>
        </w:rPr>
        <w:t xml:space="preserve"> 202</w:t>
      </w:r>
      <w:r w:rsidR="003B334F" w:rsidRPr="00D8017D">
        <w:rPr>
          <w:rFonts w:eastAsia="Times New Roman" w:cs="Times New Roman"/>
          <w:szCs w:val="24"/>
        </w:rPr>
        <w:t>6</w:t>
      </w:r>
      <w:r w:rsidRPr="00D8017D">
        <w:rPr>
          <w:rFonts w:eastAsia="Times New Roman" w:cs="Times New Roman"/>
          <w:szCs w:val="24"/>
        </w:rPr>
        <w:t>. gadam (</w:t>
      </w:r>
      <w:r w:rsidR="00950B3F" w:rsidRPr="00D8017D">
        <w:rPr>
          <w:rFonts w:eastAsia="Times New Roman" w:cs="Times New Roman"/>
          <w:szCs w:val="24"/>
        </w:rPr>
        <w:t>1,0</w:t>
      </w:r>
      <w:r w:rsidRPr="00D8017D">
        <w:rPr>
          <w:rFonts w:eastAsia="Times New Roman" w:cs="Times New Roman"/>
          <w:szCs w:val="24"/>
        </w:rPr>
        <w:t xml:space="preserve">% no IKP), </w:t>
      </w:r>
      <w:r w:rsidR="00950B3F" w:rsidRPr="00D8017D">
        <w:rPr>
          <w:rFonts w:eastAsia="Times New Roman" w:cs="Times New Roman"/>
          <w:szCs w:val="24"/>
        </w:rPr>
        <w:t>507,7</w:t>
      </w:r>
      <w:r w:rsidRPr="00D8017D">
        <w:rPr>
          <w:rFonts w:eastAsia="Times New Roman" w:cs="Times New Roman"/>
          <w:szCs w:val="24"/>
        </w:rPr>
        <w:t xml:space="preserve"> milj. </w:t>
      </w:r>
      <w:r w:rsidRPr="00D8017D">
        <w:rPr>
          <w:rFonts w:eastAsia="Times New Roman" w:cs="Times New Roman"/>
          <w:i/>
          <w:iCs/>
          <w:szCs w:val="24"/>
        </w:rPr>
        <w:t>euro</w:t>
      </w:r>
      <w:r w:rsidRPr="00D8017D">
        <w:rPr>
          <w:rFonts w:eastAsia="Times New Roman" w:cs="Times New Roman"/>
          <w:szCs w:val="24"/>
        </w:rPr>
        <w:t xml:space="preserve"> (</w:t>
      </w:r>
      <w:r w:rsidR="003B334F" w:rsidRPr="00D8017D">
        <w:rPr>
          <w:rFonts w:eastAsia="Times New Roman" w:cs="Times New Roman"/>
          <w:szCs w:val="24"/>
        </w:rPr>
        <w:t>1,</w:t>
      </w:r>
      <w:r w:rsidR="00950B3F" w:rsidRPr="00D8017D">
        <w:rPr>
          <w:rFonts w:eastAsia="Times New Roman" w:cs="Times New Roman"/>
          <w:szCs w:val="24"/>
        </w:rPr>
        <w:t>1</w:t>
      </w:r>
      <w:r w:rsidRPr="00D8017D">
        <w:rPr>
          <w:rFonts w:eastAsia="Times New Roman" w:cs="Times New Roman"/>
          <w:szCs w:val="24"/>
        </w:rPr>
        <w:t>% no IKP) 202</w:t>
      </w:r>
      <w:r w:rsidR="003B334F" w:rsidRPr="00D8017D">
        <w:rPr>
          <w:rFonts w:eastAsia="Times New Roman" w:cs="Times New Roman"/>
          <w:szCs w:val="24"/>
        </w:rPr>
        <w:t>7</w:t>
      </w:r>
      <w:r w:rsidRPr="00D8017D">
        <w:rPr>
          <w:rFonts w:eastAsia="Times New Roman" w:cs="Times New Roman"/>
          <w:szCs w:val="24"/>
        </w:rPr>
        <w:t>. gadam</w:t>
      </w:r>
      <w:r w:rsidR="003B334F" w:rsidRPr="00D8017D">
        <w:rPr>
          <w:rFonts w:eastAsia="Times New Roman" w:cs="Times New Roman"/>
          <w:szCs w:val="24"/>
        </w:rPr>
        <w:t xml:space="preserve"> un</w:t>
      </w:r>
      <w:r w:rsidRPr="00D8017D">
        <w:rPr>
          <w:rFonts w:eastAsia="Times New Roman" w:cs="Times New Roman"/>
          <w:szCs w:val="24"/>
        </w:rPr>
        <w:t xml:space="preserve"> </w:t>
      </w:r>
      <w:r w:rsidR="00950B3F" w:rsidRPr="00D8017D">
        <w:rPr>
          <w:rFonts w:eastAsia="Times New Roman" w:cs="Times New Roman"/>
          <w:szCs w:val="24"/>
        </w:rPr>
        <w:t>720,5</w:t>
      </w:r>
      <w:r w:rsidRPr="00D8017D">
        <w:rPr>
          <w:rFonts w:eastAsia="Times New Roman" w:cs="Times New Roman"/>
          <w:szCs w:val="24"/>
        </w:rPr>
        <w:t xml:space="preserve"> milj. </w:t>
      </w:r>
      <w:r w:rsidRPr="00D8017D">
        <w:rPr>
          <w:rFonts w:eastAsia="Times New Roman" w:cs="Times New Roman"/>
          <w:i/>
          <w:iCs/>
          <w:szCs w:val="24"/>
        </w:rPr>
        <w:t>euro</w:t>
      </w:r>
      <w:r w:rsidRPr="00D8017D">
        <w:rPr>
          <w:rFonts w:eastAsia="Times New Roman" w:cs="Times New Roman"/>
          <w:szCs w:val="24"/>
        </w:rPr>
        <w:t xml:space="preserve"> (</w:t>
      </w:r>
      <w:r w:rsidR="003B334F" w:rsidRPr="00D8017D">
        <w:rPr>
          <w:rFonts w:eastAsia="Times New Roman" w:cs="Times New Roman"/>
          <w:szCs w:val="24"/>
        </w:rPr>
        <w:t>1,</w:t>
      </w:r>
      <w:r w:rsidR="00950B3F" w:rsidRPr="00D8017D">
        <w:rPr>
          <w:rFonts w:eastAsia="Times New Roman" w:cs="Times New Roman"/>
          <w:szCs w:val="24"/>
        </w:rPr>
        <w:t>5</w:t>
      </w:r>
      <w:r w:rsidRPr="00D8017D">
        <w:rPr>
          <w:rFonts w:eastAsia="Times New Roman" w:cs="Times New Roman"/>
          <w:szCs w:val="24"/>
        </w:rPr>
        <w:t>% no IKP) 202</w:t>
      </w:r>
      <w:r w:rsidR="003B334F" w:rsidRPr="00D8017D">
        <w:rPr>
          <w:rFonts w:eastAsia="Times New Roman" w:cs="Times New Roman"/>
          <w:szCs w:val="24"/>
        </w:rPr>
        <w:t>8</w:t>
      </w:r>
      <w:r w:rsidRPr="00D8017D">
        <w:rPr>
          <w:rFonts w:eastAsia="Times New Roman" w:cs="Times New Roman"/>
          <w:szCs w:val="24"/>
        </w:rPr>
        <w:t>. gadam</w:t>
      </w:r>
      <w:r w:rsidR="003B334F" w:rsidRPr="00D8017D">
        <w:rPr>
          <w:rFonts w:eastAsia="Times New Roman" w:cs="Times New Roman"/>
          <w:szCs w:val="24"/>
        </w:rPr>
        <w:t xml:space="preserve">, kas bija iespējams </w:t>
      </w:r>
      <w:r w:rsidR="00174B48" w:rsidRPr="007B755F">
        <w:rPr>
          <w:rFonts w:eastAsia="Times New Roman" w:cs="Times New Roman"/>
          <w:szCs w:val="24"/>
        </w:rPr>
        <w:t>galvenokārt</w:t>
      </w:r>
      <w:r w:rsidR="00174B48">
        <w:rPr>
          <w:rFonts w:eastAsia="Times New Roman" w:cs="Times New Roman"/>
          <w:szCs w:val="24"/>
        </w:rPr>
        <w:t xml:space="preserve"> </w:t>
      </w:r>
      <w:r w:rsidR="003B334F" w:rsidRPr="00D8017D">
        <w:rPr>
          <w:rFonts w:eastAsia="Times New Roman" w:cs="Times New Roman"/>
          <w:szCs w:val="24"/>
        </w:rPr>
        <w:t xml:space="preserve">pateicoties valsts izņēmuma klauzulas aktivizēšanai ES </w:t>
      </w:r>
      <w:r w:rsidR="00320D4E" w:rsidRPr="00D8017D">
        <w:rPr>
          <w:rFonts w:eastAsia="Times New Roman" w:cs="Times New Roman"/>
          <w:szCs w:val="24"/>
        </w:rPr>
        <w:t xml:space="preserve">līmenī </w:t>
      </w:r>
      <w:r w:rsidR="003B334F" w:rsidRPr="00D8017D">
        <w:rPr>
          <w:rFonts w:eastAsia="Times New Roman" w:cs="Times New Roman"/>
          <w:szCs w:val="24"/>
        </w:rPr>
        <w:t>un</w:t>
      </w:r>
      <w:r w:rsidR="00320D4E" w:rsidRPr="00D8017D">
        <w:rPr>
          <w:rFonts w:eastAsia="Times New Roman" w:cs="Times New Roman"/>
          <w:szCs w:val="24"/>
        </w:rPr>
        <w:t xml:space="preserve"> atkāpes no</w:t>
      </w:r>
      <w:r w:rsidR="003B334F" w:rsidRPr="00D8017D">
        <w:rPr>
          <w:rFonts w:eastAsia="Times New Roman" w:cs="Times New Roman"/>
          <w:szCs w:val="24"/>
        </w:rPr>
        <w:t xml:space="preserve"> </w:t>
      </w:r>
      <w:r w:rsidR="00320D4E" w:rsidRPr="00D8017D">
        <w:rPr>
          <w:rFonts w:eastAsia="Times New Roman" w:cs="Times New Roman"/>
          <w:szCs w:val="24"/>
        </w:rPr>
        <w:t xml:space="preserve">bilances nosacījuma </w:t>
      </w:r>
      <w:r w:rsidR="003B334F" w:rsidRPr="00D8017D">
        <w:rPr>
          <w:rFonts w:eastAsia="Times New Roman" w:cs="Times New Roman"/>
          <w:szCs w:val="24"/>
        </w:rPr>
        <w:t>nacionālajā līmenī</w:t>
      </w:r>
      <w:r w:rsidRPr="00D8017D">
        <w:rPr>
          <w:rFonts w:eastAsia="Times New Roman" w:cs="Times New Roman"/>
          <w:szCs w:val="24"/>
        </w:rPr>
        <w:t xml:space="preserve">. </w:t>
      </w:r>
    </w:p>
    <w:p w14:paraId="52D6AE64" w14:textId="0C57ACA1" w:rsidR="003B334F" w:rsidRPr="00D8017D" w:rsidRDefault="003B334F" w:rsidP="003B334F">
      <w:pPr>
        <w:keepNext/>
        <w:spacing w:before="120"/>
        <w:ind w:firstLine="357"/>
        <w:jc w:val="right"/>
        <w:rPr>
          <w:rFonts w:eastAsia="Times New Roman" w:cs="Times New Roman"/>
          <w:i/>
          <w:szCs w:val="24"/>
          <w:lang w:eastAsia="en-US"/>
        </w:rPr>
      </w:pPr>
      <w:r w:rsidRPr="00AB3311">
        <w:rPr>
          <w:rFonts w:eastAsia="Times New Roman" w:cs="Times New Roman"/>
          <w:b/>
          <w:i/>
          <w:szCs w:val="24"/>
          <w:lang w:eastAsia="en-US"/>
        </w:rPr>
        <w:t>2.</w:t>
      </w:r>
      <w:r w:rsidR="00AB3311" w:rsidRPr="00AB3311">
        <w:rPr>
          <w:rFonts w:eastAsia="Times New Roman" w:cs="Times New Roman"/>
          <w:b/>
          <w:i/>
          <w:szCs w:val="24"/>
          <w:lang w:eastAsia="en-US"/>
        </w:rPr>
        <w:t>22</w:t>
      </w:r>
      <w:r w:rsidRPr="00AB3311">
        <w:rPr>
          <w:rFonts w:eastAsia="Times New Roman" w:cs="Times New Roman"/>
          <w:b/>
          <w:i/>
          <w:szCs w:val="24"/>
          <w:lang w:eastAsia="en-US"/>
        </w:rPr>
        <w:t>.</w:t>
      </w:r>
      <w:r w:rsidRPr="00D8017D">
        <w:rPr>
          <w:rFonts w:eastAsia="Times New Roman" w:cs="Times New Roman"/>
          <w:b/>
          <w:i/>
          <w:szCs w:val="24"/>
          <w:lang w:eastAsia="en-US"/>
        </w:rPr>
        <w:t xml:space="preserve"> tabula V</w:t>
      </w:r>
      <w:r w:rsidRPr="00D8017D">
        <w:rPr>
          <w:rFonts w:eastAsia="Times New Roman" w:cs="Times New Roman"/>
          <w:b/>
          <w:bCs/>
          <w:i/>
          <w:szCs w:val="24"/>
        </w:rPr>
        <w:t>idēja termiņa budžeta prioritātēm piešķirtais finansējums</w:t>
      </w:r>
      <w:r w:rsidRPr="00D8017D">
        <w:rPr>
          <w:rFonts w:eastAsia="Times New Roman" w:cs="Times New Roman"/>
          <w:b/>
          <w:i/>
          <w:szCs w:val="24"/>
          <w:lang w:eastAsia="en-US"/>
        </w:rPr>
        <w:t>, milj. euro un % no IKP</w:t>
      </w:r>
    </w:p>
    <w:tbl>
      <w:tblPr>
        <w:tblStyle w:val="TableGrid"/>
        <w:tblW w:w="0" w:type="auto"/>
        <w:tblLook w:val="04A0" w:firstRow="1" w:lastRow="0" w:firstColumn="1" w:lastColumn="0" w:noHBand="0" w:noVBand="1"/>
      </w:tblPr>
      <w:tblGrid>
        <w:gridCol w:w="2653"/>
        <w:gridCol w:w="1416"/>
        <w:gridCol w:w="1416"/>
        <w:gridCol w:w="1173"/>
        <w:gridCol w:w="2403"/>
      </w:tblGrid>
      <w:tr w:rsidR="00D1601C" w:rsidRPr="00D8017D" w14:paraId="1A8B3268" w14:textId="77777777" w:rsidTr="00A16B8C">
        <w:trPr>
          <w:trHeight w:val="312"/>
          <w:tblHeader/>
        </w:trPr>
        <w:tc>
          <w:tcPr>
            <w:tcW w:w="2653" w:type="dxa"/>
            <w:shd w:val="clear" w:color="auto" w:fill="BDD6EE" w:themeFill="accent1" w:themeFillTint="66"/>
            <w:vAlign w:val="center"/>
            <w:hideMark/>
          </w:tcPr>
          <w:p w14:paraId="5BA50300" w14:textId="77777777" w:rsidR="003B334F" w:rsidRPr="00D8017D" w:rsidRDefault="003B334F" w:rsidP="004F7ED2">
            <w:pPr>
              <w:spacing w:after="0"/>
              <w:ind w:firstLine="0"/>
              <w:jc w:val="center"/>
              <w:rPr>
                <w:rFonts w:eastAsia="Times New Roman" w:cs="Times New Roman"/>
                <w:b/>
                <w:bCs/>
                <w:sz w:val="20"/>
                <w:szCs w:val="20"/>
              </w:rPr>
            </w:pPr>
            <w:r w:rsidRPr="00D8017D">
              <w:rPr>
                <w:rFonts w:eastAsia="Times New Roman" w:cs="Times New Roman"/>
                <w:b/>
                <w:bCs/>
                <w:sz w:val="20"/>
                <w:szCs w:val="20"/>
              </w:rPr>
              <w:t xml:space="preserve">milj. </w:t>
            </w:r>
            <w:r w:rsidRPr="00D8017D">
              <w:rPr>
                <w:rFonts w:eastAsia="Times New Roman" w:cs="Times New Roman"/>
                <w:b/>
                <w:bCs/>
                <w:i/>
                <w:iCs/>
                <w:sz w:val="20"/>
                <w:szCs w:val="20"/>
              </w:rPr>
              <w:t>euro</w:t>
            </w:r>
          </w:p>
        </w:tc>
        <w:tc>
          <w:tcPr>
            <w:tcW w:w="1416" w:type="dxa"/>
            <w:shd w:val="clear" w:color="auto" w:fill="BDD6EE" w:themeFill="accent1" w:themeFillTint="66"/>
            <w:vAlign w:val="center"/>
            <w:hideMark/>
          </w:tcPr>
          <w:p w14:paraId="6470F34F" w14:textId="77777777" w:rsidR="003B334F" w:rsidRPr="00D8017D" w:rsidRDefault="003B334F" w:rsidP="004F7ED2">
            <w:pPr>
              <w:spacing w:after="0"/>
              <w:ind w:firstLine="0"/>
              <w:jc w:val="center"/>
              <w:rPr>
                <w:rFonts w:eastAsia="Times New Roman" w:cs="Times New Roman"/>
                <w:b/>
                <w:bCs/>
                <w:sz w:val="20"/>
                <w:szCs w:val="20"/>
              </w:rPr>
            </w:pPr>
            <w:r w:rsidRPr="00D8017D">
              <w:rPr>
                <w:rFonts w:eastAsia="Times New Roman" w:cs="Times New Roman"/>
                <w:b/>
                <w:bCs/>
                <w:sz w:val="20"/>
                <w:szCs w:val="20"/>
              </w:rPr>
              <w:t>2026</w:t>
            </w:r>
          </w:p>
        </w:tc>
        <w:tc>
          <w:tcPr>
            <w:tcW w:w="1416" w:type="dxa"/>
            <w:shd w:val="clear" w:color="auto" w:fill="BDD6EE" w:themeFill="accent1" w:themeFillTint="66"/>
            <w:vAlign w:val="center"/>
            <w:hideMark/>
          </w:tcPr>
          <w:p w14:paraId="5C331582" w14:textId="77777777" w:rsidR="003B334F" w:rsidRPr="00D8017D" w:rsidRDefault="003B334F" w:rsidP="004F7ED2">
            <w:pPr>
              <w:spacing w:after="0"/>
              <w:ind w:firstLine="0"/>
              <w:jc w:val="center"/>
              <w:rPr>
                <w:rFonts w:eastAsia="Times New Roman" w:cs="Times New Roman"/>
                <w:b/>
                <w:bCs/>
                <w:sz w:val="20"/>
                <w:szCs w:val="20"/>
              </w:rPr>
            </w:pPr>
            <w:r w:rsidRPr="00D8017D">
              <w:rPr>
                <w:rFonts w:eastAsia="Times New Roman" w:cs="Times New Roman"/>
                <w:b/>
                <w:bCs/>
                <w:sz w:val="20"/>
                <w:szCs w:val="20"/>
              </w:rPr>
              <w:t>2027</w:t>
            </w:r>
          </w:p>
        </w:tc>
        <w:tc>
          <w:tcPr>
            <w:tcW w:w="1173" w:type="dxa"/>
            <w:shd w:val="clear" w:color="auto" w:fill="BDD6EE" w:themeFill="accent1" w:themeFillTint="66"/>
            <w:vAlign w:val="center"/>
            <w:hideMark/>
          </w:tcPr>
          <w:p w14:paraId="2ECD0713" w14:textId="77777777" w:rsidR="003B334F" w:rsidRPr="00D8017D" w:rsidRDefault="003B334F" w:rsidP="004F7ED2">
            <w:pPr>
              <w:spacing w:after="0"/>
              <w:ind w:firstLine="0"/>
              <w:jc w:val="center"/>
              <w:rPr>
                <w:rFonts w:eastAsia="Times New Roman" w:cs="Times New Roman"/>
                <w:b/>
                <w:bCs/>
                <w:sz w:val="20"/>
                <w:szCs w:val="20"/>
              </w:rPr>
            </w:pPr>
            <w:r w:rsidRPr="00D8017D">
              <w:rPr>
                <w:rFonts w:eastAsia="Times New Roman" w:cs="Times New Roman"/>
                <w:b/>
                <w:bCs/>
                <w:sz w:val="20"/>
                <w:szCs w:val="20"/>
              </w:rPr>
              <w:t>2028</w:t>
            </w:r>
          </w:p>
        </w:tc>
        <w:tc>
          <w:tcPr>
            <w:tcW w:w="2403" w:type="dxa"/>
            <w:shd w:val="clear" w:color="auto" w:fill="BDD6EE" w:themeFill="accent1" w:themeFillTint="66"/>
            <w:vAlign w:val="center"/>
            <w:hideMark/>
          </w:tcPr>
          <w:p w14:paraId="0A953E7F" w14:textId="77777777" w:rsidR="003B334F" w:rsidRPr="00D8017D" w:rsidRDefault="003B334F" w:rsidP="004F7ED2">
            <w:pPr>
              <w:spacing w:after="0"/>
              <w:ind w:firstLine="0"/>
              <w:jc w:val="center"/>
              <w:rPr>
                <w:rFonts w:eastAsia="Times New Roman" w:cs="Times New Roman"/>
                <w:b/>
                <w:bCs/>
                <w:sz w:val="20"/>
                <w:szCs w:val="20"/>
              </w:rPr>
            </w:pPr>
            <w:r w:rsidRPr="00D8017D">
              <w:rPr>
                <w:rFonts w:eastAsia="Times New Roman" w:cs="Times New Roman"/>
                <w:b/>
                <w:bCs/>
                <w:sz w:val="20"/>
                <w:szCs w:val="20"/>
              </w:rPr>
              <w:t>2026. - 2028. gadā</w:t>
            </w:r>
          </w:p>
        </w:tc>
      </w:tr>
      <w:tr w:rsidR="00D1601C" w:rsidRPr="00D8017D" w14:paraId="01D8A13A" w14:textId="77777777" w:rsidTr="00FF288E">
        <w:trPr>
          <w:trHeight w:val="312"/>
        </w:trPr>
        <w:tc>
          <w:tcPr>
            <w:tcW w:w="2653" w:type="dxa"/>
            <w:vAlign w:val="center"/>
            <w:hideMark/>
          </w:tcPr>
          <w:p w14:paraId="69196FF5" w14:textId="77777777" w:rsidR="003B334F" w:rsidRPr="00D8017D" w:rsidRDefault="003B334F" w:rsidP="00D1601C">
            <w:pPr>
              <w:shd w:val="clear" w:color="auto" w:fill="FFFFFF"/>
              <w:ind w:firstLine="0"/>
              <w:jc w:val="left"/>
              <w:rPr>
                <w:rFonts w:eastAsia="Times New Roman" w:cs="Times New Roman"/>
                <w:sz w:val="20"/>
                <w:szCs w:val="20"/>
              </w:rPr>
            </w:pPr>
            <w:r w:rsidRPr="00D8017D">
              <w:rPr>
                <w:rFonts w:eastAsia="Times New Roman" w:cs="Times New Roman"/>
                <w:sz w:val="20"/>
                <w:szCs w:val="20"/>
              </w:rPr>
              <w:t>IKP, faktiskajās cenās</w:t>
            </w:r>
          </w:p>
        </w:tc>
        <w:tc>
          <w:tcPr>
            <w:tcW w:w="1416" w:type="dxa"/>
            <w:vAlign w:val="center"/>
            <w:hideMark/>
          </w:tcPr>
          <w:p w14:paraId="0FE90258" w14:textId="0BE8FF5C" w:rsidR="003B334F" w:rsidRPr="00D8017D" w:rsidRDefault="003B334F"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43 953</w:t>
            </w:r>
          </w:p>
        </w:tc>
        <w:tc>
          <w:tcPr>
            <w:tcW w:w="1416" w:type="dxa"/>
            <w:vAlign w:val="center"/>
            <w:hideMark/>
          </w:tcPr>
          <w:p w14:paraId="790B9280" w14:textId="04992DC3" w:rsidR="003B334F" w:rsidRPr="00D8017D" w:rsidRDefault="003B334F"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46 026</w:t>
            </w:r>
          </w:p>
        </w:tc>
        <w:tc>
          <w:tcPr>
            <w:tcW w:w="1173" w:type="dxa"/>
            <w:vAlign w:val="center"/>
            <w:hideMark/>
          </w:tcPr>
          <w:p w14:paraId="4C0042F8" w14:textId="037D544E" w:rsidR="003B334F" w:rsidRPr="00D8017D" w:rsidRDefault="003B334F"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48 154</w:t>
            </w:r>
          </w:p>
        </w:tc>
        <w:tc>
          <w:tcPr>
            <w:tcW w:w="2403" w:type="dxa"/>
            <w:vAlign w:val="center"/>
            <w:hideMark/>
          </w:tcPr>
          <w:p w14:paraId="4115F158" w14:textId="3BF702FE" w:rsidR="003B334F" w:rsidRPr="00D8017D" w:rsidRDefault="003B334F" w:rsidP="00FF288E">
            <w:pPr>
              <w:shd w:val="clear" w:color="auto" w:fill="FFFFFF"/>
              <w:ind w:firstLine="0"/>
              <w:jc w:val="center"/>
              <w:rPr>
                <w:rFonts w:eastAsia="Times New Roman" w:cs="Times New Roman"/>
                <w:sz w:val="20"/>
                <w:szCs w:val="20"/>
              </w:rPr>
            </w:pPr>
          </w:p>
        </w:tc>
      </w:tr>
      <w:tr w:rsidR="00FF288E" w:rsidRPr="00D8017D" w14:paraId="6E21C661" w14:textId="77777777" w:rsidTr="00FF288E">
        <w:trPr>
          <w:trHeight w:val="312"/>
        </w:trPr>
        <w:tc>
          <w:tcPr>
            <w:tcW w:w="2653" w:type="dxa"/>
            <w:vAlign w:val="center"/>
            <w:hideMark/>
          </w:tcPr>
          <w:p w14:paraId="6EADE2E4" w14:textId="3CEB9329" w:rsidR="00FF288E" w:rsidRPr="00D8017D" w:rsidRDefault="00FF288E" w:rsidP="00FF288E">
            <w:pPr>
              <w:shd w:val="clear" w:color="auto" w:fill="FFFFFF"/>
              <w:ind w:firstLine="0"/>
              <w:jc w:val="left"/>
              <w:rPr>
                <w:rFonts w:eastAsia="Times New Roman" w:cs="Times New Roman"/>
                <w:sz w:val="20"/>
                <w:szCs w:val="20"/>
              </w:rPr>
            </w:pPr>
            <w:r w:rsidRPr="00D8017D">
              <w:rPr>
                <w:rFonts w:eastAsia="Times New Roman" w:cs="Times New Roman"/>
                <w:sz w:val="20"/>
                <w:szCs w:val="20"/>
              </w:rPr>
              <w:t>Prioritārajiem pasākumiem kopā, t.sk.</w:t>
            </w:r>
          </w:p>
        </w:tc>
        <w:tc>
          <w:tcPr>
            <w:tcW w:w="1416" w:type="dxa"/>
            <w:vAlign w:val="center"/>
            <w:hideMark/>
          </w:tcPr>
          <w:p w14:paraId="1FE64735" w14:textId="357418A0"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693,5</w:t>
            </w:r>
          </w:p>
        </w:tc>
        <w:tc>
          <w:tcPr>
            <w:tcW w:w="1416" w:type="dxa"/>
            <w:vAlign w:val="center"/>
            <w:hideMark/>
          </w:tcPr>
          <w:p w14:paraId="604688E7" w14:textId="0589AB7C"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724,8</w:t>
            </w:r>
          </w:p>
        </w:tc>
        <w:tc>
          <w:tcPr>
            <w:tcW w:w="1173" w:type="dxa"/>
            <w:vAlign w:val="center"/>
            <w:hideMark/>
          </w:tcPr>
          <w:p w14:paraId="0CFEFF28" w14:textId="29148D6B"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935,9</w:t>
            </w:r>
          </w:p>
        </w:tc>
        <w:tc>
          <w:tcPr>
            <w:tcW w:w="2403" w:type="dxa"/>
            <w:vAlign w:val="center"/>
            <w:hideMark/>
          </w:tcPr>
          <w:p w14:paraId="2D8F50F6" w14:textId="5A65F537"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2 354,3</w:t>
            </w:r>
          </w:p>
        </w:tc>
      </w:tr>
      <w:tr w:rsidR="00FF288E" w:rsidRPr="00D8017D" w14:paraId="56402217" w14:textId="77777777" w:rsidTr="00FF288E">
        <w:trPr>
          <w:trHeight w:val="312"/>
        </w:trPr>
        <w:tc>
          <w:tcPr>
            <w:tcW w:w="2653" w:type="dxa"/>
            <w:vAlign w:val="center"/>
            <w:hideMark/>
          </w:tcPr>
          <w:p w14:paraId="20C46F5A" w14:textId="11874FF0" w:rsidR="00FF288E" w:rsidRPr="00D8017D" w:rsidRDefault="00FF288E" w:rsidP="00FF288E">
            <w:pPr>
              <w:shd w:val="clear" w:color="auto" w:fill="FFFFFF"/>
              <w:ind w:firstLine="0"/>
              <w:jc w:val="left"/>
              <w:rPr>
                <w:rFonts w:eastAsia="Times New Roman" w:cs="Times New Roman"/>
                <w:sz w:val="20"/>
                <w:szCs w:val="20"/>
              </w:rPr>
            </w:pPr>
            <w:r w:rsidRPr="00D8017D">
              <w:rPr>
                <w:rFonts w:eastAsia="Times New Roman" w:cs="Times New Roman"/>
                <w:sz w:val="20"/>
                <w:szCs w:val="20"/>
              </w:rPr>
              <w:t>Pasākumi drošībai (ar aizsardzību un iekšējo drošību saistītie prioritārie pasākumi), t.sk.</w:t>
            </w:r>
          </w:p>
        </w:tc>
        <w:tc>
          <w:tcPr>
            <w:tcW w:w="1416" w:type="dxa"/>
            <w:vAlign w:val="center"/>
            <w:hideMark/>
          </w:tcPr>
          <w:p w14:paraId="2AF089C4" w14:textId="359CFC97"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448,3</w:t>
            </w:r>
          </w:p>
        </w:tc>
        <w:tc>
          <w:tcPr>
            <w:tcW w:w="1416" w:type="dxa"/>
            <w:vAlign w:val="center"/>
            <w:hideMark/>
          </w:tcPr>
          <w:p w14:paraId="68E1F546" w14:textId="3D242FF5"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507,7</w:t>
            </w:r>
          </w:p>
        </w:tc>
        <w:tc>
          <w:tcPr>
            <w:tcW w:w="1173" w:type="dxa"/>
            <w:vAlign w:val="center"/>
            <w:hideMark/>
          </w:tcPr>
          <w:p w14:paraId="3F8B6CCD" w14:textId="20A4A767"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720,5</w:t>
            </w:r>
          </w:p>
        </w:tc>
        <w:tc>
          <w:tcPr>
            <w:tcW w:w="2403" w:type="dxa"/>
            <w:vAlign w:val="center"/>
            <w:hideMark/>
          </w:tcPr>
          <w:p w14:paraId="62D9BD4D" w14:textId="6C308E69"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1 676,4</w:t>
            </w:r>
          </w:p>
        </w:tc>
      </w:tr>
      <w:tr w:rsidR="002057EC" w:rsidRPr="00D8017D" w14:paraId="1AAD56A8" w14:textId="77777777" w:rsidTr="00FF288E">
        <w:trPr>
          <w:trHeight w:val="312"/>
        </w:trPr>
        <w:tc>
          <w:tcPr>
            <w:tcW w:w="2653" w:type="dxa"/>
            <w:vAlign w:val="bottom"/>
          </w:tcPr>
          <w:p w14:paraId="3B58C92A" w14:textId="0608053B" w:rsidR="002057EC" w:rsidRPr="00D8017D" w:rsidRDefault="002057EC" w:rsidP="002057EC">
            <w:pPr>
              <w:shd w:val="clear" w:color="auto" w:fill="FFFFFF"/>
              <w:ind w:firstLine="0"/>
              <w:jc w:val="right"/>
              <w:rPr>
                <w:rFonts w:eastAsia="Times New Roman" w:cs="Times New Roman"/>
                <w:sz w:val="20"/>
                <w:szCs w:val="20"/>
              </w:rPr>
            </w:pPr>
            <w:r w:rsidRPr="00D8017D">
              <w:rPr>
                <w:rFonts w:cs="Times New Roman"/>
                <w:color w:val="000000"/>
                <w:sz w:val="20"/>
                <w:szCs w:val="20"/>
              </w:rPr>
              <w:t>papildus finansējums likumprojekta sagatavošanas laikā</w:t>
            </w:r>
          </w:p>
        </w:tc>
        <w:tc>
          <w:tcPr>
            <w:tcW w:w="1416" w:type="dxa"/>
            <w:vAlign w:val="center"/>
          </w:tcPr>
          <w:p w14:paraId="582A2CA5" w14:textId="1E866F25" w:rsidR="002057EC" w:rsidRPr="00D8017D" w:rsidRDefault="002057EC" w:rsidP="00FF288E">
            <w:pPr>
              <w:shd w:val="clear" w:color="auto" w:fill="FFFFFF"/>
              <w:ind w:firstLine="0"/>
              <w:jc w:val="center"/>
              <w:rPr>
                <w:rFonts w:cs="Times New Roman"/>
                <w:color w:val="000000"/>
                <w:sz w:val="20"/>
                <w:szCs w:val="20"/>
              </w:rPr>
            </w:pPr>
            <w:r w:rsidRPr="00D8017D">
              <w:rPr>
                <w:rFonts w:cs="Times New Roman"/>
                <w:color w:val="000000"/>
                <w:sz w:val="20"/>
                <w:szCs w:val="20"/>
              </w:rPr>
              <w:t>15,0</w:t>
            </w:r>
          </w:p>
        </w:tc>
        <w:tc>
          <w:tcPr>
            <w:tcW w:w="1416" w:type="dxa"/>
            <w:vAlign w:val="center"/>
          </w:tcPr>
          <w:p w14:paraId="64FF8E5B" w14:textId="32E003DE" w:rsidR="002057EC" w:rsidRPr="00D8017D" w:rsidRDefault="002057EC" w:rsidP="00FF288E">
            <w:pPr>
              <w:shd w:val="clear" w:color="auto" w:fill="FFFFFF"/>
              <w:ind w:firstLine="0"/>
              <w:jc w:val="center"/>
              <w:rPr>
                <w:rFonts w:cs="Times New Roman"/>
                <w:color w:val="000000"/>
                <w:sz w:val="20"/>
                <w:szCs w:val="20"/>
              </w:rPr>
            </w:pPr>
            <w:r w:rsidRPr="00D8017D">
              <w:rPr>
                <w:rFonts w:cs="Times New Roman"/>
                <w:color w:val="000000"/>
                <w:sz w:val="20"/>
                <w:szCs w:val="20"/>
              </w:rPr>
              <w:t>3,8</w:t>
            </w:r>
          </w:p>
        </w:tc>
        <w:tc>
          <w:tcPr>
            <w:tcW w:w="1173" w:type="dxa"/>
            <w:vAlign w:val="center"/>
          </w:tcPr>
          <w:p w14:paraId="3B051FC9" w14:textId="60743BDD" w:rsidR="002057EC" w:rsidRPr="00D8017D" w:rsidRDefault="002057EC" w:rsidP="00FF288E">
            <w:pPr>
              <w:shd w:val="clear" w:color="auto" w:fill="FFFFFF"/>
              <w:ind w:firstLine="0"/>
              <w:jc w:val="center"/>
              <w:rPr>
                <w:rFonts w:cs="Times New Roman"/>
                <w:color w:val="000000"/>
                <w:sz w:val="20"/>
                <w:szCs w:val="20"/>
              </w:rPr>
            </w:pPr>
            <w:r w:rsidRPr="00D8017D">
              <w:rPr>
                <w:rFonts w:cs="Times New Roman"/>
                <w:color w:val="000000"/>
                <w:sz w:val="20"/>
                <w:szCs w:val="20"/>
              </w:rPr>
              <w:t>3,7</w:t>
            </w:r>
          </w:p>
        </w:tc>
        <w:tc>
          <w:tcPr>
            <w:tcW w:w="2403" w:type="dxa"/>
            <w:vAlign w:val="center"/>
          </w:tcPr>
          <w:p w14:paraId="4EA13CFB" w14:textId="5D7D0743" w:rsidR="002057EC" w:rsidRPr="00D8017D" w:rsidRDefault="002057EC" w:rsidP="00FF288E">
            <w:pPr>
              <w:shd w:val="clear" w:color="auto" w:fill="FFFFFF"/>
              <w:ind w:firstLine="0"/>
              <w:jc w:val="center"/>
              <w:rPr>
                <w:rFonts w:cs="Times New Roman"/>
                <w:color w:val="000000"/>
                <w:sz w:val="20"/>
                <w:szCs w:val="20"/>
              </w:rPr>
            </w:pPr>
            <w:r w:rsidRPr="00D8017D">
              <w:rPr>
                <w:rFonts w:cs="Times New Roman"/>
                <w:color w:val="000000"/>
                <w:sz w:val="20"/>
                <w:szCs w:val="20"/>
              </w:rPr>
              <w:t>22,5</w:t>
            </w:r>
          </w:p>
        </w:tc>
      </w:tr>
      <w:tr w:rsidR="002057EC" w:rsidRPr="00D8017D" w14:paraId="7D2D9F68" w14:textId="77777777" w:rsidTr="00FF288E">
        <w:trPr>
          <w:trHeight w:val="312"/>
        </w:trPr>
        <w:tc>
          <w:tcPr>
            <w:tcW w:w="2653" w:type="dxa"/>
            <w:vAlign w:val="bottom"/>
          </w:tcPr>
          <w:p w14:paraId="6B47EAD9" w14:textId="63880072" w:rsidR="002057EC" w:rsidRPr="00D8017D" w:rsidRDefault="002057EC" w:rsidP="002057EC">
            <w:pPr>
              <w:shd w:val="clear" w:color="auto" w:fill="FFFFFF"/>
              <w:ind w:firstLine="0"/>
              <w:jc w:val="right"/>
              <w:rPr>
                <w:rFonts w:eastAsia="Times New Roman" w:cs="Times New Roman"/>
                <w:sz w:val="20"/>
                <w:szCs w:val="20"/>
              </w:rPr>
            </w:pPr>
            <w:r w:rsidRPr="00D8017D">
              <w:rPr>
                <w:rFonts w:cs="Times New Roman"/>
                <w:color w:val="000000"/>
                <w:sz w:val="20"/>
                <w:szCs w:val="20"/>
              </w:rPr>
              <w:t>finansējums nemainīgas politikas scenārijā</w:t>
            </w:r>
          </w:p>
        </w:tc>
        <w:tc>
          <w:tcPr>
            <w:tcW w:w="1416" w:type="dxa"/>
            <w:vAlign w:val="center"/>
          </w:tcPr>
          <w:p w14:paraId="41096C0F" w14:textId="474FC0D9" w:rsidR="002057EC" w:rsidRPr="00D8017D" w:rsidRDefault="002057EC" w:rsidP="00FF288E">
            <w:pPr>
              <w:shd w:val="clear" w:color="auto" w:fill="FFFFFF"/>
              <w:ind w:firstLine="0"/>
              <w:jc w:val="center"/>
              <w:rPr>
                <w:rFonts w:cs="Times New Roman"/>
                <w:color w:val="000000"/>
                <w:sz w:val="20"/>
                <w:szCs w:val="20"/>
              </w:rPr>
            </w:pPr>
            <w:r w:rsidRPr="00D8017D">
              <w:rPr>
                <w:rFonts w:cs="Times New Roman"/>
                <w:color w:val="000000"/>
                <w:sz w:val="20"/>
                <w:szCs w:val="20"/>
              </w:rPr>
              <w:t>305,3</w:t>
            </w:r>
          </w:p>
        </w:tc>
        <w:tc>
          <w:tcPr>
            <w:tcW w:w="1416" w:type="dxa"/>
            <w:vAlign w:val="center"/>
          </w:tcPr>
          <w:p w14:paraId="21836493" w14:textId="545E04E1" w:rsidR="002057EC" w:rsidRPr="00D8017D" w:rsidRDefault="002057EC" w:rsidP="00FF288E">
            <w:pPr>
              <w:shd w:val="clear" w:color="auto" w:fill="FFFFFF"/>
              <w:ind w:firstLine="0"/>
              <w:jc w:val="center"/>
              <w:rPr>
                <w:rFonts w:cs="Times New Roman"/>
                <w:color w:val="000000"/>
                <w:sz w:val="20"/>
                <w:szCs w:val="20"/>
              </w:rPr>
            </w:pPr>
            <w:r w:rsidRPr="00D8017D">
              <w:rPr>
                <w:rFonts w:cs="Times New Roman"/>
                <w:color w:val="000000"/>
                <w:sz w:val="20"/>
                <w:szCs w:val="20"/>
              </w:rPr>
              <w:t>440,9</w:t>
            </w:r>
          </w:p>
        </w:tc>
        <w:tc>
          <w:tcPr>
            <w:tcW w:w="1173" w:type="dxa"/>
            <w:vAlign w:val="center"/>
          </w:tcPr>
          <w:p w14:paraId="48B62F2C" w14:textId="0AA5EA6B" w:rsidR="002057EC" w:rsidRPr="00D8017D" w:rsidRDefault="002057EC" w:rsidP="00FF288E">
            <w:pPr>
              <w:shd w:val="clear" w:color="auto" w:fill="FFFFFF"/>
              <w:ind w:firstLine="0"/>
              <w:jc w:val="center"/>
              <w:rPr>
                <w:rFonts w:cs="Times New Roman"/>
                <w:color w:val="000000"/>
                <w:sz w:val="20"/>
                <w:szCs w:val="20"/>
              </w:rPr>
            </w:pPr>
            <w:r w:rsidRPr="00D8017D">
              <w:rPr>
                <w:rFonts w:cs="Times New Roman"/>
                <w:color w:val="000000"/>
                <w:sz w:val="20"/>
                <w:szCs w:val="20"/>
              </w:rPr>
              <w:t>652,0</w:t>
            </w:r>
          </w:p>
        </w:tc>
        <w:tc>
          <w:tcPr>
            <w:tcW w:w="2403" w:type="dxa"/>
            <w:vAlign w:val="center"/>
          </w:tcPr>
          <w:p w14:paraId="103C87AD" w14:textId="2ACF131B" w:rsidR="002057EC" w:rsidRPr="00D8017D" w:rsidRDefault="002057EC" w:rsidP="00FF288E">
            <w:pPr>
              <w:shd w:val="clear" w:color="auto" w:fill="FFFFFF"/>
              <w:ind w:firstLine="0"/>
              <w:jc w:val="center"/>
              <w:rPr>
                <w:rFonts w:cs="Times New Roman"/>
                <w:color w:val="000000"/>
                <w:sz w:val="20"/>
                <w:szCs w:val="20"/>
              </w:rPr>
            </w:pPr>
            <w:r w:rsidRPr="00D8017D">
              <w:rPr>
                <w:rFonts w:cs="Times New Roman"/>
                <w:color w:val="000000"/>
                <w:sz w:val="20"/>
                <w:szCs w:val="20"/>
              </w:rPr>
              <w:t>1 398,1</w:t>
            </w:r>
          </w:p>
        </w:tc>
      </w:tr>
      <w:tr w:rsidR="00D1601C" w:rsidRPr="00D8017D" w14:paraId="18DEC4A1" w14:textId="77777777" w:rsidTr="00FF288E">
        <w:trPr>
          <w:trHeight w:val="312"/>
        </w:trPr>
        <w:tc>
          <w:tcPr>
            <w:tcW w:w="2653" w:type="dxa"/>
            <w:vAlign w:val="center"/>
            <w:hideMark/>
          </w:tcPr>
          <w:p w14:paraId="7568B481" w14:textId="77777777" w:rsidR="003B334F" w:rsidRPr="00D8017D" w:rsidRDefault="003B334F" w:rsidP="00D1601C">
            <w:pPr>
              <w:shd w:val="clear" w:color="auto" w:fill="FFFFFF"/>
              <w:ind w:firstLine="0"/>
              <w:jc w:val="left"/>
              <w:rPr>
                <w:rFonts w:eastAsia="Times New Roman" w:cs="Times New Roman"/>
                <w:sz w:val="20"/>
                <w:szCs w:val="20"/>
              </w:rPr>
            </w:pPr>
            <w:r w:rsidRPr="00D8017D">
              <w:rPr>
                <w:rFonts w:eastAsia="Times New Roman" w:cs="Times New Roman"/>
                <w:sz w:val="20"/>
                <w:szCs w:val="20"/>
              </w:rPr>
              <w:t>Demogrāfijas pasākumi</w:t>
            </w:r>
          </w:p>
        </w:tc>
        <w:tc>
          <w:tcPr>
            <w:tcW w:w="1416" w:type="dxa"/>
            <w:vAlign w:val="center"/>
            <w:hideMark/>
          </w:tcPr>
          <w:p w14:paraId="4CE1A522" w14:textId="22941E17"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94,8</w:t>
            </w:r>
          </w:p>
        </w:tc>
        <w:tc>
          <w:tcPr>
            <w:tcW w:w="1416" w:type="dxa"/>
            <w:vAlign w:val="center"/>
            <w:hideMark/>
          </w:tcPr>
          <w:p w14:paraId="0788F554" w14:textId="37C8DE40"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88,9</w:t>
            </w:r>
          </w:p>
        </w:tc>
        <w:tc>
          <w:tcPr>
            <w:tcW w:w="1173" w:type="dxa"/>
            <w:vAlign w:val="center"/>
            <w:hideMark/>
          </w:tcPr>
          <w:p w14:paraId="2C38412D" w14:textId="00888B51"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107,7</w:t>
            </w:r>
          </w:p>
        </w:tc>
        <w:tc>
          <w:tcPr>
            <w:tcW w:w="2403" w:type="dxa"/>
            <w:vAlign w:val="center"/>
            <w:hideMark/>
          </w:tcPr>
          <w:p w14:paraId="052934E4" w14:textId="12E9E3CA"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291,5</w:t>
            </w:r>
          </w:p>
        </w:tc>
      </w:tr>
      <w:tr w:rsidR="00D1601C" w:rsidRPr="00D8017D" w14:paraId="197CA6A7" w14:textId="77777777" w:rsidTr="00FF288E">
        <w:trPr>
          <w:trHeight w:val="312"/>
        </w:trPr>
        <w:tc>
          <w:tcPr>
            <w:tcW w:w="2653" w:type="dxa"/>
            <w:vAlign w:val="center"/>
            <w:hideMark/>
          </w:tcPr>
          <w:p w14:paraId="352A1800" w14:textId="77777777" w:rsidR="003B334F" w:rsidRPr="00D8017D" w:rsidRDefault="003B334F" w:rsidP="00D1601C">
            <w:pPr>
              <w:shd w:val="clear" w:color="auto" w:fill="FFFFFF"/>
              <w:ind w:firstLine="0"/>
              <w:jc w:val="left"/>
              <w:rPr>
                <w:rFonts w:eastAsia="Times New Roman" w:cs="Times New Roman"/>
                <w:sz w:val="20"/>
                <w:szCs w:val="20"/>
              </w:rPr>
            </w:pPr>
            <w:r w:rsidRPr="00D8017D">
              <w:rPr>
                <w:rFonts w:eastAsia="Times New Roman" w:cs="Times New Roman"/>
                <w:sz w:val="20"/>
                <w:szCs w:val="20"/>
              </w:rPr>
              <w:t>Pasākumi izglītībai</w:t>
            </w:r>
          </w:p>
        </w:tc>
        <w:tc>
          <w:tcPr>
            <w:tcW w:w="1416" w:type="dxa"/>
            <w:vAlign w:val="center"/>
            <w:hideMark/>
          </w:tcPr>
          <w:p w14:paraId="2AE784BA" w14:textId="4195A156"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45,0</w:t>
            </w:r>
          </w:p>
        </w:tc>
        <w:tc>
          <w:tcPr>
            <w:tcW w:w="1416" w:type="dxa"/>
            <w:vAlign w:val="center"/>
            <w:hideMark/>
          </w:tcPr>
          <w:p w14:paraId="0EDBAD6A" w14:textId="584216AF"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90,6</w:t>
            </w:r>
          </w:p>
        </w:tc>
        <w:tc>
          <w:tcPr>
            <w:tcW w:w="1173" w:type="dxa"/>
            <w:vAlign w:val="center"/>
            <w:hideMark/>
          </w:tcPr>
          <w:p w14:paraId="1C9866D2" w14:textId="47304AEF"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86,6</w:t>
            </w:r>
          </w:p>
        </w:tc>
        <w:tc>
          <w:tcPr>
            <w:tcW w:w="2403" w:type="dxa"/>
            <w:vAlign w:val="center"/>
            <w:hideMark/>
          </w:tcPr>
          <w:p w14:paraId="1DAD3951" w14:textId="79930549"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222,2</w:t>
            </w:r>
          </w:p>
        </w:tc>
      </w:tr>
      <w:tr w:rsidR="00D1601C" w:rsidRPr="00D8017D" w14:paraId="2FE1C2D6" w14:textId="77777777" w:rsidTr="00FF288E">
        <w:trPr>
          <w:trHeight w:val="312"/>
        </w:trPr>
        <w:tc>
          <w:tcPr>
            <w:tcW w:w="2653" w:type="dxa"/>
            <w:vAlign w:val="center"/>
            <w:hideMark/>
          </w:tcPr>
          <w:p w14:paraId="5E12206B" w14:textId="77777777" w:rsidR="003B334F" w:rsidRPr="00D8017D" w:rsidRDefault="003B334F" w:rsidP="00D1601C">
            <w:pPr>
              <w:shd w:val="clear" w:color="auto" w:fill="FFFFFF"/>
              <w:ind w:firstLine="0"/>
              <w:jc w:val="left"/>
              <w:rPr>
                <w:rFonts w:eastAsia="Times New Roman" w:cs="Times New Roman"/>
                <w:sz w:val="20"/>
                <w:szCs w:val="20"/>
              </w:rPr>
            </w:pPr>
            <w:r w:rsidRPr="00D8017D">
              <w:rPr>
                <w:rFonts w:eastAsia="Times New Roman" w:cs="Times New Roman"/>
                <w:sz w:val="20"/>
                <w:szCs w:val="20"/>
              </w:rPr>
              <w:t>Citi prioritārie pasākumi</w:t>
            </w:r>
          </w:p>
        </w:tc>
        <w:tc>
          <w:tcPr>
            <w:tcW w:w="1416" w:type="dxa"/>
            <w:vAlign w:val="center"/>
            <w:hideMark/>
          </w:tcPr>
          <w:p w14:paraId="78729B35" w14:textId="38788087"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105,4</w:t>
            </w:r>
          </w:p>
        </w:tc>
        <w:tc>
          <w:tcPr>
            <w:tcW w:w="1416" w:type="dxa"/>
            <w:vAlign w:val="center"/>
            <w:hideMark/>
          </w:tcPr>
          <w:p w14:paraId="5FB9477F" w14:textId="29DD6F95"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37,7</w:t>
            </w:r>
          </w:p>
        </w:tc>
        <w:tc>
          <w:tcPr>
            <w:tcW w:w="1173" w:type="dxa"/>
            <w:vAlign w:val="center"/>
            <w:hideMark/>
          </w:tcPr>
          <w:p w14:paraId="61F8CE18" w14:textId="55326F6C"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21,1</w:t>
            </w:r>
          </w:p>
        </w:tc>
        <w:tc>
          <w:tcPr>
            <w:tcW w:w="2403" w:type="dxa"/>
            <w:vAlign w:val="center"/>
            <w:hideMark/>
          </w:tcPr>
          <w:p w14:paraId="21074B55" w14:textId="36418DC8" w:rsidR="003B334F" w:rsidRPr="00D8017D" w:rsidRDefault="003B334F" w:rsidP="00FF288E">
            <w:pPr>
              <w:shd w:val="clear" w:color="auto" w:fill="FFFFFF"/>
              <w:ind w:firstLine="0"/>
              <w:jc w:val="center"/>
              <w:rPr>
                <w:rFonts w:eastAsia="Times New Roman" w:cs="Times New Roman"/>
                <w:sz w:val="20"/>
                <w:szCs w:val="20"/>
              </w:rPr>
            </w:pPr>
            <w:r w:rsidRPr="00D8017D">
              <w:rPr>
                <w:rFonts w:cs="Times New Roman"/>
                <w:color w:val="000000"/>
                <w:sz w:val="20"/>
                <w:szCs w:val="20"/>
              </w:rPr>
              <w:t>164,1</w:t>
            </w:r>
          </w:p>
        </w:tc>
      </w:tr>
      <w:tr w:rsidR="00D1601C" w:rsidRPr="00D8017D" w14:paraId="15223CBA" w14:textId="77777777" w:rsidTr="00FF288E">
        <w:trPr>
          <w:trHeight w:val="312"/>
        </w:trPr>
        <w:tc>
          <w:tcPr>
            <w:tcW w:w="2653" w:type="dxa"/>
            <w:shd w:val="clear" w:color="auto" w:fill="BDD6EE" w:themeFill="accent1" w:themeFillTint="66"/>
            <w:vAlign w:val="center"/>
            <w:hideMark/>
          </w:tcPr>
          <w:p w14:paraId="02FC661C" w14:textId="4B8C5082" w:rsidR="00D1601C" w:rsidRPr="00D8017D" w:rsidRDefault="00D1601C" w:rsidP="004F7ED2">
            <w:pPr>
              <w:spacing w:after="0"/>
              <w:ind w:firstLine="0"/>
              <w:jc w:val="center"/>
              <w:rPr>
                <w:rFonts w:eastAsia="Times New Roman" w:cs="Times New Roman"/>
                <w:b/>
                <w:bCs/>
                <w:sz w:val="20"/>
                <w:szCs w:val="20"/>
              </w:rPr>
            </w:pPr>
            <w:r w:rsidRPr="00D8017D">
              <w:rPr>
                <w:rFonts w:eastAsia="Times New Roman" w:cs="Times New Roman"/>
                <w:b/>
                <w:bCs/>
                <w:sz w:val="20"/>
                <w:szCs w:val="20"/>
              </w:rPr>
              <w:t>% no IKP</w:t>
            </w:r>
          </w:p>
        </w:tc>
        <w:tc>
          <w:tcPr>
            <w:tcW w:w="1416" w:type="dxa"/>
            <w:shd w:val="clear" w:color="auto" w:fill="BDD6EE" w:themeFill="accent1" w:themeFillTint="66"/>
            <w:vAlign w:val="center"/>
            <w:hideMark/>
          </w:tcPr>
          <w:p w14:paraId="27E5F5E6" w14:textId="6767E3F6" w:rsidR="00D1601C" w:rsidRPr="00D8017D" w:rsidRDefault="00D1601C" w:rsidP="00FF288E">
            <w:pPr>
              <w:spacing w:after="0"/>
              <w:ind w:firstLine="0"/>
              <w:jc w:val="center"/>
              <w:rPr>
                <w:rFonts w:eastAsia="Times New Roman" w:cs="Times New Roman"/>
                <w:b/>
                <w:bCs/>
                <w:sz w:val="20"/>
                <w:szCs w:val="20"/>
              </w:rPr>
            </w:pPr>
            <w:r w:rsidRPr="00D8017D">
              <w:rPr>
                <w:rFonts w:eastAsia="Times New Roman" w:cs="Times New Roman"/>
                <w:b/>
                <w:bCs/>
                <w:sz w:val="20"/>
                <w:szCs w:val="20"/>
              </w:rPr>
              <w:t>2026</w:t>
            </w:r>
          </w:p>
        </w:tc>
        <w:tc>
          <w:tcPr>
            <w:tcW w:w="1416" w:type="dxa"/>
            <w:shd w:val="clear" w:color="auto" w:fill="BDD6EE" w:themeFill="accent1" w:themeFillTint="66"/>
            <w:vAlign w:val="center"/>
            <w:hideMark/>
          </w:tcPr>
          <w:p w14:paraId="3C17351A" w14:textId="17A133FA" w:rsidR="00D1601C" w:rsidRPr="00D8017D" w:rsidRDefault="00D1601C" w:rsidP="00FF288E">
            <w:pPr>
              <w:spacing w:after="0"/>
              <w:ind w:firstLine="0"/>
              <w:jc w:val="center"/>
              <w:rPr>
                <w:rFonts w:eastAsia="Times New Roman" w:cs="Times New Roman"/>
                <w:b/>
                <w:bCs/>
                <w:sz w:val="20"/>
                <w:szCs w:val="20"/>
              </w:rPr>
            </w:pPr>
            <w:r w:rsidRPr="00D8017D">
              <w:rPr>
                <w:rFonts w:eastAsia="Times New Roman" w:cs="Times New Roman"/>
                <w:b/>
                <w:bCs/>
                <w:sz w:val="20"/>
                <w:szCs w:val="20"/>
              </w:rPr>
              <w:t>2027</w:t>
            </w:r>
          </w:p>
        </w:tc>
        <w:tc>
          <w:tcPr>
            <w:tcW w:w="1173" w:type="dxa"/>
            <w:shd w:val="clear" w:color="auto" w:fill="BDD6EE" w:themeFill="accent1" w:themeFillTint="66"/>
            <w:vAlign w:val="center"/>
            <w:hideMark/>
          </w:tcPr>
          <w:p w14:paraId="615CE7EE" w14:textId="1E53CEF8" w:rsidR="00D1601C" w:rsidRPr="00D8017D" w:rsidRDefault="00D1601C" w:rsidP="00FF288E">
            <w:pPr>
              <w:spacing w:after="0"/>
              <w:ind w:firstLine="0"/>
              <w:jc w:val="center"/>
              <w:rPr>
                <w:rFonts w:eastAsia="Times New Roman" w:cs="Times New Roman"/>
                <w:b/>
                <w:bCs/>
                <w:sz w:val="20"/>
                <w:szCs w:val="20"/>
              </w:rPr>
            </w:pPr>
            <w:r w:rsidRPr="00D8017D">
              <w:rPr>
                <w:rFonts w:eastAsia="Times New Roman" w:cs="Times New Roman"/>
                <w:b/>
                <w:bCs/>
                <w:sz w:val="20"/>
                <w:szCs w:val="20"/>
              </w:rPr>
              <w:t>2028</w:t>
            </w:r>
          </w:p>
        </w:tc>
        <w:tc>
          <w:tcPr>
            <w:tcW w:w="2403" w:type="dxa"/>
            <w:shd w:val="clear" w:color="auto" w:fill="BDD6EE" w:themeFill="accent1" w:themeFillTint="66"/>
            <w:vAlign w:val="center"/>
            <w:hideMark/>
          </w:tcPr>
          <w:p w14:paraId="443A8C39" w14:textId="47F18EA6" w:rsidR="00D1601C" w:rsidRPr="00D8017D" w:rsidRDefault="00D1601C" w:rsidP="00FF288E">
            <w:pPr>
              <w:spacing w:after="0"/>
              <w:ind w:firstLine="0"/>
              <w:jc w:val="center"/>
              <w:rPr>
                <w:rFonts w:eastAsia="Times New Roman" w:cs="Times New Roman"/>
                <w:b/>
                <w:bCs/>
                <w:sz w:val="20"/>
                <w:szCs w:val="20"/>
              </w:rPr>
            </w:pPr>
          </w:p>
        </w:tc>
      </w:tr>
      <w:tr w:rsidR="00FF288E" w:rsidRPr="00D8017D" w14:paraId="2436CE0B" w14:textId="77777777" w:rsidTr="00FF288E">
        <w:trPr>
          <w:trHeight w:val="312"/>
        </w:trPr>
        <w:tc>
          <w:tcPr>
            <w:tcW w:w="2653" w:type="dxa"/>
            <w:vAlign w:val="center"/>
            <w:hideMark/>
          </w:tcPr>
          <w:p w14:paraId="5D807320" w14:textId="34D5B2DD" w:rsidR="00FF288E" w:rsidRPr="00D8017D" w:rsidRDefault="00FF288E" w:rsidP="00FF288E">
            <w:pPr>
              <w:shd w:val="clear" w:color="auto" w:fill="FFFFFF"/>
              <w:ind w:firstLine="0"/>
              <w:jc w:val="left"/>
              <w:rPr>
                <w:rFonts w:eastAsia="Times New Roman" w:cs="Times New Roman"/>
                <w:sz w:val="20"/>
                <w:szCs w:val="20"/>
              </w:rPr>
            </w:pPr>
            <w:r w:rsidRPr="00D8017D">
              <w:rPr>
                <w:rFonts w:eastAsia="Times New Roman" w:cs="Times New Roman"/>
                <w:sz w:val="20"/>
                <w:szCs w:val="20"/>
              </w:rPr>
              <w:t>Prioritārajiem pasākumiem kopā, t.sk.</w:t>
            </w:r>
          </w:p>
        </w:tc>
        <w:tc>
          <w:tcPr>
            <w:tcW w:w="1416" w:type="dxa"/>
            <w:vAlign w:val="center"/>
            <w:hideMark/>
          </w:tcPr>
          <w:p w14:paraId="23CD7E60" w14:textId="20E26F04"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1,6%</w:t>
            </w:r>
          </w:p>
        </w:tc>
        <w:tc>
          <w:tcPr>
            <w:tcW w:w="1416" w:type="dxa"/>
            <w:vAlign w:val="center"/>
            <w:hideMark/>
          </w:tcPr>
          <w:p w14:paraId="1D75E3FF" w14:textId="3B870B67"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1,6%</w:t>
            </w:r>
          </w:p>
        </w:tc>
        <w:tc>
          <w:tcPr>
            <w:tcW w:w="1173" w:type="dxa"/>
            <w:vAlign w:val="center"/>
            <w:hideMark/>
          </w:tcPr>
          <w:p w14:paraId="4EB86D2D" w14:textId="4C769C5B"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1,9%</w:t>
            </w:r>
          </w:p>
        </w:tc>
        <w:tc>
          <w:tcPr>
            <w:tcW w:w="2403" w:type="dxa"/>
            <w:vAlign w:val="center"/>
            <w:hideMark/>
          </w:tcPr>
          <w:p w14:paraId="14413263" w14:textId="4375632D" w:rsidR="00FF288E" w:rsidRPr="00D8017D" w:rsidRDefault="00FF288E" w:rsidP="00FF288E">
            <w:pPr>
              <w:shd w:val="clear" w:color="auto" w:fill="FFFFFF"/>
              <w:jc w:val="center"/>
              <w:rPr>
                <w:rFonts w:eastAsia="Times New Roman" w:cs="Times New Roman"/>
                <w:sz w:val="20"/>
                <w:szCs w:val="20"/>
              </w:rPr>
            </w:pPr>
          </w:p>
        </w:tc>
      </w:tr>
      <w:tr w:rsidR="00FF288E" w:rsidRPr="00D8017D" w14:paraId="1A71D51E" w14:textId="77777777" w:rsidTr="00FF288E">
        <w:trPr>
          <w:trHeight w:val="312"/>
        </w:trPr>
        <w:tc>
          <w:tcPr>
            <w:tcW w:w="2653" w:type="dxa"/>
            <w:vAlign w:val="center"/>
            <w:hideMark/>
          </w:tcPr>
          <w:p w14:paraId="658B39CF" w14:textId="57B1265F" w:rsidR="00FF288E" w:rsidRPr="00D8017D" w:rsidRDefault="00FF288E" w:rsidP="00FF288E">
            <w:pPr>
              <w:shd w:val="clear" w:color="auto" w:fill="FFFFFF"/>
              <w:ind w:firstLine="0"/>
              <w:jc w:val="left"/>
              <w:rPr>
                <w:rFonts w:eastAsia="Times New Roman" w:cs="Times New Roman"/>
                <w:sz w:val="20"/>
                <w:szCs w:val="20"/>
              </w:rPr>
            </w:pPr>
            <w:r w:rsidRPr="00D8017D">
              <w:rPr>
                <w:rFonts w:eastAsia="Times New Roman" w:cs="Times New Roman"/>
                <w:sz w:val="20"/>
                <w:szCs w:val="20"/>
              </w:rPr>
              <w:t>Pasākumi drošībai (ar aizsardzību un iekšējo drošību saistītie prioritārie pasākumi)</w:t>
            </w:r>
          </w:p>
        </w:tc>
        <w:tc>
          <w:tcPr>
            <w:tcW w:w="1416" w:type="dxa"/>
            <w:vAlign w:val="center"/>
            <w:hideMark/>
          </w:tcPr>
          <w:p w14:paraId="2935B4C9" w14:textId="600456EA"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1,0%</w:t>
            </w:r>
          </w:p>
        </w:tc>
        <w:tc>
          <w:tcPr>
            <w:tcW w:w="1416" w:type="dxa"/>
            <w:vAlign w:val="center"/>
            <w:hideMark/>
          </w:tcPr>
          <w:p w14:paraId="0C653CCB" w14:textId="5D58AEE9"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1,1%</w:t>
            </w:r>
          </w:p>
        </w:tc>
        <w:tc>
          <w:tcPr>
            <w:tcW w:w="1173" w:type="dxa"/>
            <w:vAlign w:val="center"/>
            <w:hideMark/>
          </w:tcPr>
          <w:p w14:paraId="22D9ECF3" w14:textId="2A48DA75" w:rsidR="00FF288E" w:rsidRPr="00D8017D" w:rsidRDefault="00FF288E" w:rsidP="00FF288E">
            <w:pPr>
              <w:shd w:val="clear" w:color="auto" w:fill="FFFFFF"/>
              <w:ind w:firstLine="0"/>
              <w:jc w:val="center"/>
              <w:rPr>
                <w:rFonts w:eastAsia="Times New Roman" w:cs="Times New Roman"/>
                <w:sz w:val="20"/>
                <w:szCs w:val="20"/>
              </w:rPr>
            </w:pPr>
            <w:r w:rsidRPr="00D8017D">
              <w:rPr>
                <w:color w:val="000000"/>
                <w:sz w:val="20"/>
                <w:szCs w:val="20"/>
              </w:rPr>
              <w:t>1,5%</w:t>
            </w:r>
          </w:p>
        </w:tc>
        <w:tc>
          <w:tcPr>
            <w:tcW w:w="2403" w:type="dxa"/>
            <w:vAlign w:val="center"/>
            <w:hideMark/>
          </w:tcPr>
          <w:p w14:paraId="1D63D868" w14:textId="096A84B3" w:rsidR="00FF288E" w:rsidRPr="00D8017D" w:rsidRDefault="00FF288E" w:rsidP="00FF288E">
            <w:pPr>
              <w:shd w:val="clear" w:color="auto" w:fill="FFFFFF"/>
              <w:jc w:val="center"/>
              <w:rPr>
                <w:rFonts w:eastAsia="Times New Roman" w:cs="Times New Roman"/>
                <w:sz w:val="20"/>
                <w:szCs w:val="20"/>
              </w:rPr>
            </w:pPr>
          </w:p>
        </w:tc>
      </w:tr>
      <w:tr w:rsidR="00D1601C" w:rsidRPr="00D8017D" w14:paraId="15B970A0" w14:textId="77777777" w:rsidTr="00FF288E">
        <w:trPr>
          <w:trHeight w:val="312"/>
        </w:trPr>
        <w:tc>
          <w:tcPr>
            <w:tcW w:w="2653" w:type="dxa"/>
            <w:vAlign w:val="center"/>
            <w:hideMark/>
          </w:tcPr>
          <w:p w14:paraId="1C099061" w14:textId="77777777" w:rsidR="00D1601C" w:rsidRPr="00D8017D" w:rsidRDefault="00D1601C" w:rsidP="00D1601C">
            <w:pPr>
              <w:shd w:val="clear" w:color="auto" w:fill="FFFFFF"/>
              <w:ind w:firstLine="0"/>
              <w:jc w:val="left"/>
              <w:rPr>
                <w:rFonts w:eastAsia="Times New Roman" w:cs="Times New Roman"/>
                <w:sz w:val="20"/>
                <w:szCs w:val="20"/>
              </w:rPr>
            </w:pPr>
            <w:r w:rsidRPr="00D8017D">
              <w:rPr>
                <w:rFonts w:eastAsia="Times New Roman" w:cs="Times New Roman"/>
                <w:sz w:val="20"/>
                <w:szCs w:val="20"/>
              </w:rPr>
              <w:t>Demogrāfijas pasākumi</w:t>
            </w:r>
          </w:p>
        </w:tc>
        <w:tc>
          <w:tcPr>
            <w:tcW w:w="1416" w:type="dxa"/>
            <w:vAlign w:val="center"/>
            <w:hideMark/>
          </w:tcPr>
          <w:p w14:paraId="35F4A0B9" w14:textId="77777777" w:rsidR="00D1601C" w:rsidRPr="00D8017D" w:rsidRDefault="00D1601C"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0,2%</w:t>
            </w:r>
          </w:p>
        </w:tc>
        <w:tc>
          <w:tcPr>
            <w:tcW w:w="1416" w:type="dxa"/>
            <w:vAlign w:val="center"/>
            <w:hideMark/>
          </w:tcPr>
          <w:p w14:paraId="04C697A0" w14:textId="77777777" w:rsidR="00D1601C" w:rsidRPr="00D8017D" w:rsidRDefault="00D1601C"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0,2%</w:t>
            </w:r>
          </w:p>
        </w:tc>
        <w:tc>
          <w:tcPr>
            <w:tcW w:w="1173" w:type="dxa"/>
            <w:vAlign w:val="center"/>
            <w:hideMark/>
          </w:tcPr>
          <w:p w14:paraId="51B3945D" w14:textId="77777777" w:rsidR="00D1601C" w:rsidRPr="00D8017D" w:rsidRDefault="00D1601C"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0,2%</w:t>
            </w:r>
          </w:p>
        </w:tc>
        <w:tc>
          <w:tcPr>
            <w:tcW w:w="2403" w:type="dxa"/>
            <w:vAlign w:val="center"/>
            <w:hideMark/>
          </w:tcPr>
          <w:p w14:paraId="714F994F" w14:textId="56718837" w:rsidR="00D1601C" w:rsidRPr="00D8017D" w:rsidRDefault="00D1601C" w:rsidP="00FF288E">
            <w:pPr>
              <w:shd w:val="clear" w:color="auto" w:fill="FFFFFF"/>
              <w:jc w:val="center"/>
              <w:rPr>
                <w:rFonts w:eastAsia="Times New Roman" w:cs="Times New Roman"/>
                <w:sz w:val="20"/>
                <w:szCs w:val="20"/>
              </w:rPr>
            </w:pPr>
          </w:p>
        </w:tc>
      </w:tr>
      <w:tr w:rsidR="00D1601C" w:rsidRPr="00D8017D" w14:paraId="5ECB7B3D" w14:textId="77777777" w:rsidTr="00FF288E">
        <w:trPr>
          <w:trHeight w:val="312"/>
        </w:trPr>
        <w:tc>
          <w:tcPr>
            <w:tcW w:w="2653" w:type="dxa"/>
            <w:vAlign w:val="center"/>
            <w:hideMark/>
          </w:tcPr>
          <w:p w14:paraId="06226699" w14:textId="77777777" w:rsidR="00D1601C" w:rsidRPr="00D8017D" w:rsidRDefault="00D1601C" w:rsidP="00D1601C">
            <w:pPr>
              <w:shd w:val="clear" w:color="auto" w:fill="FFFFFF"/>
              <w:ind w:firstLine="0"/>
              <w:jc w:val="left"/>
              <w:rPr>
                <w:rFonts w:eastAsia="Times New Roman" w:cs="Times New Roman"/>
                <w:sz w:val="20"/>
                <w:szCs w:val="20"/>
              </w:rPr>
            </w:pPr>
            <w:r w:rsidRPr="00D8017D">
              <w:rPr>
                <w:rFonts w:eastAsia="Times New Roman" w:cs="Times New Roman"/>
                <w:sz w:val="20"/>
                <w:szCs w:val="20"/>
              </w:rPr>
              <w:t>Pasākumi izglītībai</w:t>
            </w:r>
          </w:p>
        </w:tc>
        <w:tc>
          <w:tcPr>
            <w:tcW w:w="1416" w:type="dxa"/>
            <w:vAlign w:val="center"/>
            <w:hideMark/>
          </w:tcPr>
          <w:p w14:paraId="70C69F18" w14:textId="77777777" w:rsidR="00D1601C" w:rsidRPr="00D8017D" w:rsidRDefault="00D1601C"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0,1%</w:t>
            </w:r>
          </w:p>
        </w:tc>
        <w:tc>
          <w:tcPr>
            <w:tcW w:w="1416" w:type="dxa"/>
            <w:vAlign w:val="center"/>
            <w:hideMark/>
          </w:tcPr>
          <w:p w14:paraId="0ED25FAC" w14:textId="77777777" w:rsidR="00D1601C" w:rsidRPr="00D8017D" w:rsidRDefault="00D1601C"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0,2%</w:t>
            </w:r>
          </w:p>
        </w:tc>
        <w:tc>
          <w:tcPr>
            <w:tcW w:w="1173" w:type="dxa"/>
            <w:vAlign w:val="center"/>
            <w:hideMark/>
          </w:tcPr>
          <w:p w14:paraId="37ACF804" w14:textId="77777777" w:rsidR="00D1601C" w:rsidRPr="00D8017D" w:rsidRDefault="00D1601C"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0,2%</w:t>
            </w:r>
          </w:p>
        </w:tc>
        <w:tc>
          <w:tcPr>
            <w:tcW w:w="2403" w:type="dxa"/>
            <w:vAlign w:val="center"/>
            <w:hideMark/>
          </w:tcPr>
          <w:p w14:paraId="01B38394" w14:textId="5C8380DE" w:rsidR="00D1601C" w:rsidRPr="00D8017D" w:rsidRDefault="00D1601C" w:rsidP="00FF288E">
            <w:pPr>
              <w:shd w:val="clear" w:color="auto" w:fill="FFFFFF"/>
              <w:jc w:val="center"/>
              <w:rPr>
                <w:rFonts w:eastAsia="Times New Roman" w:cs="Times New Roman"/>
                <w:sz w:val="20"/>
                <w:szCs w:val="20"/>
              </w:rPr>
            </w:pPr>
          </w:p>
        </w:tc>
      </w:tr>
      <w:tr w:rsidR="00D1601C" w:rsidRPr="00D8017D" w14:paraId="4DBA72C2" w14:textId="77777777" w:rsidTr="00FF288E">
        <w:trPr>
          <w:trHeight w:val="312"/>
        </w:trPr>
        <w:tc>
          <w:tcPr>
            <w:tcW w:w="2653" w:type="dxa"/>
            <w:vAlign w:val="center"/>
            <w:hideMark/>
          </w:tcPr>
          <w:p w14:paraId="3F43AF06" w14:textId="77777777" w:rsidR="00D1601C" w:rsidRPr="00D8017D" w:rsidRDefault="00D1601C" w:rsidP="00D1601C">
            <w:pPr>
              <w:shd w:val="clear" w:color="auto" w:fill="FFFFFF"/>
              <w:ind w:firstLine="0"/>
              <w:jc w:val="left"/>
              <w:rPr>
                <w:rFonts w:eastAsia="Times New Roman" w:cs="Times New Roman"/>
                <w:sz w:val="20"/>
                <w:szCs w:val="20"/>
              </w:rPr>
            </w:pPr>
            <w:r w:rsidRPr="00D8017D">
              <w:rPr>
                <w:rFonts w:eastAsia="Times New Roman" w:cs="Times New Roman"/>
                <w:sz w:val="20"/>
                <w:szCs w:val="20"/>
              </w:rPr>
              <w:t>Citi prioritārie pasākumi</w:t>
            </w:r>
          </w:p>
        </w:tc>
        <w:tc>
          <w:tcPr>
            <w:tcW w:w="1416" w:type="dxa"/>
            <w:vAlign w:val="center"/>
            <w:hideMark/>
          </w:tcPr>
          <w:p w14:paraId="229E5E2F" w14:textId="77777777" w:rsidR="00D1601C" w:rsidRPr="00D8017D" w:rsidRDefault="00D1601C"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0,2%</w:t>
            </w:r>
          </w:p>
        </w:tc>
        <w:tc>
          <w:tcPr>
            <w:tcW w:w="1416" w:type="dxa"/>
            <w:vAlign w:val="center"/>
            <w:hideMark/>
          </w:tcPr>
          <w:p w14:paraId="30900538" w14:textId="77777777" w:rsidR="00D1601C" w:rsidRPr="00D8017D" w:rsidRDefault="00D1601C"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0,1%</w:t>
            </w:r>
          </w:p>
        </w:tc>
        <w:tc>
          <w:tcPr>
            <w:tcW w:w="1173" w:type="dxa"/>
            <w:vAlign w:val="center"/>
            <w:hideMark/>
          </w:tcPr>
          <w:p w14:paraId="20250E83" w14:textId="77777777" w:rsidR="00D1601C" w:rsidRPr="00D8017D" w:rsidRDefault="00D1601C" w:rsidP="00FF288E">
            <w:pPr>
              <w:shd w:val="clear" w:color="auto" w:fill="FFFFFF"/>
              <w:ind w:firstLine="0"/>
              <w:jc w:val="center"/>
              <w:rPr>
                <w:rFonts w:eastAsia="Times New Roman" w:cs="Times New Roman"/>
                <w:sz w:val="20"/>
                <w:szCs w:val="20"/>
              </w:rPr>
            </w:pPr>
            <w:r w:rsidRPr="00D8017D">
              <w:rPr>
                <w:rFonts w:eastAsia="Times New Roman" w:cs="Times New Roman"/>
                <w:sz w:val="20"/>
                <w:szCs w:val="20"/>
              </w:rPr>
              <w:t>0,0%</w:t>
            </w:r>
          </w:p>
        </w:tc>
        <w:tc>
          <w:tcPr>
            <w:tcW w:w="2403" w:type="dxa"/>
            <w:vAlign w:val="center"/>
            <w:hideMark/>
          </w:tcPr>
          <w:p w14:paraId="48AA70E9" w14:textId="3BF3AB27" w:rsidR="00D1601C" w:rsidRPr="00D8017D" w:rsidRDefault="00D1601C" w:rsidP="00FF288E">
            <w:pPr>
              <w:shd w:val="clear" w:color="auto" w:fill="FFFFFF"/>
              <w:jc w:val="center"/>
              <w:rPr>
                <w:rFonts w:eastAsia="Times New Roman" w:cs="Times New Roman"/>
                <w:sz w:val="20"/>
                <w:szCs w:val="20"/>
              </w:rPr>
            </w:pPr>
          </w:p>
        </w:tc>
      </w:tr>
      <w:bookmarkEnd w:id="64"/>
    </w:tbl>
    <w:p w14:paraId="3AE75415" w14:textId="365F9984" w:rsidR="005C20A7" w:rsidRPr="00D8017D" w:rsidRDefault="005C20A7" w:rsidP="00A16B8C">
      <w:pPr>
        <w:shd w:val="clear" w:color="auto" w:fill="FFFFFF"/>
        <w:spacing w:after="0"/>
        <w:ind w:firstLine="0"/>
        <w:jc w:val="center"/>
        <w:rPr>
          <w:rFonts w:eastAsia="Times New Roman" w:cs="Times New Roman"/>
          <w:szCs w:val="24"/>
          <w:highlight w:val="lightGray"/>
        </w:rPr>
      </w:pPr>
    </w:p>
    <w:p w14:paraId="5CD90701" w14:textId="1B443312" w:rsidR="003F3FCD" w:rsidRPr="00D8017D" w:rsidRDefault="000548A5" w:rsidP="00A16B8C">
      <w:pPr>
        <w:pStyle w:val="Heading3"/>
        <w:numPr>
          <w:ilvl w:val="0"/>
          <w:numId w:val="0"/>
        </w:numPr>
        <w:spacing w:before="0"/>
        <w:ind w:left="992" w:hanging="567"/>
      </w:pPr>
      <w:bookmarkStart w:id="65" w:name="_Toc210289893"/>
      <w:bookmarkEnd w:id="63"/>
      <w:r w:rsidRPr="00D8017D">
        <w:t>2.3.1. </w:t>
      </w:r>
      <w:bookmarkStart w:id="66" w:name="_Hlk210652485"/>
      <w:r w:rsidRPr="00D8017D">
        <w:t>Politikas pasākumi vidēja termiņa budžeta prioritāro attīstības virzienu īstenošanā</w:t>
      </w:r>
      <w:bookmarkEnd w:id="65"/>
    </w:p>
    <w:p w14:paraId="64BC8E76" w14:textId="10BC0FE4" w:rsidR="00AB40FA" w:rsidRPr="00D8017D" w:rsidRDefault="00AB40FA" w:rsidP="008349F0">
      <w:pPr>
        <w:widowControl w:val="0"/>
        <w:spacing w:before="240" w:after="240"/>
        <w:ind w:firstLine="0"/>
        <w:jc w:val="center"/>
        <w:rPr>
          <w:rFonts w:eastAsia="Times New Roman" w:cs="Times New Roman"/>
          <w:b/>
          <w:sz w:val="28"/>
          <w:szCs w:val="28"/>
        </w:rPr>
      </w:pPr>
      <w:bookmarkStart w:id="67" w:name="_Hlk83804472"/>
      <w:bookmarkEnd w:id="66"/>
      <w:r w:rsidRPr="00D8017D">
        <w:rPr>
          <w:rFonts w:eastAsia="Times New Roman" w:cs="Times New Roman"/>
          <w:b/>
          <w:sz w:val="28"/>
          <w:szCs w:val="28"/>
        </w:rPr>
        <w:t>Drošība</w:t>
      </w:r>
      <w:r w:rsidR="008309DF" w:rsidRPr="00D8017D">
        <w:rPr>
          <w:rFonts w:eastAsia="Times New Roman" w:cs="Times New Roman"/>
          <w:b/>
          <w:bCs/>
          <w:szCs w:val="24"/>
        </w:rPr>
        <w:t xml:space="preserve"> </w:t>
      </w:r>
    </w:p>
    <w:p w14:paraId="0DE85913" w14:textId="5F36B0DA" w:rsidR="00421A3B" w:rsidRPr="00D8017D" w:rsidRDefault="00A84ECE" w:rsidP="008040A2">
      <w:r w:rsidRPr="00D8017D">
        <w:t xml:space="preserve">Ieejot ilgstošā fāzē </w:t>
      </w:r>
      <w:r w:rsidR="00AB40FA" w:rsidRPr="00D8017D">
        <w:t xml:space="preserve">Krievijas militārā agresija Ukrainā </w:t>
      </w:r>
      <w:r w:rsidR="001C77C1" w:rsidRPr="00D8017D">
        <w:t>rad</w:t>
      </w:r>
      <w:r w:rsidR="00100BDF" w:rsidRPr="00D8017D">
        <w:t>īja</w:t>
      </w:r>
      <w:r w:rsidR="001C77C1" w:rsidRPr="00D8017D">
        <w:t xml:space="preserve"> nepieciešamību pēc </w:t>
      </w:r>
      <w:r w:rsidR="00D92979" w:rsidRPr="00D8017D">
        <w:t xml:space="preserve">turpmākas </w:t>
      </w:r>
      <w:r w:rsidR="00AB40FA" w:rsidRPr="00D8017D">
        <w:t xml:space="preserve">drošības </w:t>
      </w:r>
      <w:r w:rsidR="001C77C1" w:rsidRPr="00D8017D">
        <w:t>līmeņa stiprināšanas</w:t>
      </w:r>
      <w:r w:rsidR="00D92979" w:rsidRPr="00D8017D">
        <w:t xml:space="preserve"> un paaugstināšanas</w:t>
      </w:r>
      <w:r w:rsidR="004069EA" w:rsidRPr="00D8017D">
        <w:t xml:space="preserve">, </w:t>
      </w:r>
      <w:r w:rsidR="00AB40FA" w:rsidRPr="00D8017D">
        <w:t>valdības Deklarācijā drošība ir izvirzīta par vienu no galvenajām prioritātēm</w:t>
      </w:r>
      <w:r w:rsidR="00CB1F11" w:rsidRPr="00D8017D">
        <w:t xml:space="preserve"> un likumprojektā “Par valsts budžetu 202</w:t>
      </w:r>
      <w:r w:rsidR="001655EA" w:rsidRPr="00D8017D">
        <w:t>6</w:t>
      </w:r>
      <w:r w:rsidR="00CB1F11" w:rsidRPr="00D8017D">
        <w:t>. gadam un budžeta ietvaru 202</w:t>
      </w:r>
      <w:r w:rsidR="001655EA" w:rsidRPr="00D8017D">
        <w:t>6</w:t>
      </w:r>
      <w:r w:rsidR="00CB1F11" w:rsidRPr="00D8017D">
        <w:t>., 202</w:t>
      </w:r>
      <w:r w:rsidR="001655EA" w:rsidRPr="00D8017D">
        <w:t>7</w:t>
      </w:r>
      <w:r w:rsidR="00CB1F11" w:rsidRPr="00D8017D">
        <w:t>. un 202</w:t>
      </w:r>
      <w:r w:rsidR="001655EA" w:rsidRPr="00D8017D">
        <w:t>8</w:t>
      </w:r>
      <w:r w:rsidR="00CB1F11" w:rsidRPr="00D8017D">
        <w:t>. gadam” jau</w:t>
      </w:r>
      <w:r w:rsidR="001655EA" w:rsidRPr="00D8017D">
        <w:t xml:space="preserve"> ceturto</w:t>
      </w:r>
      <w:r w:rsidR="00CB1F11" w:rsidRPr="00D8017D">
        <w:t xml:space="preserve"> gadu pēc kārtas tiek noteikta par Latvijas fiskālās politikas specifisko mērķi, jeb </w:t>
      </w:r>
      <w:r w:rsidR="00CB1F11" w:rsidRPr="00D8017D">
        <w:rPr>
          <w:b/>
          <w:bCs/>
        </w:rPr>
        <w:t>vidēja termiņa budžeta politikas prioritāro attīstības virzienu</w:t>
      </w:r>
      <w:r w:rsidR="00AB40FA" w:rsidRPr="00D8017D">
        <w:t xml:space="preserve">. </w:t>
      </w:r>
      <w:bookmarkStart w:id="68" w:name="_Hlk124375150"/>
    </w:p>
    <w:p w14:paraId="52A59558" w14:textId="31DD943B" w:rsidR="00965706" w:rsidRPr="00D8017D" w:rsidRDefault="00965706" w:rsidP="00965706">
      <w:pPr>
        <w:rPr>
          <w:color w:val="000000" w:themeColor="text1"/>
          <w:szCs w:val="24"/>
        </w:rPr>
      </w:pPr>
      <w:r w:rsidRPr="00D8017D">
        <w:rPr>
          <w:color w:val="000000" w:themeColor="text1"/>
          <w:szCs w:val="24"/>
        </w:rPr>
        <w:t>2025. gadā, ņemot vērā ģeopolitiskās situācijas attīstību, EK aicināja ES dalībvalstis izmantot jaunā ES ekonomikas pārvaldības ietvara piedāvātās elastības iespējas un aktivizēt valsts izņēmuma klauzulu, lai maksimāli atvieglotu pāreju uz pastāvīgi augstāku aizsardzības izdevumu līmeni. 2025. gada jūlijā Padome iedarbināja valsts izņēmuma klauzulu 15 dalībvalstīm, t.sk. Latvijai</w:t>
      </w:r>
      <w:r w:rsidRPr="00D8017D">
        <w:rPr>
          <w:color w:val="000000" w:themeColor="text1"/>
          <w:szCs w:val="24"/>
          <w:vertAlign w:val="superscript"/>
        </w:rPr>
        <w:footnoteReference w:id="37"/>
      </w:r>
      <w:r w:rsidRPr="00D8017D">
        <w:rPr>
          <w:color w:val="000000" w:themeColor="text1"/>
          <w:szCs w:val="24"/>
        </w:rPr>
        <w:t>, tā ļauj novirzīties no Padomes apstiprinātā izdevumu pieauguma laika perioda no 2025. līdz 2028. gadam attiecībā uz aizsardzības izdevumu pieaugumu, pie</w:t>
      </w:r>
      <w:r w:rsidR="00CE3984">
        <w:rPr>
          <w:color w:val="000000" w:themeColor="text1"/>
          <w:szCs w:val="24"/>
        </w:rPr>
        <w:t>ļ</w:t>
      </w:r>
      <w:r w:rsidRPr="00D8017D">
        <w:rPr>
          <w:color w:val="000000" w:themeColor="text1"/>
          <w:szCs w:val="24"/>
        </w:rPr>
        <w:t>aujot atkāpi arī piegādēm, kas tiks nodrošinātas pēc 2028. gada, tomēr nepārsniedzot kopējo valsts izņēmuma klauzulas apjomu.</w:t>
      </w:r>
    </w:p>
    <w:p w14:paraId="47D60A3B" w14:textId="727EAD7A" w:rsidR="001655EA" w:rsidRPr="00D8017D" w:rsidRDefault="001655EA" w:rsidP="00690348">
      <w:pPr>
        <w:rPr>
          <w:rFonts w:eastAsia="Times New Roman" w:cs="Times New Roman"/>
          <w:bCs/>
        </w:rPr>
      </w:pPr>
      <w:r w:rsidRPr="00D8017D">
        <w:rPr>
          <w:rFonts w:eastAsia="Times New Roman" w:cs="Times New Roman"/>
          <w:bCs/>
        </w:rPr>
        <w:t xml:space="preserve">Pamatojoties uz Eiropas Padomes 2025. gada 8. jūlija rekomendāciju, ar ko Latvijai ļauj novirzīties no neto izdevumu maksimālajiem pieauguma tempiem, kurus noteikusi Padome saskaņā ar Regulu (ES) 2024/1263 (Valsts izņēmuma klauzulas iedarbināšana), aktivizēta </w:t>
      </w:r>
      <w:r w:rsidR="00762417">
        <w:rPr>
          <w:rFonts w:eastAsia="Times New Roman" w:cs="Times New Roman"/>
          <w:bCs/>
        </w:rPr>
        <w:t>FDL</w:t>
      </w:r>
      <w:r w:rsidRPr="00D8017D">
        <w:rPr>
          <w:rFonts w:eastAsia="Times New Roman" w:cs="Times New Roman"/>
          <w:bCs/>
        </w:rPr>
        <w:t xml:space="preserve"> 12. pantā paredzētā atkāpe no bilances nosacījuma un tā tiks izmantota atbilstoši minētās Padomes rekomendācijas nosacījumiem</w:t>
      </w:r>
      <w:r w:rsidRPr="00D8017D">
        <w:rPr>
          <w:rStyle w:val="FootnoteReference"/>
          <w:rFonts w:eastAsia="Times New Roman" w:cs="Times New Roman"/>
          <w:bCs/>
        </w:rPr>
        <w:footnoteReference w:id="38"/>
      </w:r>
      <w:r w:rsidRPr="00D8017D">
        <w:rPr>
          <w:rFonts w:eastAsia="Times New Roman" w:cs="Times New Roman"/>
          <w:bCs/>
        </w:rPr>
        <w:t xml:space="preserve"> (sēdes </w:t>
      </w:r>
      <w:r w:rsidRPr="00D8017D">
        <w:rPr>
          <w:rFonts w:cs="Times New Roman"/>
          <w:bCs/>
          <w:szCs w:val="24"/>
        </w:rPr>
        <w:t>prot. Nr. 32 48. § 5. punkts).</w:t>
      </w:r>
    </w:p>
    <w:p w14:paraId="692DF2C0" w14:textId="590242D4" w:rsidR="00295B77" w:rsidRPr="00D8017D" w:rsidRDefault="00EF3C99" w:rsidP="00690348">
      <w:r w:rsidRPr="00D8017D">
        <w:t xml:space="preserve">Kā liecina </w:t>
      </w:r>
      <w:r w:rsidRPr="00D8017D">
        <w:rPr>
          <w:i/>
          <w:iCs/>
        </w:rPr>
        <w:t>Eurostat</w:t>
      </w:r>
      <w:r w:rsidRPr="00D8017D">
        <w:t xml:space="preserve"> dati</w:t>
      </w:r>
      <w:r w:rsidRPr="00D8017D">
        <w:rPr>
          <w:rStyle w:val="FootnoteReference"/>
        </w:rPr>
        <w:footnoteReference w:id="39"/>
      </w:r>
      <w:r w:rsidRPr="00D8017D">
        <w:t xml:space="preserve"> Latvijā vispārējās valdības izdevumiem aizsardzībai (kas iekļauj sevī izdevumus militārai aizsardzībai, civilai aizsardzībai, ārvalstu militārās palīdzības izdevumus, izdevumus pētniecībai un attīstībai aizsardzības jomā un citus) 202</w:t>
      </w:r>
      <w:r>
        <w:t>3</w:t>
      </w:r>
      <w:r w:rsidRPr="00D8017D">
        <w:t xml:space="preserve">. gadā bija augstākais rādītājs ES dalībvalstu vidū un sasniedza </w:t>
      </w:r>
      <w:r>
        <w:t>3,1</w:t>
      </w:r>
      <w:r w:rsidRPr="00D8017D">
        <w:t>% no IKP (</w:t>
      </w:r>
      <w:r w:rsidRPr="00690348">
        <w:t>skat 2.</w:t>
      </w:r>
      <w:r w:rsidR="00690348" w:rsidRPr="00690348">
        <w:t>6</w:t>
      </w:r>
      <w:r w:rsidRPr="00690348">
        <w:t>.</w:t>
      </w:r>
      <w:r w:rsidRPr="00D8017D">
        <w:t xml:space="preserve"> attēlu). Aizsardzības kapacitātes stiprināšana ir prioritāte visās Baltijas valstīs. Izdevumu apjoms konkrētajā gadā Igaunijā ir bijis </w:t>
      </w:r>
      <w:r>
        <w:t xml:space="preserve">otrais augstākais </w:t>
      </w:r>
      <w:r w:rsidRPr="00D8017D">
        <w:t>2,</w:t>
      </w:r>
      <w:r>
        <w:t>7</w:t>
      </w:r>
      <w:r w:rsidRPr="00D8017D">
        <w:t>% no IKP, Lietuvā tikai nedaudz zemāks – 2,</w:t>
      </w:r>
      <w:r>
        <w:t>5</w:t>
      </w:r>
      <w:r w:rsidRPr="00D8017D">
        <w:t xml:space="preserve">% no IKP apmērā. </w:t>
      </w:r>
      <w:r>
        <w:t>Zemāki</w:t>
      </w:r>
      <w:r w:rsidRPr="00D8017D">
        <w:t xml:space="preserve"> izdevumi aizsardzībai</w:t>
      </w:r>
      <w:r>
        <w:t>, bet tomēr tādi, kas pārsniedz 2% no IKP,</w:t>
      </w:r>
      <w:r w:rsidRPr="00D8017D">
        <w:t xml:space="preserve"> bija Grieķijā</w:t>
      </w:r>
      <w:r>
        <w:t xml:space="preserve"> un Polijā</w:t>
      </w:r>
      <w:r w:rsidRPr="00D8017D">
        <w:t xml:space="preserve">, </w:t>
      </w:r>
      <w:r>
        <w:t>attiecīgi</w:t>
      </w:r>
      <w:r w:rsidRPr="00D8017D">
        <w:t xml:space="preserve"> 2,</w:t>
      </w:r>
      <w:r>
        <w:t>2</w:t>
      </w:r>
      <w:r w:rsidRPr="00D8017D">
        <w:t xml:space="preserve">% </w:t>
      </w:r>
      <w:r>
        <w:t xml:space="preserve">un 2,1% </w:t>
      </w:r>
      <w:r w:rsidRPr="00D8017D">
        <w:t>no IKP.</w:t>
      </w:r>
    </w:p>
    <w:p w14:paraId="6B1F87E6" w14:textId="2C6DD812" w:rsidR="009D6965" w:rsidRPr="00D8017D" w:rsidRDefault="00EF3C99" w:rsidP="008349F0">
      <w:pPr>
        <w:ind w:firstLine="0"/>
        <w:jc w:val="center"/>
        <w:rPr>
          <w:highlight w:val="lightGray"/>
        </w:rPr>
      </w:pPr>
      <w:r>
        <w:rPr>
          <w:noProof/>
          <w:highlight w:val="lightGray"/>
        </w:rPr>
        <w:lastRenderedPageBreak/>
        <w:drawing>
          <wp:inline distT="0" distB="0" distL="0" distR="0" wp14:anchorId="39FEC16E" wp14:editId="26A17DA3">
            <wp:extent cx="5758543" cy="2578735"/>
            <wp:effectExtent l="0" t="0" r="0" b="0"/>
            <wp:docPr id="409178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9448" cy="2579140"/>
                    </a:xfrm>
                    <a:prstGeom prst="rect">
                      <a:avLst/>
                    </a:prstGeom>
                    <a:noFill/>
                  </pic:spPr>
                </pic:pic>
              </a:graphicData>
            </a:graphic>
          </wp:inline>
        </w:drawing>
      </w:r>
    </w:p>
    <w:p w14:paraId="4AD66E87" w14:textId="665F4F55" w:rsidR="00C247DE" w:rsidRDefault="00331973" w:rsidP="00690348">
      <w:pPr>
        <w:spacing w:after="0"/>
        <w:ind w:firstLine="0"/>
        <w:jc w:val="center"/>
        <w:rPr>
          <w:b/>
          <w:bCs/>
          <w:i/>
          <w:iCs/>
        </w:rPr>
      </w:pPr>
      <w:r w:rsidRPr="00690348">
        <w:rPr>
          <w:rFonts w:cs="Times New Roman"/>
          <w:b/>
          <w:bCs/>
          <w:i/>
          <w:iCs/>
          <w:szCs w:val="24"/>
        </w:rPr>
        <w:t>2.</w:t>
      </w:r>
      <w:r w:rsidR="00690348" w:rsidRPr="00690348">
        <w:rPr>
          <w:rFonts w:cs="Times New Roman"/>
          <w:b/>
          <w:bCs/>
          <w:i/>
          <w:iCs/>
          <w:szCs w:val="24"/>
        </w:rPr>
        <w:t>6</w:t>
      </w:r>
      <w:r w:rsidRPr="00690348">
        <w:rPr>
          <w:rFonts w:cs="Times New Roman"/>
          <w:b/>
          <w:bCs/>
          <w:i/>
          <w:iCs/>
          <w:szCs w:val="24"/>
        </w:rPr>
        <w:t>. att</w:t>
      </w:r>
      <w:r w:rsidRPr="00D8017D">
        <w:rPr>
          <w:rFonts w:cs="Times New Roman"/>
          <w:b/>
          <w:bCs/>
          <w:i/>
          <w:iCs/>
          <w:szCs w:val="24"/>
        </w:rPr>
        <w:t xml:space="preserve">. </w:t>
      </w:r>
      <w:r w:rsidRPr="00D8017D">
        <w:rPr>
          <w:b/>
          <w:bCs/>
          <w:i/>
          <w:iCs/>
        </w:rPr>
        <w:t>Vispārējās valdības budžeta izdevumi aizsardzībai atbilstoši funkcionālajām kategorijām 202</w:t>
      </w:r>
      <w:r w:rsidR="00EF3C99">
        <w:rPr>
          <w:b/>
          <w:bCs/>
          <w:i/>
          <w:iCs/>
        </w:rPr>
        <w:t>3</w:t>
      </w:r>
      <w:r w:rsidRPr="00D8017D">
        <w:rPr>
          <w:b/>
          <w:bCs/>
          <w:i/>
          <w:iCs/>
        </w:rPr>
        <w:t>.</w:t>
      </w:r>
      <w:r w:rsidR="002606B8">
        <w:rPr>
          <w:b/>
          <w:bCs/>
          <w:i/>
          <w:iCs/>
        </w:rPr>
        <w:t xml:space="preserve"> </w:t>
      </w:r>
      <w:r w:rsidRPr="00D8017D">
        <w:rPr>
          <w:b/>
          <w:bCs/>
          <w:i/>
          <w:iCs/>
        </w:rPr>
        <w:t>gadā, % no IKP</w:t>
      </w:r>
    </w:p>
    <w:p w14:paraId="526440A5" w14:textId="77777777" w:rsidR="00690348" w:rsidRPr="00690348" w:rsidRDefault="00690348" w:rsidP="00690348">
      <w:pPr>
        <w:spacing w:after="0"/>
        <w:ind w:firstLine="0"/>
        <w:jc w:val="center"/>
        <w:rPr>
          <w:b/>
          <w:bCs/>
          <w:i/>
          <w:iCs/>
        </w:rPr>
      </w:pPr>
    </w:p>
    <w:p w14:paraId="3F1BE8FB" w14:textId="7A258A65" w:rsidR="001C69C3" w:rsidRPr="00D8017D" w:rsidRDefault="00C247DE" w:rsidP="00762417">
      <w:pPr>
        <w:widowControl w:val="0"/>
      </w:pPr>
      <w:bookmarkStart w:id="69" w:name="_Hlk210686726"/>
      <w:r w:rsidRPr="00D8017D">
        <w:rPr>
          <w:rFonts w:cs="Times New Roman"/>
          <w:szCs w:val="24"/>
        </w:rPr>
        <w:t xml:space="preserve">Saskaņā ar informatīvo ziņojumu “Par valsts budžeta likumprojektā iekļaujamiem prioritārajiem pasākumiem 2026., 2027. un 2028. gadam” (prot. Nr. 38 1. §) </w:t>
      </w:r>
      <w:bookmarkStart w:id="70" w:name="_Hlk210686696"/>
      <w:bookmarkEnd w:id="69"/>
      <w:r w:rsidR="00FC707B" w:rsidRPr="00D8017D">
        <w:rPr>
          <w:rFonts w:cs="Times New Roman"/>
          <w:szCs w:val="24"/>
        </w:rPr>
        <w:t xml:space="preserve">prioritārajam virzienam “Drošība” </w:t>
      </w:r>
      <w:r w:rsidR="00FC707B" w:rsidRPr="00D8017D">
        <w:t xml:space="preserve">piešķirts finansējums </w:t>
      </w:r>
      <w:r w:rsidR="003D793F" w:rsidRPr="00D8017D">
        <w:t xml:space="preserve">vidējā termiņā </w:t>
      </w:r>
      <w:r w:rsidR="003D793F" w:rsidRPr="00D8017D">
        <w:rPr>
          <w:b/>
          <w:bCs/>
        </w:rPr>
        <w:t xml:space="preserve">22,5 milj. </w:t>
      </w:r>
      <w:r w:rsidR="003D793F" w:rsidRPr="00D8017D">
        <w:rPr>
          <w:b/>
          <w:bCs/>
          <w:i/>
          <w:iCs/>
        </w:rPr>
        <w:t>euro</w:t>
      </w:r>
      <w:r w:rsidR="003D793F" w:rsidRPr="00D8017D">
        <w:t xml:space="preserve">, t.sk. </w:t>
      </w:r>
      <w:r w:rsidR="00FC707B" w:rsidRPr="00D8017D">
        <w:t xml:space="preserve">15,0 milj. euro 2026. gadā, 3,8 milj. </w:t>
      </w:r>
      <w:r w:rsidR="00FC707B" w:rsidRPr="00D8017D">
        <w:rPr>
          <w:i/>
          <w:iCs/>
        </w:rPr>
        <w:t>euro</w:t>
      </w:r>
      <w:r w:rsidR="00FC707B" w:rsidRPr="00D8017D">
        <w:t xml:space="preserve"> 2027. gadā un 3,7 milj. </w:t>
      </w:r>
      <w:r w:rsidR="00FC707B" w:rsidRPr="00D8017D">
        <w:rPr>
          <w:i/>
          <w:iCs/>
        </w:rPr>
        <w:t>euro</w:t>
      </w:r>
      <w:r w:rsidR="00FC707B" w:rsidRPr="00D8017D">
        <w:t xml:space="preserve"> 2028. gadā: </w:t>
      </w:r>
      <w:r w:rsidRPr="00D8017D">
        <w:rPr>
          <w:rFonts w:cs="Times New Roman"/>
          <w:szCs w:val="24"/>
        </w:rPr>
        <w:t>a</w:t>
      </w:r>
      <w:r w:rsidR="00EB2191" w:rsidRPr="00D8017D">
        <w:t>r iekšējo drošību saistītie</w:t>
      </w:r>
      <w:r w:rsidRPr="00D8017D">
        <w:t>m</w:t>
      </w:r>
      <w:r w:rsidR="00EB2191" w:rsidRPr="00D8017D">
        <w:t xml:space="preserve"> pasākumi</w:t>
      </w:r>
      <w:r w:rsidRPr="00D8017D">
        <w:t>em</w:t>
      </w:r>
      <w:r w:rsidR="00EB2191" w:rsidRPr="00D8017D">
        <w:t xml:space="preserve"> (drošības iestād</w:t>
      </w:r>
      <w:r w:rsidRPr="00D8017D">
        <w:t>ēm</w:t>
      </w:r>
      <w:r w:rsidR="00EB2191" w:rsidRPr="00D8017D">
        <w:t>, informācija klasificēta)</w:t>
      </w:r>
      <w:r w:rsidR="00FC707B" w:rsidRPr="00D8017D">
        <w:t xml:space="preserve"> 2026. – 2028. gadam 13,5 milj. </w:t>
      </w:r>
      <w:r w:rsidR="00FC707B" w:rsidRPr="00D8017D">
        <w:rPr>
          <w:i/>
          <w:iCs/>
        </w:rPr>
        <w:t xml:space="preserve">euro, </w:t>
      </w:r>
      <w:r w:rsidR="00FC707B" w:rsidRPr="00D8017D">
        <w:t xml:space="preserve">t.sk. 2026. gadam 6,0 milj. </w:t>
      </w:r>
      <w:r w:rsidR="00FC707B" w:rsidRPr="00D8017D">
        <w:rPr>
          <w:i/>
          <w:iCs/>
        </w:rPr>
        <w:t>euro</w:t>
      </w:r>
      <w:r w:rsidR="00FC707B" w:rsidRPr="00D8017D">
        <w:t xml:space="preserve">, 2027. gadam 3,8 milj. </w:t>
      </w:r>
      <w:r w:rsidR="00FC707B" w:rsidRPr="00D8017D">
        <w:rPr>
          <w:i/>
          <w:iCs/>
        </w:rPr>
        <w:t>euro</w:t>
      </w:r>
      <w:r w:rsidR="00FC707B" w:rsidRPr="00D8017D">
        <w:t xml:space="preserve"> un 3,7 milj. </w:t>
      </w:r>
      <w:r w:rsidR="00FC707B" w:rsidRPr="00D8017D">
        <w:rPr>
          <w:i/>
          <w:iCs/>
        </w:rPr>
        <w:t>euro</w:t>
      </w:r>
      <w:r w:rsidR="00FC707B" w:rsidRPr="00D8017D">
        <w:t xml:space="preserve"> 2028. gadam</w:t>
      </w:r>
      <w:r w:rsidR="00D81597" w:rsidRPr="00D8017D">
        <w:t xml:space="preserve">, atbalstam pierobežas pašvaldībām (Alūksnes novada pašvaldībai, Augšdaugavas novada pašvaldībai, Balvu novada pašvaldībai, Krāslavas novada pašvaldībai un Ludzas novada pašvaldībai atbilstoši </w:t>
      </w:r>
      <w:r w:rsidR="00BB3CFE" w:rsidRPr="00D8017D">
        <w:t>ES</w:t>
      </w:r>
      <w:r w:rsidR="00D81597" w:rsidRPr="00D8017D">
        <w:t xml:space="preserve"> ārējās robežas kilometru garumam) (64.</w:t>
      </w:r>
      <w:r w:rsidR="00762417">
        <w:t xml:space="preserve"> </w:t>
      </w:r>
      <w:r w:rsidR="00D81597" w:rsidRPr="00D8017D">
        <w:t>resors)</w:t>
      </w:r>
      <w:r w:rsidR="00FC707B" w:rsidRPr="00D8017D">
        <w:t xml:space="preserve"> 2026. gadā 3 milj. </w:t>
      </w:r>
      <w:r w:rsidR="00FC707B" w:rsidRPr="00D8017D">
        <w:rPr>
          <w:i/>
          <w:iCs/>
        </w:rPr>
        <w:t>euro</w:t>
      </w:r>
      <w:r w:rsidR="00FC707B" w:rsidRPr="00D8017D">
        <w:t xml:space="preserve"> </w:t>
      </w:r>
      <w:r w:rsidR="00D81597" w:rsidRPr="00D8017D">
        <w:t>un pastiprinātā robežapsardzības režīma nodrošināšanai (74.</w:t>
      </w:r>
      <w:r w:rsidR="00762417">
        <w:t xml:space="preserve"> </w:t>
      </w:r>
      <w:r w:rsidR="00D81597" w:rsidRPr="00D8017D">
        <w:t>resors)</w:t>
      </w:r>
      <w:r w:rsidRPr="00D8017D">
        <w:t xml:space="preserve"> </w:t>
      </w:r>
      <w:r w:rsidR="00FC707B" w:rsidRPr="00D8017D">
        <w:t xml:space="preserve">2026. gadā 6 milj. </w:t>
      </w:r>
      <w:r w:rsidR="00FC707B" w:rsidRPr="00D8017D">
        <w:rPr>
          <w:i/>
          <w:iCs/>
        </w:rPr>
        <w:t>euro</w:t>
      </w:r>
      <w:r w:rsidR="00D81597" w:rsidRPr="00D8017D">
        <w:t xml:space="preserve">. </w:t>
      </w:r>
    </w:p>
    <w:p w14:paraId="69262E3B" w14:textId="7B61EB25" w:rsidR="0009382D" w:rsidRDefault="0009382D" w:rsidP="00762417">
      <w:pPr>
        <w:shd w:val="clear" w:color="auto" w:fill="FFFFFF"/>
        <w:rPr>
          <w:rFonts w:eastAsia="Times New Roman" w:cs="Times New Roman"/>
          <w:szCs w:val="24"/>
        </w:rPr>
      </w:pPr>
      <w:bookmarkStart w:id="71" w:name="_Hlk210686985"/>
      <w:bookmarkEnd w:id="70"/>
      <w:r w:rsidRPr="00D8017D">
        <w:rPr>
          <w:rFonts w:cs="Times New Roman"/>
          <w:szCs w:val="24"/>
        </w:rPr>
        <w:t xml:space="preserve">MK 2025. gada 23. septembra sēdē izskatīts informatīvais ziņojums </w:t>
      </w:r>
      <w:r w:rsidR="00762417">
        <w:rPr>
          <w:rFonts w:eastAsia="Times New Roman" w:cs="Times New Roman"/>
          <w:szCs w:val="24"/>
        </w:rPr>
        <w:t>“</w:t>
      </w:r>
      <w:r w:rsidRPr="00D8017D">
        <w:rPr>
          <w:rFonts w:eastAsia="Times New Roman" w:cs="Times New Roman"/>
          <w:szCs w:val="24"/>
        </w:rPr>
        <w:t xml:space="preserve">Par papildu nepieciešamajiem pasākumiem kaujas spēju palielināšanai, kas atbilst valsts izņēmuma klauzulas nosacījumiem” un balstoties uz MK lēmumu likumprojekta </w:t>
      </w:r>
      <w:r w:rsidR="00762417">
        <w:rPr>
          <w:rFonts w:eastAsia="Times New Roman" w:cs="Times New Roman"/>
          <w:szCs w:val="24"/>
        </w:rPr>
        <w:t>“</w:t>
      </w:r>
      <w:r w:rsidRPr="00D8017D">
        <w:rPr>
          <w:rFonts w:eastAsia="Times New Roman" w:cs="Times New Roman"/>
          <w:szCs w:val="24"/>
        </w:rPr>
        <w:t>Par valsts budžetu 2026. gadam un budžeta ietvaru 2026., 2027. un 2028. gadam</w:t>
      </w:r>
      <w:r w:rsidR="00762417">
        <w:rPr>
          <w:rFonts w:eastAsia="Times New Roman" w:cs="Times New Roman"/>
          <w:szCs w:val="24"/>
        </w:rPr>
        <w:t>”</w:t>
      </w:r>
      <w:r w:rsidRPr="00D8017D">
        <w:rPr>
          <w:rFonts w:eastAsia="Times New Roman" w:cs="Times New Roman"/>
          <w:szCs w:val="24"/>
        </w:rPr>
        <w:t xml:space="preserve"> sagatavošanas procesā paredzēt</w:t>
      </w:r>
      <w:r w:rsidR="00A62708" w:rsidRPr="00D8017D">
        <w:rPr>
          <w:rFonts w:eastAsia="Times New Roman" w:cs="Times New Roman"/>
          <w:szCs w:val="24"/>
        </w:rPr>
        <w:t>s</w:t>
      </w:r>
      <w:r w:rsidRPr="00D8017D">
        <w:rPr>
          <w:rFonts w:eastAsia="Times New Roman" w:cs="Times New Roman"/>
          <w:szCs w:val="24"/>
        </w:rPr>
        <w:t xml:space="preserve"> finansējum</w:t>
      </w:r>
      <w:r w:rsidR="00A62708" w:rsidRPr="00D8017D">
        <w:rPr>
          <w:rFonts w:eastAsia="Times New Roman" w:cs="Times New Roman"/>
          <w:szCs w:val="24"/>
        </w:rPr>
        <w:t>s</w:t>
      </w:r>
      <w:r w:rsidRPr="00D8017D">
        <w:rPr>
          <w:rFonts w:eastAsia="Times New Roman" w:cs="Times New Roman"/>
          <w:szCs w:val="24"/>
        </w:rPr>
        <w:t xml:space="preserve"> valsts budžeta resora </w:t>
      </w:r>
      <w:r w:rsidR="00762417">
        <w:rPr>
          <w:rFonts w:eastAsia="Times New Roman" w:cs="Times New Roman"/>
          <w:szCs w:val="24"/>
        </w:rPr>
        <w:t>“</w:t>
      </w:r>
      <w:r w:rsidRPr="00D8017D">
        <w:rPr>
          <w:rFonts w:eastAsia="Times New Roman" w:cs="Times New Roman"/>
          <w:szCs w:val="24"/>
        </w:rPr>
        <w:t>74. Gadskārtējā valsts budžeta izpildes procesā pārdalāmais finansējums</w:t>
      </w:r>
      <w:r w:rsidR="00762417">
        <w:rPr>
          <w:rFonts w:eastAsia="Times New Roman" w:cs="Times New Roman"/>
          <w:szCs w:val="24"/>
        </w:rPr>
        <w:t>”</w:t>
      </w:r>
      <w:r w:rsidRPr="00D8017D">
        <w:rPr>
          <w:rFonts w:eastAsia="Times New Roman" w:cs="Times New Roman"/>
          <w:szCs w:val="24"/>
        </w:rPr>
        <w:t xml:space="preserve"> programmā 24.00.00. </w:t>
      </w:r>
      <w:r w:rsidR="00762417">
        <w:rPr>
          <w:rFonts w:eastAsia="Times New Roman" w:cs="Times New Roman"/>
          <w:szCs w:val="24"/>
        </w:rPr>
        <w:t>“</w:t>
      </w:r>
      <w:r w:rsidRPr="00D8017D">
        <w:rPr>
          <w:rFonts w:eastAsia="Times New Roman" w:cs="Times New Roman"/>
          <w:szCs w:val="24"/>
        </w:rPr>
        <w:t>Valsts aizsardzības un drošības fonds</w:t>
      </w:r>
      <w:r w:rsidR="00762417">
        <w:rPr>
          <w:rFonts w:eastAsia="Times New Roman" w:cs="Times New Roman"/>
          <w:szCs w:val="24"/>
        </w:rPr>
        <w:t>”</w:t>
      </w:r>
      <w:r w:rsidRPr="00D8017D">
        <w:rPr>
          <w:rFonts w:eastAsia="Times New Roman" w:cs="Times New Roman"/>
          <w:szCs w:val="24"/>
        </w:rPr>
        <w:t xml:space="preserve"> atbilstoši plānotajam finansējuma sadalījumam </w:t>
      </w:r>
      <w:r w:rsidRPr="00D8017D">
        <w:rPr>
          <w:rFonts w:eastAsia="Times New Roman" w:cs="Times New Roman"/>
          <w:b/>
          <w:bCs/>
          <w:szCs w:val="24"/>
        </w:rPr>
        <w:t>(</w:t>
      </w:r>
      <w:r w:rsidRPr="00D8017D">
        <w:rPr>
          <w:rFonts w:eastAsia="Times New Roman" w:cs="Times New Roman"/>
          <w:bCs/>
        </w:rPr>
        <w:t xml:space="preserve">sēdes </w:t>
      </w:r>
      <w:r w:rsidRPr="00D8017D">
        <w:rPr>
          <w:rFonts w:cs="Times New Roman"/>
          <w:bCs/>
          <w:szCs w:val="24"/>
        </w:rPr>
        <w:t>prot. Nr. 39 52. § 4. punkts)</w:t>
      </w:r>
      <w:r w:rsidRPr="00D8017D">
        <w:rPr>
          <w:rFonts w:eastAsia="Times New Roman" w:cs="Times New Roman"/>
          <w:szCs w:val="24"/>
        </w:rPr>
        <w:t>.</w:t>
      </w:r>
    </w:p>
    <w:p w14:paraId="63E1B8FB" w14:textId="77777777" w:rsidR="00690348" w:rsidRDefault="00690348" w:rsidP="00690348">
      <w:pPr>
        <w:widowControl w:val="0"/>
        <w:spacing w:after="0"/>
      </w:pPr>
      <w:r>
        <w:t xml:space="preserve">Vispārējās valdības budžeta izdevumu prognozēs 2026.-2028. gadam </w:t>
      </w:r>
      <w:r w:rsidRPr="00BE0E2C">
        <w:t>ir iestrādāti izdevumi aizsardzībai, kas atbilstoši valdības funkciju klasifikācijai</w:t>
      </w:r>
      <w:r>
        <w:t xml:space="preserve"> (COFOG)</w:t>
      </w:r>
      <w:r w:rsidRPr="00BE0E2C">
        <w:t xml:space="preserve"> un Eiropas kontu sistēmas (EKS) metodoloģijai 2026.</w:t>
      </w:r>
      <w:r>
        <w:t> </w:t>
      </w:r>
      <w:r w:rsidRPr="00BE0E2C">
        <w:t>gadā veidos 4,</w:t>
      </w:r>
      <w:r>
        <w:t>2</w:t>
      </w:r>
      <w:r w:rsidRPr="00BE0E2C">
        <w:t>% no IKP, 2027.</w:t>
      </w:r>
      <w:r>
        <w:t> </w:t>
      </w:r>
      <w:r w:rsidRPr="00BE0E2C">
        <w:t>gadā 5,</w:t>
      </w:r>
      <w:r>
        <w:t>2</w:t>
      </w:r>
      <w:r w:rsidRPr="00BE0E2C">
        <w:t>% no IKP un 2028.</w:t>
      </w:r>
      <w:r>
        <w:t> </w:t>
      </w:r>
      <w:r w:rsidRPr="00BE0E2C">
        <w:t>gadā 5,</w:t>
      </w:r>
      <w:r>
        <w:t>1</w:t>
      </w:r>
      <w:r w:rsidRPr="00BE0E2C">
        <w:t>% no IKP (skat</w:t>
      </w:r>
      <w:r w:rsidRPr="00690348">
        <w:t>. 2.7.</w:t>
      </w:r>
      <w:r>
        <w:t> </w:t>
      </w:r>
      <w:r w:rsidRPr="00BE0E2C">
        <w:t>attēl</w:t>
      </w:r>
      <w:r>
        <w:t>u</w:t>
      </w:r>
      <w:r w:rsidRPr="00BE0E2C">
        <w:t xml:space="preserve">).  </w:t>
      </w:r>
    </w:p>
    <w:p w14:paraId="6582517E" w14:textId="77777777" w:rsidR="00690348" w:rsidRDefault="00690348" w:rsidP="00690348">
      <w:pPr>
        <w:widowControl w:val="0"/>
        <w:jc w:val="center"/>
      </w:pPr>
      <w:r>
        <w:rPr>
          <w:noProof/>
        </w:rPr>
        <w:lastRenderedPageBreak/>
        <w:drawing>
          <wp:inline distT="0" distB="0" distL="0" distR="0" wp14:anchorId="763DCD68" wp14:editId="3BFDFFC6">
            <wp:extent cx="5114290" cy="3016250"/>
            <wp:effectExtent l="0" t="0" r="0" b="0"/>
            <wp:docPr id="1523219921" name="Chart 1">
              <a:extLst xmlns:a="http://schemas.openxmlformats.org/drawingml/2006/main">
                <a:ext uri="{FF2B5EF4-FFF2-40B4-BE49-F238E27FC236}">
                  <a16:creationId xmlns:a16="http://schemas.microsoft.com/office/drawing/2014/main" id="{6DB6850B-3ABC-8986-D8A0-7A20DDD99C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37D4695" w14:textId="77777777" w:rsidR="00690348" w:rsidRPr="00234C54" w:rsidRDefault="00690348" w:rsidP="00690348">
      <w:pPr>
        <w:spacing w:after="60"/>
        <w:ind w:left="720"/>
        <w:rPr>
          <w:sz w:val="20"/>
          <w:szCs w:val="20"/>
        </w:rPr>
      </w:pPr>
      <w:r w:rsidRPr="00234C54">
        <w:rPr>
          <w:sz w:val="20"/>
          <w:szCs w:val="20"/>
        </w:rPr>
        <w:t>* 2024.gads - FM novērtējums</w:t>
      </w:r>
    </w:p>
    <w:p w14:paraId="0809ACFB" w14:textId="77777777" w:rsidR="00690348" w:rsidRPr="00456A5A" w:rsidRDefault="00690348" w:rsidP="00690348">
      <w:pPr>
        <w:spacing w:after="0"/>
        <w:ind w:firstLine="0"/>
        <w:jc w:val="center"/>
        <w:rPr>
          <w:b/>
          <w:bCs/>
          <w:i/>
          <w:iCs/>
        </w:rPr>
      </w:pPr>
      <w:r w:rsidRPr="00690348">
        <w:rPr>
          <w:rFonts w:cs="Times New Roman"/>
          <w:b/>
          <w:bCs/>
          <w:i/>
          <w:iCs/>
          <w:szCs w:val="24"/>
        </w:rPr>
        <w:t>2.7. att</w:t>
      </w:r>
      <w:r w:rsidRPr="00456A5A">
        <w:rPr>
          <w:rFonts w:cs="Times New Roman"/>
          <w:b/>
          <w:bCs/>
          <w:i/>
          <w:iCs/>
          <w:szCs w:val="24"/>
        </w:rPr>
        <w:t xml:space="preserve">. </w:t>
      </w:r>
      <w:r w:rsidRPr="00456A5A">
        <w:rPr>
          <w:b/>
          <w:bCs/>
          <w:i/>
          <w:iCs/>
        </w:rPr>
        <w:t xml:space="preserve">Vispārējās valdības budžeta izdevumi aizsardzībai atbilstoši funkcionālajām kategorijām </w:t>
      </w:r>
      <w:r>
        <w:rPr>
          <w:b/>
          <w:bCs/>
          <w:i/>
          <w:iCs/>
        </w:rPr>
        <w:t xml:space="preserve">(COFOG) </w:t>
      </w:r>
      <w:r w:rsidRPr="00456A5A">
        <w:rPr>
          <w:b/>
          <w:bCs/>
          <w:i/>
          <w:iCs/>
        </w:rPr>
        <w:t>un NATO klasifikācijai, % no IKP</w:t>
      </w:r>
    </w:p>
    <w:p w14:paraId="4F736AB5" w14:textId="77777777" w:rsidR="00690348" w:rsidRPr="00D8017D" w:rsidRDefault="00690348" w:rsidP="00690348">
      <w:pPr>
        <w:shd w:val="clear" w:color="auto" w:fill="FFFFFF"/>
        <w:spacing w:after="0"/>
        <w:rPr>
          <w:rFonts w:eastAsia="Times New Roman" w:cs="Times New Roman"/>
          <w:szCs w:val="24"/>
        </w:rPr>
      </w:pPr>
    </w:p>
    <w:bookmarkEnd w:id="71"/>
    <w:p w14:paraId="58B93D97" w14:textId="48CC9748" w:rsidR="00FC707B" w:rsidRPr="00D8017D" w:rsidRDefault="00A57FBC" w:rsidP="00690348">
      <w:pPr>
        <w:shd w:val="clear" w:color="auto" w:fill="FFFFFF"/>
        <w:spacing w:after="0"/>
        <w:rPr>
          <w:rFonts w:eastAsia="Times New Roman" w:cs="Times New Roman"/>
          <w:szCs w:val="24"/>
        </w:rPr>
      </w:pPr>
      <w:r w:rsidRPr="00D8017D">
        <w:rPr>
          <w:rFonts w:eastAsia="Times New Roman" w:cs="Times New Roman"/>
          <w:szCs w:val="24"/>
        </w:rPr>
        <w:t xml:space="preserve">Ņemot vērā aizsardzības nozares vajadzības un aktivizēto valsts izņēmumam klauzulu, </w:t>
      </w:r>
      <w:r w:rsidRPr="00D8017D">
        <w:t>likumprojektā “Par valsts budžetu 2026. gadam un budžeta ietvaru 2026., 2027. un 2028. gadam” ir paredzēts regulējums, kas a</w:t>
      </w:r>
      <w:r w:rsidR="00FC707B" w:rsidRPr="00D8017D">
        <w:rPr>
          <w:rFonts w:eastAsia="Times New Roman" w:cs="Times New Roman"/>
          <w:szCs w:val="24"/>
        </w:rPr>
        <w:t>tļau</w:t>
      </w:r>
      <w:r w:rsidRPr="00D8017D">
        <w:rPr>
          <w:rFonts w:eastAsia="Times New Roman" w:cs="Times New Roman"/>
          <w:szCs w:val="24"/>
        </w:rPr>
        <w:t>j</w:t>
      </w:r>
      <w:r w:rsidR="00FC707B" w:rsidRPr="00D8017D">
        <w:rPr>
          <w:rFonts w:eastAsia="Times New Roman" w:cs="Times New Roman"/>
          <w:szCs w:val="24"/>
        </w:rPr>
        <w:t xml:space="preserve"> finanšu ministram palielināt apropriāciju budžeta resora </w:t>
      </w:r>
      <w:r w:rsidR="00762417">
        <w:rPr>
          <w:rFonts w:eastAsia="Times New Roman" w:cs="Times New Roman"/>
          <w:szCs w:val="24"/>
        </w:rPr>
        <w:t>“</w:t>
      </w:r>
      <w:r w:rsidR="00FC707B" w:rsidRPr="00D8017D">
        <w:rPr>
          <w:rFonts w:eastAsia="Times New Roman" w:cs="Times New Roman"/>
          <w:szCs w:val="24"/>
        </w:rPr>
        <w:t>74. Gadskārtējā valsts budžeta izpildes procesā pārdalāmais finansējums</w:t>
      </w:r>
      <w:r w:rsidR="00762417">
        <w:rPr>
          <w:rFonts w:eastAsia="Times New Roman" w:cs="Times New Roman"/>
          <w:szCs w:val="24"/>
        </w:rPr>
        <w:t>”</w:t>
      </w:r>
      <w:r w:rsidR="00FC707B" w:rsidRPr="00D8017D">
        <w:rPr>
          <w:rFonts w:eastAsia="Times New Roman" w:cs="Times New Roman"/>
          <w:szCs w:val="24"/>
        </w:rPr>
        <w:t xml:space="preserve"> budžeta programmā “Valsts aizsardzības un drošības fonds” resursiem no dotācijas no vispārējiem ieņēmumiem un izdevumiem, kā arī uzņemties ilgtermiņa saistības</w:t>
      </w:r>
      <w:r w:rsidR="00E44322">
        <w:rPr>
          <w:rFonts w:eastAsia="Times New Roman" w:cs="Times New Roman"/>
          <w:szCs w:val="24"/>
        </w:rPr>
        <w:t xml:space="preserve">, </w:t>
      </w:r>
      <w:r w:rsidR="00E44322" w:rsidRPr="00E44322">
        <w:rPr>
          <w:rFonts w:eastAsia="Times New Roman" w:cs="Times New Roman"/>
          <w:szCs w:val="24"/>
        </w:rPr>
        <w:t>palielināt noteikto maksimālo valsts parādu 2026. gada beigās</w:t>
      </w:r>
      <w:r w:rsidR="00FC707B" w:rsidRPr="00D8017D">
        <w:rPr>
          <w:rFonts w:eastAsia="Times New Roman" w:cs="Times New Roman"/>
          <w:szCs w:val="24"/>
        </w:rPr>
        <w:t xml:space="preserve"> un paplašināt valdības rīcības pieļaujamās robežas valdības saistību izpildei, pasākumiem, kas atbilst Padomes 2025. gada 8. jūlija ieteikumam C/2025/3970, ar ko Latvijai ļauj novirzīties no neto izdevumu maksimālajiem pieauguma tempiem, kurus noteikusi Padome saskaņā ar Regulu (ES) 2024/1263 (Valsts izņēmuma klauzulas iedarbināšana), ja tiek nodrošināta, šā ieteikuma nosacījumu ievērošana, ir pieņemts attiecīgs </w:t>
      </w:r>
      <w:r w:rsidR="00762417">
        <w:rPr>
          <w:rFonts w:eastAsia="Times New Roman" w:cs="Times New Roman"/>
          <w:szCs w:val="24"/>
        </w:rPr>
        <w:t>MK</w:t>
      </w:r>
      <w:r w:rsidR="00FC707B" w:rsidRPr="00D8017D">
        <w:rPr>
          <w:rFonts w:eastAsia="Times New Roman" w:cs="Times New Roman"/>
          <w:szCs w:val="24"/>
        </w:rPr>
        <w:t xml:space="preserve"> lēmums un Saeimas Budžeta un finanšu (nodokļu) komisija piecu darba dienu laikā no attiecīgās informācijas saņemšanas dienas ir to izskatījusi un nav iebildusi pret apropriācijas palielinājumu.</w:t>
      </w:r>
    </w:p>
    <w:p w14:paraId="2AA7A551" w14:textId="77777777" w:rsidR="00FC707B" w:rsidRPr="00D8017D" w:rsidRDefault="00FC707B" w:rsidP="00762417">
      <w:pPr>
        <w:widowControl w:val="0"/>
        <w:spacing w:after="0"/>
      </w:pPr>
    </w:p>
    <w:p w14:paraId="5AD9F43D" w14:textId="79BB662E" w:rsidR="00F95F16" w:rsidRDefault="00D81597" w:rsidP="00D81597">
      <w:pPr>
        <w:widowControl w:val="0"/>
        <w:spacing w:after="0"/>
        <w:ind w:firstLine="0"/>
        <w:jc w:val="center"/>
        <w:rPr>
          <w:rFonts w:eastAsia="Times New Roman" w:cs="Times New Roman"/>
          <w:b/>
          <w:sz w:val="28"/>
          <w:szCs w:val="28"/>
        </w:rPr>
      </w:pPr>
      <w:r w:rsidRPr="00D8017D">
        <w:rPr>
          <w:rFonts w:eastAsia="Times New Roman" w:cs="Times New Roman"/>
          <w:b/>
          <w:sz w:val="28"/>
          <w:szCs w:val="28"/>
        </w:rPr>
        <w:t>Demogrāfija</w:t>
      </w:r>
    </w:p>
    <w:p w14:paraId="0E24C350" w14:textId="77777777" w:rsidR="00762417" w:rsidRPr="00D8017D" w:rsidRDefault="00762417" w:rsidP="00D81597">
      <w:pPr>
        <w:widowControl w:val="0"/>
        <w:spacing w:after="0"/>
        <w:ind w:firstLine="0"/>
        <w:jc w:val="center"/>
        <w:rPr>
          <w:rFonts w:eastAsia="Times New Roman" w:cs="Times New Roman"/>
          <w:b/>
          <w:sz w:val="28"/>
          <w:szCs w:val="28"/>
        </w:rPr>
      </w:pPr>
      <w:bookmarkStart w:id="72" w:name="_Hlk210687580"/>
    </w:p>
    <w:p w14:paraId="22DFE209" w14:textId="238EC42C" w:rsidR="00D81597" w:rsidRPr="00D8017D" w:rsidRDefault="0072164F" w:rsidP="0020177D">
      <w:pPr>
        <w:widowControl w:val="0"/>
        <w:spacing w:after="0"/>
        <w:rPr>
          <w:rFonts w:cs="Times New Roman"/>
          <w:szCs w:val="24"/>
        </w:rPr>
      </w:pPr>
      <w:r w:rsidRPr="00D8017D">
        <w:rPr>
          <w:rFonts w:eastAsia="Times New Roman" w:cs="Times New Roman"/>
          <w:szCs w:val="24"/>
        </w:rPr>
        <w:t>Prioritārā virziena “Demogrāfija” ietvaros l</w:t>
      </w:r>
      <w:r w:rsidRPr="00D8017D">
        <w:rPr>
          <w:rFonts w:cs="Times New Roman"/>
          <w:szCs w:val="24"/>
        </w:rPr>
        <w:t>ikumprojekta “Par valsts budžetu 202</w:t>
      </w:r>
      <w:r w:rsidR="00892E75">
        <w:rPr>
          <w:rFonts w:cs="Times New Roman"/>
          <w:szCs w:val="24"/>
        </w:rPr>
        <w:t>6</w:t>
      </w:r>
      <w:r w:rsidRPr="00D8017D">
        <w:rPr>
          <w:rFonts w:cs="Times New Roman"/>
          <w:szCs w:val="24"/>
        </w:rPr>
        <w:t>. gadam un budžeta ietvaru 202</w:t>
      </w:r>
      <w:r w:rsidR="00892E75">
        <w:rPr>
          <w:rFonts w:cs="Times New Roman"/>
          <w:szCs w:val="24"/>
        </w:rPr>
        <w:t>6</w:t>
      </w:r>
      <w:r w:rsidRPr="00D8017D">
        <w:rPr>
          <w:rFonts w:cs="Times New Roman"/>
          <w:szCs w:val="24"/>
        </w:rPr>
        <w:t>., 202</w:t>
      </w:r>
      <w:r w:rsidR="00892E75">
        <w:rPr>
          <w:rFonts w:cs="Times New Roman"/>
          <w:szCs w:val="24"/>
        </w:rPr>
        <w:t>7</w:t>
      </w:r>
      <w:r w:rsidRPr="00D8017D">
        <w:rPr>
          <w:rFonts w:cs="Times New Roman"/>
          <w:szCs w:val="24"/>
        </w:rPr>
        <w:t>. un 202</w:t>
      </w:r>
      <w:r w:rsidR="00892E75">
        <w:rPr>
          <w:rFonts w:cs="Times New Roman"/>
          <w:szCs w:val="24"/>
        </w:rPr>
        <w:t>8</w:t>
      </w:r>
      <w:r w:rsidRPr="00D8017D">
        <w:rPr>
          <w:rFonts w:cs="Times New Roman"/>
          <w:szCs w:val="24"/>
        </w:rPr>
        <w:t xml:space="preserve">. gadam” sagatavošanas laikā ir piešķirts papildus finansējums </w:t>
      </w:r>
      <w:r w:rsidR="00865693" w:rsidRPr="00D8017D">
        <w:rPr>
          <w:rFonts w:cs="Times New Roman"/>
          <w:szCs w:val="24"/>
        </w:rPr>
        <w:t xml:space="preserve">2026. – 2028. gadam </w:t>
      </w:r>
      <w:r w:rsidRPr="00D8017D">
        <w:rPr>
          <w:rFonts w:cs="Times New Roman"/>
          <w:szCs w:val="24"/>
        </w:rPr>
        <w:t>vairākiem nozīmīgiem pasākumiem, t.sk.:</w:t>
      </w:r>
    </w:p>
    <w:p w14:paraId="123A9E6A" w14:textId="77777777" w:rsidR="004441E4" w:rsidRPr="00D8017D" w:rsidRDefault="004441E4" w:rsidP="0020177D">
      <w:pPr>
        <w:widowControl w:val="0"/>
        <w:spacing w:after="0"/>
        <w:rPr>
          <w:rFonts w:cs="Times New Roman"/>
          <w:szCs w:val="24"/>
        </w:rPr>
      </w:pPr>
    </w:p>
    <w:p w14:paraId="60FB59AF" w14:textId="2B7CB4E8" w:rsidR="004441E4" w:rsidRPr="00D8017D" w:rsidRDefault="0072164F" w:rsidP="00762417">
      <w:pPr>
        <w:pStyle w:val="ListParagraph"/>
        <w:widowControl w:val="0"/>
        <w:numPr>
          <w:ilvl w:val="0"/>
          <w:numId w:val="22"/>
        </w:numPr>
        <w:ind w:left="0" w:firstLine="357"/>
        <w:rPr>
          <w:rFonts w:eastAsia="Times New Roman" w:cs="Times New Roman"/>
          <w:bCs/>
          <w:szCs w:val="24"/>
        </w:rPr>
      </w:pPr>
      <w:r w:rsidRPr="00D8017D">
        <w:rPr>
          <w:rFonts w:eastAsia="Times New Roman" w:cs="Times New Roman"/>
          <w:b/>
          <w:szCs w:val="24"/>
        </w:rPr>
        <w:t>Materiālā atbalsta (pabalstu) pilnveidošanai ģimenēm ar bērniem</w:t>
      </w:r>
      <w:r w:rsidRPr="00D8017D">
        <w:rPr>
          <w:rFonts w:eastAsia="Times New Roman" w:cs="Times New Roman"/>
          <w:bCs/>
          <w:szCs w:val="24"/>
        </w:rPr>
        <w:t xml:space="preserve"> (LM)</w:t>
      </w:r>
      <w:r w:rsidR="00865693" w:rsidRPr="00D8017D">
        <w:rPr>
          <w:rFonts w:eastAsia="Times New Roman" w:cs="Times New Roman"/>
          <w:bCs/>
          <w:szCs w:val="24"/>
        </w:rPr>
        <w:t xml:space="preserve"> </w:t>
      </w:r>
      <w:r w:rsidR="00865693" w:rsidRPr="00F13A0A">
        <w:rPr>
          <w:rFonts w:eastAsia="Times New Roman" w:cs="Times New Roman"/>
          <w:b/>
          <w:szCs w:val="24"/>
        </w:rPr>
        <w:t xml:space="preserve">141,0 milj. </w:t>
      </w:r>
      <w:r w:rsidR="00865693" w:rsidRPr="00F13A0A">
        <w:rPr>
          <w:rFonts w:eastAsia="Times New Roman" w:cs="Times New Roman"/>
          <w:b/>
          <w:i/>
          <w:iCs/>
          <w:szCs w:val="24"/>
        </w:rPr>
        <w:t>euro</w:t>
      </w:r>
      <w:r w:rsidR="00865693" w:rsidRPr="00F13A0A">
        <w:rPr>
          <w:rFonts w:eastAsia="Times New Roman" w:cs="Times New Roman"/>
          <w:b/>
          <w:szCs w:val="24"/>
        </w:rPr>
        <w:t>,</w:t>
      </w:r>
      <w:r w:rsidR="00865693" w:rsidRPr="00D8017D">
        <w:rPr>
          <w:rFonts w:eastAsia="Times New Roman" w:cs="Times New Roman"/>
          <w:bCs/>
          <w:szCs w:val="24"/>
        </w:rPr>
        <w:t xml:space="preserve"> t.sk. 42,0 milj. </w:t>
      </w:r>
      <w:r w:rsidR="00865693" w:rsidRPr="00D8017D">
        <w:rPr>
          <w:rFonts w:eastAsia="Times New Roman" w:cs="Times New Roman"/>
          <w:bCs/>
          <w:i/>
          <w:iCs/>
          <w:szCs w:val="24"/>
        </w:rPr>
        <w:t>euro</w:t>
      </w:r>
      <w:r w:rsidR="00865693" w:rsidRPr="00D8017D">
        <w:rPr>
          <w:rFonts w:eastAsia="Times New Roman" w:cs="Times New Roman"/>
          <w:bCs/>
          <w:szCs w:val="24"/>
        </w:rPr>
        <w:t xml:space="preserve"> 2026. gadam,</w:t>
      </w:r>
      <w:bookmarkEnd w:id="72"/>
      <w:r w:rsidR="00865693" w:rsidRPr="00D8017D">
        <w:rPr>
          <w:rFonts w:eastAsia="Times New Roman" w:cs="Times New Roman"/>
          <w:bCs/>
          <w:szCs w:val="24"/>
        </w:rPr>
        <w:t xml:space="preserve"> 42,0 milj. </w:t>
      </w:r>
      <w:r w:rsidR="00865693" w:rsidRPr="00D8017D">
        <w:rPr>
          <w:rFonts w:eastAsia="Times New Roman" w:cs="Times New Roman"/>
          <w:bCs/>
          <w:i/>
          <w:iCs/>
          <w:szCs w:val="24"/>
        </w:rPr>
        <w:t>euro</w:t>
      </w:r>
      <w:r w:rsidR="00865693" w:rsidRPr="00D8017D">
        <w:rPr>
          <w:rFonts w:eastAsia="Times New Roman" w:cs="Times New Roman"/>
          <w:bCs/>
          <w:szCs w:val="24"/>
        </w:rPr>
        <w:t xml:space="preserve"> 2027. gadam un 57,0 milj. </w:t>
      </w:r>
      <w:r w:rsidR="00865693" w:rsidRPr="00D8017D">
        <w:rPr>
          <w:rFonts w:eastAsia="Times New Roman" w:cs="Times New Roman"/>
          <w:bCs/>
          <w:i/>
          <w:iCs/>
          <w:szCs w:val="24"/>
        </w:rPr>
        <w:t>euro</w:t>
      </w:r>
      <w:r w:rsidR="00865693" w:rsidRPr="00D8017D">
        <w:rPr>
          <w:rFonts w:eastAsia="Times New Roman" w:cs="Times New Roman"/>
          <w:bCs/>
          <w:szCs w:val="24"/>
        </w:rPr>
        <w:t xml:space="preserve"> 2028. gadam.</w:t>
      </w:r>
      <w:r w:rsidR="002378DE" w:rsidRPr="00D8017D">
        <w:rPr>
          <w:rFonts w:eastAsia="Times New Roman" w:cs="Times New Roman"/>
          <w:bCs/>
          <w:szCs w:val="24"/>
        </w:rPr>
        <w:t xml:space="preserve"> P</w:t>
      </w:r>
      <w:r w:rsidR="004441E4" w:rsidRPr="00D8017D">
        <w:rPr>
          <w:rFonts w:eastAsia="Times New Roman" w:cs="Times New Roman"/>
          <w:bCs/>
          <w:szCs w:val="24"/>
        </w:rPr>
        <w:t xml:space="preserve">asākums paredz no </w:t>
      </w:r>
      <w:r w:rsidR="00B96576" w:rsidRPr="00D8017D">
        <w:rPr>
          <w:rFonts w:eastAsia="Times New Roman" w:cs="Times New Roman"/>
          <w:bCs/>
          <w:szCs w:val="24"/>
        </w:rPr>
        <w:t>2026. gada 1. janvāra</w:t>
      </w:r>
      <w:r w:rsidR="004441E4" w:rsidRPr="00D8017D">
        <w:rPr>
          <w:rFonts w:eastAsia="Times New Roman" w:cs="Times New Roman"/>
          <w:bCs/>
          <w:szCs w:val="24"/>
        </w:rPr>
        <w:t>:</w:t>
      </w:r>
    </w:p>
    <w:p w14:paraId="25AC6FB0" w14:textId="267D5743" w:rsidR="004441E4" w:rsidRPr="00D8017D" w:rsidRDefault="004441E4" w:rsidP="00762417">
      <w:pPr>
        <w:pStyle w:val="ListParagraph"/>
        <w:widowControl w:val="0"/>
        <w:spacing w:after="60"/>
        <w:ind w:left="0" w:firstLine="357"/>
        <w:rPr>
          <w:rFonts w:eastAsia="Times New Roman" w:cs="Times New Roman"/>
          <w:bCs/>
          <w:szCs w:val="24"/>
        </w:rPr>
      </w:pPr>
      <w:r w:rsidRPr="00D8017D">
        <w:rPr>
          <w:rFonts w:eastAsia="Times New Roman" w:cs="Times New Roman"/>
          <w:bCs/>
          <w:szCs w:val="24"/>
        </w:rPr>
        <w:t xml:space="preserve">1) bērna kopšanas pabalstu (t.sk. piemaksas par dvīņiem vai vairākiem vienās dzemdībās dzimušiem bērniem) līdz bērna pusotra gada vecumam palielināt no 171 </w:t>
      </w:r>
      <w:r w:rsidRPr="00D8017D">
        <w:rPr>
          <w:rFonts w:eastAsia="Times New Roman" w:cs="Times New Roman"/>
          <w:bCs/>
          <w:i/>
          <w:iCs/>
          <w:szCs w:val="24"/>
        </w:rPr>
        <w:t>euro</w:t>
      </w:r>
      <w:r w:rsidRPr="00D8017D">
        <w:rPr>
          <w:rFonts w:eastAsia="Times New Roman" w:cs="Times New Roman"/>
          <w:bCs/>
          <w:szCs w:val="24"/>
        </w:rPr>
        <w:t xml:space="preserve"> līdz 35% apmēram no ienākumu mediānas, pabalsta apmēru pārskatot reizi 2 gados. Plānotais </w:t>
      </w:r>
      <w:r w:rsidR="00B96576" w:rsidRPr="00D8017D">
        <w:rPr>
          <w:rFonts w:eastAsia="Times New Roman" w:cs="Times New Roman"/>
          <w:bCs/>
          <w:szCs w:val="24"/>
        </w:rPr>
        <w:t>bērna kopšanas pabalsta</w:t>
      </w:r>
      <w:r w:rsidRPr="00D8017D">
        <w:rPr>
          <w:rFonts w:eastAsia="Times New Roman" w:cs="Times New Roman"/>
          <w:bCs/>
          <w:szCs w:val="24"/>
        </w:rPr>
        <w:t xml:space="preserve"> apmērs: 2026. un 2027.</w:t>
      </w:r>
      <w:r w:rsidR="00113007" w:rsidRPr="00D8017D">
        <w:rPr>
          <w:rFonts w:eastAsia="Times New Roman" w:cs="Times New Roman"/>
          <w:bCs/>
          <w:szCs w:val="24"/>
        </w:rPr>
        <w:t xml:space="preserve"> </w:t>
      </w:r>
      <w:r w:rsidRPr="00D8017D">
        <w:rPr>
          <w:rFonts w:eastAsia="Times New Roman" w:cs="Times New Roman"/>
          <w:bCs/>
          <w:szCs w:val="24"/>
        </w:rPr>
        <w:t xml:space="preserve">gadā - 298 </w:t>
      </w:r>
      <w:r w:rsidRPr="00D8017D">
        <w:rPr>
          <w:rFonts w:eastAsia="Times New Roman" w:cs="Times New Roman"/>
          <w:bCs/>
          <w:i/>
          <w:iCs/>
          <w:szCs w:val="24"/>
        </w:rPr>
        <w:t>euro</w:t>
      </w:r>
      <w:r w:rsidRPr="00D8017D">
        <w:rPr>
          <w:rFonts w:eastAsia="Times New Roman" w:cs="Times New Roman"/>
          <w:bCs/>
          <w:szCs w:val="24"/>
        </w:rPr>
        <w:t>, 2028.</w:t>
      </w:r>
      <w:r w:rsidR="00113007" w:rsidRPr="00D8017D">
        <w:rPr>
          <w:rFonts w:eastAsia="Times New Roman" w:cs="Times New Roman"/>
          <w:bCs/>
          <w:szCs w:val="24"/>
        </w:rPr>
        <w:t xml:space="preserve"> </w:t>
      </w:r>
      <w:r w:rsidRPr="00D8017D">
        <w:rPr>
          <w:rFonts w:eastAsia="Times New Roman" w:cs="Times New Roman"/>
          <w:bCs/>
          <w:szCs w:val="24"/>
        </w:rPr>
        <w:t xml:space="preserve">gadā 351 </w:t>
      </w:r>
      <w:r w:rsidRPr="00D8017D">
        <w:rPr>
          <w:rFonts w:eastAsia="Times New Roman" w:cs="Times New Roman"/>
          <w:bCs/>
          <w:i/>
          <w:iCs/>
          <w:szCs w:val="24"/>
        </w:rPr>
        <w:t>euro</w:t>
      </w:r>
      <w:r w:rsidRPr="00D8017D">
        <w:rPr>
          <w:rFonts w:eastAsia="Times New Roman" w:cs="Times New Roman"/>
          <w:bCs/>
          <w:szCs w:val="24"/>
        </w:rPr>
        <w:t>;</w:t>
      </w:r>
    </w:p>
    <w:p w14:paraId="634566A3" w14:textId="77777777" w:rsidR="004441E4" w:rsidRPr="00D8017D" w:rsidRDefault="004441E4" w:rsidP="00762417">
      <w:pPr>
        <w:pStyle w:val="ListParagraph"/>
        <w:widowControl w:val="0"/>
        <w:spacing w:after="60"/>
        <w:ind w:left="0" w:firstLine="357"/>
        <w:rPr>
          <w:rFonts w:eastAsia="Times New Roman" w:cs="Times New Roman"/>
          <w:bCs/>
          <w:szCs w:val="24"/>
        </w:rPr>
      </w:pPr>
      <w:r w:rsidRPr="00D8017D">
        <w:rPr>
          <w:rFonts w:eastAsia="Times New Roman" w:cs="Times New Roman"/>
          <w:bCs/>
          <w:szCs w:val="24"/>
        </w:rPr>
        <w:t xml:space="preserve">2) pārskatīt bērna piedzimšanas pabalsta apmēru atbilstoši manabalss.lv iniciatīvai un </w:t>
      </w:r>
      <w:r w:rsidRPr="00D8017D">
        <w:rPr>
          <w:rFonts w:eastAsia="Times New Roman" w:cs="Times New Roman"/>
          <w:bCs/>
          <w:szCs w:val="24"/>
        </w:rPr>
        <w:lastRenderedPageBreak/>
        <w:t xml:space="preserve">noteikt to 600 </w:t>
      </w:r>
      <w:r w:rsidRPr="00D8017D">
        <w:rPr>
          <w:rFonts w:eastAsia="Times New Roman" w:cs="Times New Roman"/>
          <w:bCs/>
          <w:i/>
          <w:iCs/>
          <w:szCs w:val="24"/>
        </w:rPr>
        <w:t>euro</w:t>
      </w:r>
      <w:r w:rsidRPr="00D8017D">
        <w:rPr>
          <w:rFonts w:eastAsia="Times New Roman" w:cs="Times New Roman"/>
          <w:bCs/>
          <w:szCs w:val="24"/>
        </w:rPr>
        <w:t xml:space="preserve"> apmērā; </w:t>
      </w:r>
    </w:p>
    <w:p w14:paraId="787F61CA" w14:textId="4A60D9E5" w:rsidR="004441E4" w:rsidRPr="00D8017D" w:rsidRDefault="004441E4" w:rsidP="00762417">
      <w:pPr>
        <w:pStyle w:val="ListParagraph"/>
        <w:widowControl w:val="0"/>
        <w:spacing w:after="60"/>
        <w:ind w:left="0" w:firstLine="357"/>
        <w:rPr>
          <w:rFonts w:eastAsia="Times New Roman" w:cs="Times New Roman"/>
          <w:bCs/>
          <w:szCs w:val="24"/>
        </w:rPr>
      </w:pPr>
      <w:r w:rsidRPr="00D8017D">
        <w:rPr>
          <w:rFonts w:eastAsia="Times New Roman" w:cs="Times New Roman"/>
          <w:bCs/>
          <w:szCs w:val="24"/>
        </w:rPr>
        <w:t>3) ģimenes valsts pabalstu par bērniem no 16 gadiem līdz 20 gadu vecuma sasniegšanai maksāt neatkarīgi no tā, kādu izglītību iegūst, un maksāt arī tad, ja studē koledžā vai augstskolā pilna laika klātienē (šobrīd maksā tiem, kas mācās vidējās vai profesionālās izglītības iestādēs), t.sk. ārvalstīs studējošajiem. Tādējādi tiktu nodrošināta vienlīdzīga attieksme pret attiecīgā vecuma bērniem neatkarīgi no izglītības iegūšanas līmeņa;</w:t>
      </w:r>
    </w:p>
    <w:p w14:paraId="49D775C6" w14:textId="21AA0E3D" w:rsidR="004441E4" w:rsidRPr="00D8017D" w:rsidRDefault="004441E4" w:rsidP="00762417">
      <w:pPr>
        <w:pStyle w:val="ListParagraph"/>
        <w:widowControl w:val="0"/>
        <w:spacing w:after="60"/>
        <w:ind w:left="0" w:firstLine="357"/>
        <w:rPr>
          <w:rFonts w:eastAsia="Times New Roman" w:cs="Times New Roman"/>
          <w:bCs/>
          <w:szCs w:val="24"/>
        </w:rPr>
      </w:pPr>
      <w:r w:rsidRPr="00D8017D">
        <w:rPr>
          <w:rFonts w:eastAsia="Times New Roman" w:cs="Times New Roman"/>
          <w:bCs/>
          <w:szCs w:val="24"/>
        </w:rPr>
        <w:t xml:space="preserve">4) valsts sociālās apdrošināšanas iemaksu pensiju, bezdarba un invaliditātes apdrošināšanai veikšanu no paaugstinātā </w:t>
      </w:r>
      <w:r w:rsidR="00B96576" w:rsidRPr="00D8017D">
        <w:rPr>
          <w:rFonts w:eastAsia="Times New Roman" w:cs="Times New Roman"/>
          <w:bCs/>
          <w:szCs w:val="24"/>
        </w:rPr>
        <w:t>bērna kopšanas pabalsta</w:t>
      </w:r>
      <w:r w:rsidRPr="00D8017D">
        <w:rPr>
          <w:rFonts w:eastAsia="Times New Roman" w:cs="Times New Roman"/>
          <w:bCs/>
          <w:szCs w:val="24"/>
        </w:rPr>
        <w:t xml:space="preserve"> apmēra.</w:t>
      </w:r>
    </w:p>
    <w:p w14:paraId="6E379FFD" w14:textId="77777777" w:rsidR="00B96576" w:rsidRPr="00D8017D" w:rsidRDefault="00B96576" w:rsidP="0020177D">
      <w:pPr>
        <w:pStyle w:val="ListParagraph"/>
        <w:widowControl w:val="0"/>
        <w:spacing w:after="0"/>
        <w:ind w:left="0" w:firstLine="360"/>
        <w:rPr>
          <w:rFonts w:eastAsia="Times New Roman" w:cs="Times New Roman"/>
          <w:bCs/>
          <w:szCs w:val="24"/>
        </w:rPr>
      </w:pPr>
    </w:p>
    <w:p w14:paraId="02429D2E" w14:textId="50475FC5" w:rsidR="00AB1445" w:rsidRPr="00D8017D" w:rsidRDefault="00B96576"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Pasākums saistīts ar </w:t>
      </w:r>
      <w:r w:rsidR="00AB1445" w:rsidRPr="00D8017D">
        <w:rPr>
          <w:rFonts w:eastAsia="Times New Roman" w:cs="Times New Roman"/>
          <w:bCs/>
          <w:szCs w:val="24"/>
        </w:rPr>
        <w:t>Valdības rīcības plāna</w:t>
      </w:r>
      <w:r w:rsidR="00AB1445" w:rsidRPr="00D8017D">
        <w:rPr>
          <w:rStyle w:val="FootnoteReference"/>
          <w:rFonts w:eastAsia="Times New Roman" w:cs="Times New Roman"/>
          <w:bCs/>
          <w:szCs w:val="24"/>
        </w:rPr>
        <w:footnoteReference w:id="40"/>
      </w:r>
      <w:r w:rsidR="00AB1445" w:rsidRPr="00D8017D">
        <w:rPr>
          <w:rFonts w:eastAsia="Times New Roman" w:cs="Times New Roman"/>
          <w:bCs/>
          <w:szCs w:val="24"/>
        </w:rPr>
        <w:t xml:space="preserve"> </w:t>
      </w:r>
      <w:r w:rsidRPr="00D8017D">
        <w:rPr>
          <w:rFonts w:eastAsia="Times New Roman" w:cs="Times New Roman"/>
          <w:bCs/>
          <w:szCs w:val="24"/>
        </w:rPr>
        <w:t>10.2. un 12.3. pasākum</w:t>
      </w:r>
      <w:r w:rsidR="00AB1445" w:rsidRPr="00D8017D">
        <w:rPr>
          <w:rFonts w:eastAsia="Times New Roman" w:cs="Times New Roman"/>
          <w:bCs/>
          <w:szCs w:val="24"/>
        </w:rPr>
        <w:t xml:space="preserve">u, kā arī ar </w:t>
      </w:r>
      <w:r w:rsidR="00AB1445" w:rsidRPr="00D8017D">
        <w:rPr>
          <w:rFonts w:eastAsia="Times New Roman" w:cs="Times New Roman"/>
          <w:szCs w:val="24"/>
        </w:rPr>
        <w:t xml:space="preserve">Nacionālā attīstības plāna 2021.-2027.gadam 85., 87., 88., 101., 102. uzdevumu. </w:t>
      </w:r>
    </w:p>
    <w:p w14:paraId="42E7D072" w14:textId="77777777" w:rsidR="004441E4" w:rsidRPr="00D8017D" w:rsidRDefault="004441E4" w:rsidP="0020177D">
      <w:pPr>
        <w:pStyle w:val="ListParagraph"/>
        <w:widowControl w:val="0"/>
        <w:spacing w:after="0"/>
        <w:ind w:left="0" w:firstLine="360"/>
        <w:rPr>
          <w:rFonts w:eastAsia="Times New Roman" w:cs="Times New Roman"/>
          <w:bCs/>
          <w:szCs w:val="24"/>
        </w:rPr>
      </w:pPr>
    </w:p>
    <w:p w14:paraId="7A8F581F" w14:textId="78527172" w:rsidR="00762417" w:rsidRPr="00762417" w:rsidRDefault="0072164F" w:rsidP="00762417">
      <w:pPr>
        <w:pStyle w:val="ListParagraph"/>
        <w:widowControl w:val="0"/>
        <w:numPr>
          <w:ilvl w:val="0"/>
          <w:numId w:val="22"/>
        </w:numPr>
        <w:ind w:left="0" w:firstLine="357"/>
        <w:rPr>
          <w:rFonts w:eastAsia="Times New Roman" w:cs="Times New Roman"/>
          <w:bCs/>
          <w:szCs w:val="24"/>
        </w:rPr>
      </w:pPr>
      <w:bookmarkStart w:id="73" w:name="_Hlk210687623"/>
      <w:r w:rsidRPr="00D8017D">
        <w:rPr>
          <w:rFonts w:eastAsia="Times New Roman" w:cs="Times New Roman"/>
          <w:b/>
          <w:szCs w:val="24"/>
        </w:rPr>
        <w:t>Materiālā atbalsta pilnveidošanai ārpusģimenes aprūpē esošiem bērniem</w:t>
      </w:r>
      <w:r w:rsidRPr="00D8017D">
        <w:rPr>
          <w:rFonts w:eastAsia="Times New Roman" w:cs="Times New Roman"/>
          <w:bCs/>
          <w:szCs w:val="24"/>
        </w:rPr>
        <w:t xml:space="preserve"> (LM)</w:t>
      </w:r>
      <w:r w:rsidR="004441E4" w:rsidRPr="00D8017D">
        <w:rPr>
          <w:rFonts w:eastAsia="Times New Roman" w:cs="Times New Roman"/>
          <w:bCs/>
          <w:szCs w:val="24"/>
        </w:rPr>
        <w:t xml:space="preserve"> </w:t>
      </w:r>
      <w:r w:rsidR="004441E4" w:rsidRPr="00F13A0A">
        <w:rPr>
          <w:rFonts w:eastAsia="Times New Roman" w:cs="Times New Roman"/>
          <w:b/>
          <w:szCs w:val="24"/>
        </w:rPr>
        <w:t xml:space="preserve">80,8 milj. </w:t>
      </w:r>
      <w:r w:rsidR="004441E4" w:rsidRPr="00F13A0A">
        <w:rPr>
          <w:rFonts w:eastAsia="Times New Roman" w:cs="Times New Roman"/>
          <w:b/>
          <w:i/>
          <w:iCs/>
          <w:szCs w:val="24"/>
        </w:rPr>
        <w:t>euro</w:t>
      </w:r>
      <w:r w:rsidR="004441E4" w:rsidRPr="00D8017D">
        <w:rPr>
          <w:rFonts w:eastAsia="Times New Roman" w:cs="Times New Roman"/>
          <w:bCs/>
          <w:szCs w:val="24"/>
        </w:rPr>
        <w:t xml:space="preserve">, t.sk. 24,2 milj. </w:t>
      </w:r>
      <w:r w:rsidR="004441E4" w:rsidRPr="00D8017D">
        <w:rPr>
          <w:rFonts w:eastAsia="Times New Roman" w:cs="Times New Roman"/>
          <w:bCs/>
          <w:i/>
          <w:iCs/>
          <w:szCs w:val="24"/>
        </w:rPr>
        <w:t>euro</w:t>
      </w:r>
      <w:r w:rsidR="004441E4" w:rsidRPr="00D8017D">
        <w:rPr>
          <w:rFonts w:eastAsia="Times New Roman" w:cs="Times New Roman"/>
          <w:bCs/>
          <w:szCs w:val="24"/>
        </w:rPr>
        <w:t xml:space="preserve"> 2026. gadam</w:t>
      </w:r>
      <w:bookmarkEnd w:id="73"/>
      <w:r w:rsidR="004441E4" w:rsidRPr="00D8017D">
        <w:rPr>
          <w:rFonts w:eastAsia="Times New Roman" w:cs="Times New Roman"/>
          <w:bCs/>
          <w:szCs w:val="24"/>
        </w:rPr>
        <w:t xml:space="preserve">, 26,4 milj. </w:t>
      </w:r>
      <w:r w:rsidR="004441E4" w:rsidRPr="00D8017D">
        <w:rPr>
          <w:rFonts w:eastAsia="Times New Roman" w:cs="Times New Roman"/>
          <w:bCs/>
          <w:i/>
          <w:iCs/>
          <w:szCs w:val="24"/>
        </w:rPr>
        <w:t>euro</w:t>
      </w:r>
      <w:r w:rsidR="004441E4" w:rsidRPr="00D8017D">
        <w:rPr>
          <w:rFonts w:eastAsia="Times New Roman" w:cs="Times New Roman"/>
          <w:bCs/>
          <w:szCs w:val="24"/>
        </w:rPr>
        <w:t xml:space="preserve"> 2027. gadam un 30,2 milj. </w:t>
      </w:r>
      <w:r w:rsidR="004441E4" w:rsidRPr="00D8017D">
        <w:rPr>
          <w:rFonts w:eastAsia="Times New Roman" w:cs="Times New Roman"/>
          <w:bCs/>
          <w:i/>
          <w:iCs/>
          <w:szCs w:val="24"/>
        </w:rPr>
        <w:t>euro</w:t>
      </w:r>
      <w:r w:rsidR="004441E4" w:rsidRPr="00D8017D">
        <w:rPr>
          <w:rFonts w:eastAsia="Times New Roman" w:cs="Times New Roman"/>
          <w:bCs/>
          <w:szCs w:val="24"/>
        </w:rPr>
        <w:t xml:space="preserve"> 2028. gadam.</w:t>
      </w:r>
      <w:r w:rsidR="002378DE" w:rsidRPr="00D8017D">
        <w:rPr>
          <w:rFonts w:eastAsia="Times New Roman" w:cs="Times New Roman"/>
          <w:bCs/>
          <w:szCs w:val="24"/>
        </w:rPr>
        <w:t xml:space="preserve"> </w:t>
      </w:r>
      <w:r w:rsidR="00AB1445" w:rsidRPr="00D8017D">
        <w:rPr>
          <w:rFonts w:eastAsia="Times New Roman" w:cs="Times New Roman"/>
          <w:bCs/>
          <w:szCs w:val="24"/>
        </w:rPr>
        <w:t>Pasākums paredz:</w:t>
      </w:r>
    </w:p>
    <w:p w14:paraId="43CBC55A" w14:textId="1B904756"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1) pabalsta aizbildnim par bērna uzturēšanu pārskatīšanu no </w:t>
      </w:r>
      <w:r w:rsidR="00602682" w:rsidRPr="00D8017D">
        <w:rPr>
          <w:rFonts w:eastAsia="Times New Roman" w:cs="Times New Roman"/>
          <w:bCs/>
          <w:szCs w:val="24"/>
        </w:rPr>
        <w:t>2026. gada 1. janvāra</w:t>
      </w:r>
      <w:r w:rsidRPr="00D8017D">
        <w:rPr>
          <w:rFonts w:eastAsia="Times New Roman" w:cs="Times New Roman"/>
          <w:bCs/>
          <w:szCs w:val="24"/>
        </w:rPr>
        <w:t xml:space="preserve">, ņemot vērā aktuālo minimālo algu. Pabalsta apmēru plānots noteikt divkāršā minimālo uzturlīdzekļu apmērā saskaņā ar </w:t>
      </w:r>
      <w:r w:rsidR="00602682" w:rsidRPr="00D8017D">
        <w:rPr>
          <w:rFonts w:eastAsia="Times New Roman" w:cs="Times New Roman"/>
          <w:bCs/>
          <w:szCs w:val="24"/>
        </w:rPr>
        <w:t xml:space="preserve">MK </w:t>
      </w:r>
      <w:r w:rsidR="005F556E" w:rsidRPr="00D8017D">
        <w:rPr>
          <w:rFonts w:eastAsia="Times New Roman" w:cs="Times New Roman"/>
          <w:bCs/>
          <w:szCs w:val="24"/>
        </w:rPr>
        <w:t xml:space="preserve">2013. gada 15. janvāra </w:t>
      </w:r>
      <w:r w:rsidRPr="00D8017D">
        <w:rPr>
          <w:rFonts w:eastAsia="Times New Roman" w:cs="Times New Roman"/>
          <w:bCs/>
          <w:szCs w:val="24"/>
        </w:rPr>
        <w:t xml:space="preserve">noteikumiem Nr.37, t.i., 25% no minimālās algas par bērniem 0-6 gadiem un 30% no minimālās algas par bērniem vecumā no 7-17 gadiem. Minimālā alga 2026.gadā ir 780 </w:t>
      </w:r>
      <w:r w:rsidRPr="00D8017D">
        <w:rPr>
          <w:rFonts w:eastAsia="Times New Roman" w:cs="Times New Roman"/>
          <w:bCs/>
          <w:i/>
          <w:iCs/>
          <w:szCs w:val="24"/>
        </w:rPr>
        <w:t>euro</w:t>
      </w:r>
      <w:r w:rsidRPr="00D8017D">
        <w:rPr>
          <w:rFonts w:eastAsia="Times New Roman" w:cs="Times New Roman"/>
          <w:bCs/>
          <w:szCs w:val="24"/>
        </w:rPr>
        <w:t>. Līdz ar to pabalsta apmēra palielinājums ir:</w:t>
      </w:r>
    </w:p>
    <w:p w14:paraId="7B5EF3BF" w14:textId="77777777"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a) par bērnu līdz septiņu gadu vecuma sasniegšanai – no 215 </w:t>
      </w:r>
      <w:r w:rsidRPr="00D8017D">
        <w:rPr>
          <w:rFonts w:eastAsia="Times New Roman" w:cs="Times New Roman"/>
          <w:bCs/>
          <w:i/>
          <w:iCs/>
          <w:szCs w:val="24"/>
        </w:rPr>
        <w:t>euro</w:t>
      </w:r>
      <w:r w:rsidRPr="00D8017D">
        <w:rPr>
          <w:rFonts w:eastAsia="Times New Roman" w:cs="Times New Roman"/>
          <w:bCs/>
          <w:szCs w:val="24"/>
        </w:rPr>
        <w:t xml:space="preserve"> uz 390 </w:t>
      </w:r>
      <w:r w:rsidRPr="00D8017D">
        <w:rPr>
          <w:rFonts w:eastAsia="Times New Roman" w:cs="Times New Roman"/>
          <w:bCs/>
          <w:i/>
          <w:iCs/>
          <w:szCs w:val="24"/>
        </w:rPr>
        <w:t>euro</w:t>
      </w:r>
      <w:r w:rsidRPr="00D8017D">
        <w:rPr>
          <w:rFonts w:eastAsia="Times New Roman" w:cs="Times New Roman"/>
          <w:bCs/>
          <w:szCs w:val="24"/>
        </w:rPr>
        <w:t xml:space="preserve"> mēnesī;</w:t>
      </w:r>
    </w:p>
    <w:p w14:paraId="04B9CF5D" w14:textId="77777777"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b) par bērnu vecumā no septiņiem gadiem – no 258 </w:t>
      </w:r>
      <w:r w:rsidRPr="00D8017D">
        <w:rPr>
          <w:rFonts w:eastAsia="Times New Roman" w:cs="Times New Roman"/>
          <w:bCs/>
          <w:i/>
          <w:iCs/>
          <w:szCs w:val="24"/>
        </w:rPr>
        <w:t>euro</w:t>
      </w:r>
      <w:r w:rsidRPr="00D8017D">
        <w:rPr>
          <w:rFonts w:eastAsia="Times New Roman" w:cs="Times New Roman"/>
          <w:bCs/>
          <w:szCs w:val="24"/>
        </w:rPr>
        <w:t xml:space="preserve"> uz 468 </w:t>
      </w:r>
      <w:r w:rsidRPr="00D8017D">
        <w:rPr>
          <w:rFonts w:eastAsia="Times New Roman" w:cs="Times New Roman"/>
          <w:bCs/>
          <w:i/>
          <w:iCs/>
          <w:szCs w:val="24"/>
        </w:rPr>
        <w:t>euro</w:t>
      </w:r>
      <w:r w:rsidRPr="00D8017D">
        <w:rPr>
          <w:rFonts w:eastAsia="Times New Roman" w:cs="Times New Roman"/>
          <w:bCs/>
          <w:szCs w:val="24"/>
        </w:rPr>
        <w:t xml:space="preserve"> mēnesī. </w:t>
      </w:r>
    </w:p>
    <w:p w14:paraId="331EB019" w14:textId="77777777" w:rsidR="00602682" w:rsidRPr="00D8017D" w:rsidRDefault="00602682" w:rsidP="0020177D">
      <w:pPr>
        <w:pStyle w:val="ListParagraph"/>
        <w:widowControl w:val="0"/>
        <w:spacing w:after="0"/>
        <w:ind w:left="0" w:firstLine="360"/>
        <w:rPr>
          <w:rFonts w:eastAsia="Times New Roman" w:cs="Times New Roman"/>
          <w:bCs/>
          <w:szCs w:val="24"/>
        </w:rPr>
      </w:pPr>
    </w:p>
    <w:p w14:paraId="6754E8B1" w14:textId="544D09F6"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Turpmāk</w:t>
      </w:r>
      <w:r w:rsidR="00602682" w:rsidRPr="00D8017D">
        <w:rPr>
          <w:rFonts w:eastAsia="Times New Roman" w:cs="Times New Roman"/>
          <w:bCs/>
          <w:szCs w:val="24"/>
        </w:rPr>
        <w:t>aj</w:t>
      </w:r>
      <w:r w:rsidRPr="00D8017D">
        <w:rPr>
          <w:rFonts w:eastAsia="Times New Roman" w:cs="Times New Roman"/>
          <w:bCs/>
          <w:szCs w:val="24"/>
        </w:rPr>
        <w:t>os gados pabalsta apmērs pieaug atbilstoši minimālās algas izmaiņām: 2027.</w:t>
      </w:r>
      <w:r w:rsidR="00113007" w:rsidRPr="00D8017D">
        <w:rPr>
          <w:rFonts w:eastAsia="Times New Roman" w:cs="Times New Roman"/>
          <w:bCs/>
          <w:szCs w:val="24"/>
        </w:rPr>
        <w:t xml:space="preserve"> </w:t>
      </w:r>
      <w:r w:rsidRPr="00D8017D">
        <w:rPr>
          <w:rFonts w:eastAsia="Times New Roman" w:cs="Times New Roman"/>
          <w:bCs/>
          <w:szCs w:val="24"/>
        </w:rPr>
        <w:t xml:space="preserve">gadā </w:t>
      </w:r>
      <w:r w:rsidR="00602682" w:rsidRPr="00D8017D">
        <w:rPr>
          <w:rFonts w:eastAsia="Times New Roman" w:cs="Times New Roman"/>
          <w:bCs/>
          <w:szCs w:val="24"/>
        </w:rPr>
        <w:t>–</w:t>
      </w:r>
      <w:r w:rsidRPr="00D8017D">
        <w:rPr>
          <w:rFonts w:eastAsia="Times New Roman" w:cs="Times New Roman"/>
          <w:bCs/>
          <w:szCs w:val="24"/>
        </w:rPr>
        <w:t xml:space="preserve"> </w:t>
      </w:r>
      <w:r w:rsidR="00602682" w:rsidRPr="00D8017D">
        <w:rPr>
          <w:rFonts w:eastAsia="Times New Roman" w:cs="Times New Roman"/>
          <w:bCs/>
          <w:szCs w:val="24"/>
        </w:rPr>
        <w:t xml:space="preserve">no </w:t>
      </w:r>
      <w:r w:rsidRPr="00D8017D">
        <w:rPr>
          <w:rFonts w:eastAsia="Times New Roman" w:cs="Times New Roman"/>
          <w:bCs/>
          <w:szCs w:val="24"/>
        </w:rPr>
        <w:t>410</w:t>
      </w:r>
      <w:r w:rsidR="00602682" w:rsidRPr="00D8017D">
        <w:rPr>
          <w:rFonts w:eastAsia="Times New Roman" w:cs="Times New Roman"/>
          <w:bCs/>
          <w:szCs w:val="24"/>
        </w:rPr>
        <w:t xml:space="preserve"> līdz </w:t>
      </w:r>
      <w:r w:rsidRPr="00D8017D">
        <w:rPr>
          <w:rFonts w:eastAsia="Times New Roman" w:cs="Times New Roman"/>
          <w:bCs/>
          <w:szCs w:val="24"/>
        </w:rPr>
        <w:t xml:space="preserve">492 </w:t>
      </w:r>
      <w:r w:rsidRPr="00D8017D">
        <w:rPr>
          <w:rFonts w:eastAsia="Times New Roman" w:cs="Times New Roman"/>
          <w:bCs/>
          <w:i/>
          <w:iCs/>
          <w:szCs w:val="24"/>
        </w:rPr>
        <w:t>euro</w:t>
      </w:r>
      <w:r w:rsidRPr="00D8017D">
        <w:rPr>
          <w:rFonts w:eastAsia="Times New Roman" w:cs="Times New Roman"/>
          <w:bCs/>
          <w:szCs w:val="24"/>
        </w:rPr>
        <w:t>, 2028.</w:t>
      </w:r>
      <w:r w:rsidR="00113007" w:rsidRPr="00D8017D">
        <w:rPr>
          <w:rFonts w:eastAsia="Times New Roman" w:cs="Times New Roman"/>
          <w:bCs/>
          <w:szCs w:val="24"/>
        </w:rPr>
        <w:t xml:space="preserve"> </w:t>
      </w:r>
      <w:r w:rsidRPr="00D8017D">
        <w:rPr>
          <w:rFonts w:eastAsia="Times New Roman" w:cs="Times New Roman"/>
          <w:bCs/>
          <w:szCs w:val="24"/>
        </w:rPr>
        <w:t xml:space="preserve">gadā un turpmāk </w:t>
      </w:r>
      <w:r w:rsidR="00602682" w:rsidRPr="00D8017D">
        <w:rPr>
          <w:rFonts w:eastAsia="Times New Roman" w:cs="Times New Roman"/>
          <w:bCs/>
          <w:szCs w:val="24"/>
        </w:rPr>
        <w:t>–</w:t>
      </w:r>
      <w:r w:rsidRPr="00D8017D">
        <w:rPr>
          <w:rFonts w:eastAsia="Times New Roman" w:cs="Times New Roman"/>
          <w:bCs/>
          <w:szCs w:val="24"/>
        </w:rPr>
        <w:t xml:space="preserve"> </w:t>
      </w:r>
      <w:r w:rsidR="00602682" w:rsidRPr="00D8017D">
        <w:rPr>
          <w:rFonts w:eastAsia="Times New Roman" w:cs="Times New Roman"/>
          <w:bCs/>
          <w:szCs w:val="24"/>
        </w:rPr>
        <w:t xml:space="preserve">no </w:t>
      </w:r>
      <w:r w:rsidRPr="00D8017D">
        <w:rPr>
          <w:rFonts w:eastAsia="Times New Roman" w:cs="Times New Roman"/>
          <w:bCs/>
          <w:szCs w:val="24"/>
        </w:rPr>
        <w:t>430</w:t>
      </w:r>
      <w:r w:rsidR="00602682" w:rsidRPr="00D8017D">
        <w:rPr>
          <w:rFonts w:eastAsia="Times New Roman" w:cs="Times New Roman"/>
          <w:bCs/>
          <w:szCs w:val="24"/>
        </w:rPr>
        <w:t xml:space="preserve"> līdz </w:t>
      </w:r>
      <w:r w:rsidRPr="00D8017D">
        <w:rPr>
          <w:rFonts w:eastAsia="Times New Roman" w:cs="Times New Roman"/>
          <w:bCs/>
          <w:szCs w:val="24"/>
        </w:rPr>
        <w:t xml:space="preserve">516 </w:t>
      </w:r>
      <w:r w:rsidRPr="00D8017D">
        <w:rPr>
          <w:rFonts w:eastAsia="Times New Roman" w:cs="Times New Roman"/>
          <w:bCs/>
          <w:i/>
          <w:iCs/>
          <w:szCs w:val="24"/>
        </w:rPr>
        <w:t>euro</w:t>
      </w:r>
      <w:r w:rsidRPr="00D8017D">
        <w:rPr>
          <w:rFonts w:eastAsia="Times New Roman" w:cs="Times New Roman"/>
          <w:bCs/>
          <w:szCs w:val="24"/>
        </w:rPr>
        <w:t xml:space="preserve"> atkarībā no bērna vecuma;</w:t>
      </w:r>
    </w:p>
    <w:p w14:paraId="0E6A6D63" w14:textId="77777777" w:rsidR="00602682" w:rsidRPr="00D8017D" w:rsidRDefault="00602682" w:rsidP="0020177D">
      <w:pPr>
        <w:pStyle w:val="ListParagraph"/>
        <w:widowControl w:val="0"/>
        <w:spacing w:after="0"/>
        <w:ind w:left="0" w:firstLine="360"/>
        <w:rPr>
          <w:rFonts w:eastAsia="Times New Roman" w:cs="Times New Roman"/>
          <w:bCs/>
          <w:szCs w:val="24"/>
        </w:rPr>
      </w:pPr>
    </w:p>
    <w:p w14:paraId="3F6FBA33" w14:textId="5BF02D81"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2) sociālo garantiju nodrošināšanu nestrādājošiem aizbildņiem (līdz pensijas vecumam) - no 2026.</w:t>
      </w:r>
      <w:r w:rsidR="00602682" w:rsidRPr="00D8017D">
        <w:rPr>
          <w:rFonts w:eastAsia="Times New Roman" w:cs="Times New Roman"/>
          <w:bCs/>
          <w:szCs w:val="24"/>
        </w:rPr>
        <w:t xml:space="preserve"> gada 1. janvāra</w:t>
      </w:r>
      <w:r w:rsidRPr="00D8017D">
        <w:rPr>
          <w:rFonts w:eastAsia="Times New Roman" w:cs="Times New Roman"/>
          <w:bCs/>
          <w:szCs w:val="24"/>
        </w:rPr>
        <w:t xml:space="preserve"> plānots veikt sociālās apdrošināšanas iemaksas pensiju, invaliditātes un bezdarba apdrošināšanai (no 171 </w:t>
      </w:r>
      <w:r w:rsidRPr="00D8017D">
        <w:rPr>
          <w:rFonts w:eastAsia="Times New Roman" w:cs="Times New Roman"/>
          <w:bCs/>
          <w:i/>
          <w:iCs/>
          <w:szCs w:val="24"/>
        </w:rPr>
        <w:t>euro</w:t>
      </w:r>
      <w:r w:rsidRPr="00D8017D">
        <w:rPr>
          <w:rFonts w:eastAsia="Times New Roman" w:cs="Times New Roman"/>
          <w:bCs/>
          <w:szCs w:val="24"/>
        </w:rPr>
        <w:t>) (analoģiski kā no 2018.</w:t>
      </w:r>
      <w:r w:rsidR="00113007" w:rsidRPr="00D8017D">
        <w:rPr>
          <w:rFonts w:eastAsia="Times New Roman" w:cs="Times New Roman"/>
          <w:bCs/>
          <w:szCs w:val="24"/>
        </w:rPr>
        <w:t xml:space="preserve"> </w:t>
      </w:r>
      <w:r w:rsidRPr="00D8017D">
        <w:rPr>
          <w:rFonts w:eastAsia="Times New Roman" w:cs="Times New Roman"/>
          <w:bCs/>
          <w:szCs w:val="24"/>
        </w:rPr>
        <w:t>gada iemaksas veic par audžuģimenes pienākumu pildīšanu);</w:t>
      </w:r>
    </w:p>
    <w:p w14:paraId="7F2DA35B" w14:textId="77777777" w:rsidR="00602682" w:rsidRPr="00762417" w:rsidRDefault="00602682" w:rsidP="00762417">
      <w:pPr>
        <w:widowControl w:val="0"/>
        <w:spacing w:after="0"/>
        <w:ind w:firstLine="0"/>
        <w:rPr>
          <w:rFonts w:eastAsia="Times New Roman" w:cs="Times New Roman"/>
          <w:bCs/>
          <w:szCs w:val="24"/>
        </w:rPr>
      </w:pPr>
    </w:p>
    <w:p w14:paraId="3C46FF95" w14:textId="4AF170D0"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3) bērna adopcijas pabalsta pārskatīšanu no </w:t>
      </w:r>
      <w:r w:rsidR="00602682" w:rsidRPr="00D8017D">
        <w:rPr>
          <w:rFonts w:eastAsia="Times New Roman" w:cs="Times New Roman"/>
          <w:bCs/>
          <w:szCs w:val="24"/>
        </w:rPr>
        <w:t>2026. gada 1. janvāra</w:t>
      </w:r>
      <w:r w:rsidRPr="00D8017D">
        <w:rPr>
          <w:rFonts w:eastAsia="Times New Roman" w:cs="Times New Roman"/>
          <w:bCs/>
          <w:szCs w:val="24"/>
        </w:rPr>
        <w:t xml:space="preserve">, ņemot vērā aktuālo minimālo algu. Pabalsta apmēru plānots noteikt minimālo uzturlīdzekļu apmērā saskaņā ar </w:t>
      </w:r>
      <w:r w:rsidR="00602682" w:rsidRPr="00D8017D">
        <w:rPr>
          <w:rFonts w:eastAsia="Times New Roman" w:cs="Times New Roman"/>
          <w:bCs/>
          <w:szCs w:val="24"/>
        </w:rPr>
        <w:t xml:space="preserve">MK noteikumiem </w:t>
      </w:r>
      <w:r w:rsidR="005F556E" w:rsidRPr="00D8017D">
        <w:rPr>
          <w:rFonts w:eastAsia="Times New Roman" w:cs="Times New Roman"/>
          <w:bCs/>
          <w:szCs w:val="24"/>
        </w:rPr>
        <w:t xml:space="preserve">2013. gada 15. janvāra </w:t>
      </w:r>
      <w:r w:rsidR="00602682" w:rsidRPr="00D8017D">
        <w:rPr>
          <w:rFonts w:eastAsia="Times New Roman" w:cs="Times New Roman"/>
          <w:bCs/>
          <w:szCs w:val="24"/>
        </w:rPr>
        <w:t>Nr.37</w:t>
      </w:r>
      <w:r w:rsidRPr="00D8017D">
        <w:rPr>
          <w:rFonts w:eastAsia="Times New Roman" w:cs="Times New Roman"/>
          <w:bCs/>
          <w:szCs w:val="24"/>
        </w:rPr>
        <w:t>, t.i., 25% no minimālās algas par bērniem 0-6 gadi un 30% no minimālās algas par bērniem 7-17 gadi. Līdz ar to pabalsta apmērs tiktu palielināts:</w:t>
      </w:r>
    </w:p>
    <w:p w14:paraId="0AC7D4CB" w14:textId="77777777"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a) par bērnu līdz septiņu gadu vecuma sasniegšanai – no 107,50 </w:t>
      </w:r>
      <w:r w:rsidRPr="00D8017D">
        <w:rPr>
          <w:rFonts w:eastAsia="Times New Roman" w:cs="Times New Roman"/>
          <w:bCs/>
          <w:i/>
          <w:iCs/>
          <w:szCs w:val="24"/>
        </w:rPr>
        <w:t>euro</w:t>
      </w:r>
      <w:r w:rsidRPr="00D8017D">
        <w:rPr>
          <w:rFonts w:eastAsia="Times New Roman" w:cs="Times New Roman"/>
          <w:bCs/>
          <w:szCs w:val="24"/>
        </w:rPr>
        <w:t xml:space="preserve"> līdz 195 </w:t>
      </w:r>
      <w:r w:rsidRPr="00D8017D">
        <w:rPr>
          <w:rFonts w:eastAsia="Times New Roman" w:cs="Times New Roman"/>
          <w:bCs/>
          <w:i/>
          <w:iCs/>
          <w:szCs w:val="24"/>
        </w:rPr>
        <w:t>euro</w:t>
      </w:r>
      <w:r w:rsidRPr="00D8017D">
        <w:rPr>
          <w:rFonts w:eastAsia="Times New Roman" w:cs="Times New Roman"/>
          <w:bCs/>
          <w:szCs w:val="24"/>
        </w:rPr>
        <w:t xml:space="preserve"> mēnesī;</w:t>
      </w:r>
    </w:p>
    <w:p w14:paraId="2F3B252C" w14:textId="77777777"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b) par bērnu vecumā no septiņiem gadiem – no 129 </w:t>
      </w:r>
      <w:r w:rsidRPr="00D8017D">
        <w:rPr>
          <w:rFonts w:eastAsia="Times New Roman" w:cs="Times New Roman"/>
          <w:bCs/>
          <w:i/>
          <w:iCs/>
          <w:szCs w:val="24"/>
        </w:rPr>
        <w:t>euro</w:t>
      </w:r>
      <w:r w:rsidRPr="00D8017D">
        <w:rPr>
          <w:rFonts w:eastAsia="Times New Roman" w:cs="Times New Roman"/>
          <w:bCs/>
          <w:szCs w:val="24"/>
        </w:rPr>
        <w:t xml:space="preserve"> līdz 234 </w:t>
      </w:r>
      <w:r w:rsidRPr="00D8017D">
        <w:rPr>
          <w:rFonts w:eastAsia="Times New Roman" w:cs="Times New Roman"/>
          <w:bCs/>
          <w:i/>
          <w:iCs/>
          <w:szCs w:val="24"/>
        </w:rPr>
        <w:t>euro</w:t>
      </w:r>
      <w:r w:rsidRPr="00D8017D">
        <w:rPr>
          <w:rFonts w:eastAsia="Times New Roman" w:cs="Times New Roman"/>
          <w:bCs/>
          <w:szCs w:val="24"/>
        </w:rPr>
        <w:t xml:space="preserve"> mēnesī. </w:t>
      </w:r>
    </w:p>
    <w:p w14:paraId="284D9D34" w14:textId="77777777" w:rsidR="00602682" w:rsidRPr="00D8017D" w:rsidRDefault="00602682" w:rsidP="0020177D">
      <w:pPr>
        <w:pStyle w:val="ListParagraph"/>
        <w:widowControl w:val="0"/>
        <w:spacing w:after="0"/>
        <w:ind w:left="0" w:firstLine="360"/>
        <w:rPr>
          <w:rFonts w:eastAsia="Times New Roman" w:cs="Times New Roman"/>
          <w:bCs/>
          <w:szCs w:val="24"/>
        </w:rPr>
      </w:pPr>
    </w:p>
    <w:p w14:paraId="0B0DD005" w14:textId="10AB9F30"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Turpmākos gados pabalsta apmērs pieaug atbilstoši minimālās algas izmaiņām: 2027.</w:t>
      </w:r>
      <w:r w:rsidR="00416413">
        <w:rPr>
          <w:rFonts w:eastAsia="Times New Roman" w:cs="Times New Roman"/>
          <w:bCs/>
          <w:szCs w:val="24"/>
        </w:rPr>
        <w:t xml:space="preserve"> </w:t>
      </w:r>
      <w:r w:rsidRPr="00D8017D">
        <w:rPr>
          <w:rFonts w:eastAsia="Times New Roman" w:cs="Times New Roman"/>
          <w:bCs/>
          <w:szCs w:val="24"/>
        </w:rPr>
        <w:t xml:space="preserve">gadā </w:t>
      </w:r>
      <w:r w:rsidR="00602682" w:rsidRPr="00D8017D">
        <w:rPr>
          <w:rFonts w:eastAsia="Times New Roman" w:cs="Times New Roman"/>
          <w:bCs/>
          <w:szCs w:val="24"/>
        </w:rPr>
        <w:t>–</w:t>
      </w:r>
      <w:r w:rsidRPr="00D8017D">
        <w:rPr>
          <w:rFonts w:eastAsia="Times New Roman" w:cs="Times New Roman"/>
          <w:bCs/>
          <w:szCs w:val="24"/>
        </w:rPr>
        <w:t xml:space="preserve"> </w:t>
      </w:r>
      <w:r w:rsidR="00602682" w:rsidRPr="00D8017D">
        <w:rPr>
          <w:rFonts w:eastAsia="Times New Roman" w:cs="Times New Roman"/>
          <w:bCs/>
          <w:szCs w:val="24"/>
        </w:rPr>
        <w:t xml:space="preserve">no </w:t>
      </w:r>
      <w:r w:rsidRPr="00D8017D">
        <w:rPr>
          <w:rFonts w:eastAsia="Times New Roman" w:cs="Times New Roman"/>
          <w:bCs/>
          <w:szCs w:val="24"/>
        </w:rPr>
        <w:t>205</w:t>
      </w:r>
      <w:r w:rsidR="00602682" w:rsidRPr="00D8017D">
        <w:rPr>
          <w:rFonts w:eastAsia="Times New Roman" w:cs="Times New Roman"/>
          <w:bCs/>
          <w:szCs w:val="24"/>
        </w:rPr>
        <w:t xml:space="preserve"> līdz </w:t>
      </w:r>
      <w:r w:rsidRPr="00D8017D">
        <w:rPr>
          <w:rFonts w:eastAsia="Times New Roman" w:cs="Times New Roman"/>
          <w:bCs/>
          <w:szCs w:val="24"/>
        </w:rPr>
        <w:t xml:space="preserve">246 </w:t>
      </w:r>
      <w:r w:rsidRPr="00D8017D">
        <w:rPr>
          <w:rFonts w:eastAsia="Times New Roman" w:cs="Times New Roman"/>
          <w:bCs/>
          <w:i/>
          <w:iCs/>
          <w:szCs w:val="24"/>
        </w:rPr>
        <w:t>euro</w:t>
      </w:r>
      <w:r w:rsidRPr="00D8017D">
        <w:rPr>
          <w:rFonts w:eastAsia="Times New Roman" w:cs="Times New Roman"/>
          <w:bCs/>
          <w:szCs w:val="24"/>
        </w:rPr>
        <w:t>, 2028.</w:t>
      </w:r>
      <w:r w:rsidR="00416413">
        <w:rPr>
          <w:rFonts w:eastAsia="Times New Roman" w:cs="Times New Roman"/>
          <w:bCs/>
          <w:szCs w:val="24"/>
        </w:rPr>
        <w:t xml:space="preserve"> </w:t>
      </w:r>
      <w:r w:rsidRPr="00D8017D">
        <w:rPr>
          <w:rFonts w:eastAsia="Times New Roman" w:cs="Times New Roman"/>
          <w:bCs/>
          <w:szCs w:val="24"/>
        </w:rPr>
        <w:t>gadā un turpmāk -</w:t>
      </w:r>
      <w:r w:rsidR="00602682" w:rsidRPr="00D8017D">
        <w:rPr>
          <w:rFonts w:eastAsia="Times New Roman" w:cs="Times New Roman"/>
          <w:bCs/>
          <w:szCs w:val="24"/>
        </w:rPr>
        <w:t xml:space="preserve"> no</w:t>
      </w:r>
      <w:r w:rsidRPr="00D8017D">
        <w:rPr>
          <w:rFonts w:eastAsia="Times New Roman" w:cs="Times New Roman"/>
          <w:bCs/>
          <w:szCs w:val="24"/>
        </w:rPr>
        <w:t xml:space="preserve"> 215</w:t>
      </w:r>
      <w:r w:rsidR="00602682" w:rsidRPr="00D8017D">
        <w:rPr>
          <w:rFonts w:eastAsia="Times New Roman" w:cs="Times New Roman"/>
          <w:bCs/>
          <w:szCs w:val="24"/>
        </w:rPr>
        <w:t xml:space="preserve"> līdz </w:t>
      </w:r>
      <w:r w:rsidRPr="00D8017D">
        <w:rPr>
          <w:rFonts w:eastAsia="Times New Roman" w:cs="Times New Roman"/>
          <w:bCs/>
          <w:szCs w:val="24"/>
        </w:rPr>
        <w:t xml:space="preserve">258 </w:t>
      </w:r>
      <w:r w:rsidRPr="00D8017D">
        <w:rPr>
          <w:rFonts w:eastAsia="Times New Roman" w:cs="Times New Roman"/>
          <w:bCs/>
          <w:i/>
          <w:iCs/>
          <w:szCs w:val="24"/>
        </w:rPr>
        <w:t>euro</w:t>
      </w:r>
      <w:r w:rsidRPr="00D8017D">
        <w:rPr>
          <w:rFonts w:eastAsia="Times New Roman" w:cs="Times New Roman"/>
          <w:bCs/>
          <w:szCs w:val="24"/>
        </w:rPr>
        <w:t xml:space="preserve"> atkarībā no bērna vecuma;</w:t>
      </w:r>
    </w:p>
    <w:p w14:paraId="0E98DD6E" w14:textId="77777777" w:rsidR="00602682" w:rsidRPr="00D8017D" w:rsidRDefault="00602682" w:rsidP="0020177D">
      <w:pPr>
        <w:pStyle w:val="ListParagraph"/>
        <w:widowControl w:val="0"/>
        <w:spacing w:after="0"/>
        <w:ind w:left="0" w:firstLine="360"/>
        <w:rPr>
          <w:rFonts w:eastAsia="Times New Roman" w:cs="Times New Roman"/>
          <w:bCs/>
          <w:szCs w:val="24"/>
        </w:rPr>
      </w:pPr>
    </w:p>
    <w:p w14:paraId="2BF20AC9" w14:textId="4EEC57C6"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4) atlīdzības par adoptējamā bērna aprūpi pārskatīšanu, nodrošinot vienlīdzīgu attieksmi neatkarīgi no adoptējamā bērna vecuma un vienkāršojot apmēra noteikšanas nosacījumus, t.i., no </w:t>
      </w:r>
      <w:r w:rsidR="002378DE" w:rsidRPr="00D8017D">
        <w:rPr>
          <w:rFonts w:eastAsia="Times New Roman" w:cs="Times New Roman"/>
          <w:bCs/>
          <w:szCs w:val="24"/>
        </w:rPr>
        <w:t xml:space="preserve">2026. gada 1. janvāra </w:t>
      </w:r>
      <w:r w:rsidRPr="00D8017D">
        <w:rPr>
          <w:rFonts w:eastAsia="Times New Roman" w:cs="Times New Roman"/>
          <w:bCs/>
          <w:szCs w:val="24"/>
        </w:rPr>
        <w:t xml:space="preserve">atlīdzību par adoptējamā bērna aprūpi neatkarīgi no bērna vecuma maksāt 70% apmērā no valstī noteiktās pirms iepriekšējā gada vidējās apdrošināšanas iemaksu algas (noapaļojot līdz apaļiem </w:t>
      </w:r>
      <w:r w:rsidRPr="00D8017D">
        <w:rPr>
          <w:rFonts w:eastAsia="Times New Roman" w:cs="Times New Roman"/>
          <w:bCs/>
          <w:i/>
          <w:iCs/>
          <w:szCs w:val="24"/>
        </w:rPr>
        <w:t>euro</w:t>
      </w:r>
      <w:r w:rsidRPr="00D8017D">
        <w:rPr>
          <w:rFonts w:eastAsia="Times New Roman" w:cs="Times New Roman"/>
          <w:bCs/>
          <w:szCs w:val="24"/>
        </w:rPr>
        <w:t>). Plānotais atlīdzības apmērs 2026.</w:t>
      </w:r>
      <w:r w:rsidR="00113007" w:rsidRPr="00D8017D">
        <w:rPr>
          <w:rFonts w:eastAsia="Times New Roman" w:cs="Times New Roman"/>
          <w:bCs/>
          <w:szCs w:val="24"/>
        </w:rPr>
        <w:t xml:space="preserve"> </w:t>
      </w:r>
      <w:r w:rsidRPr="00D8017D">
        <w:rPr>
          <w:rFonts w:eastAsia="Times New Roman" w:cs="Times New Roman"/>
          <w:bCs/>
          <w:szCs w:val="24"/>
        </w:rPr>
        <w:t xml:space="preserve">gadā - 1 041 </w:t>
      </w:r>
      <w:r w:rsidRPr="00D8017D">
        <w:rPr>
          <w:rFonts w:eastAsia="Times New Roman" w:cs="Times New Roman"/>
          <w:bCs/>
          <w:i/>
          <w:iCs/>
          <w:szCs w:val="24"/>
        </w:rPr>
        <w:t>euro</w:t>
      </w:r>
      <w:r w:rsidRPr="00D8017D">
        <w:rPr>
          <w:rFonts w:eastAsia="Times New Roman" w:cs="Times New Roman"/>
          <w:bCs/>
          <w:szCs w:val="24"/>
        </w:rPr>
        <w:t>, 2027.</w:t>
      </w:r>
      <w:r w:rsidR="00113007" w:rsidRPr="00D8017D">
        <w:rPr>
          <w:rFonts w:eastAsia="Times New Roman" w:cs="Times New Roman"/>
          <w:bCs/>
          <w:szCs w:val="24"/>
        </w:rPr>
        <w:t xml:space="preserve"> </w:t>
      </w:r>
      <w:r w:rsidRPr="00D8017D">
        <w:rPr>
          <w:rFonts w:eastAsia="Times New Roman" w:cs="Times New Roman"/>
          <w:bCs/>
          <w:szCs w:val="24"/>
        </w:rPr>
        <w:t>gadā -</w:t>
      </w:r>
      <w:r w:rsidR="00113007" w:rsidRPr="00D8017D">
        <w:rPr>
          <w:rFonts w:eastAsia="Times New Roman" w:cs="Times New Roman"/>
          <w:bCs/>
          <w:szCs w:val="24"/>
        </w:rPr>
        <w:t xml:space="preserve"> </w:t>
      </w:r>
      <w:r w:rsidRPr="00D8017D">
        <w:rPr>
          <w:rFonts w:eastAsia="Times New Roman" w:cs="Times New Roman"/>
          <w:bCs/>
          <w:szCs w:val="24"/>
        </w:rPr>
        <w:t xml:space="preserve">1 114 </w:t>
      </w:r>
      <w:r w:rsidRPr="00D8017D">
        <w:rPr>
          <w:rFonts w:eastAsia="Times New Roman" w:cs="Times New Roman"/>
          <w:bCs/>
          <w:i/>
          <w:iCs/>
          <w:szCs w:val="24"/>
        </w:rPr>
        <w:t>euro</w:t>
      </w:r>
      <w:r w:rsidRPr="00D8017D">
        <w:rPr>
          <w:rFonts w:eastAsia="Times New Roman" w:cs="Times New Roman"/>
          <w:bCs/>
          <w:szCs w:val="24"/>
        </w:rPr>
        <w:t>, 2028.</w:t>
      </w:r>
      <w:r w:rsidR="00113007" w:rsidRPr="00D8017D">
        <w:rPr>
          <w:rFonts w:eastAsia="Times New Roman" w:cs="Times New Roman"/>
          <w:bCs/>
          <w:szCs w:val="24"/>
        </w:rPr>
        <w:t xml:space="preserve"> </w:t>
      </w:r>
      <w:r w:rsidRPr="00D8017D">
        <w:rPr>
          <w:rFonts w:eastAsia="Times New Roman" w:cs="Times New Roman"/>
          <w:bCs/>
          <w:szCs w:val="24"/>
        </w:rPr>
        <w:t xml:space="preserve">gadā - 1 177 </w:t>
      </w:r>
      <w:r w:rsidRPr="00D8017D">
        <w:rPr>
          <w:rFonts w:eastAsia="Times New Roman" w:cs="Times New Roman"/>
          <w:bCs/>
          <w:i/>
          <w:iCs/>
          <w:szCs w:val="24"/>
        </w:rPr>
        <w:t>euro</w:t>
      </w:r>
      <w:r w:rsidRPr="00D8017D">
        <w:rPr>
          <w:rFonts w:eastAsia="Times New Roman" w:cs="Times New Roman"/>
          <w:bCs/>
          <w:szCs w:val="24"/>
        </w:rPr>
        <w:t>;</w:t>
      </w:r>
    </w:p>
    <w:p w14:paraId="741988C7" w14:textId="77777777" w:rsidR="002378DE" w:rsidRPr="00D8017D" w:rsidRDefault="002378DE" w:rsidP="0020177D">
      <w:pPr>
        <w:pStyle w:val="ListParagraph"/>
        <w:widowControl w:val="0"/>
        <w:spacing w:after="0"/>
        <w:ind w:left="0" w:firstLine="360"/>
        <w:rPr>
          <w:rFonts w:eastAsia="Times New Roman" w:cs="Times New Roman"/>
          <w:bCs/>
          <w:szCs w:val="24"/>
        </w:rPr>
      </w:pPr>
    </w:p>
    <w:p w14:paraId="7F9498FB" w14:textId="66700589"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5) atlīdzības par bērna adopciju pārskatīšanu, no </w:t>
      </w:r>
      <w:r w:rsidR="002378DE" w:rsidRPr="00D8017D">
        <w:rPr>
          <w:rFonts w:eastAsia="Times New Roman" w:cs="Times New Roman"/>
          <w:bCs/>
          <w:szCs w:val="24"/>
        </w:rPr>
        <w:t xml:space="preserve">2026. gada 1. janvāra </w:t>
      </w:r>
      <w:r w:rsidRPr="00D8017D">
        <w:rPr>
          <w:rFonts w:eastAsia="Times New Roman" w:cs="Times New Roman"/>
          <w:bCs/>
          <w:szCs w:val="24"/>
        </w:rPr>
        <w:t>palielinot to par 50% no patēriņu cenu pieauguma periodā kopš atlīdzības izmaksas uzsākšanas 2004.</w:t>
      </w:r>
      <w:r w:rsidR="00113007" w:rsidRPr="00D8017D">
        <w:rPr>
          <w:rFonts w:eastAsia="Times New Roman" w:cs="Times New Roman"/>
          <w:bCs/>
          <w:szCs w:val="24"/>
        </w:rPr>
        <w:t xml:space="preserve"> </w:t>
      </w:r>
      <w:r w:rsidRPr="00D8017D">
        <w:rPr>
          <w:rFonts w:eastAsia="Times New Roman" w:cs="Times New Roman"/>
          <w:bCs/>
          <w:szCs w:val="24"/>
        </w:rPr>
        <w:t>gadā līdz</w:t>
      </w:r>
      <w:r w:rsidR="002378DE" w:rsidRPr="00D8017D">
        <w:rPr>
          <w:rFonts w:eastAsia="Times New Roman" w:cs="Times New Roman"/>
          <w:bCs/>
          <w:szCs w:val="24"/>
        </w:rPr>
        <w:t xml:space="preserve"> </w:t>
      </w:r>
      <w:r w:rsidRPr="00D8017D">
        <w:rPr>
          <w:rFonts w:eastAsia="Times New Roman" w:cs="Times New Roman"/>
          <w:bCs/>
          <w:szCs w:val="24"/>
        </w:rPr>
        <w:t>2024.</w:t>
      </w:r>
      <w:r w:rsidR="002378DE" w:rsidRPr="00D8017D">
        <w:rPr>
          <w:rFonts w:eastAsia="Times New Roman" w:cs="Times New Roman"/>
          <w:bCs/>
          <w:szCs w:val="24"/>
        </w:rPr>
        <w:t xml:space="preserve"> gada 31. decembrim.</w:t>
      </w:r>
      <w:r w:rsidRPr="00D8017D">
        <w:rPr>
          <w:rFonts w:eastAsia="Times New Roman" w:cs="Times New Roman"/>
          <w:bCs/>
          <w:szCs w:val="24"/>
        </w:rPr>
        <w:t xml:space="preserve"> Patēriņa cenu pārmaiņām šajā periodā ir 141,8%, līdz ar to atlīdzības apmērs palielinātos no 1 422,87 </w:t>
      </w:r>
      <w:r w:rsidRPr="00D8017D">
        <w:rPr>
          <w:rFonts w:eastAsia="Times New Roman" w:cs="Times New Roman"/>
          <w:bCs/>
          <w:i/>
          <w:iCs/>
          <w:szCs w:val="24"/>
        </w:rPr>
        <w:t>euro</w:t>
      </w:r>
      <w:r w:rsidRPr="00D8017D">
        <w:rPr>
          <w:rFonts w:eastAsia="Times New Roman" w:cs="Times New Roman"/>
          <w:bCs/>
          <w:szCs w:val="24"/>
        </w:rPr>
        <w:t xml:space="preserve"> uz 2 433 </w:t>
      </w:r>
      <w:r w:rsidRPr="00D8017D">
        <w:rPr>
          <w:rFonts w:eastAsia="Times New Roman" w:cs="Times New Roman"/>
          <w:bCs/>
          <w:i/>
          <w:iCs/>
          <w:szCs w:val="24"/>
        </w:rPr>
        <w:t>euro</w:t>
      </w:r>
      <w:r w:rsidRPr="00D8017D">
        <w:rPr>
          <w:rFonts w:eastAsia="Times New Roman" w:cs="Times New Roman"/>
          <w:bCs/>
          <w:szCs w:val="24"/>
        </w:rPr>
        <w:t>;</w:t>
      </w:r>
    </w:p>
    <w:p w14:paraId="61A0F36D" w14:textId="77777777" w:rsidR="002378DE" w:rsidRPr="00D8017D" w:rsidRDefault="002378DE" w:rsidP="0020177D">
      <w:pPr>
        <w:pStyle w:val="ListParagraph"/>
        <w:widowControl w:val="0"/>
        <w:spacing w:after="0"/>
        <w:ind w:left="0" w:firstLine="360"/>
        <w:rPr>
          <w:rFonts w:eastAsia="Times New Roman" w:cs="Times New Roman"/>
          <w:bCs/>
          <w:szCs w:val="24"/>
        </w:rPr>
      </w:pPr>
    </w:p>
    <w:p w14:paraId="02BDDED5" w14:textId="72914DE1"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6) atlīdzības par audžuģimenes pienākumu pildīšanu pārskatīšanu no </w:t>
      </w:r>
      <w:r w:rsidR="002378DE" w:rsidRPr="00D8017D">
        <w:rPr>
          <w:rFonts w:eastAsia="Times New Roman" w:cs="Times New Roman"/>
          <w:bCs/>
          <w:szCs w:val="24"/>
        </w:rPr>
        <w:t>2026. gada 1. janvāra</w:t>
      </w:r>
      <w:r w:rsidRPr="00D8017D">
        <w:rPr>
          <w:rFonts w:eastAsia="Times New Roman" w:cs="Times New Roman"/>
          <w:bCs/>
          <w:szCs w:val="24"/>
        </w:rPr>
        <w:t>, atsakoties no pašreizējās atlīdzības apmēra sasaistes ar bērna kopšanas pabalsta apmēru. Tā vietā plānots atlīdzību par 1 bērna aprūpi noteikt 35% no ienākumu mediānas, kuru pārskata reizi divos gados (2026.</w:t>
      </w:r>
      <w:r w:rsidR="00113007" w:rsidRPr="00D8017D">
        <w:rPr>
          <w:rFonts w:eastAsia="Times New Roman" w:cs="Times New Roman"/>
          <w:bCs/>
          <w:szCs w:val="24"/>
        </w:rPr>
        <w:t xml:space="preserve"> </w:t>
      </w:r>
      <w:r w:rsidRPr="00D8017D">
        <w:rPr>
          <w:rFonts w:eastAsia="Times New Roman" w:cs="Times New Roman"/>
          <w:bCs/>
          <w:szCs w:val="24"/>
        </w:rPr>
        <w:t>gadā un 2027.</w:t>
      </w:r>
      <w:r w:rsidR="00113007" w:rsidRPr="00D8017D">
        <w:rPr>
          <w:rFonts w:eastAsia="Times New Roman" w:cs="Times New Roman"/>
          <w:bCs/>
          <w:szCs w:val="24"/>
        </w:rPr>
        <w:t xml:space="preserve"> </w:t>
      </w:r>
      <w:r w:rsidRPr="00D8017D">
        <w:rPr>
          <w:rFonts w:eastAsia="Times New Roman" w:cs="Times New Roman"/>
          <w:bCs/>
          <w:szCs w:val="24"/>
        </w:rPr>
        <w:t xml:space="preserve">gadā - 298 </w:t>
      </w:r>
      <w:r w:rsidRPr="00D8017D">
        <w:rPr>
          <w:rFonts w:eastAsia="Times New Roman" w:cs="Times New Roman"/>
          <w:bCs/>
          <w:i/>
          <w:iCs/>
          <w:szCs w:val="24"/>
        </w:rPr>
        <w:t>euro</w:t>
      </w:r>
      <w:r w:rsidRPr="00D8017D">
        <w:rPr>
          <w:rFonts w:eastAsia="Times New Roman" w:cs="Times New Roman"/>
          <w:bCs/>
          <w:szCs w:val="24"/>
        </w:rPr>
        <w:t xml:space="preserve">, 2028.gadā - 351 </w:t>
      </w:r>
      <w:r w:rsidRPr="005F556E">
        <w:rPr>
          <w:rFonts w:eastAsia="Times New Roman" w:cs="Times New Roman"/>
          <w:bCs/>
          <w:i/>
          <w:iCs/>
          <w:szCs w:val="24"/>
        </w:rPr>
        <w:t>euro</w:t>
      </w:r>
      <w:r w:rsidRPr="00D8017D">
        <w:rPr>
          <w:rFonts w:eastAsia="Times New Roman" w:cs="Times New Roman"/>
          <w:bCs/>
          <w:szCs w:val="24"/>
        </w:rPr>
        <w:t xml:space="preserve">) un saglabāt esošos koeficientus par otrā (koeficients 1,3) un trešā bērnu aprūpi (koeficients 1,6), kā arī noteikt koeficientus par lielāka skaita vienas ģimenes bērnu aprūpi, proti, par 4 bērniem - koeficients 1,7, par 5 bērniem - koeficients 1,8 un par 6 un vairāk bērniem - koeficients 1,9 (noapaļojot līdz veseliem </w:t>
      </w:r>
      <w:r w:rsidRPr="00D8017D">
        <w:rPr>
          <w:rFonts w:eastAsia="Times New Roman" w:cs="Times New Roman"/>
          <w:bCs/>
          <w:i/>
          <w:iCs/>
          <w:szCs w:val="24"/>
        </w:rPr>
        <w:t>euro</w:t>
      </w:r>
      <w:r w:rsidRPr="00D8017D">
        <w:rPr>
          <w:rFonts w:eastAsia="Times New Roman" w:cs="Times New Roman"/>
          <w:bCs/>
          <w:szCs w:val="24"/>
        </w:rPr>
        <w:t xml:space="preserve">). </w:t>
      </w:r>
    </w:p>
    <w:p w14:paraId="5258B99C" w14:textId="77777777" w:rsidR="00113007" w:rsidRPr="00D8017D" w:rsidRDefault="00113007" w:rsidP="0020177D">
      <w:pPr>
        <w:pStyle w:val="ListParagraph"/>
        <w:widowControl w:val="0"/>
        <w:spacing w:after="0"/>
        <w:ind w:left="0" w:firstLine="360"/>
        <w:rPr>
          <w:rFonts w:eastAsia="Times New Roman" w:cs="Times New Roman"/>
          <w:bCs/>
          <w:szCs w:val="24"/>
        </w:rPr>
      </w:pPr>
    </w:p>
    <w:p w14:paraId="491A386B" w14:textId="16B505B6"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7) atlīdzības par aizbildņa pienākumu pildīšanu pārskatīšanu. Šobrīd atlīdzības apmērs ir 54,07 </w:t>
      </w:r>
      <w:r w:rsidRPr="00D8017D">
        <w:rPr>
          <w:rFonts w:eastAsia="Times New Roman" w:cs="Times New Roman"/>
          <w:bCs/>
          <w:i/>
          <w:iCs/>
          <w:szCs w:val="24"/>
        </w:rPr>
        <w:t>euro</w:t>
      </w:r>
      <w:r w:rsidRPr="00D8017D">
        <w:rPr>
          <w:rFonts w:eastAsia="Times New Roman" w:cs="Times New Roman"/>
          <w:bCs/>
          <w:szCs w:val="24"/>
        </w:rPr>
        <w:t xml:space="preserve"> mēnesī, proti, pirms gandrīz 30 gadiem noteiktajā apmērā. P</w:t>
      </w:r>
      <w:r w:rsidR="0020177D" w:rsidRPr="00D8017D">
        <w:rPr>
          <w:rFonts w:eastAsia="Times New Roman" w:cs="Times New Roman"/>
          <w:bCs/>
          <w:szCs w:val="24"/>
        </w:rPr>
        <w:t>asākums</w:t>
      </w:r>
      <w:r w:rsidRPr="00D8017D">
        <w:rPr>
          <w:rFonts w:eastAsia="Times New Roman" w:cs="Times New Roman"/>
          <w:bCs/>
          <w:szCs w:val="24"/>
        </w:rPr>
        <w:t xml:space="preserve"> paredz no </w:t>
      </w:r>
      <w:r w:rsidR="002378DE" w:rsidRPr="00D8017D">
        <w:rPr>
          <w:rFonts w:eastAsia="Times New Roman" w:cs="Times New Roman"/>
          <w:bCs/>
          <w:szCs w:val="24"/>
        </w:rPr>
        <w:t>2026. gada 1. janvāra</w:t>
      </w:r>
      <w:r w:rsidRPr="00D8017D">
        <w:rPr>
          <w:rFonts w:eastAsia="Times New Roman" w:cs="Times New Roman"/>
          <w:bCs/>
          <w:szCs w:val="24"/>
        </w:rPr>
        <w:t xml:space="preserve"> noteikt atlīdzību analoģiskā apmērā kā audžuģimenei par 1 bērna aprūpi - 35% no ienākumu mediānas, kuru pārskata reizi divos gados (2026.</w:t>
      </w:r>
      <w:r w:rsidR="00113007" w:rsidRPr="00D8017D">
        <w:rPr>
          <w:rFonts w:eastAsia="Times New Roman" w:cs="Times New Roman"/>
          <w:bCs/>
          <w:szCs w:val="24"/>
        </w:rPr>
        <w:t xml:space="preserve"> </w:t>
      </w:r>
      <w:r w:rsidRPr="00D8017D">
        <w:rPr>
          <w:rFonts w:eastAsia="Times New Roman" w:cs="Times New Roman"/>
          <w:bCs/>
          <w:szCs w:val="24"/>
        </w:rPr>
        <w:t>gadā un 2027.</w:t>
      </w:r>
      <w:r w:rsidR="00113007" w:rsidRPr="00D8017D">
        <w:rPr>
          <w:rFonts w:eastAsia="Times New Roman" w:cs="Times New Roman"/>
          <w:bCs/>
          <w:szCs w:val="24"/>
        </w:rPr>
        <w:t xml:space="preserve"> </w:t>
      </w:r>
      <w:r w:rsidRPr="00D8017D">
        <w:rPr>
          <w:rFonts w:eastAsia="Times New Roman" w:cs="Times New Roman"/>
          <w:bCs/>
          <w:szCs w:val="24"/>
        </w:rPr>
        <w:t xml:space="preserve">gadā - 298 </w:t>
      </w:r>
      <w:r w:rsidRPr="00D8017D">
        <w:rPr>
          <w:rFonts w:eastAsia="Times New Roman" w:cs="Times New Roman"/>
          <w:bCs/>
          <w:i/>
          <w:iCs/>
          <w:szCs w:val="24"/>
        </w:rPr>
        <w:t>euro</w:t>
      </w:r>
      <w:r w:rsidRPr="00D8017D">
        <w:rPr>
          <w:rFonts w:eastAsia="Times New Roman" w:cs="Times New Roman"/>
          <w:bCs/>
          <w:szCs w:val="24"/>
        </w:rPr>
        <w:t>, 2028.</w:t>
      </w:r>
      <w:r w:rsidR="00113007" w:rsidRPr="00D8017D">
        <w:rPr>
          <w:rFonts w:eastAsia="Times New Roman" w:cs="Times New Roman"/>
          <w:bCs/>
          <w:szCs w:val="24"/>
        </w:rPr>
        <w:t xml:space="preserve"> </w:t>
      </w:r>
      <w:r w:rsidRPr="00D8017D">
        <w:rPr>
          <w:rFonts w:eastAsia="Times New Roman" w:cs="Times New Roman"/>
          <w:bCs/>
          <w:szCs w:val="24"/>
        </w:rPr>
        <w:t xml:space="preserve">gadā - 351 </w:t>
      </w:r>
      <w:r w:rsidRPr="00D8017D">
        <w:rPr>
          <w:rFonts w:eastAsia="Times New Roman" w:cs="Times New Roman"/>
          <w:bCs/>
          <w:i/>
          <w:iCs/>
          <w:szCs w:val="24"/>
        </w:rPr>
        <w:t>euro</w:t>
      </w:r>
      <w:r w:rsidRPr="00D8017D">
        <w:rPr>
          <w:rFonts w:eastAsia="Times New Roman" w:cs="Times New Roman"/>
          <w:bCs/>
          <w:szCs w:val="24"/>
        </w:rPr>
        <w:t>)</w:t>
      </w:r>
      <w:r w:rsidR="00113007" w:rsidRPr="00D8017D">
        <w:rPr>
          <w:rFonts w:eastAsia="Times New Roman" w:cs="Times New Roman"/>
          <w:bCs/>
          <w:szCs w:val="24"/>
        </w:rPr>
        <w:t>;</w:t>
      </w:r>
    </w:p>
    <w:p w14:paraId="638C3390" w14:textId="77777777" w:rsidR="00113007" w:rsidRPr="00D8017D" w:rsidRDefault="00113007" w:rsidP="0020177D">
      <w:pPr>
        <w:pStyle w:val="ListParagraph"/>
        <w:widowControl w:val="0"/>
        <w:spacing w:after="0"/>
        <w:ind w:left="0" w:firstLine="360"/>
        <w:rPr>
          <w:rFonts w:eastAsia="Times New Roman" w:cs="Times New Roman"/>
          <w:bCs/>
          <w:szCs w:val="24"/>
        </w:rPr>
      </w:pPr>
    </w:p>
    <w:p w14:paraId="0DF32CB4" w14:textId="164AE406"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8) atlīdzības par specializētās audžuģimenes pienākumu pildīšanu pārskatīšanu, nosakot to divkāršas minimālās algas apmērā. No </w:t>
      </w:r>
      <w:r w:rsidR="002378DE" w:rsidRPr="00D8017D">
        <w:rPr>
          <w:rFonts w:eastAsia="Times New Roman" w:cs="Times New Roman"/>
          <w:bCs/>
          <w:szCs w:val="24"/>
        </w:rPr>
        <w:t>2026. gada 1. janvāra</w:t>
      </w:r>
      <w:r w:rsidRPr="00D8017D">
        <w:rPr>
          <w:rFonts w:eastAsia="Times New Roman" w:cs="Times New Roman"/>
          <w:bCs/>
          <w:szCs w:val="24"/>
        </w:rPr>
        <w:t xml:space="preserve"> atlīdzība tiktu pārskatīta krīzes un bērnu ar funkcionāliem traucējumiem audžuģimenēm, kā arī no 1.jūlija tiktu ieviestas specializētās audžuģimenes bērniem ar uzvedības un atkarību problēmām. Atlīdzības apmērs ir divkārša minimālā alga jeb 2026.</w:t>
      </w:r>
      <w:r w:rsidR="00113007" w:rsidRPr="00D8017D">
        <w:rPr>
          <w:rFonts w:eastAsia="Times New Roman" w:cs="Times New Roman"/>
          <w:bCs/>
          <w:szCs w:val="24"/>
        </w:rPr>
        <w:t xml:space="preserve"> </w:t>
      </w:r>
      <w:r w:rsidRPr="00D8017D">
        <w:rPr>
          <w:rFonts w:eastAsia="Times New Roman" w:cs="Times New Roman"/>
          <w:bCs/>
          <w:szCs w:val="24"/>
        </w:rPr>
        <w:t>g</w:t>
      </w:r>
      <w:r w:rsidR="00113007" w:rsidRPr="00D8017D">
        <w:rPr>
          <w:rFonts w:eastAsia="Times New Roman" w:cs="Times New Roman"/>
          <w:bCs/>
          <w:szCs w:val="24"/>
        </w:rPr>
        <w:t>adā</w:t>
      </w:r>
      <w:r w:rsidRPr="00D8017D">
        <w:rPr>
          <w:rFonts w:eastAsia="Times New Roman" w:cs="Times New Roman"/>
          <w:bCs/>
          <w:szCs w:val="24"/>
        </w:rPr>
        <w:t xml:space="preserve"> - 1 560 </w:t>
      </w:r>
      <w:r w:rsidRPr="00D8017D">
        <w:rPr>
          <w:rFonts w:eastAsia="Times New Roman" w:cs="Times New Roman"/>
          <w:bCs/>
          <w:i/>
          <w:iCs/>
          <w:szCs w:val="24"/>
        </w:rPr>
        <w:t>euro</w:t>
      </w:r>
      <w:r w:rsidRPr="00D8017D">
        <w:rPr>
          <w:rFonts w:eastAsia="Times New Roman" w:cs="Times New Roman"/>
          <w:bCs/>
          <w:szCs w:val="24"/>
        </w:rPr>
        <w:t>, 2027.</w:t>
      </w:r>
      <w:r w:rsidR="00113007" w:rsidRPr="00D8017D">
        <w:rPr>
          <w:rFonts w:eastAsia="Times New Roman" w:cs="Times New Roman"/>
          <w:bCs/>
          <w:szCs w:val="24"/>
        </w:rPr>
        <w:t xml:space="preserve"> </w:t>
      </w:r>
      <w:r w:rsidRPr="00D8017D">
        <w:rPr>
          <w:rFonts w:eastAsia="Times New Roman" w:cs="Times New Roman"/>
          <w:bCs/>
          <w:szCs w:val="24"/>
        </w:rPr>
        <w:t>g</w:t>
      </w:r>
      <w:r w:rsidR="00113007" w:rsidRPr="00D8017D">
        <w:rPr>
          <w:rFonts w:eastAsia="Times New Roman" w:cs="Times New Roman"/>
          <w:bCs/>
          <w:szCs w:val="24"/>
        </w:rPr>
        <w:t>adā</w:t>
      </w:r>
      <w:r w:rsidRPr="00D8017D">
        <w:rPr>
          <w:rFonts w:eastAsia="Times New Roman" w:cs="Times New Roman"/>
          <w:bCs/>
          <w:szCs w:val="24"/>
        </w:rPr>
        <w:t xml:space="preserve"> – 1 640 </w:t>
      </w:r>
      <w:r w:rsidRPr="00D8017D">
        <w:rPr>
          <w:rFonts w:eastAsia="Times New Roman" w:cs="Times New Roman"/>
          <w:bCs/>
          <w:i/>
          <w:iCs/>
          <w:szCs w:val="24"/>
        </w:rPr>
        <w:t>euro</w:t>
      </w:r>
      <w:r w:rsidRPr="00D8017D">
        <w:rPr>
          <w:rFonts w:eastAsia="Times New Roman" w:cs="Times New Roman"/>
          <w:bCs/>
          <w:szCs w:val="24"/>
        </w:rPr>
        <w:t>; 2028.</w:t>
      </w:r>
      <w:r w:rsidR="00113007" w:rsidRPr="00D8017D">
        <w:rPr>
          <w:rFonts w:eastAsia="Times New Roman" w:cs="Times New Roman"/>
          <w:bCs/>
          <w:szCs w:val="24"/>
        </w:rPr>
        <w:t xml:space="preserve"> </w:t>
      </w:r>
      <w:r w:rsidRPr="00D8017D">
        <w:rPr>
          <w:rFonts w:eastAsia="Times New Roman" w:cs="Times New Roman"/>
          <w:bCs/>
          <w:szCs w:val="24"/>
        </w:rPr>
        <w:t>g</w:t>
      </w:r>
      <w:r w:rsidR="00113007" w:rsidRPr="00D8017D">
        <w:rPr>
          <w:rFonts w:eastAsia="Times New Roman" w:cs="Times New Roman"/>
          <w:bCs/>
          <w:szCs w:val="24"/>
        </w:rPr>
        <w:t xml:space="preserve">adā </w:t>
      </w:r>
      <w:r w:rsidRPr="00D8017D">
        <w:rPr>
          <w:rFonts w:eastAsia="Times New Roman" w:cs="Times New Roman"/>
          <w:bCs/>
          <w:szCs w:val="24"/>
        </w:rPr>
        <w:t xml:space="preserve">– 1 720 </w:t>
      </w:r>
      <w:r w:rsidRPr="005F556E">
        <w:rPr>
          <w:rFonts w:eastAsia="Times New Roman" w:cs="Times New Roman"/>
          <w:bCs/>
          <w:i/>
          <w:iCs/>
          <w:szCs w:val="24"/>
        </w:rPr>
        <w:t>euro</w:t>
      </w:r>
      <w:r w:rsidRPr="00D8017D">
        <w:rPr>
          <w:rFonts w:eastAsia="Times New Roman" w:cs="Times New Roman"/>
          <w:bCs/>
          <w:szCs w:val="24"/>
        </w:rPr>
        <w:t>);</w:t>
      </w:r>
    </w:p>
    <w:p w14:paraId="30960026" w14:textId="77777777" w:rsidR="00113007" w:rsidRPr="00D8017D" w:rsidRDefault="00113007" w:rsidP="0020177D">
      <w:pPr>
        <w:pStyle w:val="ListParagraph"/>
        <w:widowControl w:val="0"/>
        <w:spacing w:after="0"/>
        <w:ind w:left="0" w:firstLine="360"/>
        <w:rPr>
          <w:rFonts w:eastAsia="Times New Roman" w:cs="Times New Roman"/>
          <w:bCs/>
          <w:szCs w:val="24"/>
        </w:rPr>
      </w:pPr>
    </w:p>
    <w:p w14:paraId="4506B8FA" w14:textId="681557AB"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9) valsts kompensācijas pašvaldībām pabalsta bērna uzturam audžuģimenei pārskatīšanu, nosakot pabalsta minimālo apmēru divkāršā minimālo uzturlīdzekļu apmērā saskaņā ar </w:t>
      </w:r>
      <w:r w:rsidR="00113007" w:rsidRPr="00D8017D">
        <w:rPr>
          <w:rFonts w:eastAsia="Times New Roman" w:cs="Times New Roman"/>
          <w:bCs/>
          <w:szCs w:val="24"/>
        </w:rPr>
        <w:t xml:space="preserve">MK </w:t>
      </w:r>
      <w:r w:rsidR="005F556E" w:rsidRPr="00D8017D">
        <w:rPr>
          <w:rFonts w:eastAsia="Times New Roman" w:cs="Times New Roman"/>
          <w:bCs/>
          <w:szCs w:val="24"/>
        </w:rPr>
        <w:t xml:space="preserve">2013. gada 15. janvāra </w:t>
      </w:r>
      <w:r w:rsidR="00113007" w:rsidRPr="00D8017D">
        <w:rPr>
          <w:rFonts w:eastAsia="Times New Roman" w:cs="Times New Roman"/>
          <w:bCs/>
          <w:szCs w:val="24"/>
        </w:rPr>
        <w:t>noteikumiem Nr.</w:t>
      </w:r>
      <w:r w:rsidR="009427E1">
        <w:rPr>
          <w:rFonts w:eastAsia="Times New Roman" w:cs="Times New Roman"/>
          <w:bCs/>
          <w:szCs w:val="24"/>
        </w:rPr>
        <w:t xml:space="preserve"> </w:t>
      </w:r>
      <w:r w:rsidR="00113007" w:rsidRPr="00D8017D">
        <w:rPr>
          <w:rFonts w:eastAsia="Times New Roman" w:cs="Times New Roman"/>
          <w:bCs/>
          <w:szCs w:val="24"/>
        </w:rPr>
        <w:t>37</w:t>
      </w:r>
      <w:r w:rsidRPr="00D8017D">
        <w:rPr>
          <w:rFonts w:eastAsia="Times New Roman" w:cs="Times New Roman"/>
          <w:bCs/>
          <w:szCs w:val="24"/>
        </w:rPr>
        <w:t>, t.i., ne mazāk kā 25% no minimālās algas par bērniem 0-6 gadiem un 30% no minimālās algas par bērniem vecumā no 7-17 gadiem. Minimālā alga 2026.</w:t>
      </w:r>
      <w:r w:rsidR="00113007" w:rsidRPr="00D8017D">
        <w:rPr>
          <w:rFonts w:eastAsia="Times New Roman" w:cs="Times New Roman"/>
          <w:bCs/>
          <w:szCs w:val="24"/>
        </w:rPr>
        <w:t xml:space="preserve"> </w:t>
      </w:r>
      <w:r w:rsidRPr="00D8017D">
        <w:rPr>
          <w:rFonts w:eastAsia="Times New Roman" w:cs="Times New Roman"/>
          <w:bCs/>
          <w:szCs w:val="24"/>
        </w:rPr>
        <w:t xml:space="preserve">gadā ir 780 </w:t>
      </w:r>
      <w:r w:rsidRPr="00D8017D">
        <w:rPr>
          <w:rFonts w:eastAsia="Times New Roman" w:cs="Times New Roman"/>
          <w:bCs/>
          <w:i/>
          <w:iCs/>
          <w:szCs w:val="24"/>
        </w:rPr>
        <w:t>euro</w:t>
      </w:r>
      <w:r w:rsidRPr="00D8017D">
        <w:rPr>
          <w:rFonts w:eastAsia="Times New Roman" w:cs="Times New Roman"/>
          <w:bCs/>
          <w:szCs w:val="24"/>
        </w:rPr>
        <w:t>. Līdz ar to pabalsta minimālais apmērs 2026.</w:t>
      </w:r>
      <w:r w:rsidR="00E92763" w:rsidRPr="00D8017D">
        <w:rPr>
          <w:rFonts w:eastAsia="Times New Roman" w:cs="Times New Roman"/>
          <w:bCs/>
          <w:szCs w:val="24"/>
        </w:rPr>
        <w:t xml:space="preserve"> </w:t>
      </w:r>
      <w:r w:rsidRPr="00D8017D">
        <w:rPr>
          <w:rFonts w:eastAsia="Times New Roman" w:cs="Times New Roman"/>
          <w:bCs/>
          <w:szCs w:val="24"/>
        </w:rPr>
        <w:t>gadā ir</w:t>
      </w:r>
      <w:r w:rsidR="00E92763" w:rsidRPr="00D8017D">
        <w:rPr>
          <w:rFonts w:eastAsia="Times New Roman" w:cs="Times New Roman"/>
          <w:bCs/>
          <w:szCs w:val="24"/>
        </w:rPr>
        <w:t xml:space="preserve"> palielināts</w:t>
      </w:r>
      <w:r w:rsidRPr="00D8017D">
        <w:rPr>
          <w:rFonts w:eastAsia="Times New Roman" w:cs="Times New Roman"/>
          <w:bCs/>
          <w:szCs w:val="24"/>
        </w:rPr>
        <w:t>:</w:t>
      </w:r>
    </w:p>
    <w:p w14:paraId="2DF32284" w14:textId="77777777"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a) par bērnu līdz septiņu gadu vecuma sasniegšanai – no 215 </w:t>
      </w:r>
      <w:r w:rsidRPr="00D8017D">
        <w:rPr>
          <w:rFonts w:eastAsia="Times New Roman" w:cs="Times New Roman"/>
          <w:bCs/>
          <w:i/>
          <w:iCs/>
          <w:szCs w:val="24"/>
        </w:rPr>
        <w:t>euro</w:t>
      </w:r>
      <w:r w:rsidRPr="00D8017D">
        <w:rPr>
          <w:rFonts w:eastAsia="Times New Roman" w:cs="Times New Roman"/>
          <w:bCs/>
          <w:szCs w:val="24"/>
        </w:rPr>
        <w:t xml:space="preserve"> uz 390 </w:t>
      </w:r>
      <w:r w:rsidRPr="00D8017D">
        <w:rPr>
          <w:rFonts w:eastAsia="Times New Roman" w:cs="Times New Roman"/>
          <w:bCs/>
          <w:i/>
          <w:iCs/>
          <w:szCs w:val="24"/>
        </w:rPr>
        <w:t>euro</w:t>
      </w:r>
      <w:r w:rsidRPr="00D8017D">
        <w:rPr>
          <w:rFonts w:eastAsia="Times New Roman" w:cs="Times New Roman"/>
          <w:bCs/>
          <w:szCs w:val="24"/>
        </w:rPr>
        <w:t xml:space="preserve"> mēnesī;</w:t>
      </w:r>
    </w:p>
    <w:p w14:paraId="637FF7AB" w14:textId="2AAEE718"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b) par bērnu vecumā no septiņiem gadiem – no 258 </w:t>
      </w:r>
      <w:r w:rsidRPr="00D8017D">
        <w:rPr>
          <w:rFonts w:eastAsia="Times New Roman" w:cs="Times New Roman"/>
          <w:bCs/>
          <w:i/>
          <w:iCs/>
          <w:szCs w:val="24"/>
        </w:rPr>
        <w:t>euro</w:t>
      </w:r>
      <w:r w:rsidRPr="00D8017D">
        <w:rPr>
          <w:rFonts w:eastAsia="Times New Roman" w:cs="Times New Roman"/>
          <w:bCs/>
          <w:szCs w:val="24"/>
        </w:rPr>
        <w:t xml:space="preserve"> uz 468 </w:t>
      </w:r>
      <w:r w:rsidRPr="00D8017D">
        <w:rPr>
          <w:rFonts w:eastAsia="Times New Roman" w:cs="Times New Roman"/>
          <w:bCs/>
          <w:i/>
          <w:iCs/>
          <w:szCs w:val="24"/>
        </w:rPr>
        <w:t>euro</w:t>
      </w:r>
      <w:r w:rsidRPr="00D8017D">
        <w:rPr>
          <w:rFonts w:eastAsia="Times New Roman" w:cs="Times New Roman"/>
          <w:bCs/>
          <w:szCs w:val="24"/>
        </w:rPr>
        <w:t xml:space="preserve"> mēnesī. Turpmākos gados pabalsta minimālais apmērs pieaug atbilstoši minimālās algas izmaiņām: 2027.</w:t>
      </w:r>
      <w:r w:rsidR="00E92763" w:rsidRPr="00D8017D">
        <w:rPr>
          <w:rFonts w:eastAsia="Times New Roman" w:cs="Times New Roman"/>
          <w:bCs/>
          <w:szCs w:val="24"/>
        </w:rPr>
        <w:t xml:space="preserve"> </w:t>
      </w:r>
      <w:r w:rsidRPr="00D8017D">
        <w:rPr>
          <w:rFonts w:eastAsia="Times New Roman" w:cs="Times New Roman"/>
          <w:bCs/>
          <w:szCs w:val="24"/>
        </w:rPr>
        <w:t xml:space="preserve">gadā </w:t>
      </w:r>
      <w:r w:rsidR="00E92763" w:rsidRPr="00D8017D">
        <w:rPr>
          <w:rFonts w:eastAsia="Times New Roman" w:cs="Times New Roman"/>
          <w:bCs/>
          <w:szCs w:val="24"/>
        </w:rPr>
        <w:t>–</w:t>
      </w:r>
      <w:r w:rsidRPr="00D8017D">
        <w:rPr>
          <w:rFonts w:eastAsia="Times New Roman" w:cs="Times New Roman"/>
          <w:bCs/>
          <w:szCs w:val="24"/>
        </w:rPr>
        <w:t xml:space="preserve"> </w:t>
      </w:r>
      <w:r w:rsidR="00E92763" w:rsidRPr="00D8017D">
        <w:rPr>
          <w:rFonts w:eastAsia="Times New Roman" w:cs="Times New Roman"/>
          <w:bCs/>
          <w:szCs w:val="24"/>
        </w:rPr>
        <w:t xml:space="preserve">no </w:t>
      </w:r>
      <w:r w:rsidRPr="00D8017D">
        <w:rPr>
          <w:rFonts w:eastAsia="Times New Roman" w:cs="Times New Roman"/>
          <w:bCs/>
          <w:szCs w:val="24"/>
        </w:rPr>
        <w:t>410</w:t>
      </w:r>
      <w:r w:rsidR="00E92763" w:rsidRPr="00D8017D">
        <w:rPr>
          <w:rFonts w:eastAsia="Times New Roman" w:cs="Times New Roman"/>
          <w:bCs/>
          <w:szCs w:val="24"/>
        </w:rPr>
        <w:t xml:space="preserve"> </w:t>
      </w:r>
      <w:r w:rsidR="005F556E" w:rsidRPr="005F556E">
        <w:rPr>
          <w:rFonts w:eastAsia="Times New Roman" w:cs="Times New Roman"/>
          <w:bCs/>
          <w:i/>
          <w:iCs/>
          <w:szCs w:val="24"/>
        </w:rPr>
        <w:t>euro</w:t>
      </w:r>
      <w:r w:rsidR="005F556E">
        <w:rPr>
          <w:rFonts w:eastAsia="Times New Roman" w:cs="Times New Roman"/>
          <w:bCs/>
          <w:szCs w:val="24"/>
        </w:rPr>
        <w:t xml:space="preserve"> </w:t>
      </w:r>
      <w:r w:rsidR="00E92763" w:rsidRPr="00D8017D">
        <w:rPr>
          <w:rFonts w:eastAsia="Times New Roman" w:cs="Times New Roman"/>
          <w:bCs/>
          <w:szCs w:val="24"/>
        </w:rPr>
        <w:t xml:space="preserve">līdz </w:t>
      </w:r>
      <w:r w:rsidRPr="00D8017D">
        <w:rPr>
          <w:rFonts w:eastAsia="Times New Roman" w:cs="Times New Roman"/>
          <w:bCs/>
          <w:szCs w:val="24"/>
        </w:rPr>
        <w:t xml:space="preserve">492 </w:t>
      </w:r>
      <w:r w:rsidRPr="00D8017D">
        <w:rPr>
          <w:rFonts w:eastAsia="Times New Roman" w:cs="Times New Roman"/>
          <w:bCs/>
          <w:i/>
          <w:iCs/>
          <w:szCs w:val="24"/>
        </w:rPr>
        <w:t>euro</w:t>
      </w:r>
      <w:r w:rsidRPr="00D8017D">
        <w:rPr>
          <w:rFonts w:eastAsia="Times New Roman" w:cs="Times New Roman"/>
          <w:bCs/>
          <w:szCs w:val="24"/>
        </w:rPr>
        <w:t>, 2028.</w:t>
      </w:r>
      <w:r w:rsidR="00E92763" w:rsidRPr="00D8017D">
        <w:rPr>
          <w:rFonts w:eastAsia="Times New Roman" w:cs="Times New Roman"/>
          <w:bCs/>
          <w:szCs w:val="24"/>
        </w:rPr>
        <w:t xml:space="preserve"> </w:t>
      </w:r>
      <w:r w:rsidRPr="00D8017D">
        <w:rPr>
          <w:rFonts w:eastAsia="Times New Roman" w:cs="Times New Roman"/>
          <w:bCs/>
          <w:szCs w:val="24"/>
        </w:rPr>
        <w:t xml:space="preserve">gadā un turpmāk </w:t>
      </w:r>
      <w:r w:rsidR="00E92763" w:rsidRPr="00D8017D">
        <w:rPr>
          <w:rFonts w:eastAsia="Times New Roman" w:cs="Times New Roman"/>
          <w:bCs/>
          <w:szCs w:val="24"/>
        </w:rPr>
        <w:t>–</w:t>
      </w:r>
      <w:r w:rsidRPr="00D8017D">
        <w:rPr>
          <w:rFonts w:eastAsia="Times New Roman" w:cs="Times New Roman"/>
          <w:bCs/>
          <w:szCs w:val="24"/>
        </w:rPr>
        <w:t xml:space="preserve"> </w:t>
      </w:r>
      <w:r w:rsidR="00E92763" w:rsidRPr="00D8017D">
        <w:rPr>
          <w:rFonts w:eastAsia="Times New Roman" w:cs="Times New Roman"/>
          <w:bCs/>
          <w:szCs w:val="24"/>
        </w:rPr>
        <w:t xml:space="preserve">no </w:t>
      </w:r>
      <w:r w:rsidRPr="00D8017D">
        <w:rPr>
          <w:rFonts w:eastAsia="Times New Roman" w:cs="Times New Roman"/>
          <w:bCs/>
          <w:szCs w:val="24"/>
        </w:rPr>
        <w:t>430</w:t>
      </w:r>
      <w:r w:rsidR="00E92763" w:rsidRPr="00D8017D">
        <w:rPr>
          <w:rFonts w:eastAsia="Times New Roman" w:cs="Times New Roman"/>
          <w:bCs/>
          <w:szCs w:val="24"/>
        </w:rPr>
        <w:t xml:space="preserve"> </w:t>
      </w:r>
      <w:r w:rsidR="005F556E" w:rsidRPr="005F556E">
        <w:rPr>
          <w:rFonts w:eastAsia="Times New Roman" w:cs="Times New Roman"/>
          <w:bCs/>
          <w:i/>
          <w:iCs/>
          <w:szCs w:val="24"/>
        </w:rPr>
        <w:t>euro</w:t>
      </w:r>
      <w:r w:rsidR="005F556E">
        <w:rPr>
          <w:rFonts w:eastAsia="Times New Roman" w:cs="Times New Roman"/>
          <w:bCs/>
          <w:szCs w:val="24"/>
        </w:rPr>
        <w:t xml:space="preserve"> </w:t>
      </w:r>
      <w:r w:rsidR="00E92763" w:rsidRPr="00D8017D">
        <w:rPr>
          <w:rFonts w:eastAsia="Times New Roman" w:cs="Times New Roman"/>
          <w:bCs/>
          <w:szCs w:val="24"/>
        </w:rPr>
        <w:t xml:space="preserve">līdz </w:t>
      </w:r>
      <w:r w:rsidRPr="00D8017D">
        <w:rPr>
          <w:rFonts w:eastAsia="Times New Roman" w:cs="Times New Roman"/>
          <w:bCs/>
          <w:szCs w:val="24"/>
        </w:rPr>
        <w:t xml:space="preserve">516 </w:t>
      </w:r>
      <w:r w:rsidRPr="00D8017D">
        <w:rPr>
          <w:rFonts w:eastAsia="Times New Roman" w:cs="Times New Roman"/>
          <w:bCs/>
          <w:i/>
          <w:iCs/>
          <w:szCs w:val="24"/>
        </w:rPr>
        <w:t>euro</w:t>
      </w:r>
      <w:r w:rsidRPr="00D8017D">
        <w:rPr>
          <w:rFonts w:eastAsia="Times New Roman" w:cs="Times New Roman"/>
          <w:bCs/>
          <w:szCs w:val="24"/>
        </w:rPr>
        <w:t xml:space="preserve"> atkarībā no bērna vecuma;</w:t>
      </w:r>
    </w:p>
    <w:p w14:paraId="1E0FFB5E" w14:textId="77777777" w:rsidR="00E92763" w:rsidRPr="00D8017D" w:rsidRDefault="00E92763" w:rsidP="0020177D">
      <w:pPr>
        <w:pStyle w:val="ListParagraph"/>
        <w:widowControl w:val="0"/>
        <w:spacing w:after="0"/>
        <w:ind w:left="0" w:firstLine="360"/>
        <w:rPr>
          <w:rFonts w:eastAsia="Times New Roman" w:cs="Times New Roman"/>
          <w:bCs/>
          <w:szCs w:val="24"/>
        </w:rPr>
      </w:pPr>
    </w:p>
    <w:p w14:paraId="3F4D5388" w14:textId="77777777"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10) atbalsta pasākumus specializētajām audžuģimenēm:</w:t>
      </w:r>
    </w:p>
    <w:p w14:paraId="148A5E47" w14:textId="0EF593DD"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a) visām specializētajām audžuģimenēm (krīzes, bērniem ar </w:t>
      </w:r>
      <w:r w:rsidR="00E92763" w:rsidRPr="00D8017D">
        <w:rPr>
          <w:rFonts w:eastAsia="Times New Roman" w:cs="Times New Roman"/>
          <w:bCs/>
          <w:szCs w:val="24"/>
        </w:rPr>
        <w:t>funkcionāliem traucējumiem</w:t>
      </w:r>
      <w:r w:rsidRPr="00D8017D">
        <w:rPr>
          <w:rFonts w:eastAsia="Times New Roman" w:cs="Times New Roman"/>
          <w:bCs/>
          <w:szCs w:val="24"/>
        </w:rPr>
        <w:t xml:space="preserve"> un bērniem ar atkarības un uzvedības problēmām) no </w:t>
      </w:r>
      <w:r w:rsidR="00E92763" w:rsidRPr="00D8017D">
        <w:rPr>
          <w:rFonts w:eastAsia="Times New Roman" w:cs="Times New Roman"/>
          <w:bCs/>
          <w:szCs w:val="24"/>
        </w:rPr>
        <w:t>2026. gada 1. j</w:t>
      </w:r>
      <w:r w:rsidR="0020177D" w:rsidRPr="00D8017D">
        <w:rPr>
          <w:rFonts w:eastAsia="Times New Roman" w:cs="Times New Roman"/>
          <w:bCs/>
          <w:szCs w:val="24"/>
        </w:rPr>
        <w:t>ūlija</w:t>
      </w:r>
      <w:r w:rsidR="00E92763" w:rsidRPr="00D8017D">
        <w:rPr>
          <w:rFonts w:eastAsia="Times New Roman" w:cs="Times New Roman"/>
          <w:bCs/>
          <w:szCs w:val="24"/>
        </w:rPr>
        <w:t xml:space="preserve"> </w:t>
      </w:r>
      <w:r w:rsidRPr="00D8017D">
        <w:rPr>
          <w:rFonts w:eastAsia="Times New Roman" w:cs="Times New Roman"/>
          <w:bCs/>
          <w:szCs w:val="24"/>
        </w:rPr>
        <w:t xml:space="preserve">nodrošināt civiltiesisko apdrošināšanu, kas kopumā vienai ģimenei izmaksā 70 </w:t>
      </w:r>
      <w:r w:rsidRPr="00D8017D">
        <w:rPr>
          <w:rFonts w:eastAsia="Times New Roman" w:cs="Times New Roman"/>
          <w:bCs/>
          <w:i/>
          <w:iCs/>
          <w:szCs w:val="24"/>
        </w:rPr>
        <w:t>euro</w:t>
      </w:r>
      <w:r w:rsidRPr="00D8017D">
        <w:rPr>
          <w:rFonts w:eastAsia="Times New Roman" w:cs="Times New Roman"/>
          <w:bCs/>
          <w:szCs w:val="24"/>
        </w:rPr>
        <w:t>;</w:t>
      </w:r>
    </w:p>
    <w:p w14:paraId="1B4F836A" w14:textId="4882A4F9"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b) visām specializētajām audžuģimenēm no </w:t>
      </w:r>
      <w:r w:rsidR="00E92763" w:rsidRPr="00D8017D">
        <w:rPr>
          <w:rFonts w:eastAsia="Times New Roman" w:cs="Times New Roman"/>
          <w:bCs/>
          <w:szCs w:val="24"/>
        </w:rPr>
        <w:t xml:space="preserve">2026. gada 1. jūlija </w:t>
      </w:r>
      <w:r w:rsidRPr="00D8017D">
        <w:rPr>
          <w:rFonts w:eastAsia="Times New Roman" w:cs="Times New Roman"/>
          <w:bCs/>
          <w:szCs w:val="24"/>
        </w:rPr>
        <w:t xml:space="preserve">nodrošināt veselības apdrošināšanu vienai personai 426,86 </w:t>
      </w:r>
      <w:r w:rsidRPr="00D8017D">
        <w:rPr>
          <w:rFonts w:eastAsia="Times New Roman" w:cs="Times New Roman"/>
          <w:bCs/>
          <w:i/>
          <w:iCs/>
          <w:szCs w:val="24"/>
        </w:rPr>
        <w:t>euro</w:t>
      </w:r>
      <w:r w:rsidRPr="00D8017D">
        <w:rPr>
          <w:rFonts w:eastAsia="Times New Roman" w:cs="Times New Roman"/>
          <w:bCs/>
          <w:szCs w:val="24"/>
        </w:rPr>
        <w:t xml:space="preserve"> apmērā;</w:t>
      </w:r>
    </w:p>
    <w:p w14:paraId="54714722" w14:textId="13AE82AE"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c) atelpas brīža pakalpojumu audžuģimenēm bērniem ar </w:t>
      </w:r>
      <w:r w:rsidR="00E92763" w:rsidRPr="00D8017D">
        <w:rPr>
          <w:rFonts w:eastAsia="Times New Roman" w:cs="Times New Roman"/>
          <w:bCs/>
          <w:szCs w:val="24"/>
        </w:rPr>
        <w:t>funkcionāliem traucējumiem</w:t>
      </w:r>
      <w:r w:rsidRPr="00D8017D">
        <w:rPr>
          <w:rFonts w:eastAsia="Times New Roman" w:cs="Times New Roman"/>
          <w:bCs/>
          <w:szCs w:val="24"/>
        </w:rPr>
        <w:t xml:space="preserve"> no </w:t>
      </w:r>
      <w:r w:rsidR="00E92763" w:rsidRPr="00D8017D">
        <w:rPr>
          <w:rFonts w:eastAsia="Times New Roman" w:cs="Times New Roman"/>
          <w:bCs/>
          <w:szCs w:val="24"/>
        </w:rPr>
        <w:t>2026. gada 1. jūlija</w:t>
      </w:r>
      <w:r w:rsidRPr="00D8017D">
        <w:rPr>
          <w:rFonts w:eastAsia="Times New Roman" w:cs="Times New Roman"/>
          <w:bCs/>
          <w:szCs w:val="24"/>
        </w:rPr>
        <w:t xml:space="preserve">, kā arī audžuģimenēm bērniem ar atkarības un uzvedības problēmām, kuru ģimenē bērns nepārtraukti uzturējies vismaz 12 mēnešus - no </w:t>
      </w:r>
      <w:r w:rsidR="00E92763" w:rsidRPr="00D8017D">
        <w:rPr>
          <w:rFonts w:eastAsia="Times New Roman" w:cs="Times New Roman"/>
          <w:bCs/>
          <w:szCs w:val="24"/>
        </w:rPr>
        <w:t>2027. gada 1. jūlija</w:t>
      </w:r>
      <w:r w:rsidRPr="00D8017D">
        <w:rPr>
          <w:rFonts w:eastAsia="Times New Roman" w:cs="Times New Roman"/>
          <w:bCs/>
          <w:szCs w:val="24"/>
        </w:rPr>
        <w:t xml:space="preserve">. Atelpas brīdis paredzēts, nepārsniedzot 30 dienas gadā un 160 </w:t>
      </w:r>
      <w:r w:rsidRPr="00D8017D">
        <w:rPr>
          <w:rFonts w:eastAsia="Times New Roman" w:cs="Times New Roman"/>
          <w:bCs/>
          <w:i/>
          <w:iCs/>
          <w:szCs w:val="24"/>
        </w:rPr>
        <w:t>euro</w:t>
      </w:r>
      <w:r w:rsidRPr="00D8017D">
        <w:rPr>
          <w:rFonts w:eastAsia="Times New Roman" w:cs="Times New Roman"/>
          <w:bCs/>
          <w:szCs w:val="24"/>
        </w:rPr>
        <w:t xml:space="preserve"> dienā, kopā nepārsniedzot 4 800 </w:t>
      </w:r>
      <w:r w:rsidRPr="00D8017D">
        <w:rPr>
          <w:rFonts w:eastAsia="Times New Roman" w:cs="Times New Roman"/>
          <w:bCs/>
          <w:i/>
          <w:iCs/>
          <w:szCs w:val="24"/>
        </w:rPr>
        <w:t>euro</w:t>
      </w:r>
      <w:r w:rsidRPr="00D8017D">
        <w:rPr>
          <w:rFonts w:eastAsia="Times New Roman" w:cs="Times New Roman"/>
          <w:bCs/>
          <w:szCs w:val="24"/>
        </w:rPr>
        <w:t xml:space="preserve">/gadā vienam specializētajā audžuģimenē esošam bērnam ar </w:t>
      </w:r>
      <w:r w:rsidR="00E92763" w:rsidRPr="00D8017D">
        <w:rPr>
          <w:rFonts w:eastAsia="Times New Roman" w:cs="Times New Roman"/>
          <w:bCs/>
          <w:szCs w:val="24"/>
        </w:rPr>
        <w:t>funkcionāliem traucējumiem</w:t>
      </w:r>
      <w:r w:rsidRPr="00D8017D">
        <w:rPr>
          <w:rFonts w:eastAsia="Times New Roman" w:cs="Times New Roman"/>
          <w:bCs/>
          <w:szCs w:val="24"/>
        </w:rPr>
        <w:t xml:space="preserve"> vai </w:t>
      </w:r>
      <w:r w:rsidRPr="00D8017D">
        <w:rPr>
          <w:rFonts w:eastAsia="Times New Roman" w:cs="Times New Roman"/>
          <w:bCs/>
          <w:szCs w:val="24"/>
        </w:rPr>
        <w:lastRenderedPageBreak/>
        <w:t>uzvedības traucējumiem vai atkarības problēmām;</w:t>
      </w:r>
    </w:p>
    <w:p w14:paraId="18C2C416" w14:textId="77777777"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d) atbalsta personas pakalpojums, tai skaitā atbalsta personu mācības. </w:t>
      </w:r>
    </w:p>
    <w:p w14:paraId="03769C67" w14:textId="77777777" w:rsidR="00E92763" w:rsidRPr="00D8017D" w:rsidRDefault="00E92763" w:rsidP="0020177D">
      <w:pPr>
        <w:pStyle w:val="ListParagraph"/>
        <w:widowControl w:val="0"/>
        <w:spacing w:after="0"/>
        <w:ind w:left="0" w:firstLine="360"/>
        <w:rPr>
          <w:rFonts w:eastAsia="Times New Roman" w:cs="Times New Roman"/>
          <w:bCs/>
          <w:szCs w:val="24"/>
        </w:rPr>
      </w:pPr>
    </w:p>
    <w:p w14:paraId="02E94694" w14:textId="73FCD741"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11) “Bērna mājas” pakalpojuma patstāvīgas darbības nodrošināšana - Bērna mājas reģionālās filiāles vajadzībām ar 2026. gada martu - papildu uzturēšanas izmaksas (nomas maksa un komunālie izdevumi lielākām telpām) un Bērna mājas telpu papildu aprīkojums un tā integrēšana telpās.</w:t>
      </w:r>
    </w:p>
    <w:p w14:paraId="50E2204A" w14:textId="77777777" w:rsidR="00E92763" w:rsidRPr="00D8017D" w:rsidRDefault="00E92763" w:rsidP="0020177D">
      <w:pPr>
        <w:pStyle w:val="ListParagraph"/>
        <w:widowControl w:val="0"/>
        <w:spacing w:after="0"/>
        <w:ind w:left="0" w:firstLine="360"/>
        <w:rPr>
          <w:rFonts w:eastAsia="Times New Roman" w:cs="Times New Roman"/>
          <w:bCs/>
          <w:szCs w:val="24"/>
        </w:rPr>
      </w:pPr>
    </w:p>
    <w:p w14:paraId="4A45534A" w14:textId="2BB32446"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 xml:space="preserve">12) Ārpusģimenes aprūpes centru pakalpojumu pieejamības līdzsvarošanu aizbildņiem un adoptētājiem no </w:t>
      </w:r>
      <w:r w:rsidR="00E92763" w:rsidRPr="00D8017D">
        <w:rPr>
          <w:rFonts w:eastAsia="Times New Roman" w:cs="Times New Roman"/>
          <w:bCs/>
          <w:szCs w:val="24"/>
        </w:rPr>
        <w:t>2026. gada 1. janvāra</w:t>
      </w:r>
      <w:r w:rsidRPr="00D8017D">
        <w:rPr>
          <w:rFonts w:eastAsia="Times New Roman" w:cs="Times New Roman"/>
          <w:bCs/>
          <w:szCs w:val="24"/>
        </w:rPr>
        <w:t>, nodrošinot aizbildņiem un adoptētājiem:</w:t>
      </w:r>
    </w:p>
    <w:p w14:paraId="60990836" w14:textId="77777777"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a) 10 konsultācijas vienai ģimenei gadā pie speciālista, kurš nepieciešams saskaņā ar sociālā darbinieka veikto individuālo vajadzību novērtējumu;</w:t>
      </w:r>
    </w:p>
    <w:p w14:paraId="714603AD" w14:textId="69DCF7A6" w:rsidR="00AB1445" w:rsidRPr="00D8017D" w:rsidRDefault="00AB1445" w:rsidP="0020177D">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b) 10 citu atbalsta speciālistu konsultācijas gadā.</w:t>
      </w:r>
    </w:p>
    <w:p w14:paraId="1D314828" w14:textId="77777777" w:rsidR="00AB1445" w:rsidRPr="00D8017D" w:rsidRDefault="00AB1445" w:rsidP="0020177D">
      <w:pPr>
        <w:pStyle w:val="ListParagraph"/>
        <w:widowControl w:val="0"/>
        <w:spacing w:after="0"/>
        <w:ind w:left="0" w:firstLine="360"/>
        <w:rPr>
          <w:rFonts w:eastAsia="Times New Roman" w:cs="Times New Roman"/>
          <w:bCs/>
          <w:szCs w:val="24"/>
        </w:rPr>
      </w:pPr>
    </w:p>
    <w:p w14:paraId="5CC7C84F" w14:textId="1819786E" w:rsidR="00AB1445" w:rsidRPr="00D8017D" w:rsidRDefault="00AB1445" w:rsidP="00762417">
      <w:pPr>
        <w:pStyle w:val="ListParagraph"/>
        <w:widowControl w:val="0"/>
        <w:spacing w:after="0"/>
        <w:ind w:left="0"/>
        <w:rPr>
          <w:rFonts w:eastAsia="Times New Roman" w:cs="Times New Roman"/>
          <w:bCs/>
          <w:szCs w:val="24"/>
        </w:rPr>
      </w:pPr>
      <w:r w:rsidRPr="00D8017D">
        <w:rPr>
          <w:rFonts w:eastAsia="Times New Roman" w:cs="Times New Roman"/>
          <w:bCs/>
          <w:szCs w:val="24"/>
        </w:rPr>
        <w:t>Pasākums saistīts ar Valdības rīcības plāna 10.1., 11.2., 12.2. un 12.3. pasākumu, kā arī ar Nacionālā attīstības plāna 2021.</w:t>
      </w:r>
      <w:r w:rsidR="009427E1">
        <w:rPr>
          <w:rFonts w:eastAsia="Times New Roman" w:cs="Times New Roman"/>
          <w:bCs/>
          <w:szCs w:val="24"/>
        </w:rPr>
        <w:t xml:space="preserve"> – </w:t>
      </w:r>
      <w:r w:rsidRPr="00D8017D">
        <w:rPr>
          <w:rFonts w:eastAsia="Times New Roman" w:cs="Times New Roman"/>
          <w:bCs/>
          <w:szCs w:val="24"/>
        </w:rPr>
        <w:t>2027.gadam 101., 102., 114., 120. uzdevumu.</w:t>
      </w:r>
      <w:r w:rsidR="0020177D" w:rsidRPr="00D8017D">
        <w:rPr>
          <w:rFonts w:eastAsia="Times New Roman" w:cs="Times New Roman"/>
          <w:bCs/>
          <w:szCs w:val="24"/>
        </w:rPr>
        <w:t xml:space="preserve"> </w:t>
      </w:r>
    </w:p>
    <w:p w14:paraId="640B30B5" w14:textId="77777777" w:rsidR="0020177D" w:rsidRPr="00D8017D" w:rsidRDefault="0020177D" w:rsidP="00762417">
      <w:pPr>
        <w:pStyle w:val="ListParagraph"/>
        <w:widowControl w:val="0"/>
        <w:spacing w:after="0"/>
        <w:ind w:left="0"/>
        <w:rPr>
          <w:rFonts w:eastAsia="Times New Roman" w:cs="Times New Roman"/>
          <w:bCs/>
          <w:szCs w:val="24"/>
        </w:rPr>
      </w:pPr>
    </w:p>
    <w:p w14:paraId="72AC34D3" w14:textId="77EDF6AE" w:rsidR="0020177D" w:rsidRPr="00D8017D" w:rsidRDefault="0020177D" w:rsidP="00762417">
      <w:pPr>
        <w:pStyle w:val="ListParagraph"/>
        <w:widowControl w:val="0"/>
        <w:spacing w:after="0"/>
        <w:ind w:left="0"/>
        <w:rPr>
          <w:rFonts w:eastAsia="Times New Roman" w:cs="Times New Roman"/>
          <w:bCs/>
          <w:szCs w:val="24"/>
        </w:rPr>
      </w:pPr>
      <w:r w:rsidRPr="00D8017D">
        <w:rPr>
          <w:rFonts w:eastAsia="Times New Roman" w:cs="Times New Roman"/>
          <w:bCs/>
          <w:szCs w:val="24"/>
        </w:rPr>
        <w:t>Nacionālajā drošības koncepcijā ir norādīts, ka iekšējo drošību ietekmē arī demogrāfiskās situācijas pasliktināšanās, augstais nabadzības līmenis un sabiedrības ienākumu nevienlīdzība, kā arī izglītības kvalitāte. Pasākums ir tieši vērsts uz iekšējās drošības stiprināšanas aspektu - nabadzības riska un ienākumu nevienlīdzības mazināšanos.</w:t>
      </w:r>
    </w:p>
    <w:p w14:paraId="480B5164" w14:textId="77777777" w:rsidR="00AB1445" w:rsidRPr="00D8017D" w:rsidRDefault="00AB1445" w:rsidP="0020177D">
      <w:pPr>
        <w:pStyle w:val="ListParagraph"/>
        <w:widowControl w:val="0"/>
        <w:spacing w:after="0"/>
        <w:ind w:left="0" w:firstLine="360"/>
        <w:rPr>
          <w:rFonts w:eastAsia="Times New Roman" w:cs="Times New Roman"/>
          <w:bCs/>
          <w:szCs w:val="24"/>
        </w:rPr>
      </w:pPr>
    </w:p>
    <w:p w14:paraId="1C48D3DE" w14:textId="049F5958" w:rsidR="00865693" w:rsidRPr="00D8017D" w:rsidRDefault="0072164F" w:rsidP="003160BE">
      <w:pPr>
        <w:pStyle w:val="ListParagraph"/>
        <w:widowControl w:val="0"/>
        <w:numPr>
          <w:ilvl w:val="0"/>
          <w:numId w:val="22"/>
        </w:numPr>
        <w:spacing w:after="0"/>
        <w:ind w:left="0" w:firstLine="360"/>
        <w:rPr>
          <w:rFonts w:eastAsia="Times New Roman" w:cs="Times New Roman"/>
          <w:bCs/>
          <w:szCs w:val="24"/>
        </w:rPr>
      </w:pPr>
      <w:bookmarkStart w:id="74" w:name="_Hlk210687652"/>
      <w:r w:rsidRPr="00F13A0A">
        <w:rPr>
          <w:rFonts w:eastAsia="Times New Roman" w:cs="Times New Roman"/>
          <w:b/>
          <w:szCs w:val="24"/>
        </w:rPr>
        <w:t>Vecāku pabalsta saglabāšanai 75% apmērā strādājošiem pabalsta saņēmējiem</w:t>
      </w:r>
      <w:r w:rsidRPr="00D8017D">
        <w:rPr>
          <w:rFonts w:eastAsia="Times New Roman" w:cs="Times New Roman"/>
          <w:bCs/>
          <w:szCs w:val="24"/>
        </w:rPr>
        <w:t xml:space="preserve"> (LM)</w:t>
      </w:r>
      <w:r w:rsidR="004441E4" w:rsidRPr="00D8017D">
        <w:rPr>
          <w:rFonts w:eastAsia="Times New Roman" w:cs="Times New Roman"/>
          <w:bCs/>
          <w:szCs w:val="24"/>
        </w:rPr>
        <w:t xml:space="preserve"> </w:t>
      </w:r>
      <w:r w:rsidR="004441E4" w:rsidRPr="00F13A0A">
        <w:rPr>
          <w:rFonts w:eastAsia="Times New Roman" w:cs="Times New Roman"/>
          <w:b/>
          <w:szCs w:val="24"/>
        </w:rPr>
        <w:t xml:space="preserve">7,7 milj. </w:t>
      </w:r>
      <w:r w:rsidR="004441E4" w:rsidRPr="00F13A0A">
        <w:rPr>
          <w:rFonts w:eastAsia="Times New Roman" w:cs="Times New Roman"/>
          <w:b/>
          <w:i/>
          <w:iCs/>
          <w:szCs w:val="24"/>
        </w:rPr>
        <w:t>euro</w:t>
      </w:r>
      <w:r w:rsidR="004441E4" w:rsidRPr="00D8017D">
        <w:rPr>
          <w:rFonts w:eastAsia="Times New Roman" w:cs="Times New Roman"/>
          <w:bCs/>
          <w:szCs w:val="24"/>
        </w:rPr>
        <w:t xml:space="preserve"> 2026. gadam.</w:t>
      </w:r>
    </w:p>
    <w:bookmarkEnd w:id="74"/>
    <w:p w14:paraId="00ADBD54" w14:textId="18DC4159" w:rsidR="004441E4" w:rsidRDefault="00D8017D" w:rsidP="00762417">
      <w:pPr>
        <w:pStyle w:val="ListParagraph"/>
        <w:ind w:left="0" w:firstLine="357"/>
        <w:rPr>
          <w:rFonts w:eastAsia="Times New Roman" w:cs="Times New Roman"/>
          <w:bCs/>
          <w:szCs w:val="24"/>
        </w:rPr>
      </w:pPr>
      <w:r>
        <w:rPr>
          <w:rFonts w:eastAsia="Times New Roman" w:cs="Times New Roman"/>
          <w:bCs/>
          <w:szCs w:val="24"/>
        </w:rPr>
        <w:t>Pasākums paredz a</w:t>
      </w:r>
      <w:r w:rsidRPr="00D8017D">
        <w:rPr>
          <w:rFonts w:eastAsia="Times New Roman" w:cs="Times New Roman"/>
          <w:bCs/>
          <w:szCs w:val="24"/>
        </w:rPr>
        <w:t>r 2026.</w:t>
      </w:r>
      <w:r>
        <w:rPr>
          <w:rFonts w:eastAsia="Times New Roman" w:cs="Times New Roman"/>
          <w:bCs/>
          <w:szCs w:val="24"/>
        </w:rPr>
        <w:t xml:space="preserve"> </w:t>
      </w:r>
      <w:r w:rsidRPr="00D8017D">
        <w:rPr>
          <w:rFonts w:eastAsia="Times New Roman" w:cs="Times New Roman"/>
          <w:bCs/>
          <w:szCs w:val="24"/>
        </w:rPr>
        <w:t>gada 1.</w:t>
      </w:r>
      <w:r>
        <w:rPr>
          <w:rFonts w:eastAsia="Times New Roman" w:cs="Times New Roman"/>
          <w:bCs/>
          <w:szCs w:val="24"/>
        </w:rPr>
        <w:t xml:space="preserve"> </w:t>
      </w:r>
      <w:r w:rsidRPr="00D8017D">
        <w:rPr>
          <w:rFonts w:eastAsia="Times New Roman" w:cs="Times New Roman"/>
          <w:bCs/>
          <w:szCs w:val="24"/>
        </w:rPr>
        <w:t>janvāri vēl par vienu gadu (līdz 2026.</w:t>
      </w:r>
      <w:r w:rsidR="009427E1">
        <w:rPr>
          <w:rFonts w:eastAsia="Times New Roman" w:cs="Times New Roman"/>
          <w:bCs/>
          <w:szCs w:val="24"/>
        </w:rPr>
        <w:t xml:space="preserve"> </w:t>
      </w:r>
      <w:r w:rsidRPr="00D8017D">
        <w:rPr>
          <w:rFonts w:eastAsia="Times New Roman" w:cs="Times New Roman"/>
          <w:bCs/>
          <w:szCs w:val="24"/>
        </w:rPr>
        <w:t>gada 31.</w:t>
      </w:r>
      <w:r w:rsidR="009427E1">
        <w:rPr>
          <w:rFonts w:eastAsia="Times New Roman" w:cs="Times New Roman"/>
          <w:bCs/>
          <w:szCs w:val="24"/>
        </w:rPr>
        <w:t xml:space="preserve"> </w:t>
      </w:r>
      <w:r w:rsidRPr="00D8017D">
        <w:rPr>
          <w:rFonts w:eastAsia="Times New Roman" w:cs="Times New Roman"/>
          <w:bCs/>
          <w:szCs w:val="24"/>
        </w:rPr>
        <w:t>decembrim) pagarināt jau 2025.</w:t>
      </w:r>
      <w:r>
        <w:rPr>
          <w:rFonts w:eastAsia="Times New Roman" w:cs="Times New Roman"/>
          <w:bCs/>
          <w:szCs w:val="24"/>
        </w:rPr>
        <w:t xml:space="preserve"> </w:t>
      </w:r>
      <w:r w:rsidRPr="00D8017D">
        <w:rPr>
          <w:rFonts w:eastAsia="Times New Roman" w:cs="Times New Roman"/>
          <w:bCs/>
          <w:szCs w:val="24"/>
        </w:rPr>
        <w:t>gada 1.</w:t>
      </w:r>
      <w:r>
        <w:rPr>
          <w:rFonts w:eastAsia="Times New Roman" w:cs="Times New Roman"/>
          <w:bCs/>
          <w:szCs w:val="24"/>
        </w:rPr>
        <w:t xml:space="preserve"> </w:t>
      </w:r>
      <w:r w:rsidRPr="00D8017D">
        <w:rPr>
          <w:rFonts w:eastAsia="Times New Roman" w:cs="Times New Roman"/>
          <w:bCs/>
          <w:szCs w:val="24"/>
        </w:rPr>
        <w:t>janvārī spēkā stājušos normu, kas uz gadu (līdz 2025.</w:t>
      </w:r>
      <w:r w:rsidR="009427E1">
        <w:rPr>
          <w:rFonts w:eastAsia="Times New Roman" w:cs="Times New Roman"/>
          <w:bCs/>
          <w:szCs w:val="24"/>
        </w:rPr>
        <w:t xml:space="preserve"> </w:t>
      </w:r>
      <w:r w:rsidRPr="00D8017D">
        <w:rPr>
          <w:rFonts w:eastAsia="Times New Roman" w:cs="Times New Roman"/>
          <w:bCs/>
          <w:szCs w:val="24"/>
        </w:rPr>
        <w:t>gada 31.</w:t>
      </w:r>
      <w:r w:rsidR="009427E1">
        <w:rPr>
          <w:rFonts w:eastAsia="Times New Roman" w:cs="Times New Roman"/>
          <w:bCs/>
          <w:szCs w:val="24"/>
        </w:rPr>
        <w:t xml:space="preserve"> </w:t>
      </w:r>
      <w:r w:rsidRPr="00D8017D">
        <w:rPr>
          <w:rFonts w:eastAsia="Times New Roman" w:cs="Times New Roman"/>
          <w:bCs/>
          <w:szCs w:val="24"/>
        </w:rPr>
        <w:t>decembrim) paredzēja nodrošināt lielāku vecāku pabalsta daļas izmaksu strādājošiem vecāku pabalsta saņēmējiem, tādējādi palielinot ienākumus strādājošiem pabalsta saņēmējiem, vienlaikus veicinot iespēju saskaņot ģimenes un darba dzīvi.</w:t>
      </w:r>
    </w:p>
    <w:p w14:paraId="73808926" w14:textId="54C3A90E" w:rsidR="00D8017D" w:rsidRPr="00D8017D" w:rsidRDefault="00D8017D" w:rsidP="00762417">
      <w:pPr>
        <w:pStyle w:val="ListParagraph"/>
        <w:widowControl w:val="0"/>
        <w:ind w:left="0" w:firstLine="357"/>
        <w:rPr>
          <w:rFonts w:eastAsia="Times New Roman" w:cs="Times New Roman"/>
          <w:bCs/>
          <w:szCs w:val="24"/>
        </w:rPr>
      </w:pPr>
      <w:r w:rsidRPr="00D8017D">
        <w:rPr>
          <w:rFonts w:eastAsia="Times New Roman" w:cs="Times New Roman"/>
          <w:bCs/>
          <w:szCs w:val="24"/>
        </w:rPr>
        <w:t>Pasākums saistīts ar Valdības rīcības plāna 10.2. pasākumu, kā arī ar Nacionālā attīstības plāna 2021.-2027.</w:t>
      </w:r>
      <w:r w:rsidR="009427E1">
        <w:rPr>
          <w:rFonts w:eastAsia="Times New Roman" w:cs="Times New Roman"/>
          <w:bCs/>
          <w:szCs w:val="24"/>
        </w:rPr>
        <w:t xml:space="preserve"> </w:t>
      </w:r>
      <w:r w:rsidRPr="00D8017D">
        <w:rPr>
          <w:rFonts w:eastAsia="Times New Roman" w:cs="Times New Roman"/>
          <w:bCs/>
          <w:szCs w:val="24"/>
        </w:rPr>
        <w:t>gadam 101., 102</w:t>
      </w:r>
      <w:r>
        <w:rPr>
          <w:rFonts w:eastAsia="Times New Roman" w:cs="Times New Roman"/>
          <w:bCs/>
          <w:szCs w:val="24"/>
        </w:rPr>
        <w:t>.</w:t>
      </w:r>
      <w:r w:rsidRPr="00D8017D">
        <w:rPr>
          <w:rFonts w:eastAsia="Times New Roman" w:cs="Times New Roman"/>
          <w:bCs/>
          <w:szCs w:val="24"/>
        </w:rPr>
        <w:t xml:space="preserve"> uzdevumu. </w:t>
      </w:r>
    </w:p>
    <w:p w14:paraId="1580D4C9" w14:textId="77777777" w:rsidR="00D8017D" w:rsidRPr="00D8017D" w:rsidRDefault="00D8017D" w:rsidP="004441E4">
      <w:pPr>
        <w:pStyle w:val="ListParagraph"/>
        <w:ind w:left="0" w:firstLine="360"/>
        <w:rPr>
          <w:rFonts w:eastAsia="Times New Roman" w:cs="Times New Roman"/>
          <w:bCs/>
          <w:szCs w:val="24"/>
        </w:rPr>
      </w:pPr>
    </w:p>
    <w:p w14:paraId="0D77A815" w14:textId="4913E2E5" w:rsidR="004441E4" w:rsidRDefault="0072164F" w:rsidP="003160BE">
      <w:pPr>
        <w:pStyle w:val="ListParagraph"/>
        <w:widowControl w:val="0"/>
        <w:numPr>
          <w:ilvl w:val="0"/>
          <w:numId w:val="22"/>
        </w:numPr>
        <w:spacing w:after="0"/>
        <w:ind w:left="0" w:firstLine="360"/>
        <w:rPr>
          <w:rFonts w:eastAsia="Times New Roman" w:cs="Times New Roman"/>
          <w:bCs/>
          <w:szCs w:val="24"/>
        </w:rPr>
      </w:pPr>
      <w:bookmarkStart w:id="75" w:name="_Hlk210687684"/>
      <w:r w:rsidRPr="00F13A0A">
        <w:rPr>
          <w:rFonts w:eastAsia="Times New Roman" w:cs="Times New Roman"/>
          <w:b/>
          <w:szCs w:val="24"/>
        </w:rPr>
        <w:t>Mātes un bērna veselības uzlabošanai</w:t>
      </w:r>
      <w:r w:rsidRPr="00D8017D">
        <w:rPr>
          <w:rFonts w:eastAsia="Times New Roman" w:cs="Times New Roman"/>
          <w:bCs/>
          <w:szCs w:val="24"/>
        </w:rPr>
        <w:t xml:space="preserve"> (VM)</w:t>
      </w:r>
      <w:r w:rsidR="004441E4" w:rsidRPr="00D8017D">
        <w:rPr>
          <w:rFonts w:eastAsia="Times New Roman" w:cs="Times New Roman"/>
          <w:bCs/>
          <w:szCs w:val="24"/>
        </w:rPr>
        <w:t xml:space="preserve"> </w:t>
      </w:r>
      <w:r w:rsidR="004441E4" w:rsidRPr="00F13A0A">
        <w:rPr>
          <w:rFonts w:eastAsia="Times New Roman" w:cs="Times New Roman"/>
          <w:b/>
          <w:szCs w:val="24"/>
        </w:rPr>
        <w:t xml:space="preserve">30,0 milj. </w:t>
      </w:r>
      <w:r w:rsidR="004441E4" w:rsidRPr="00F13A0A">
        <w:rPr>
          <w:rFonts w:eastAsia="Times New Roman" w:cs="Times New Roman"/>
          <w:b/>
          <w:i/>
          <w:iCs/>
          <w:szCs w:val="24"/>
        </w:rPr>
        <w:t>euro</w:t>
      </w:r>
      <w:r w:rsidR="004441E4" w:rsidRPr="00D8017D">
        <w:rPr>
          <w:rFonts w:eastAsia="Times New Roman" w:cs="Times New Roman"/>
          <w:bCs/>
          <w:szCs w:val="24"/>
        </w:rPr>
        <w:t xml:space="preserve">, t.sk. 10,0 milj. </w:t>
      </w:r>
      <w:r w:rsidR="004441E4" w:rsidRPr="00D8017D">
        <w:rPr>
          <w:rFonts w:eastAsia="Times New Roman" w:cs="Times New Roman"/>
          <w:bCs/>
          <w:i/>
          <w:iCs/>
          <w:szCs w:val="24"/>
        </w:rPr>
        <w:t>euro</w:t>
      </w:r>
      <w:r w:rsidR="004441E4" w:rsidRPr="00D8017D">
        <w:rPr>
          <w:rFonts w:eastAsia="Times New Roman" w:cs="Times New Roman"/>
          <w:bCs/>
          <w:szCs w:val="24"/>
        </w:rPr>
        <w:t xml:space="preserve"> 2026. gadam </w:t>
      </w:r>
      <w:bookmarkEnd w:id="75"/>
      <w:r w:rsidR="004441E4" w:rsidRPr="00D8017D">
        <w:rPr>
          <w:rFonts w:eastAsia="Times New Roman" w:cs="Times New Roman"/>
          <w:bCs/>
          <w:szCs w:val="24"/>
        </w:rPr>
        <w:t xml:space="preserve">un turpmākajiem gadiem. </w:t>
      </w:r>
    </w:p>
    <w:p w14:paraId="34419914" w14:textId="5055D275" w:rsidR="00F13A0A" w:rsidRPr="00F13A0A" w:rsidRDefault="00F13A0A" w:rsidP="00F13A0A">
      <w:pPr>
        <w:pStyle w:val="ListParagraph"/>
        <w:widowControl w:val="0"/>
        <w:spacing w:after="0"/>
        <w:ind w:left="0" w:firstLine="360"/>
        <w:rPr>
          <w:rFonts w:eastAsia="Times New Roman" w:cs="Times New Roman"/>
          <w:bCs/>
          <w:szCs w:val="24"/>
        </w:rPr>
      </w:pPr>
      <w:r>
        <w:rPr>
          <w:rFonts w:eastAsia="Times New Roman" w:cs="Times New Roman"/>
          <w:bCs/>
          <w:szCs w:val="24"/>
        </w:rPr>
        <w:t xml:space="preserve">Pasākums nodrošinās </w:t>
      </w:r>
      <w:r w:rsidRPr="00F13A0A">
        <w:rPr>
          <w:rFonts w:eastAsia="Times New Roman" w:cs="Times New Roman"/>
          <w:bCs/>
          <w:szCs w:val="24"/>
        </w:rPr>
        <w:t>situācij</w:t>
      </w:r>
      <w:r>
        <w:rPr>
          <w:rFonts w:eastAsia="Times New Roman" w:cs="Times New Roman"/>
          <w:bCs/>
          <w:szCs w:val="24"/>
        </w:rPr>
        <w:t>as uzlabošanos</w:t>
      </w:r>
      <w:r w:rsidRPr="00F13A0A">
        <w:rPr>
          <w:rFonts w:eastAsia="Times New Roman" w:cs="Times New Roman"/>
          <w:bCs/>
          <w:szCs w:val="24"/>
        </w:rPr>
        <w:t xml:space="preserve"> mātes un bērna veselības jomā, īstenojot veselības veicināšanas un slimību profilakses pasākumus, kā arī nodrošinot laikus sniegtu, uz pacientu orientētu veselības aprūpi, tai skaitā, agrīnu diagnostiku un atbilstošu ārstēšanu.</w:t>
      </w:r>
      <w:r w:rsidRPr="00F13A0A">
        <w:t xml:space="preserve"> </w:t>
      </w:r>
      <w:r w:rsidRPr="00F13A0A">
        <w:rPr>
          <w:rFonts w:eastAsia="Times New Roman" w:cs="Times New Roman"/>
          <w:bCs/>
          <w:szCs w:val="24"/>
        </w:rPr>
        <w:t>Mātes un bērna veselības aprūpes pakalpojumu uzlabošanai ir izvirzītas vairākas prioritātes:</w:t>
      </w:r>
    </w:p>
    <w:p w14:paraId="539A700D" w14:textId="0C29B803" w:rsidR="00F13A0A" w:rsidRPr="00F13A0A" w:rsidRDefault="00F13A0A" w:rsidP="002E49D9">
      <w:pPr>
        <w:pStyle w:val="ListParagraph"/>
        <w:widowControl w:val="0"/>
        <w:tabs>
          <w:tab w:val="left" w:pos="426"/>
        </w:tabs>
        <w:spacing w:after="0"/>
        <w:ind w:left="0" w:firstLine="0"/>
        <w:rPr>
          <w:rFonts w:eastAsia="Times New Roman" w:cs="Times New Roman"/>
          <w:bCs/>
          <w:szCs w:val="24"/>
        </w:rPr>
      </w:pPr>
      <w:r w:rsidRPr="00F13A0A">
        <w:rPr>
          <w:rFonts w:eastAsia="Times New Roman" w:cs="Times New Roman"/>
          <w:bCs/>
          <w:szCs w:val="24"/>
        </w:rPr>
        <w:t>1)</w:t>
      </w:r>
      <w:r w:rsidRPr="00F13A0A">
        <w:rPr>
          <w:rFonts w:eastAsia="Times New Roman" w:cs="Times New Roman"/>
          <w:bCs/>
          <w:szCs w:val="24"/>
        </w:rPr>
        <w:tab/>
      </w:r>
      <w:r>
        <w:rPr>
          <w:rFonts w:eastAsia="Times New Roman" w:cs="Times New Roman"/>
          <w:bCs/>
          <w:szCs w:val="24"/>
        </w:rPr>
        <w:t>v</w:t>
      </w:r>
      <w:r w:rsidRPr="00F13A0A">
        <w:rPr>
          <w:rFonts w:eastAsia="Times New Roman" w:cs="Times New Roman"/>
          <w:bCs/>
          <w:szCs w:val="24"/>
        </w:rPr>
        <w:t>eiktas uroloģiskās un ginekoloģiskās operācijas pielietojot inovatīvas tehnoloģijas reproduktīvās veselības uzlabošanai;</w:t>
      </w:r>
    </w:p>
    <w:p w14:paraId="66C9901E" w14:textId="76BF9AAB" w:rsidR="00F13A0A" w:rsidRPr="00F13A0A" w:rsidRDefault="00F13A0A" w:rsidP="002E49D9">
      <w:pPr>
        <w:pStyle w:val="ListParagraph"/>
        <w:widowControl w:val="0"/>
        <w:tabs>
          <w:tab w:val="left" w:pos="426"/>
        </w:tabs>
        <w:spacing w:after="0"/>
        <w:ind w:left="0" w:firstLine="0"/>
        <w:rPr>
          <w:rFonts w:eastAsia="Times New Roman" w:cs="Times New Roman"/>
          <w:bCs/>
          <w:szCs w:val="24"/>
        </w:rPr>
      </w:pPr>
      <w:r w:rsidRPr="00F13A0A">
        <w:rPr>
          <w:rFonts w:eastAsia="Times New Roman" w:cs="Times New Roman"/>
          <w:bCs/>
          <w:szCs w:val="24"/>
        </w:rPr>
        <w:t>2)</w:t>
      </w:r>
      <w:r w:rsidRPr="00F13A0A">
        <w:rPr>
          <w:rFonts w:eastAsia="Times New Roman" w:cs="Times New Roman"/>
          <w:bCs/>
          <w:szCs w:val="24"/>
        </w:rPr>
        <w:tab/>
      </w:r>
      <w:r>
        <w:rPr>
          <w:rFonts w:eastAsia="Times New Roman" w:cs="Times New Roman"/>
          <w:bCs/>
          <w:szCs w:val="24"/>
        </w:rPr>
        <w:t>n</w:t>
      </w:r>
      <w:r w:rsidRPr="00F13A0A">
        <w:rPr>
          <w:rFonts w:eastAsia="Times New Roman" w:cs="Times New Roman"/>
          <w:bCs/>
          <w:szCs w:val="24"/>
        </w:rPr>
        <w:t>odrošināts ārstniecības iestāžu pieprasījums pēc asins komponentiem bērnu un jaunpiedzimušo sekmīgai ārstēšanai;</w:t>
      </w:r>
    </w:p>
    <w:p w14:paraId="5DAAB03B" w14:textId="3C3DCDD5" w:rsidR="00F13A0A" w:rsidRPr="00F13A0A" w:rsidRDefault="00F13A0A" w:rsidP="002E49D9">
      <w:pPr>
        <w:pStyle w:val="ListParagraph"/>
        <w:widowControl w:val="0"/>
        <w:tabs>
          <w:tab w:val="left" w:pos="426"/>
        </w:tabs>
        <w:spacing w:after="0"/>
        <w:ind w:left="0" w:firstLine="0"/>
        <w:rPr>
          <w:rFonts w:eastAsia="Times New Roman" w:cs="Times New Roman"/>
          <w:bCs/>
          <w:szCs w:val="24"/>
        </w:rPr>
      </w:pPr>
      <w:r w:rsidRPr="00F13A0A">
        <w:rPr>
          <w:rFonts w:eastAsia="Times New Roman" w:cs="Times New Roman"/>
          <w:bCs/>
          <w:szCs w:val="24"/>
        </w:rPr>
        <w:t>3)</w:t>
      </w:r>
      <w:r w:rsidRPr="00F13A0A">
        <w:rPr>
          <w:rFonts w:eastAsia="Times New Roman" w:cs="Times New Roman"/>
          <w:bCs/>
          <w:szCs w:val="24"/>
        </w:rPr>
        <w:tab/>
      </w:r>
      <w:r>
        <w:rPr>
          <w:rFonts w:eastAsia="Times New Roman" w:cs="Times New Roman"/>
          <w:bCs/>
          <w:szCs w:val="24"/>
        </w:rPr>
        <w:t>n</w:t>
      </w:r>
      <w:r w:rsidRPr="00F13A0A">
        <w:rPr>
          <w:rFonts w:eastAsia="Times New Roman" w:cs="Times New Roman"/>
          <w:bCs/>
          <w:szCs w:val="24"/>
        </w:rPr>
        <w:t>odrošināta efektīvāka rindu uzskaites pārvaldība;</w:t>
      </w:r>
    </w:p>
    <w:p w14:paraId="3753A800" w14:textId="77777777" w:rsidR="00F13A0A" w:rsidRDefault="00F13A0A" w:rsidP="002E49D9">
      <w:pPr>
        <w:pStyle w:val="ListParagraph"/>
        <w:widowControl w:val="0"/>
        <w:tabs>
          <w:tab w:val="left" w:pos="426"/>
        </w:tabs>
        <w:spacing w:after="0"/>
        <w:ind w:left="0" w:firstLine="0"/>
        <w:rPr>
          <w:rFonts w:eastAsia="Times New Roman" w:cs="Times New Roman"/>
          <w:bCs/>
          <w:szCs w:val="24"/>
        </w:rPr>
      </w:pPr>
      <w:r w:rsidRPr="00F13A0A">
        <w:rPr>
          <w:rFonts w:eastAsia="Times New Roman" w:cs="Times New Roman"/>
          <w:bCs/>
          <w:szCs w:val="24"/>
        </w:rPr>
        <w:t>4)</w:t>
      </w:r>
      <w:r w:rsidRPr="00F13A0A">
        <w:rPr>
          <w:rFonts w:eastAsia="Times New Roman" w:cs="Times New Roman"/>
          <w:bCs/>
          <w:szCs w:val="24"/>
        </w:rPr>
        <w:tab/>
      </w:r>
      <w:r>
        <w:rPr>
          <w:rFonts w:eastAsia="Times New Roman" w:cs="Times New Roman"/>
          <w:bCs/>
          <w:szCs w:val="24"/>
        </w:rPr>
        <w:t>d</w:t>
      </w:r>
      <w:r w:rsidRPr="00F13A0A">
        <w:rPr>
          <w:rFonts w:eastAsia="Times New Roman" w:cs="Times New Roman"/>
          <w:bCs/>
          <w:szCs w:val="24"/>
        </w:rPr>
        <w:t>ienas stacionāra veselības aprūpes pakalpojumu pieejamības uzlabošana bērniem</w:t>
      </w:r>
      <w:r>
        <w:rPr>
          <w:rFonts w:eastAsia="Times New Roman" w:cs="Times New Roman"/>
          <w:bCs/>
          <w:szCs w:val="24"/>
        </w:rPr>
        <w:t>;</w:t>
      </w:r>
    </w:p>
    <w:p w14:paraId="08EAEF57" w14:textId="37450E1A" w:rsidR="00F13A0A" w:rsidRPr="00F13A0A" w:rsidRDefault="00F13A0A" w:rsidP="002E49D9">
      <w:pPr>
        <w:pStyle w:val="ListParagraph"/>
        <w:widowControl w:val="0"/>
        <w:tabs>
          <w:tab w:val="left" w:pos="426"/>
        </w:tabs>
        <w:spacing w:after="0"/>
        <w:ind w:left="0" w:firstLine="0"/>
        <w:rPr>
          <w:rFonts w:eastAsia="Times New Roman" w:cs="Times New Roman"/>
          <w:bCs/>
          <w:szCs w:val="24"/>
        </w:rPr>
      </w:pPr>
      <w:r w:rsidRPr="00F13A0A">
        <w:rPr>
          <w:rFonts w:eastAsia="Times New Roman" w:cs="Times New Roman"/>
          <w:bCs/>
          <w:szCs w:val="24"/>
        </w:rPr>
        <w:t>5)</w:t>
      </w:r>
      <w:r w:rsidRPr="00F13A0A">
        <w:rPr>
          <w:rFonts w:eastAsia="Times New Roman" w:cs="Times New Roman"/>
          <w:bCs/>
          <w:szCs w:val="24"/>
        </w:rPr>
        <w:tab/>
      </w:r>
      <w:r>
        <w:rPr>
          <w:rFonts w:eastAsia="Times New Roman" w:cs="Times New Roman"/>
          <w:bCs/>
          <w:szCs w:val="24"/>
        </w:rPr>
        <w:t>i</w:t>
      </w:r>
      <w:r w:rsidRPr="00F13A0A">
        <w:rPr>
          <w:rFonts w:eastAsia="Times New Roman" w:cs="Times New Roman"/>
          <w:bCs/>
          <w:szCs w:val="24"/>
        </w:rPr>
        <w:t>novatīvo medikamentu pieejamības uzlabošana bērniem;</w:t>
      </w:r>
    </w:p>
    <w:p w14:paraId="37EC83A5" w14:textId="146743A0" w:rsidR="00F13A0A" w:rsidRPr="00F13A0A" w:rsidRDefault="00F13A0A" w:rsidP="002E49D9">
      <w:pPr>
        <w:pStyle w:val="ListParagraph"/>
        <w:widowControl w:val="0"/>
        <w:tabs>
          <w:tab w:val="left" w:pos="426"/>
        </w:tabs>
        <w:spacing w:after="0"/>
        <w:ind w:left="0" w:firstLine="0"/>
        <w:rPr>
          <w:rFonts w:eastAsia="Times New Roman" w:cs="Times New Roman"/>
          <w:bCs/>
          <w:szCs w:val="24"/>
        </w:rPr>
      </w:pPr>
      <w:r w:rsidRPr="00F13A0A">
        <w:rPr>
          <w:rFonts w:eastAsia="Times New Roman" w:cs="Times New Roman"/>
          <w:bCs/>
          <w:szCs w:val="24"/>
        </w:rPr>
        <w:t>6)</w:t>
      </w:r>
      <w:r w:rsidRPr="00F13A0A">
        <w:rPr>
          <w:rFonts w:eastAsia="Times New Roman" w:cs="Times New Roman"/>
          <w:bCs/>
          <w:szCs w:val="24"/>
        </w:rPr>
        <w:tab/>
      </w:r>
      <w:r>
        <w:rPr>
          <w:rFonts w:eastAsia="Times New Roman" w:cs="Times New Roman"/>
          <w:bCs/>
          <w:szCs w:val="24"/>
        </w:rPr>
        <w:t>m</w:t>
      </w:r>
      <w:r w:rsidRPr="00F13A0A">
        <w:rPr>
          <w:rFonts w:eastAsia="Times New Roman" w:cs="Times New Roman"/>
          <w:bCs/>
          <w:szCs w:val="24"/>
        </w:rPr>
        <w:t>edikamentu pieejamība bērniem, lai nodrošinātu uzsāktās terapijas turpināšan</w:t>
      </w:r>
      <w:r>
        <w:rPr>
          <w:rFonts w:eastAsia="Times New Roman" w:cs="Times New Roman"/>
          <w:bCs/>
          <w:szCs w:val="24"/>
        </w:rPr>
        <w:t>u</w:t>
      </w:r>
      <w:r w:rsidRPr="00F13A0A">
        <w:rPr>
          <w:rFonts w:eastAsia="Times New Roman" w:cs="Times New Roman"/>
          <w:bCs/>
          <w:szCs w:val="24"/>
        </w:rPr>
        <w:t>;</w:t>
      </w:r>
    </w:p>
    <w:p w14:paraId="07831CC6" w14:textId="4910278C" w:rsidR="00F13A0A" w:rsidRPr="00F13A0A" w:rsidRDefault="00F13A0A" w:rsidP="002E49D9">
      <w:pPr>
        <w:pStyle w:val="ListParagraph"/>
        <w:widowControl w:val="0"/>
        <w:tabs>
          <w:tab w:val="left" w:pos="426"/>
        </w:tabs>
        <w:spacing w:after="0"/>
        <w:ind w:left="0" w:firstLine="0"/>
        <w:rPr>
          <w:rFonts w:eastAsia="Times New Roman" w:cs="Times New Roman"/>
          <w:bCs/>
          <w:szCs w:val="24"/>
        </w:rPr>
      </w:pPr>
      <w:r w:rsidRPr="00F13A0A">
        <w:rPr>
          <w:rFonts w:eastAsia="Times New Roman" w:cs="Times New Roman"/>
          <w:bCs/>
          <w:szCs w:val="24"/>
        </w:rPr>
        <w:t>7)</w:t>
      </w:r>
      <w:r w:rsidRPr="00F13A0A">
        <w:rPr>
          <w:rFonts w:eastAsia="Times New Roman" w:cs="Times New Roman"/>
          <w:bCs/>
          <w:szCs w:val="24"/>
        </w:rPr>
        <w:tab/>
      </w:r>
      <w:r>
        <w:rPr>
          <w:rFonts w:eastAsia="Times New Roman" w:cs="Times New Roman"/>
          <w:bCs/>
          <w:szCs w:val="24"/>
        </w:rPr>
        <w:t>m</w:t>
      </w:r>
      <w:r w:rsidRPr="00F13A0A">
        <w:rPr>
          <w:rFonts w:eastAsia="Times New Roman" w:cs="Times New Roman"/>
          <w:bCs/>
          <w:szCs w:val="24"/>
        </w:rPr>
        <w:t>edikamentu pieejamība grūtniecēm un nedēļniecēm;</w:t>
      </w:r>
    </w:p>
    <w:p w14:paraId="4BF38483" w14:textId="125E9131" w:rsidR="00F13A0A" w:rsidRPr="00F13A0A" w:rsidRDefault="00F13A0A" w:rsidP="002E49D9">
      <w:pPr>
        <w:pStyle w:val="ListParagraph"/>
        <w:widowControl w:val="0"/>
        <w:tabs>
          <w:tab w:val="left" w:pos="426"/>
        </w:tabs>
        <w:spacing w:after="0"/>
        <w:ind w:left="0" w:firstLine="0"/>
        <w:rPr>
          <w:rFonts w:eastAsia="Times New Roman" w:cs="Times New Roman"/>
          <w:bCs/>
          <w:szCs w:val="24"/>
        </w:rPr>
      </w:pPr>
      <w:r w:rsidRPr="00F13A0A">
        <w:rPr>
          <w:rFonts w:eastAsia="Times New Roman" w:cs="Times New Roman"/>
          <w:bCs/>
          <w:szCs w:val="24"/>
        </w:rPr>
        <w:t>8)</w:t>
      </w:r>
      <w:r w:rsidRPr="00F13A0A">
        <w:rPr>
          <w:rFonts w:eastAsia="Times New Roman" w:cs="Times New Roman"/>
          <w:bCs/>
          <w:szCs w:val="24"/>
        </w:rPr>
        <w:tab/>
      </w:r>
      <w:r>
        <w:rPr>
          <w:rFonts w:eastAsia="Times New Roman" w:cs="Times New Roman"/>
          <w:bCs/>
          <w:szCs w:val="24"/>
        </w:rPr>
        <w:t>n</w:t>
      </w:r>
      <w:r w:rsidRPr="00F13A0A">
        <w:rPr>
          <w:rFonts w:eastAsia="Times New Roman" w:cs="Times New Roman"/>
          <w:bCs/>
          <w:szCs w:val="24"/>
        </w:rPr>
        <w:t>odrošināta psihiskā palīdzība nepilngadīgajiem, kuri pārmērīgi lieto atkarību izraisošas vielas;</w:t>
      </w:r>
    </w:p>
    <w:p w14:paraId="582F725A" w14:textId="55418EB0" w:rsidR="00F13A0A" w:rsidRPr="00F13A0A" w:rsidRDefault="00F13A0A" w:rsidP="002E49D9">
      <w:pPr>
        <w:pStyle w:val="ListParagraph"/>
        <w:widowControl w:val="0"/>
        <w:tabs>
          <w:tab w:val="left" w:pos="426"/>
        </w:tabs>
        <w:spacing w:after="0"/>
        <w:ind w:left="0" w:firstLine="0"/>
        <w:rPr>
          <w:rFonts w:eastAsia="Times New Roman" w:cs="Times New Roman"/>
          <w:bCs/>
          <w:szCs w:val="24"/>
        </w:rPr>
      </w:pPr>
      <w:r w:rsidRPr="00F13A0A">
        <w:rPr>
          <w:rFonts w:eastAsia="Times New Roman" w:cs="Times New Roman"/>
          <w:bCs/>
          <w:szCs w:val="24"/>
        </w:rPr>
        <w:t>9)</w:t>
      </w:r>
      <w:r w:rsidRPr="00F13A0A">
        <w:rPr>
          <w:rFonts w:eastAsia="Times New Roman" w:cs="Times New Roman"/>
          <w:bCs/>
          <w:szCs w:val="24"/>
        </w:rPr>
        <w:tab/>
      </w:r>
      <w:r>
        <w:rPr>
          <w:rFonts w:eastAsia="Times New Roman" w:cs="Times New Roman"/>
          <w:bCs/>
          <w:szCs w:val="24"/>
        </w:rPr>
        <w:t>b</w:t>
      </w:r>
      <w:r w:rsidRPr="00F13A0A">
        <w:rPr>
          <w:rFonts w:eastAsia="Times New Roman" w:cs="Times New Roman"/>
          <w:bCs/>
          <w:szCs w:val="24"/>
        </w:rPr>
        <w:t>riļļu pieejamība bērniem reģionos;</w:t>
      </w:r>
    </w:p>
    <w:p w14:paraId="2F42BB97" w14:textId="6F6AB656"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t>10)</w:t>
      </w:r>
      <w:r w:rsidRPr="00F13A0A">
        <w:rPr>
          <w:rFonts w:eastAsia="Times New Roman" w:cs="Times New Roman"/>
          <w:bCs/>
          <w:szCs w:val="24"/>
        </w:rPr>
        <w:tab/>
      </w:r>
      <w:r>
        <w:rPr>
          <w:rFonts w:eastAsia="Times New Roman" w:cs="Times New Roman"/>
          <w:bCs/>
          <w:szCs w:val="24"/>
        </w:rPr>
        <w:t>p</w:t>
      </w:r>
      <w:r w:rsidRPr="00F13A0A">
        <w:rPr>
          <w:rFonts w:eastAsia="Times New Roman" w:cs="Times New Roman"/>
          <w:bCs/>
          <w:szCs w:val="24"/>
        </w:rPr>
        <w:t>ediatra kabineta izveide;</w:t>
      </w:r>
    </w:p>
    <w:p w14:paraId="2E2361FA" w14:textId="34BB7108"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lastRenderedPageBreak/>
        <w:t>11)</w:t>
      </w:r>
      <w:r w:rsidRPr="00F13A0A">
        <w:rPr>
          <w:rFonts w:eastAsia="Times New Roman" w:cs="Times New Roman"/>
          <w:bCs/>
          <w:szCs w:val="24"/>
        </w:rPr>
        <w:tab/>
      </w:r>
      <w:r>
        <w:rPr>
          <w:rFonts w:eastAsia="Times New Roman" w:cs="Times New Roman"/>
          <w:bCs/>
          <w:szCs w:val="24"/>
        </w:rPr>
        <w:t>p</w:t>
      </w:r>
      <w:r w:rsidRPr="00F13A0A">
        <w:rPr>
          <w:rFonts w:eastAsia="Times New Roman" w:cs="Times New Roman"/>
          <w:bCs/>
          <w:szCs w:val="24"/>
        </w:rPr>
        <w:t>aplašināts no valsts budžeta līdzekļiem ārstēšanas metožu klāsts bērniem onkoloģijā</w:t>
      </w:r>
      <w:r>
        <w:rPr>
          <w:rFonts w:eastAsia="Times New Roman" w:cs="Times New Roman"/>
          <w:bCs/>
          <w:szCs w:val="24"/>
        </w:rPr>
        <w:t>;</w:t>
      </w:r>
    </w:p>
    <w:p w14:paraId="1E7290A9" w14:textId="417D1CA2"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t>12)</w:t>
      </w:r>
      <w:r w:rsidRPr="00F13A0A">
        <w:rPr>
          <w:rFonts w:eastAsia="Times New Roman" w:cs="Times New Roman"/>
          <w:bCs/>
          <w:szCs w:val="24"/>
        </w:rPr>
        <w:tab/>
      </w:r>
      <w:r>
        <w:rPr>
          <w:rFonts w:eastAsia="Times New Roman" w:cs="Times New Roman"/>
          <w:bCs/>
          <w:szCs w:val="24"/>
        </w:rPr>
        <w:t>p</w:t>
      </w:r>
      <w:r w:rsidRPr="00F13A0A">
        <w:rPr>
          <w:rFonts w:eastAsia="Times New Roman" w:cs="Times New Roman"/>
          <w:bCs/>
          <w:szCs w:val="24"/>
        </w:rPr>
        <w:t>akalpojumu pieejamības uzlabošana zobārstniecībā retām zobu pataloģijām;</w:t>
      </w:r>
    </w:p>
    <w:p w14:paraId="2C2458E5" w14:textId="77C037A2"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t>13)</w:t>
      </w:r>
      <w:r w:rsidRPr="00F13A0A">
        <w:rPr>
          <w:rFonts w:eastAsia="Times New Roman" w:cs="Times New Roman"/>
          <w:bCs/>
          <w:szCs w:val="24"/>
        </w:rPr>
        <w:tab/>
      </w:r>
      <w:r>
        <w:rPr>
          <w:rFonts w:eastAsia="Times New Roman" w:cs="Times New Roman"/>
          <w:bCs/>
          <w:szCs w:val="24"/>
        </w:rPr>
        <w:t>i</w:t>
      </w:r>
      <w:r w:rsidRPr="00F13A0A">
        <w:rPr>
          <w:rFonts w:eastAsia="Times New Roman" w:cs="Times New Roman"/>
          <w:bCs/>
          <w:szCs w:val="24"/>
        </w:rPr>
        <w:t>zveidota 1 jauna valsts apmaksāta manipulācija, nodrošinot bērniem pieejamību vecmātes konsultācijām par kontracepciju, tai skaitā monitorings;</w:t>
      </w:r>
    </w:p>
    <w:p w14:paraId="09731732" w14:textId="67D0C272"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t>14)</w:t>
      </w:r>
      <w:r w:rsidRPr="00F13A0A">
        <w:rPr>
          <w:rFonts w:eastAsia="Times New Roman" w:cs="Times New Roman"/>
          <w:bCs/>
          <w:szCs w:val="24"/>
        </w:rPr>
        <w:tab/>
      </w:r>
      <w:r>
        <w:rPr>
          <w:rFonts w:eastAsia="Times New Roman" w:cs="Times New Roman"/>
          <w:bCs/>
          <w:szCs w:val="24"/>
        </w:rPr>
        <w:t>v</w:t>
      </w:r>
      <w:r w:rsidRPr="00F13A0A">
        <w:rPr>
          <w:rFonts w:eastAsia="Times New Roman" w:cs="Times New Roman"/>
          <w:bCs/>
          <w:szCs w:val="24"/>
        </w:rPr>
        <w:t>eikta agrīnas dzirdes traucējumu diagnostika jaundzimušajiem ar medicīniskām indikācijām</w:t>
      </w:r>
      <w:r>
        <w:rPr>
          <w:rFonts w:eastAsia="Times New Roman" w:cs="Times New Roman"/>
          <w:bCs/>
          <w:szCs w:val="24"/>
        </w:rPr>
        <w:t>;</w:t>
      </w:r>
    </w:p>
    <w:p w14:paraId="1F4D9004" w14:textId="15A80AA1"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t>15)</w:t>
      </w:r>
      <w:r w:rsidRPr="00F13A0A">
        <w:rPr>
          <w:rFonts w:eastAsia="Times New Roman" w:cs="Times New Roman"/>
          <w:bCs/>
          <w:szCs w:val="24"/>
        </w:rPr>
        <w:tab/>
      </w:r>
      <w:r>
        <w:rPr>
          <w:rFonts w:eastAsia="Times New Roman" w:cs="Times New Roman"/>
          <w:bCs/>
          <w:szCs w:val="24"/>
        </w:rPr>
        <w:t>p</w:t>
      </w:r>
      <w:r w:rsidRPr="00F13A0A">
        <w:rPr>
          <w:rFonts w:eastAsia="Times New Roman" w:cs="Times New Roman"/>
          <w:bCs/>
          <w:szCs w:val="24"/>
        </w:rPr>
        <w:t>akalpojumu tarifu pārskatīšana specifiskai alergēnimūnterapijai;</w:t>
      </w:r>
    </w:p>
    <w:p w14:paraId="7D9A9B6D" w14:textId="656AFB68"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t>16)</w:t>
      </w:r>
      <w:r w:rsidRPr="00F13A0A">
        <w:rPr>
          <w:rFonts w:eastAsia="Times New Roman" w:cs="Times New Roman"/>
          <w:bCs/>
          <w:szCs w:val="24"/>
        </w:rPr>
        <w:tab/>
      </w:r>
      <w:r>
        <w:rPr>
          <w:rFonts w:eastAsia="Times New Roman" w:cs="Times New Roman"/>
          <w:bCs/>
          <w:szCs w:val="24"/>
        </w:rPr>
        <w:t>n</w:t>
      </w:r>
      <w:r w:rsidRPr="00F13A0A">
        <w:rPr>
          <w:rFonts w:eastAsia="Times New Roman" w:cs="Times New Roman"/>
          <w:bCs/>
          <w:szCs w:val="24"/>
        </w:rPr>
        <w:t>odrošināts sadarbības mehānisms pacientiem piespiedu ārstēšanas līdzekļa maiņai;</w:t>
      </w:r>
    </w:p>
    <w:p w14:paraId="2F49AAB8" w14:textId="313E5ECE"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t>17)</w:t>
      </w:r>
      <w:r w:rsidRPr="00F13A0A">
        <w:rPr>
          <w:rFonts w:eastAsia="Times New Roman" w:cs="Times New Roman"/>
          <w:bCs/>
          <w:szCs w:val="24"/>
        </w:rPr>
        <w:tab/>
      </w:r>
      <w:r>
        <w:rPr>
          <w:rFonts w:eastAsia="Times New Roman" w:cs="Times New Roman"/>
          <w:bCs/>
          <w:szCs w:val="24"/>
        </w:rPr>
        <w:t>s</w:t>
      </w:r>
      <w:r w:rsidRPr="00F13A0A">
        <w:rPr>
          <w:rFonts w:eastAsia="Times New Roman" w:cs="Times New Roman"/>
          <w:bCs/>
          <w:szCs w:val="24"/>
        </w:rPr>
        <w:t>peciālistu konsultāciju pieejamības uzlabošana pacientiem ar hroniskām slimībām un aptaukošanos;</w:t>
      </w:r>
    </w:p>
    <w:p w14:paraId="38273414" w14:textId="54CB966F"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t>18)</w:t>
      </w:r>
      <w:r w:rsidRPr="00F13A0A">
        <w:rPr>
          <w:rFonts w:eastAsia="Times New Roman" w:cs="Times New Roman"/>
          <w:bCs/>
          <w:szCs w:val="24"/>
        </w:rPr>
        <w:tab/>
      </w:r>
      <w:r>
        <w:rPr>
          <w:rFonts w:eastAsia="Times New Roman" w:cs="Times New Roman"/>
          <w:bCs/>
          <w:szCs w:val="24"/>
        </w:rPr>
        <w:t>p</w:t>
      </w:r>
      <w:r w:rsidRPr="00F13A0A">
        <w:rPr>
          <w:rFonts w:eastAsia="Times New Roman" w:cs="Times New Roman"/>
          <w:bCs/>
          <w:szCs w:val="24"/>
        </w:rPr>
        <w:t>akalpojumu pieejamības uzlabošana psihiatrijas pakalpojumiem digitālajā vidē;</w:t>
      </w:r>
    </w:p>
    <w:p w14:paraId="5305B7EF" w14:textId="0543B09C"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t>19)</w:t>
      </w:r>
      <w:r w:rsidRPr="00F13A0A">
        <w:rPr>
          <w:rFonts w:eastAsia="Times New Roman" w:cs="Times New Roman"/>
          <w:bCs/>
          <w:szCs w:val="24"/>
        </w:rPr>
        <w:tab/>
      </w:r>
      <w:r>
        <w:rPr>
          <w:rFonts w:eastAsia="Times New Roman" w:cs="Times New Roman"/>
          <w:bCs/>
          <w:szCs w:val="24"/>
        </w:rPr>
        <w:t>i</w:t>
      </w:r>
      <w:r w:rsidRPr="00F13A0A">
        <w:rPr>
          <w:rFonts w:eastAsia="Times New Roman" w:cs="Times New Roman"/>
          <w:bCs/>
          <w:szCs w:val="24"/>
        </w:rPr>
        <w:t>zmeklējumu pieejamības nodrošināšana retu epilepsiju pacientiem pirms operācijas;</w:t>
      </w:r>
    </w:p>
    <w:p w14:paraId="1D6E2F68" w14:textId="79B53DDA"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t>20)</w:t>
      </w:r>
      <w:r w:rsidRPr="00F13A0A">
        <w:rPr>
          <w:rFonts w:eastAsia="Times New Roman" w:cs="Times New Roman"/>
          <w:bCs/>
          <w:szCs w:val="24"/>
        </w:rPr>
        <w:tab/>
      </w:r>
      <w:r w:rsidR="002E49D9">
        <w:rPr>
          <w:rFonts w:eastAsia="Times New Roman" w:cs="Times New Roman"/>
          <w:bCs/>
          <w:szCs w:val="24"/>
        </w:rPr>
        <w:t>p</w:t>
      </w:r>
      <w:r w:rsidRPr="00F13A0A">
        <w:rPr>
          <w:rFonts w:eastAsia="Times New Roman" w:cs="Times New Roman"/>
          <w:bCs/>
          <w:szCs w:val="24"/>
        </w:rPr>
        <w:t>akalpojumu pieejamības uzlabošana pacientiem ar asinsvadu saslimšanām;</w:t>
      </w:r>
    </w:p>
    <w:p w14:paraId="271D6B9E" w14:textId="08F8D9AB" w:rsidR="00F13A0A" w:rsidRPr="00F13A0A" w:rsidRDefault="00F13A0A" w:rsidP="002E49D9">
      <w:pPr>
        <w:pStyle w:val="ListParagraph"/>
        <w:widowControl w:val="0"/>
        <w:tabs>
          <w:tab w:val="left" w:pos="284"/>
          <w:tab w:val="left" w:pos="426"/>
        </w:tabs>
        <w:spacing w:after="0"/>
        <w:ind w:left="0" w:firstLine="0"/>
        <w:rPr>
          <w:rFonts w:eastAsia="Times New Roman" w:cs="Times New Roman"/>
          <w:bCs/>
          <w:szCs w:val="24"/>
        </w:rPr>
      </w:pPr>
      <w:r w:rsidRPr="00F13A0A">
        <w:rPr>
          <w:rFonts w:eastAsia="Times New Roman" w:cs="Times New Roman"/>
          <w:bCs/>
          <w:szCs w:val="24"/>
        </w:rPr>
        <w:t>21)</w:t>
      </w:r>
      <w:r w:rsidRPr="00F13A0A">
        <w:rPr>
          <w:rFonts w:eastAsia="Times New Roman" w:cs="Times New Roman"/>
          <w:bCs/>
          <w:szCs w:val="24"/>
        </w:rPr>
        <w:tab/>
      </w:r>
      <w:r w:rsidR="002E49D9">
        <w:rPr>
          <w:rFonts w:eastAsia="Times New Roman" w:cs="Times New Roman"/>
          <w:bCs/>
          <w:szCs w:val="24"/>
        </w:rPr>
        <w:t>m</w:t>
      </w:r>
      <w:r w:rsidRPr="00F13A0A">
        <w:rPr>
          <w:rFonts w:eastAsia="Times New Roman" w:cs="Times New Roman"/>
          <w:bCs/>
          <w:szCs w:val="24"/>
        </w:rPr>
        <w:t>edikamentu pieejamības uzlabošana medicīniskās apaugļošanas pacientēm.</w:t>
      </w:r>
    </w:p>
    <w:p w14:paraId="2EB66723" w14:textId="77777777" w:rsidR="00F13A0A" w:rsidRPr="00F13A0A" w:rsidRDefault="00F13A0A" w:rsidP="00F13A0A">
      <w:pPr>
        <w:pStyle w:val="ListParagraph"/>
        <w:widowControl w:val="0"/>
        <w:spacing w:after="0"/>
        <w:ind w:firstLine="360"/>
        <w:rPr>
          <w:rFonts w:eastAsia="Times New Roman" w:cs="Times New Roman"/>
          <w:bCs/>
          <w:szCs w:val="24"/>
        </w:rPr>
      </w:pPr>
    </w:p>
    <w:p w14:paraId="12FE99F1" w14:textId="15B7691B" w:rsidR="00F13A0A" w:rsidRDefault="002E49D9" w:rsidP="00F13A0A">
      <w:pPr>
        <w:pStyle w:val="ListParagraph"/>
        <w:widowControl w:val="0"/>
        <w:spacing w:after="0"/>
        <w:ind w:left="0" w:firstLine="360"/>
        <w:rPr>
          <w:rFonts w:eastAsia="Times New Roman" w:cs="Times New Roman"/>
          <w:bCs/>
          <w:szCs w:val="24"/>
        </w:rPr>
      </w:pPr>
      <w:r w:rsidRPr="00D8017D">
        <w:rPr>
          <w:rFonts w:eastAsia="Times New Roman" w:cs="Times New Roman"/>
          <w:bCs/>
          <w:szCs w:val="24"/>
        </w:rPr>
        <w:t>Pasākums saistīts ar Valdības rīcības plāna</w:t>
      </w:r>
      <w:r w:rsidRPr="002E49D9">
        <w:t xml:space="preserve"> </w:t>
      </w:r>
      <w:r w:rsidRPr="002E49D9">
        <w:rPr>
          <w:rFonts w:eastAsia="Times New Roman" w:cs="Times New Roman"/>
          <w:bCs/>
          <w:szCs w:val="24"/>
        </w:rPr>
        <w:t>10.1., 10.4., 13.1., 14.4., 14.5., 15.1.pasākum</w:t>
      </w:r>
      <w:r>
        <w:rPr>
          <w:rFonts w:eastAsia="Times New Roman" w:cs="Times New Roman"/>
          <w:bCs/>
          <w:szCs w:val="24"/>
        </w:rPr>
        <w:t>u.</w:t>
      </w:r>
    </w:p>
    <w:p w14:paraId="5440B177" w14:textId="77777777" w:rsidR="004441E4" w:rsidRPr="00D8017D" w:rsidRDefault="004441E4" w:rsidP="004441E4">
      <w:pPr>
        <w:pStyle w:val="ListParagraph"/>
        <w:ind w:left="0" w:firstLine="360"/>
        <w:rPr>
          <w:rFonts w:eastAsia="Times New Roman" w:cs="Times New Roman"/>
          <w:bCs/>
          <w:szCs w:val="24"/>
        </w:rPr>
      </w:pPr>
    </w:p>
    <w:p w14:paraId="071D64D9" w14:textId="22B45E71" w:rsidR="0072164F" w:rsidRPr="00D8017D" w:rsidRDefault="0072164F" w:rsidP="003160BE">
      <w:pPr>
        <w:pStyle w:val="ListParagraph"/>
        <w:widowControl w:val="0"/>
        <w:numPr>
          <w:ilvl w:val="0"/>
          <w:numId w:val="22"/>
        </w:numPr>
        <w:spacing w:after="0"/>
        <w:ind w:left="0" w:firstLine="360"/>
        <w:rPr>
          <w:rFonts w:eastAsia="Times New Roman" w:cs="Times New Roman"/>
          <w:bCs/>
          <w:szCs w:val="24"/>
        </w:rPr>
      </w:pPr>
      <w:r w:rsidRPr="002E49D9">
        <w:rPr>
          <w:rFonts w:eastAsia="Times New Roman" w:cs="Times New Roman"/>
          <w:b/>
          <w:szCs w:val="24"/>
        </w:rPr>
        <w:t>Veselības pakalpojumu un zāļu pieejamībai bērniem</w:t>
      </w:r>
      <w:r w:rsidR="004441E4" w:rsidRPr="00D8017D">
        <w:rPr>
          <w:rFonts w:eastAsia="Times New Roman" w:cs="Times New Roman"/>
          <w:bCs/>
          <w:szCs w:val="24"/>
        </w:rPr>
        <w:t xml:space="preserve"> </w:t>
      </w:r>
      <w:r w:rsidR="004441E4" w:rsidRPr="002E49D9">
        <w:rPr>
          <w:rFonts w:eastAsia="Times New Roman" w:cs="Times New Roman"/>
          <w:b/>
          <w:szCs w:val="24"/>
        </w:rPr>
        <w:t xml:space="preserve">32,0 milj. </w:t>
      </w:r>
      <w:r w:rsidR="004441E4" w:rsidRPr="002E49D9">
        <w:rPr>
          <w:rFonts w:eastAsia="Times New Roman" w:cs="Times New Roman"/>
          <w:b/>
          <w:i/>
          <w:iCs/>
          <w:szCs w:val="24"/>
        </w:rPr>
        <w:t>euro</w:t>
      </w:r>
      <w:r w:rsidR="004441E4" w:rsidRPr="00D8017D">
        <w:rPr>
          <w:rFonts w:eastAsia="Times New Roman" w:cs="Times New Roman"/>
          <w:bCs/>
          <w:szCs w:val="24"/>
        </w:rPr>
        <w:t xml:space="preserve">, t.sk. 10,9 milj. </w:t>
      </w:r>
      <w:r w:rsidR="004441E4" w:rsidRPr="00D8017D">
        <w:rPr>
          <w:rFonts w:eastAsia="Times New Roman" w:cs="Times New Roman"/>
          <w:bCs/>
          <w:i/>
          <w:iCs/>
          <w:szCs w:val="24"/>
        </w:rPr>
        <w:t>euro</w:t>
      </w:r>
      <w:r w:rsidR="004441E4" w:rsidRPr="00D8017D">
        <w:rPr>
          <w:rFonts w:eastAsia="Times New Roman" w:cs="Times New Roman"/>
          <w:bCs/>
          <w:szCs w:val="24"/>
        </w:rPr>
        <w:t xml:space="preserve"> 2026. gadam, 10,5 milj. </w:t>
      </w:r>
      <w:r w:rsidR="004441E4" w:rsidRPr="00D8017D">
        <w:rPr>
          <w:rFonts w:eastAsia="Times New Roman" w:cs="Times New Roman"/>
          <w:bCs/>
          <w:i/>
          <w:iCs/>
          <w:szCs w:val="24"/>
        </w:rPr>
        <w:t>euro</w:t>
      </w:r>
      <w:r w:rsidR="004441E4" w:rsidRPr="00D8017D">
        <w:rPr>
          <w:rFonts w:eastAsia="Times New Roman" w:cs="Times New Roman"/>
          <w:bCs/>
          <w:szCs w:val="24"/>
        </w:rPr>
        <w:t xml:space="preserve"> 2027. gadam un 10,5 milj. </w:t>
      </w:r>
      <w:r w:rsidR="004441E4" w:rsidRPr="00D8017D">
        <w:rPr>
          <w:rFonts w:eastAsia="Times New Roman" w:cs="Times New Roman"/>
          <w:bCs/>
          <w:i/>
          <w:iCs/>
          <w:szCs w:val="24"/>
        </w:rPr>
        <w:t>euro</w:t>
      </w:r>
      <w:r w:rsidR="004441E4" w:rsidRPr="00D8017D">
        <w:rPr>
          <w:rFonts w:eastAsia="Times New Roman" w:cs="Times New Roman"/>
          <w:bCs/>
          <w:szCs w:val="24"/>
        </w:rPr>
        <w:t xml:space="preserve"> 2028. gadam. </w:t>
      </w:r>
    </w:p>
    <w:p w14:paraId="7B4E27C3" w14:textId="77777777" w:rsidR="002D67FD" w:rsidRDefault="002D67FD" w:rsidP="002D67FD">
      <w:pPr>
        <w:widowControl w:val="0"/>
        <w:spacing w:after="0"/>
        <w:ind w:firstLine="360"/>
        <w:rPr>
          <w:rFonts w:eastAsia="Times New Roman" w:cs="Times New Roman"/>
          <w:bCs/>
          <w:szCs w:val="24"/>
        </w:rPr>
      </w:pPr>
    </w:p>
    <w:p w14:paraId="4EC4E1BB" w14:textId="77777777" w:rsidR="00C8134E" w:rsidRDefault="002D67FD" w:rsidP="00C8134E">
      <w:pPr>
        <w:widowControl w:val="0"/>
        <w:spacing w:after="0"/>
        <w:ind w:firstLine="360"/>
        <w:rPr>
          <w:rFonts w:eastAsia="Times New Roman" w:cs="Times New Roman"/>
          <w:bCs/>
          <w:szCs w:val="24"/>
        </w:rPr>
      </w:pPr>
      <w:r>
        <w:rPr>
          <w:rFonts w:eastAsia="Times New Roman" w:cs="Times New Roman"/>
          <w:bCs/>
          <w:szCs w:val="24"/>
        </w:rPr>
        <w:t xml:space="preserve">Plānots, ka atbalstītais pasākums ļaus </w:t>
      </w:r>
      <w:r w:rsidRPr="002D67FD">
        <w:rPr>
          <w:rFonts w:eastAsia="Times New Roman" w:cs="Times New Roman"/>
          <w:bCs/>
          <w:szCs w:val="24"/>
        </w:rPr>
        <w:t>paplašināt veselības aprūpes pakalpojumus</w:t>
      </w:r>
      <w:r>
        <w:rPr>
          <w:rFonts w:eastAsia="Times New Roman" w:cs="Times New Roman"/>
          <w:bCs/>
          <w:szCs w:val="24"/>
        </w:rPr>
        <w:t>, t.sk. uzlabos s</w:t>
      </w:r>
      <w:r w:rsidRPr="002D67FD">
        <w:rPr>
          <w:rFonts w:eastAsia="Times New Roman" w:cs="Times New Roman"/>
          <w:bCs/>
          <w:szCs w:val="24"/>
        </w:rPr>
        <w:t>peciālistu un izmeklējumu (ambulatorā) pieejamīb</w:t>
      </w:r>
      <w:r>
        <w:rPr>
          <w:rFonts w:eastAsia="Times New Roman" w:cs="Times New Roman"/>
          <w:bCs/>
          <w:szCs w:val="24"/>
        </w:rPr>
        <w:t>u</w:t>
      </w:r>
      <w:r w:rsidRPr="002D67FD">
        <w:rPr>
          <w:rFonts w:eastAsia="Times New Roman" w:cs="Times New Roman"/>
          <w:bCs/>
          <w:szCs w:val="24"/>
        </w:rPr>
        <w:t xml:space="preserve"> bērniem</w:t>
      </w:r>
      <w:r>
        <w:rPr>
          <w:rFonts w:eastAsia="Times New Roman" w:cs="Times New Roman"/>
          <w:bCs/>
          <w:szCs w:val="24"/>
        </w:rPr>
        <w:t>, segs kompensējamo zāļu deficītu</w:t>
      </w:r>
      <w:r w:rsidRPr="002D67FD">
        <w:rPr>
          <w:rFonts w:eastAsia="Times New Roman" w:cs="Times New Roman"/>
          <w:bCs/>
          <w:szCs w:val="24"/>
        </w:rPr>
        <w:t xml:space="preserve"> bērniem hronisko slimību ārstēšanai, lai nodrošinātu uzsākto terapijas turpināšanu</w:t>
      </w:r>
      <w:r>
        <w:rPr>
          <w:rFonts w:eastAsia="Times New Roman" w:cs="Times New Roman"/>
          <w:bCs/>
          <w:szCs w:val="24"/>
        </w:rPr>
        <w:t>, uzlabos s</w:t>
      </w:r>
      <w:r w:rsidRPr="002D67FD">
        <w:rPr>
          <w:rFonts w:eastAsia="Times New Roman" w:cs="Times New Roman"/>
          <w:bCs/>
          <w:szCs w:val="24"/>
        </w:rPr>
        <w:t>porta medicīnas speciālistu konsultāciju un izmeklējumu pieejamīb</w:t>
      </w:r>
      <w:r>
        <w:rPr>
          <w:rFonts w:eastAsia="Times New Roman" w:cs="Times New Roman"/>
          <w:bCs/>
          <w:szCs w:val="24"/>
        </w:rPr>
        <w:t>u</w:t>
      </w:r>
      <w:r w:rsidRPr="002D67FD">
        <w:rPr>
          <w:rFonts w:eastAsia="Times New Roman" w:cs="Times New Roman"/>
          <w:bCs/>
          <w:szCs w:val="24"/>
        </w:rPr>
        <w:t xml:space="preserve"> bērniem, kas profesionāli nodarbojas ar sportu</w:t>
      </w:r>
      <w:r>
        <w:rPr>
          <w:rFonts w:eastAsia="Times New Roman" w:cs="Times New Roman"/>
          <w:bCs/>
          <w:szCs w:val="24"/>
        </w:rPr>
        <w:t>, uzlabos s</w:t>
      </w:r>
      <w:r w:rsidRPr="002D67FD">
        <w:rPr>
          <w:rFonts w:eastAsia="Times New Roman" w:cs="Times New Roman"/>
          <w:bCs/>
          <w:szCs w:val="24"/>
        </w:rPr>
        <w:t>tacionārā</w:t>
      </w:r>
      <w:r>
        <w:rPr>
          <w:rFonts w:eastAsia="Times New Roman" w:cs="Times New Roman"/>
          <w:bCs/>
          <w:szCs w:val="24"/>
        </w:rPr>
        <w:t>s</w:t>
      </w:r>
      <w:r w:rsidRPr="002D67FD">
        <w:rPr>
          <w:rFonts w:eastAsia="Times New Roman" w:cs="Times New Roman"/>
          <w:bCs/>
          <w:szCs w:val="24"/>
        </w:rPr>
        <w:t xml:space="preserve"> veselības aprūpes pakalpojumu pieejamīb</w:t>
      </w:r>
      <w:r>
        <w:rPr>
          <w:rFonts w:eastAsia="Times New Roman" w:cs="Times New Roman"/>
          <w:bCs/>
          <w:szCs w:val="24"/>
        </w:rPr>
        <w:t>u</w:t>
      </w:r>
      <w:r w:rsidRPr="002D67FD">
        <w:rPr>
          <w:rFonts w:eastAsia="Times New Roman" w:cs="Times New Roman"/>
          <w:bCs/>
          <w:szCs w:val="24"/>
        </w:rPr>
        <w:t xml:space="preserve"> bērniem, nodrošinot pakalpojumu</w:t>
      </w:r>
      <w:r w:rsidR="00C8134E">
        <w:rPr>
          <w:rFonts w:eastAsia="Times New Roman" w:cs="Times New Roman"/>
          <w:bCs/>
          <w:szCs w:val="24"/>
        </w:rPr>
        <w:t xml:space="preserve"> pieejamību</w:t>
      </w:r>
      <w:r w:rsidRPr="002D67FD">
        <w:rPr>
          <w:rFonts w:eastAsia="Times New Roman" w:cs="Times New Roman"/>
          <w:bCs/>
          <w:szCs w:val="24"/>
        </w:rPr>
        <w:t xml:space="preserve"> lielākam pacientu skaitam</w:t>
      </w:r>
      <w:r>
        <w:rPr>
          <w:rFonts w:eastAsia="Times New Roman" w:cs="Times New Roman"/>
          <w:bCs/>
          <w:szCs w:val="24"/>
        </w:rPr>
        <w:t xml:space="preserve">, </w:t>
      </w:r>
      <w:r w:rsidR="00C8134E">
        <w:rPr>
          <w:rFonts w:eastAsia="Times New Roman" w:cs="Times New Roman"/>
          <w:bCs/>
          <w:szCs w:val="24"/>
        </w:rPr>
        <w:t>paplašinās m</w:t>
      </w:r>
      <w:r w:rsidRPr="002D67FD">
        <w:rPr>
          <w:rFonts w:eastAsia="Times New Roman" w:cs="Times New Roman"/>
          <w:bCs/>
          <w:szCs w:val="24"/>
        </w:rPr>
        <w:t>edicīniskās apaugļošanas pakalpojum</w:t>
      </w:r>
      <w:r w:rsidR="00C8134E">
        <w:rPr>
          <w:rFonts w:eastAsia="Times New Roman" w:cs="Times New Roman"/>
          <w:bCs/>
          <w:szCs w:val="24"/>
        </w:rPr>
        <w:t xml:space="preserve">u pieejamību </w:t>
      </w:r>
      <w:r w:rsidRPr="002D67FD">
        <w:rPr>
          <w:rFonts w:eastAsia="Times New Roman" w:cs="Times New Roman"/>
          <w:bCs/>
          <w:szCs w:val="24"/>
        </w:rPr>
        <w:t>un paplašinā</w:t>
      </w:r>
      <w:r w:rsidR="00C8134E">
        <w:rPr>
          <w:rFonts w:eastAsia="Times New Roman" w:cs="Times New Roman"/>
          <w:bCs/>
          <w:szCs w:val="24"/>
        </w:rPr>
        <w:t>s</w:t>
      </w:r>
      <w:r w:rsidRPr="002D67FD">
        <w:rPr>
          <w:rFonts w:eastAsia="Times New Roman" w:cs="Times New Roman"/>
          <w:bCs/>
          <w:szCs w:val="24"/>
        </w:rPr>
        <w:t xml:space="preserve"> saņēmēju lok</w:t>
      </w:r>
      <w:r w:rsidR="00C8134E">
        <w:rPr>
          <w:rFonts w:eastAsia="Times New Roman" w:cs="Times New Roman"/>
          <w:bCs/>
          <w:szCs w:val="24"/>
        </w:rPr>
        <w:t>u, paplašinās n</w:t>
      </w:r>
      <w:r w:rsidRPr="002D67FD">
        <w:rPr>
          <w:rFonts w:eastAsia="Times New Roman" w:cs="Times New Roman"/>
          <w:bCs/>
          <w:szCs w:val="24"/>
        </w:rPr>
        <w:t>einvazīvās prenatālās diagnostikas test</w:t>
      </w:r>
      <w:r w:rsidR="00C8134E">
        <w:rPr>
          <w:rFonts w:eastAsia="Times New Roman" w:cs="Times New Roman"/>
          <w:bCs/>
          <w:szCs w:val="24"/>
        </w:rPr>
        <w:t>u veikšanu</w:t>
      </w:r>
      <w:r w:rsidRPr="002D67FD">
        <w:rPr>
          <w:rFonts w:eastAsia="Times New Roman" w:cs="Times New Roman"/>
          <w:bCs/>
          <w:szCs w:val="24"/>
        </w:rPr>
        <w:t xml:space="preserve"> riska grupas grūtniecēm</w:t>
      </w:r>
      <w:r w:rsidR="00C8134E">
        <w:rPr>
          <w:rFonts w:eastAsia="Times New Roman" w:cs="Times New Roman"/>
          <w:bCs/>
          <w:szCs w:val="24"/>
        </w:rPr>
        <w:t xml:space="preserve"> u.c. pakalpojumus.</w:t>
      </w:r>
    </w:p>
    <w:p w14:paraId="52B96E49" w14:textId="335B4077" w:rsidR="002D67FD" w:rsidRPr="002D67FD" w:rsidRDefault="00C8134E" w:rsidP="00C8134E">
      <w:pPr>
        <w:widowControl w:val="0"/>
        <w:spacing w:after="0"/>
        <w:ind w:firstLine="360"/>
        <w:rPr>
          <w:rFonts w:eastAsia="Times New Roman" w:cs="Times New Roman"/>
          <w:bCs/>
          <w:szCs w:val="24"/>
        </w:rPr>
      </w:pPr>
      <w:r>
        <w:rPr>
          <w:rFonts w:eastAsia="Times New Roman" w:cs="Times New Roman"/>
          <w:bCs/>
          <w:szCs w:val="24"/>
        </w:rPr>
        <w:t xml:space="preserve"> </w:t>
      </w:r>
    </w:p>
    <w:p w14:paraId="3D2A3C21" w14:textId="25C0E9C0" w:rsidR="002D67FD" w:rsidRPr="002D67FD" w:rsidRDefault="002D67FD" w:rsidP="002D67FD">
      <w:pPr>
        <w:widowControl w:val="0"/>
        <w:spacing w:after="0"/>
        <w:ind w:firstLine="0"/>
        <w:rPr>
          <w:rFonts w:eastAsia="Times New Roman" w:cs="Times New Roman"/>
          <w:bCs/>
          <w:szCs w:val="24"/>
        </w:rPr>
      </w:pPr>
      <w:r w:rsidRPr="002D67FD">
        <w:rPr>
          <w:rFonts w:eastAsia="Times New Roman" w:cs="Times New Roman"/>
          <w:bCs/>
          <w:szCs w:val="24"/>
        </w:rPr>
        <w:t>Pasākums saistīts ar Valdības rīcības plāna</w:t>
      </w:r>
      <w:r w:rsidRPr="002E49D9">
        <w:t xml:space="preserve"> </w:t>
      </w:r>
      <w:r w:rsidRPr="002D67FD">
        <w:rPr>
          <w:rFonts w:eastAsia="Times New Roman" w:cs="Times New Roman"/>
          <w:bCs/>
          <w:szCs w:val="24"/>
        </w:rPr>
        <w:t>10.1., 10.4., 13.1., 14.5., 15.1.pasākumu.</w:t>
      </w:r>
    </w:p>
    <w:p w14:paraId="1E6CEB79" w14:textId="77777777" w:rsidR="00C8134E" w:rsidRDefault="00C8134E" w:rsidP="002D67FD">
      <w:pPr>
        <w:widowControl w:val="0"/>
        <w:spacing w:after="0"/>
        <w:ind w:firstLine="0"/>
        <w:rPr>
          <w:rFonts w:eastAsia="Times New Roman" w:cs="Times New Roman"/>
          <w:bCs/>
          <w:szCs w:val="24"/>
        </w:rPr>
      </w:pPr>
    </w:p>
    <w:p w14:paraId="3AE69A27" w14:textId="69C6FF4B" w:rsidR="00C83BE3" w:rsidRPr="00171F89" w:rsidRDefault="002D67FD" w:rsidP="00171F89">
      <w:pPr>
        <w:widowControl w:val="0"/>
        <w:spacing w:after="240"/>
        <w:ind w:firstLine="357"/>
        <w:rPr>
          <w:rFonts w:eastAsia="Times New Roman" w:cs="Times New Roman"/>
          <w:bCs/>
          <w:szCs w:val="24"/>
        </w:rPr>
      </w:pPr>
      <w:r>
        <w:rPr>
          <w:rFonts w:eastAsia="Times New Roman" w:cs="Times New Roman"/>
          <w:bCs/>
          <w:szCs w:val="24"/>
        </w:rPr>
        <w:t>4. u</w:t>
      </w:r>
      <w:r w:rsidRPr="002D67FD">
        <w:rPr>
          <w:rFonts w:eastAsia="Times New Roman" w:cs="Times New Roman"/>
          <w:bCs/>
          <w:szCs w:val="24"/>
        </w:rPr>
        <w:t xml:space="preserve">n 5. </w:t>
      </w:r>
      <w:r>
        <w:rPr>
          <w:rFonts w:eastAsia="Times New Roman" w:cs="Times New Roman"/>
          <w:bCs/>
          <w:szCs w:val="24"/>
        </w:rPr>
        <w:t>p</w:t>
      </w:r>
      <w:r w:rsidRPr="002D67FD">
        <w:rPr>
          <w:rFonts w:eastAsia="Times New Roman" w:cs="Times New Roman"/>
          <w:bCs/>
          <w:szCs w:val="24"/>
        </w:rPr>
        <w:t>asākums ir vērst</w:t>
      </w:r>
      <w:r>
        <w:rPr>
          <w:rFonts w:eastAsia="Times New Roman" w:cs="Times New Roman"/>
          <w:bCs/>
          <w:szCs w:val="24"/>
        </w:rPr>
        <w:t>i</w:t>
      </w:r>
      <w:r w:rsidRPr="002D67FD">
        <w:rPr>
          <w:rFonts w:eastAsia="Times New Roman" w:cs="Times New Roman"/>
          <w:bCs/>
          <w:szCs w:val="24"/>
        </w:rPr>
        <w:t xml:space="preserve"> uz veselības aprūpes pakalpojumu pieejamības</w:t>
      </w:r>
      <w:r>
        <w:rPr>
          <w:rFonts w:eastAsia="Times New Roman" w:cs="Times New Roman"/>
          <w:bCs/>
          <w:szCs w:val="24"/>
        </w:rPr>
        <w:t xml:space="preserve"> mātēm</w:t>
      </w:r>
      <w:r w:rsidRPr="002D67FD">
        <w:rPr>
          <w:rFonts w:eastAsia="Times New Roman" w:cs="Times New Roman"/>
          <w:bCs/>
          <w:szCs w:val="24"/>
        </w:rPr>
        <w:t xml:space="preserve"> </w:t>
      </w:r>
      <w:r w:rsidR="00E44322">
        <w:rPr>
          <w:rFonts w:eastAsia="Times New Roman" w:cs="Times New Roman"/>
          <w:bCs/>
          <w:szCs w:val="24"/>
        </w:rPr>
        <w:t xml:space="preserve">un </w:t>
      </w:r>
      <w:r w:rsidRPr="002D67FD">
        <w:rPr>
          <w:rFonts w:eastAsia="Times New Roman" w:cs="Times New Roman"/>
          <w:bCs/>
          <w:szCs w:val="24"/>
        </w:rPr>
        <w:t>bērniem uzlabošanu, viņu priekšlaicīga</w:t>
      </w:r>
      <w:r>
        <w:rPr>
          <w:rFonts w:eastAsia="Times New Roman" w:cs="Times New Roman"/>
          <w:bCs/>
          <w:szCs w:val="24"/>
        </w:rPr>
        <w:t>s</w:t>
      </w:r>
      <w:r w:rsidRPr="002D67FD">
        <w:rPr>
          <w:rFonts w:eastAsia="Times New Roman" w:cs="Times New Roman"/>
          <w:bCs/>
          <w:szCs w:val="24"/>
        </w:rPr>
        <w:t xml:space="preserve"> mirstības un potenciāli zaudēto mūža gadu skaita, kā arī invaliditātē nodzīvoto mūža gadu skaita samazināšanu</w:t>
      </w:r>
      <w:r>
        <w:rPr>
          <w:rFonts w:eastAsia="Times New Roman" w:cs="Times New Roman"/>
          <w:bCs/>
          <w:szCs w:val="24"/>
        </w:rPr>
        <w:t>.</w:t>
      </w:r>
    </w:p>
    <w:p w14:paraId="69894C2A" w14:textId="4ED6DBE3" w:rsidR="00C83BE3" w:rsidRPr="00C83BE3" w:rsidRDefault="00C83BE3" w:rsidP="00C83BE3">
      <w:pPr>
        <w:keepNext/>
        <w:spacing w:before="120"/>
        <w:ind w:firstLine="357"/>
        <w:jc w:val="right"/>
        <w:rPr>
          <w:rFonts w:eastAsia="Times New Roman" w:cs="Times New Roman"/>
          <w:i/>
          <w:szCs w:val="24"/>
          <w:lang w:eastAsia="en-US"/>
        </w:rPr>
      </w:pPr>
      <w:r w:rsidRPr="00B57F87">
        <w:rPr>
          <w:rFonts w:eastAsia="Times New Roman" w:cs="Times New Roman"/>
          <w:b/>
          <w:i/>
          <w:szCs w:val="24"/>
          <w:lang w:eastAsia="en-US"/>
        </w:rPr>
        <w:t>2.</w:t>
      </w:r>
      <w:r w:rsidR="00B57F87" w:rsidRPr="00B57F87">
        <w:rPr>
          <w:rFonts w:eastAsia="Times New Roman" w:cs="Times New Roman"/>
          <w:b/>
          <w:i/>
          <w:szCs w:val="24"/>
          <w:lang w:eastAsia="en-US"/>
        </w:rPr>
        <w:t>23</w:t>
      </w:r>
      <w:r w:rsidRPr="00B57F87">
        <w:rPr>
          <w:rFonts w:eastAsia="Times New Roman" w:cs="Times New Roman"/>
          <w:b/>
          <w:i/>
          <w:szCs w:val="24"/>
          <w:lang w:eastAsia="en-US"/>
        </w:rPr>
        <w:t>. tabula</w:t>
      </w:r>
      <w:r w:rsidRPr="00C83BE3">
        <w:rPr>
          <w:rFonts w:eastAsia="Times New Roman" w:cs="Times New Roman"/>
          <w:b/>
          <w:i/>
          <w:szCs w:val="24"/>
          <w:lang w:eastAsia="en-US"/>
        </w:rPr>
        <w:t xml:space="preserve"> Pasākumam “</w:t>
      </w:r>
      <w:r w:rsidRPr="00407FCB">
        <w:rPr>
          <w:rFonts w:eastAsia="Times New Roman" w:cs="Times New Roman"/>
          <w:b/>
          <w:bCs/>
          <w:i/>
          <w:iCs/>
          <w:color w:val="000000"/>
          <w:szCs w:val="24"/>
        </w:rPr>
        <w:t>Veselības pakalpojumu un zāļu pieejamība bērniem</w:t>
      </w:r>
      <w:r w:rsidRPr="00C83BE3">
        <w:rPr>
          <w:rFonts w:eastAsia="Times New Roman" w:cs="Times New Roman"/>
          <w:b/>
          <w:i/>
          <w:szCs w:val="24"/>
          <w:lang w:eastAsia="en-US"/>
        </w:rPr>
        <w:t xml:space="preserve">” </w:t>
      </w:r>
      <w:r w:rsidRPr="00C83BE3">
        <w:rPr>
          <w:rFonts w:eastAsia="Times New Roman" w:cs="Times New Roman"/>
          <w:b/>
          <w:bCs/>
          <w:i/>
          <w:szCs w:val="24"/>
        </w:rPr>
        <w:t>piešķirtais finansējums</w:t>
      </w:r>
      <w:r w:rsidRPr="00C83BE3">
        <w:rPr>
          <w:rFonts w:eastAsia="Times New Roman" w:cs="Times New Roman"/>
          <w:b/>
          <w:i/>
          <w:szCs w:val="24"/>
          <w:lang w:eastAsia="en-US"/>
        </w:rPr>
        <w:t xml:space="preserve">, milj. euro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1"/>
        <w:gridCol w:w="1197"/>
        <w:gridCol w:w="1134"/>
        <w:gridCol w:w="1201"/>
        <w:gridCol w:w="1634"/>
      </w:tblGrid>
      <w:tr w:rsidR="00407FCB" w:rsidRPr="00C83BE3" w14:paraId="41EB1659" w14:textId="77777777" w:rsidTr="00B57F87">
        <w:trPr>
          <w:trHeight w:val="360"/>
          <w:tblHeader/>
        </w:trPr>
        <w:tc>
          <w:tcPr>
            <w:tcW w:w="3901" w:type="dxa"/>
            <w:shd w:val="clear" w:color="auto" w:fill="BDD6EE" w:themeFill="accent1" w:themeFillTint="66"/>
            <w:vAlign w:val="center"/>
          </w:tcPr>
          <w:p w14:paraId="6005B12E" w14:textId="77777777" w:rsidR="00407FCB" w:rsidRPr="00B57F87" w:rsidRDefault="00407FCB" w:rsidP="00407FCB">
            <w:pPr>
              <w:spacing w:after="0"/>
              <w:ind w:firstLineChars="200" w:firstLine="442"/>
              <w:jc w:val="left"/>
              <w:rPr>
                <w:rFonts w:eastAsia="Times New Roman" w:cs="Times New Roman"/>
                <w:b/>
                <w:bCs/>
                <w:i/>
                <w:iCs/>
                <w:color w:val="000000"/>
                <w:sz w:val="22"/>
              </w:rPr>
            </w:pPr>
          </w:p>
        </w:tc>
        <w:tc>
          <w:tcPr>
            <w:tcW w:w="1197" w:type="dxa"/>
            <w:shd w:val="clear" w:color="auto" w:fill="BDD6EE" w:themeFill="accent1" w:themeFillTint="66"/>
            <w:vAlign w:val="center"/>
          </w:tcPr>
          <w:p w14:paraId="556B0CAC" w14:textId="0330D738"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2026</w:t>
            </w:r>
          </w:p>
        </w:tc>
        <w:tc>
          <w:tcPr>
            <w:tcW w:w="1134" w:type="dxa"/>
            <w:shd w:val="clear" w:color="auto" w:fill="BDD6EE" w:themeFill="accent1" w:themeFillTint="66"/>
            <w:vAlign w:val="center"/>
          </w:tcPr>
          <w:p w14:paraId="06D20FF5" w14:textId="5EBA72F3"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2027</w:t>
            </w:r>
          </w:p>
        </w:tc>
        <w:tc>
          <w:tcPr>
            <w:tcW w:w="1201" w:type="dxa"/>
            <w:shd w:val="clear" w:color="auto" w:fill="BDD6EE" w:themeFill="accent1" w:themeFillTint="66"/>
            <w:vAlign w:val="center"/>
          </w:tcPr>
          <w:p w14:paraId="43BAEBF1" w14:textId="4C999E5F"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2028</w:t>
            </w:r>
          </w:p>
        </w:tc>
        <w:tc>
          <w:tcPr>
            <w:tcW w:w="1634" w:type="dxa"/>
            <w:shd w:val="clear" w:color="auto" w:fill="BDD6EE" w:themeFill="accent1" w:themeFillTint="66"/>
            <w:vAlign w:val="center"/>
          </w:tcPr>
          <w:p w14:paraId="74FA5065" w14:textId="71C2FA43"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2026. – 2028. gadam</w:t>
            </w:r>
          </w:p>
        </w:tc>
      </w:tr>
      <w:tr w:rsidR="00407FCB" w:rsidRPr="00C83BE3" w14:paraId="25989D13" w14:textId="2FAC4BEB" w:rsidTr="00407FCB">
        <w:trPr>
          <w:trHeight w:val="360"/>
        </w:trPr>
        <w:tc>
          <w:tcPr>
            <w:tcW w:w="3901" w:type="dxa"/>
            <w:vAlign w:val="center"/>
            <w:hideMark/>
          </w:tcPr>
          <w:p w14:paraId="0D9F3F76" w14:textId="77777777" w:rsidR="00407FCB" w:rsidRPr="00B57F87" w:rsidRDefault="00407FCB" w:rsidP="00407FCB">
            <w:pPr>
              <w:spacing w:after="0"/>
              <w:ind w:firstLine="0"/>
              <w:jc w:val="left"/>
              <w:rPr>
                <w:rFonts w:eastAsia="Times New Roman" w:cs="Times New Roman"/>
                <w:b/>
                <w:bCs/>
                <w:color w:val="000000"/>
                <w:sz w:val="22"/>
              </w:rPr>
            </w:pPr>
            <w:r w:rsidRPr="00B57F87">
              <w:rPr>
                <w:rFonts w:eastAsia="Times New Roman" w:cs="Times New Roman"/>
                <w:b/>
                <w:bCs/>
                <w:color w:val="000000"/>
                <w:sz w:val="22"/>
              </w:rPr>
              <w:t>Veselības pakalpojumu un zāļu pieejamība bērniem, tai skaitā:</w:t>
            </w:r>
          </w:p>
        </w:tc>
        <w:tc>
          <w:tcPr>
            <w:tcW w:w="1197" w:type="dxa"/>
            <w:vAlign w:val="center"/>
            <w:hideMark/>
          </w:tcPr>
          <w:p w14:paraId="3D57A5D6" w14:textId="77777777"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10,9</w:t>
            </w:r>
          </w:p>
        </w:tc>
        <w:tc>
          <w:tcPr>
            <w:tcW w:w="1134" w:type="dxa"/>
            <w:vAlign w:val="center"/>
            <w:hideMark/>
          </w:tcPr>
          <w:p w14:paraId="6681EA24" w14:textId="77777777"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10,5</w:t>
            </w:r>
          </w:p>
        </w:tc>
        <w:tc>
          <w:tcPr>
            <w:tcW w:w="1201" w:type="dxa"/>
            <w:vAlign w:val="center"/>
            <w:hideMark/>
          </w:tcPr>
          <w:p w14:paraId="21005A65" w14:textId="77777777"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10,5</w:t>
            </w:r>
          </w:p>
        </w:tc>
        <w:tc>
          <w:tcPr>
            <w:tcW w:w="1634" w:type="dxa"/>
            <w:vAlign w:val="center"/>
          </w:tcPr>
          <w:p w14:paraId="328C7829" w14:textId="64E5F0E2"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32,0</w:t>
            </w:r>
          </w:p>
        </w:tc>
      </w:tr>
      <w:tr w:rsidR="00407FCB" w:rsidRPr="00C83BE3" w14:paraId="6C4FAF89" w14:textId="356C1124" w:rsidTr="00407FCB">
        <w:trPr>
          <w:trHeight w:val="360"/>
        </w:trPr>
        <w:tc>
          <w:tcPr>
            <w:tcW w:w="3901" w:type="dxa"/>
            <w:vAlign w:val="center"/>
            <w:hideMark/>
          </w:tcPr>
          <w:p w14:paraId="6ACEA735" w14:textId="77777777" w:rsidR="00407FCB" w:rsidRPr="00B57F87" w:rsidRDefault="00407FCB" w:rsidP="00407FCB">
            <w:pPr>
              <w:spacing w:after="0"/>
              <w:ind w:firstLine="0"/>
              <w:jc w:val="left"/>
              <w:rPr>
                <w:rFonts w:eastAsia="Times New Roman" w:cs="Times New Roman"/>
                <w:color w:val="000000"/>
                <w:sz w:val="22"/>
              </w:rPr>
            </w:pPr>
            <w:r w:rsidRPr="00B57F87">
              <w:rPr>
                <w:rFonts w:eastAsia="Times New Roman" w:cs="Times New Roman"/>
                <w:color w:val="000000"/>
                <w:sz w:val="22"/>
              </w:rPr>
              <w:t>Speciālistu un izmeklējumu (ambulatorā) pieejamības uzlabošana bērniem</w:t>
            </w:r>
          </w:p>
        </w:tc>
        <w:tc>
          <w:tcPr>
            <w:tcW w:w="1197" w:type="dxa"/>
            <w:vAlign w:val="center"/>
            <w:hideMark/>
          </w:tcPr>
          <w:p w14:paraId="1425E504"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3,7</w:t>
            </w:r>
          </w:p>
        </w:tc>
        <w:tc>
          <w:tcPr>
            <w:tcW w:w="1134" w:type="dxa"/>
            <w:vAlign w:val="center"/>
            <w:hideMark/>
          </w:tcPr>
          <w:p w14:paraId="0CCF7EC2"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3,7</w:t>
            </w:r>
          </w:p>
        </w:tc>
        <w:tc>
          <w:tcPr>
            <w:tcW w:w="1201" w:type="dxa"/>
            <w:vAlign w:val="center"/>
            <w:hideMark/>
          </w:tcPr>
          <w:p w14:paraId="0F3E83B7"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3,7</w:t>
            </w:r>
          </w:p>
        </w:tc>
        <w:tc>
          <w:tcPr>
            <w:tcW w:w="1634" w:type="dxa"/>
            <w:vAlign w:val="center"/>
          </w:tcPr>
          <w:p w14:paraId="2CA03EC2" w14:textId="6456F5CD"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11,2</w:t>
            </w:r>
          </w:p>
        </w:tc>
      </w:tr>
      <w:tr w:rsidR="00407FCB" w:rsidRPr="00C83BE3" w14:paraId="3B267E40" w14:textId="10B2994E" w:rsidTr="00407FCB">
        <w:trPr>
          <w:trHeight w:val="360"/>
        </w:trPr>
        <w:tc>
          <w:tcPr>
            <w:tcW w:w="3901" w:type="dxa"/>
            <w:vAlign w:val="center"/>
            <w:hideMark/>
          </w:tcPr>
          <w:p w14:paraId="480E137B" w14:textId="5E010CD4" w:rsidR="00407FCB" w:rsidRPr="00B57F87" w:rsidRDefault="00407FCB" w:rsidP="00407FCB">
            <w:pPr>
              <w:spacing w:after="0"/>
              <w:ind w:firstLine="0"/>
              <w:jc w:val="left"/>
              <w:rPr>
                <w:rFonts w:eastAsia="Times New Roman" w:cs="Times New Roman"/>
                <w:color w:val="000000"/>
                <w:sz w:val="22"/>
              </w:rPr>
            </w:pPr>
            <w:r w:rsidRPr="00B57F87">
              <w:rPr>
                <w:rFonts w:eastAsia="Times New Roman" w:cs="Times New Roman"/>
                <w:color w:val="000000"/>
                <w:sz w:val="22"/>
              </w:rPr>
              <w:t>Stacionārie pakalpojumi bērniem - uzņemto pacientu skaita palielināšana</w:t>
            </w:r>
          </w:p>
        </w:tc>
        <w:tc>
          <w:tcPr>
            <w:tcW w:w="1197" w:type="dxa"/>
            <w:vAlign w:val="center"/>
            <w:hideMark/>
          </w:tcPr>
          <w:p w14:paraId="3C1A122F"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4,6</w:t>
            </w:r>
          </w:p>
        </w:tc>
        <w:tc>
          <w:tcPr>
            <w:tcW w:w="1134" w:type="dxa"/>
            <w:vAlign w:val="center"/>
            <w:hideMark/>
          </w:tcPr>
          <w:p w14:paraId="4F386014"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4,6</w:t>
            </w:r>
          </w:p>
        </w:tc>
        <w:tc>
          <w:tcPr>
            <w:tcW w:w="1201" w:type="dxa"/>
            <w:vAlign w:val="center"/>
            <w:hideMark/>
          </w:tcPr>
          <w:p w14:paraId="40CAB249"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4,6</w:t>
            </w:r>
          </w:p>
        </w:tc>
        <w:tc>
          <w:tcPr>
            <w:tcW w:w="1634" w:type="dxa"/>
            <w:vAlign w:val="center"/>
          </w:tcPr>
          <w:p w14:paraId="4B48C6BA" w14:textId="7720A24B"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13,9</w:t>
            </w:r>
          </w:p>
        </w:tc>
      </w:tr>
      <w:tr w:rsidR="00407FCB" w:rsidRPr="00C83BE3" w14:paraId="6BA1197D" w14:textId="2E6DA64F" w:rsidTr="00407FCB">
        <w:trPr>
          <w:trHeight w:val="624"/>
        </w:trPr>
        <w:tc>
          <w:tcPr>
            <w:tcW w:w="3901" w:type="dxa"/>
            <w:vAlign w:val="center"/>
            <w:hideMark/>
          </w:tcPr>
          <w:p w14:paraId="4EC62E06" w14:textId="0E7C5208" w:rsidR="00407FCB" w:rsidRPr="00B57F87" w:rsidRDefault="00407FCB" w:rsidP="00407FCB">
            <w:pPr>
              <w:spacing w:after="0"/>
              <w:ind w:firstLine="0"/>
              <w:jc w:val="left"/>
              <w:rPr>
                <w:rFonts w:eastAsia="Times New Roman" w:cs="Times New Roman"/>
                <w:color w:val="000000"/>
                <w:sz w:val="22"/>
              </w:rPr>
            </w:pPr>
            <w:r w:rsidRPr="00B57F87">
              <w:rPr>
                <w:rFonts w:eastAsia="Times New Roman" w:cs="Times New Roman"/>
                <w:color w:val="000000"/>
                <w:sz w:val="22"/>
              </w:rPr>
              <w:t xml:space="preserve">Medicīniskās apaugļošanas pakalpojuma paplašināšana - apmaksāti vairāk kā 2 mēģinājumi un paplašināts saņēmēju loks </w:t>
            </w:r>
          </w:p>
        </w:tc>
        <w:tc>
          <w:tcPr>
            <w:tcW w:w="1197" w:type="dxa"/>
            <w:vAlign w:val="center"/>
            <w:hideMark/>
          </w:tcPr>
          <w:p w14:paraId="7402BC29"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1,5</w:t>
            </w:r>
          </w:p>
        </w:tc>
        <w:tc>
          <w:tcPr>
            <w:tcW w:w="1134" w:type="dxa"/>
            <w:vAlign w:val="center"/>
            <w:hideMark/>
          </w:tcPr>
          <w:p w14:paraId="27F95E84"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1,5</w:t>
            </w:r>
          </w:p>
        </w:tc>
        <w:tc>
          <w:tcPr>
            <w:tcW w:w="1201" w:type="dxa"/>
            <w:vAlign w:val="center"/>
            <w:hideMark/>
          </w:tcPr>
          <w:p w14:paraId="24ABBDE7"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1,5</w:t>
            </w:r>
          </w:p>
        </w:tc>
        <w:tc>
          <w:tcPr>
            <w:tcW w:w="1634" w:type="dxa"/>
            <w:vAlign w:val="center"/>
          </w:tcPr>
          <w:p w14:paraId="168F4339" w14:textId="39FF1BDF"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4,5</w:t>
            </w:r>
          </w:p>
        </w:tc>
      </w:tr>
      <w:tr w:rsidR="00407FCB" w:rsidRPr="00C83BE3" w14:paraId="19BAE395" w14:textId="5A163CE5" w:rsidTr="00407FCB">
        <w:trPr>
          <w:trHeight w:val="360"/>
        </w:trPr>
        <w:tc>
          <w:tcPr>
            <w:tcW w:w="3901" w:type="dxa"/>
            <w:vAlign w:val="center"/>
            <w:hideMark/>
          </w:tcPr>
          <w:p w14:paraId="1E5BB0B2" w14:textId="2318EE57" w:rsidR="00407FCB" w:rsidRPr="00B57F87" w:rsidRDefault="00407FCB" w:rsidP="00407FCB">
            <w:pPr>
              <w:spacing w:after="0"/>
              <w:ind w:firstLine="0"/>
              <w:jc w:val="left"/>
              <w:rPr>
                <w:rFonts w:eastAsia="Times New Roman" w:cs="Times New Roman"/>
                <w:color w:val="000000"/>
                <w:sz w:val="22"/>
              </w:rPr>
            </w:pPr>
            <w:r w:rsidRPr="00B57F87">
              <w:rPr>
                <w:rFonts w:eastAsia="Times New Roman" w:cs="Times New Roman"/>
                <w:color w:val="000000"/>
                <w:sz w:val="22"/>
              </w:rPr>
              <w:t>NIPT tests riska grupas grūtniecēm</w:t>
            </w:r>
          </w:p>
        </w:tc>
        <w:tc>
          <w:tcPr>
            <w:tcW w:w="1197" w:type="dxa"/>
            <w:vAlign w:val="center"/>
            <w:hideMark/>
          </w:tcPr>
          <w:p w14:paraId="29E8EB98"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0,0</w:t>
            </w:r>
          </w:p>
        </w:tc>
        <w:tc>
          <w:tcPr>
            <w:tcW w:w="1134" w:type="dxa"/>
            <w:vAlign w:val="center"/>
            <w:hideMark/>
          </w:tcPr>
          <w:p w14:paraId="67A2EA2D"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0,0</w:t>
            </w:r>
          </w:p>
        </w:tc>
        <w:tc>
          <w:tcPr>
            <w:tcW w:w="1201" w:type="dxa"/>
            <w:vAlign w:val="center"/>
            <w:hideMark/>
          </w:tcPr>
          <w:p w14:paraId="6FFEB6E2"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0,0</w:t>
            </w:r>
          </w:p>
        </w:tc>
        <w:tc>
          <w:tcPr>
            <w:tcW w:w="1634" w:type="dxa"/>
            <w:vAlign w:val="center"/>
          </w:tcPr>
          <w:p w14:paraId="1139DA84" w14:textId="0ADD00F9"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0,1</w:t>
            </w:r>
          </w:p>
        </w:tc>
      </w:tr>
      <w:tr w:rsidR="00407FCB" w:rsidRPr="00C83BE3" w14:paraId="78419BCC" w14:textId="69A38DEA" w:rsidTr="00407FCB">
        <w:trPr>
          <w:trHeight w:val="360"/>
        </w:trPr>
        <w:tc>
          <w:tcPr>
            <w:tcW w:w="3901" w:type="dxa"/>
            <w:vAlign w:val="center"/>
            <w:hideMark/>
          </w:tcPr>
          <w:p w14:paraId="31B978C3" w14:textId="77777777" w:rsidR="00407FCB" w:rsidRPr="00B57F87" w:rsidRDefault="00407FCB" w:rsidP="00407FCB">
            <w:pPr>
              <w:spacing w:after="0"/>
              <w:ind w:firstLine="0"/>
              <w:jc w:val="left"/>
              <w:rPr>
                <w:rFonts w:eastAsia="Times New Roman" w:cs="Times New Roman"/>
                <w:color w:val="000000"/>
                <w:sz w:val="22"/>
              </w:rPr>
            </w:pPr>
            <w:r w:rsidRPr="00B57F87">
              <w:rPr>
                <w:rFonts w:eastAsia="Times New Roman" w:cs="Times New Roman"/>
                <w:color w:val="000000"/>
                <w:sz w:val="22"/>
              </w:rPr>
              <w:t>Preeklampsijas seruma skrīnings sflt-1/PLGF grūtniecēm</w:t>
            </w:r>
          </w:p>
        </w:tc>
        <w:tc>
          <w:tcPr>
            <w:tcW w:w="1197" w:type="dxa"/>
            <w:vAlign w:val="center"/>
            <w:hideMark/>
          </w:tcPr>
          <w:p w14:paraId="3622201A"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0,0</w:t>
            </w:r>
          </w:p>
        </w:tc>
        <w:tc>
          <w:tcPr>
            <w:tcW w:w="1134" w:type="dxa"/>
            <w:vAlign w:val="center"/>
            <w:hideMark/>
          </w:tcPr>
          <w:p w14:paraId="56365CD0"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0,1</w:t>
            </w:r>
          </w:p>
        </w:tc>
        <w:tc>
          <w:tcPr>
            <w:tcW w:w="1201" w:type="dxa"/>
            <w:vAlign w:val="center"/>
            <w:hideMark/>
          </w:tcPr>
          <w:p w14:paraId="7E936975"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0,1</w:t>
            </w:r>
          </w:p>
        </w:tc>
        <w:tc>
          <w:tcPr>
            <w:tcW w:w="1634" w:type="dxa"/>
            <w:vAlign w:val="center"/>
          </w:tcPr>
          <w:p w14:paraId="2C47B297" w14:textId="5B7B0475"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0,2</w:t>
            </w:r>
          </w:p>
        </w:tc>
      </w:tr>
      <w:tr w:rsidR="00407FCB" w:rsidRPr="00C83BE3" w14:paraId="3D375529" w14:textId="00129C9F" w:rsidTr="00407FCB">
        <w:trPr>
          <w:trHeight w:val="624"/>
        </w:trPr>
        <w:tc>
          <w:tcPr>
            <w:tcW w:w="3901" w:type="dxa"/>
            <w:vAlign w:val="center"/>
            <w:hideMark/>
          </w:tcPr>
          <w:p w14:paraId="0802C957" w14:textId="77777777" w:rsidR="00407FCB" w:rsidRPr="00B57F87" w:rsidRDefault="00407FCB" w:rsidP="00407FCB">
            <w:pPr>
              <w:spacing w:after="0"/>
              <w:ind w:firstLine="0"/>
              <w:jc w:val="left"/>
              <w:rPr>
                <w:rFonts w:eastAsia="Times New Roman" w:cs="Times New Roman"/>
                <w:color w:val="000000"/>
                <w:sz w:val="22"/>
              </w:rPr>
            </w:pPr>
            <w:r w:rsidRPr="00B57F87">
              <w:rPr>
                <w:rFonts w:eastAsia="Times New Roman" w:cs="Times New Roman"/>
                <w:color w:val="000000"/>
                <w:sz w:val="22"/>
              </w:rPr>
              <w:lastRenderedPageBreak/>
              <w:t>Mazināti kardiovaskulāro slimību riski bērniem, nodrošinot ZBLH, kopējā holesterīna, glikozes līmeņa noteikšanu tukšā dūšā (5 -11 g.v.)</w:t>
            </w:r>
          </w:p>
        </w:tc>
        <w:tc>
          <w:tcPr>
            <w:tcW w:w="1197" w:type="dxa"/>
            <w:vAlign w:val="center"/>
            <w:hideMark/>
          </w:tcPr>
          <w:p w14:paraId="131E078C"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0,1</w:t>
            </w:r>
          </w:p>
        </w:tc>
        <w:tc>
          <w:tcPr>
            <w:tcW w:w="1134" w:type="dxa"/>
            <w:vAlign w:val="center"/>
            <w:hideMark/>
          </w:tcPr>
          <w:p w14:paraId="02144B52"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0,1</w:t>
            </w:r>
          </w:p>
        </w:tc>
        <w:tc>
          <w:tcPr>
            <w:tcW w:w="1201" w:type="dxa"/>
            <w:vAlign w:val="center"/>
            <w:hideMark/>
          </w:tcPr>
          <w:p w14:paraId="5F9A4AE0"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0,1</w:t>
            </w:r>
          </w:p>
        </w:tc>
        <w:tc>
          <w:tcPr>
            <w:tcW w:w="1634" w:type="dxa"/>
            <w:vAlign w:val="center"/>
          </w:tcPr>
          <w:p w14:paraId="380FFE0D" w14:textId="1966D898"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0,3</w:t>
            </w:r>
          </w:p>
        </w:tc>
      </w:tr>
      <w:tr w:rsidR="00407FCB" w:rsidRPr="00C83BE3" w14:paraId="4FC30F57" w14:textId="1560E37D" w:rsidTr="00407FCB">
        <w:trPr>
          <w:trHeight w:val="624"/>
        </w:trPr>
        <w:tc>
          <w:tcPr>
            <w:tcW w:w="3901" w:type="dxa"/>
            <w:vAlign w:val="center"/>
            <w:hideMark/>
          </w:tcPr>
          <w:p w14:paraId="0ECAD1F3" w14:textId="0B77C708" w:rsidR="00407FCB" w:rsidRPr="00B57F87" w:rsidRDefault="00407FCB" w:rsidP="00407FCB">
            <w:pPr>
              <w:spacing w:after="0"/>
              <w:ind w:firstLine="0"/>
              <w:jc w:val="left"/>
              <w:rPr>
                <w:rFonts w:eastAsia="Times New Roman" w:cs="Times New Roman"/>
                <w:color w:val="000000"/>
                <w:sz w:val="22"/>
              </w:rPr>
            </w:pPr>
            <w:r w:rsidRPr="00B57F87">
              <w:rPr>
                <w:rFonts w:eastAsia="Times New Roman" w:cs="Times New Roman"/>
                <w:color w:val="000000"/>
                <w:sz w:val="22"/>
              </w:rPr>
              <w:t>Preimplentācijas ģenētiskais izmeklējumi medicīniskajā apaugļošanā (PGT-M, PGT-A, PGT-SR) ģimenēm ar pārmantotu ģenētisku slimību</w:t>
            </w:r>
          </w:p>
        </w:tc>
        <w:tc>
          <w:tcPr>
            <w:tcW w:w="1197" w:type="dxa"/>
            <w:vAlign w:val="center"/>
            <w:hideMark/>
          </w:tcPr>
          <w:p w14:paraId="10F3E79B"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0,3</w:t>
            </w:r>
          </w:p>
        </w:tc>
        <w:tc>
          <w:tcPr>
            <w:tcW w:w="1134" w:type="dxa"/>
            <w:vAlign w:val="center"/>
            <w:hideMark/>
          </w:tcPr>
          <w:p w14:paraId="7808D4F6"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0,3</w:t>
            </w:r>
          </w:p>
        </w:tc>
        <w:tc>
          <w:tcPr>
            <w:tcW w:w="1201" w:type="dxa"/>
            <w:vAlign w:val="center"/>
            <w:hideMark/>
          </w:tcPr>
          <w:p w14:paraId="05DECF4A"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0,3</w:t>
            </w:r>
          </w:p>
        </w:tc>
        <w:tc>
          <w:tcPr>
            <w:tcW w:w="1634" w:type="dxa"/>
            <w:vAlign w:val="center"/>
          </w:tcPr>
          <w:p w14:paraId="72D41E8A" w14:textId="198FFBC3"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0,9</w:t>
            </w:r>
          </w:p>
        </w:tc>
      </w:tr>
      <w:tr w:rsidR="00407FCB" w:rsidRPr="00C83BE3" w14:paraId="37FB8B2C" w14:textId="4F4073FF" w:rsidTr="00407FCB">
        <w:trPr>
          <w:trHeight w:val="360"/>
        </w:trPr>
        <w:tc>
          <w:tcPr>
            <w:tcW w:w="3901" w:type="dxa"/>
            <w:vAlign w:val="center"/>
            <w:hideMark/>
          </w:tcPr>
          <w:p w14:paraId="0930650F" w14:textId="77777777" w:rsidR="00407FCB" w:rsidRPr="00B57F87" w:rsidRDefault="00407FCB" w:rsidP="00407FCB">
            <w:pPr>
              <w:spacing w:after="0"/>
              <w:ind w:firstLine="0"/>
              <w:jc w:val="left"/>
              <w:rPr>
                <w:rFonts w:eastAsia="Times New Roman" w:cs="Times New Roman"/>
                <w:color w:val="000000"/>
                <w:sz w:val="22"/>
              </w:rPr>
            </w:pPr>
            <w:r w:rsidRPr="00B57F87">
              <w:rPr>
                <w:rFonts w:eastAsia="Times New Roman" w:cs="Times New Roman"/>
                <w:color w:val="000000"/>
                <w:sz w:val="22"/>
              </w:rPr>
              <w:t>Dzimumšunu reģistra izveidei</w:t>
            </w:r>
          </w:p>
        </w:tc>
        <w:tc>
          <w:tcPr>
            <w:tcW w:w="1197" w:type="dxa"/>
            <w:vAlign w:val="center"/>
            <w:hideMark/>
          </w:tcPr>
          <w:p w14:paraId="754B3F0F"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0,6</w:t>
            </w:r>
          </w:p>
        </w:tc>
        <w:tc>
          <w:tcPr>
            <w:tcW w:w="1134" w:type="dxa"/>
            <w:vAlign w:val="center"/>
            <w:hideMark/>
          </w:tcPr>
          <w:p w14:paraId="62BF135D"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0,1</w:t>
            </w:r>
          </w:p>
        </w:tc>
        <w:tc>
          <w:tcPr>
            <w:tcW w:w="1201" w:type="dxa"/>
            <w:vAlign w:val="center"/>
            <w:hideMark/>
          </w:tcPr>
          <w:p w14:paraId="5756CCCC" w14:textId="77777777" w:rsidR="00407FCB" w:rsidRPr="00B57F87" w:rsidRDefault="00407FCB" w:rsidP="00407FCB">
            <w:pPr>
              <w:spacing w:after="0"/>
              <w:ind w:firstLine="0"/>
              <w:jc w:val="center"/>
              <w:rPr>
                <w:rFonts w:eastAsia="Times New Roman" w:cs="Times New Roman"/>
                <w:color w:val="000000"/>
                <w:sz w:val="22"/>
              </w:rPr>
            </w:pPr>
            <w:r w:rsidRPr="00B57F87">
              <w:rPr>
                <w:rFonts w:eastAsia="Times New Roman" w:cs="Times New Roman"/>
                <w:color w:val="000000"/>
                <w:sz w:val="22"/>
              </w:rPr>
              <w:t>0,1</w:t>
            </w:r>
          </w:p>
        </w:tc>
        <w:tc>
          <w:tcPr>
            <w:tcW w:w="1634" w:type="dxa"/>
            <w:vAlign w:val="center"/>
          </w:tcPr>
          <w:p w14:paraId="18E74F7F" w14:textId="43BA38B0" w:rsidR="00407FCB" w:rsidRPr="00B57F87" w:rsidRDefault="00407FCB" w:rsidP="00407FCB">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0,8</w:t>
            </w:r>
          </w:p>
        </w:tc>
      </w:tr>
    </w:tbl>
    <w:p w14:paraId="2AB8DA96" w14:textId="77777777" w:rsidR="00C8134E" w:rsidRPr="002D67FD" w:rsidRDefault="00C8134E" w:rsidP="002D67FD">
      <w:pPr>
        <w:widowControl w:val="0"/>
        <w:spacing w:after="0"/>
        <w:ind w:firstLine="0"/>
        <w:rPr>
          <w:rFonts w:eastAsia="Times New Roman" w:cs="Times New Roman"/>
          <w:b/>
          <w:sz w:val="28"/>
          <w:szCs w:val="28"/>
        </w:rPr>
      </w:pPr>
    </w:p>
    <w:p w14:paraId="2EFCDDDB" w14:textId="78667A6B" w:rsidR="00D81597" w:rsidRPr="00D8017D" w:rsidRDefault="00D81597" w:rsidP="009178A1">
      <w:pPr>
        <w:widowControl w:val="0"/>
        <w:spacing w:after="240"/>
        <w:ind w:firstLine="0"/>
        <w:jc w:val="center"/>
        <w:rPr>
          <w:rFonts w:eastAsia="Times New Roman" w:cs="Times New Roman"/>
          <w:b/>
          <w:sz w:val="28"/>
          <w:szCs w:val="28"/>
        </w:rPr>
      </w:pPr>
      <w:r w:rsidRPr="00D8017D">
        <w:rPr>
          <w:rFonts w:eastAsia="Times New Roman" w:cs="Times New Roman"/>
          <w:b/>
          <w:sz w:val="28"/>
          <w:szCs w:val="28"/>
        </w:rPr>
        <w:t>Izglītība</w:t>
      </w:r>
    </w:p>
    <w:p w14:paraId="199AC905" w14:textId="41AEE4D3" w:rsidR="000C7AD9" w:rsidRDefault="00E00127" w:rsidP="009178A1">
      <w:pPr>
        <w:widowControl w:val="0"/>
        <w:rPr>
          <w:rFonts w:cs="Times New Roman"/>
          <w:szCs w:val="24"/>
        </w:rPr>
      </w:pPr>
      <w:bookmarkStart w:id="76" w:name="_Hlk210688008"/>
      <w:r w:rsidRPr="00D8017D">
        <w:rPr>
          <w:rFonts w:cs="Times New Roman"/>
          <w:szCs w:val="24"/>
        </w:rPr>
        <w:t>Likumprojekta “Par valsts budžetu 202</w:t>
      </w:r>
      <w:r w:rsidR="00416413">
        <w:rPr>
          <w:rFonts w:cs="Times New Roman"/>
          <w:szCs w:val="24"/>
        </w:rPr>
        <w:t>6</w:t>
      </w:r>
      <w:r w:rsidRPr="00D8017D">
        <w:rPr>
          <w:rFonts w:cs="Times New Roman"/>
          <w:szCs w:val="24"/>
        </w:rPr>
        <w:t>. gadam un budžeta ietvaru 202</w:t>
      </w:r>
      <w:r w:rsidR="00416413">
        <w:rPr>
          <w:rFonts w:cs="Times New Roman"/>
          <w:szCs w:val="24"/>
        </w:rPr>
        <w:t>6</w:t>
      </w:r>
      <w:r w:rsidRPr="00D8017D">
        <w:rPr>
          <w:rFonts w:cs="Times New Roman"/>
          <w:szCs w:val="24"/>
        </w:rPr>
        <w:t>., 202</w:t>
      </w:r>
      <w:r w:rsidR="00416413">
        <w:rPr>
          <w:rFonts w:cs="Times New Roman"/>
          <w:szCs w:val="24"/>
        </w:rPr>
        <w:t>7</w:t>
      </w:r>
      <w:r w:rsidRPr="00D8017D">
        <w:rPr>
          <w:rFonts w:cs="Times New Roman"/>
          <w:szCs w:val="24"/>
        </w:rPr>
        <w:t>. un 202</w:t>
      </w:r>
      <w:r w:rsidR="00416413">
        <w:rPr>
          <w:rFonts w:cs="Times New Roman"/>
          <w:szCs w:val="24"/>
        </w:rPr>
        <w:t>8</w:t>
      </w:r>
      <w:r w:rsidRPr="00D8017D">
        <w:rPr>
          <w:rFonts w:cs="Times New Roman"/>
          <w:szCs w:val="24"/>
        </w:rPr>
        <w:t>. gadam” sagatavošanas ietvaros ir rasts papildus finansējums</w:t>
      </w:r>
      <w:r w:rsidR="0072164F" w:rsidRPr="00D8017D">
        <w:rPr>
          <w:rFonts w:cs="Times New Roman"/>
          <w:szCs w:val="24"/>
        </w:rPr>
        <w:t xml:space="preserve"> </w:t>
      </w:r>
      <w:r w:rsidR="0072164F" w:rsidRPr="00D8017D">
        <w:rPr>
          <w:rFonts w:cs="Times New Roman"/>
          <w:b/>
          <w:bCs/>
          <w:szCs w:val="24"/>
        </w:rPr>
        <w:t xml:space="preserve">222,2 milj. </w:t>
      </w:r>
      <w:r w:rsidR="0072164F" w:rsidRPr="00D8017D">
        <w:rPr>
          <w:rFonts w:cs="Times New Roman"/>
          <w:b/>
          <w:bCs/>
          <w:i/>
          <w:iCs/>
          <w:szCs w:val="24"/>
        </w:rPr>
        <w:t>euro</w:t>
      </w:r>
      <w:r w:rsidR="0072164F" w:rsidRPr="00D8017D">
        <w:rPr>
          <w:rFonts w:cs="Times New Roman"/>
          <w:i/>
          <w:iCs/>
          <w:szCs w:val="24"/>
        </w:rPr>
        <w:t xml:space="preserve">, </w:t>
      </w:r>
      <w:r w:rsidR="0072164F" w:rsidRPr="00D8017D">
        <w:rPr>
          <w:rFonts w:cs="Times New Roman"/>
          <w:szCs w:val="24"/>
        </w:rPr>
        <w:t>t.sk.</w:t>
      </w:r>
      <w:r w:rsidR="0072164F" w:rsidRPr="00D8017D">
        <w:rPr>
          <w:rFonts w:cs="Times New Roman"/>
          <w:i/>
          <w:iCs/>
          <w:szCs w:val="24"/>
        </w:rPr>
        <w:t xml:space="preserve"> 2026</w:t>
      </w:r>
      <w:r w:rsidR="0072164F" w:rsidRPr="00D8017D">
        <w:rPr>
          <w:rFonts w:cs="Times New Roman"/>
          <w:szCs w:val="24"/>
        </w:rPr>
        <w:t>. gadam 45,</w:t>
      </w:r>
      <w:r w:rsidR="00865693" w:rsidRPr="00D8017D">
        <w:rPr>
          <w:rFonts w:cs="Times New Roman"/>
          <w:szCs w:val="24"/>
        </w:rPr>
        <w:t>0</w:t>
      </w:r>
      <w:r w:rsidR="0072164F" w:rsidRPr="00D8017D">
        <w:rPr>
          <w:rFonts w:cs="Times New Roman"/>
          <w:szCs w:val="24"/>
        </w:rPr>
        <w:t xml:space="preserve"> milj. </w:t>
      </w:r>
      <w:r w:rsidR="0072164F" w:rsidRPr="00D8017D">
        <w:rPr>
          <w:rFonts w:cs="Times New Roman"/>
          <w:i/>
          <w:iCs/>
          <w:szCs w:val="24"/>
        </w:rPr>
        <w:t>euro</w:t>
      </w:r>
      <w:r w:rsidR="0072164F" w:rsidRPr="00D8017D">
        <w:rPr>
          <w:rFonts w:cs="Times New Roman"/>
          <w:szCs w:val="24"/>
        </w:rPr>
        <w:t xml:space="preserve">, 2027. gadam 90,6 milj. </w:t>
      </w:r>
      <w:r w:rsidR="0072164F" w:rsidRPr="00D8017D">
        <w:rPr>
          <w:rFonts w:cs="Times New Roman"/>
          <w:i/>
          <w:iCs/>
          <w:szCs w:val="24"/>
        </w:rPr>
        <w:t>euro</w:t>
      </w:r>
      <w:r w:rsidR="0072164F" w:rsidRPr="00D8017D">
        <w:rPr>
          <w:rFonts w:cs="Times New Roman"/>
          <w:szCs w:val="24"/>
        </w:rPr>
        <w:t xml:space="preserve"> un 2028. gadam 86,6 milj. </w:t>
      </w:r>
      <w:r w:rsidR="0072164F" w:rsidRPr="00D8017D">
        <w:rPr>
          <w:rFonts w:cs="Times New Roman"/>
          <w:i/>
          <w:iCs/>
          <w:szCs w:val="24"/>
        </w:rPr>
        <w:t xml:space="preserve">euro </w:t>
      </w:r>
      <w:r w:rsidRPr="00D8017D">
        <w:rPr>
          <w:rFonts w:cs="Times New Roman"/>
          <w:szCs w:val="24"/>
        </w:rPr>
        <w:t xml:space="preserve">finansēšanas modeļa </w:t>
      </w:r>
      <w:r w:rsidR="005725B2">
        <w:rPr>
          <w:rFonts w:cs="Times New Roman"/>
          <w:szCs w:val="24"/>
        </w:rPr>
        <w:t>“</w:t>
      </w:r>
      <w:r w:rsidRPr="00D8017D">
        <w:rPr>
          <w:rFonts w:cs="Times New Roman"/>
          <w:szCs w:val="24"/>
        </w:rPr>
        <w:t>Programma skolā</w:t>
      </w:r>
      <w:r w:rsidR="005725B2">
        <w:rPr>
          <w:rFonts w:cs="Times New Roman"/>
          <w:szCs w:val="24"/>
        </w:rPr>
        <w:t>”</w:t>
      </w:r>
      <w:r w:rsidRPr="00D8017D">
        <w:rPr>
          <w:rFonts w:cs="Times New Roman"/>
          <w:szCs w:val="24"/>
        </w:rPr>
        <w:t xml:space="preserve"> ieviešanai. </w:t>
      </w:r>
    </w:p>
    <w:bookmarkEnd w:id="76"/>
    <w:p w14:paraId="116A06D2" w14:textId="26A3132A" w:rsidR="000C7AD9" w:rsidRDefault="00E00127" w:rsidP="009178A1">
      <w:pPr>
        <w:widowControl w:val="0"/>
        <w:rPr>
          <w:rFonts w:eastAsia="Times New Roman" w:cs="Times New Roman"/>
          <w:bCs/>
          <w:szCs w:val="24"/>
        </w:rPr>
      </w:pPr>
      <w:r w:rsidRPr="00D8017D">
        <w:rPr>
          <w:rFonts w:eastAsia="Times New Roman" w:cs="Times New Roman"/>
          <w:bCs/>
          <w:szCs w:val="24"/>
        </w:rPr>
        <w:t>Modelis paredz, ka finansējums tiek aprēķināts konkrētai izglītības iestādei, ņemot vērā tajā nodrošināto izglītības programmu apmēru. Finansējumu atbalsta un administratīva personāla atalgojumam aprēķinās, pamatojoties uz optimālo atbalsta un administratīvā personālu sastāvu, kas nepieciešams pilnvērtīgam izglītības procesam, ņemot vērā izglītojamo skaitu izglītības iestādē, kas noteikts kā bāzes atbalsta un administratīvā personāla likmju skaits. Valsts budžeta finansējums mērķdotācijai pedagogu atalgojumam tiks piešķirts tām izglītības iestādēm, kuras atbilst noteiktiem kritērijiem par ilgtspējīgu izglītības iestādi.</w:t>
      </w:r>
      <w:r w:rsidR="0072164F" w:rsidRPr="00D8017D">
        <w:rPr>
          <w:rFonts w:eastAsia="Times New Roman" w:cs="Times New Roman"/>
          <w:bCs/>
          <w:szCs w:val="24"/>
        </w:rPr>
        <w:t xml:space="preserve"> Jaunais finansēšanas modelis </w:t>
      </w:r>
      <w:r w:rsidR="005725B2">
        <w:rPr>
          <w:rFonts w:eastAsia="Times New Roman" w:cs="Times New Roman"/>
          <w:bCs/>
          <w:szCs w:val="24"/>
        </w:rPr>
        <w:t>“</w:t>
      </w:r>
      <w:r w:rsidR="0072164F" w:rsidRPr="00D8017D">
        <w:rPr>
          <w:rFonts w:eastAsia="Times New Roman" w:cs="Times New Roman"/>
          <w:bCs/>
          <w:szCs w:val="24"/>
        </w:rPr>
        <w:t>Programma skolā</w:t>
      </w:r>
      <w:r w:rsidR="005725B2">
        <w:rPr>
          <w:rFonts w:eastAsia="Times New Roman" w:cs="Times New Roman"/>
          <w:bCs/>
          <w:szCs w:val="24"/>
        </w:rPr>
        <w:t>”</w:t>
      </w:r>
      <w:r w:rsidR="0072164F" w:rsidRPr="00D8017D">
        <w:rPr>
          <w:rFonts w:eastAsia="Times New Roman" w:cs="Times New Roman"/>
          <w:bCs/>
          <w:szCs w:val="24"/>
        </w:rPr>
        <w:t xml:space="preserve"> nodrošinās pedagogu darba samaksu ilgtspējīgā izglītības iestādē, tādējādi palielinoties atalgojumam ir iespēja paaugstināties izglītības kvalitātei, radot pozitīvu ietekmi uz valsts tautsaimniecību. Jaunais finansēšanas modelis </w:t>
      </w:r>
      <w:r w:rsidR="005725B2">
        <w:rPr>
          <w:rFonts w:eastAsia="Times New Roman" w:cs="Times New Roman"/>
          <w:bCs/>
          <w:szCs w:val="24"/>
        </w:rPr>
        <w:t>“</w:t>
      </w:r>
      <w:r w:rsidR="0072164F" w:rsidRPr="00D8017D">
        <w:rPr>
          <w:rFonts w:eastAsia="Times New Roman" w:cs="Times New Roman"/>
          <w:bCs/>
          <w:szCs w:val="24"/>
        </w:rPr>
        <w:t>Programma skolā</w:t>
      </w:r>
      <w:r w:rsidR="005725B2">
        <w:rPr>
          <w:rFonts w:eastAsia="Times New Roman" w:cs="Times New Roman"/>
          <w:bCs/>
          <w:szCs w:val="24"/>
        </w:rPr>
        <w:t>”</w:t>
      </w:r>
      <w:r w:rsidR="0072164F" w:rsidRPr="00D8017D">
        <w:rPr>
          <w:rFonts w:eastAsia="Times New Roman" w:cs="Times New Roman"/>
          <w:bCs/>
          <w:szCs w:val="24"/>
        </w:rPr>
        <w:t xml:space="preserve"> veicinās izglītības iestāžu tīkla kārtošanu, jo neizpildoties kvantitatīvajiem rādītājiem izglītības iestāžu dibinātājiem - pašvaldībām, jānodrošina līdzfinansējums pedagogu darba samaksai.</w:t>
      </w:r>
      <w:bookmarkEnd w:id="67"/>
      <w:bookmarkEnd w:id="68"/>
      <w:r w:rsidR="000C7AD9">
        <w:rPr>
          <w:rFonts w:eastAsia="Times New Roman" w:cs="Times New Roman"/>
          <w:bCs/>
          <w:szCs w:val="24"/>
        </w:rPr>
        <w:t xml:space="preserve"> </w:t>
      </w:r>
    </w:p>
    <w:p w14:paraId="1077EAC9" w14:textId="1B141E5B" w:rsidR="00FB2F05" w:rsidRPr="000C7AD9" w:rsidRDefault="000C7AD9" w:rsidP="009178A1">
      <w:pPr>
        <w:widowControl w:val="0"/>
        <w:rPr>
          <w:rFonts w:eastAsia="Times New Roman" w:cs="Times New Roman"/>
          <w:bCs/>
          <w:szCs w:val="24"/>
        </w:rPr>
      </w:pPr>
      <w:r w:rsidRPr="002D67FD">
        <w:rPr>
          <w:rFonts w:eastAsia="Times New Roman" w:cs="Times New Roman"/>
          <w:bCs/>
          <w:szCs w:val="24"/>
        </w:rPr>
        <w:t>Pasākums saistīts ar Valdības rīcības plāna</w:t>
      </w:r>
      <w:r w:rsidRPr="002E49D9">
        <w:t xml:space="preserve"> </w:t>
      </w:r>
      <w:r w:rsidRPr="000C7AD9">
        <w:rPr>
          <w:rFonts w:cs="Times New Roman"/>
          <w:szCs w:val="24"/>
        </w:rPr>
        <w:t>25.1. pasākum</w:t>
      </w:r>
      <w:r>
        <w:rPr>
          <w:rFonts w:cs="Times New Roman"/>
          <w:szCs w:val="24"/>
        </w:rPr>
        <w:t>u.</w:t>
      </w:r>
    </w:p>
    <w:p w14:paraId="1D44FA84" w14:textId="77777777" w:rsidR="000C7AD9" w:rsidRPr="00D8017D" w:rsidRDefault="000C7AD9" w:rsidP="008349F0">
      <w:pPr>
        <w:spacing w:after="0"/>
        <w:ind w:firstLine="0"/>
        <w:rPr>
          <w:rFonts w:cs="Times New Roman"/>
          <w:szCs w:val="24"/>
          <w:highlight w:val="lightGray"/>
        </w:rPr>
      </w:pPr>
    </w:p>
    <w:p w14:paraId="584186DC" w14:textId="19EC3E0D" w:rsidR="009178A1" w:rsidRPr="000C7AD9" w:rsidRDefault="00E537F0" w:rsidP="009178A1">
      <w:pPr>
        <w:spacing w:after="240"/>
        <w:ind w:firstLine="0"/>
        <w:jc w:val="center"/>
        <w:rPr>
          <w:rFonts w:cs="Times New Roman"/>
          <w:b/>
          <w:bCs/>
          <w:sz w:val="28"/>
          <w:szCs w:val="28"/>
        </w:rPr>
      </w:pPr>
      <w:r w:rsidRPr="000C7AD9">
        <w:rPr>
          <w:rFonts w:cs="Times New Roman"/>
          <w:b/>
          <w:bCs/>
          <w:sz w:val="28"/>
          <w:szCs w:val="28"/>
        </w:rPr>
        <w:t xml:space="preserve">Citi </w:t>
      </w:r>
      <w:r w:rsidR="00FB2F05" w:rsidRPr="000C7AD9">
        <w:rPr>
          <w:rFonts w:cs="Times New Roman"/>
          <w:b/>
          <w:bCs/>
          <w:sz w:val="28"/>
          <w:szCs w:val="28"/>
        </w:rPr>
        <w:t>prioritārie pasākumi</w:t>
      </w:r>
    </w:p>
    <w:p w14:paraId="55E67868" w14:textId="1572BFDF" w:rsidR="000C7AD9" w:rsidRPr="000C7AD9" w:rsidRDefault="00407FCB" w:rsidP="008349F0">
      <w:pPr>
        <w:rPr>
          <w:rFonts w:cs="Times New Roman"/>
          <w:szCs w:val="24"/>
        </w:rPr>
      </w:pPr>
      <w:bookmarkStart w:id="77" w:name="_Hlk210688104"/>
      <w:r w:rsidRPr="000C7AD9">
        <w:rPr>
          <w:rFonts w:cs="Times New Roman"/>
          <w:szCs w:val="24"/>
        </w:rPr>
        <w:t>Likumprojekt</w:t>
      </w:r>
      <w:r w:rsidR="00394821">
        <w:rPr>
          <w:rFonts w:cs="Times New Roman"/>
          <w:szCs w:val="24"/>
        </w:rPr>
        <w:t xml:space="preserve">s </w:t>
      </w:r>
      <w:r w:rsidR="00394821" w:rsidRPr="00D8017D">
        <w:rPr>
          <w:rFonts w:cs="Times New Roman"/>
          <w:szCs w:val="24"/>
        </w:rPr>
        <w:t>“Par valsts budžetu 202</w:t>
      </w:r>
      <w:r w:rsidR="005F556E">
        <w:rPr>
          <w:rFonts w:cs="Times New Roman"/>
          <w:szCs w:val="24"/>
        </w:rPr>
        <w:t>6</w:t>
      </w:r>
      <w:r w:rsidR="00394821" w:rsidRPr="00D8017D">
        <w:rPr>
          <w:rFonts w:cs="Times New Roman"/>
          <w:szCs w:val="24"/>
        </w:rPr>
        <w:t>. gadam un budžeta ietvaru 202</w:t>
      </w:r>
      <w:r w:rsidR="005F556E">
        <w:rPr>
          <w:rFonts w:cs="Times New Roman"/>
          <w:szCs w:val="24"/>
        </w:rPr>
        <w:t>6</w:t>
      </w:r>
      <w:r w:rsidR="00394821" w:rsidRPr="00D8017D">
        <w:rPr>
          <w:rFonts w:cs="Times New Roman"/>
          <w:szCs w:val="24"/>
        </w:rPr>
        <w:t>., 202</w:t>
      </w:r>
      <w:r w:rsidR="005F556E">
        <w:rPr>
          <w:rFonts w:cs="Times New Roman"/>
          <w:szCs w:val="24"/>
        </w:rPr>
        <w:t>7</w:t>
      </w:r>
      <w:r w:rsidR="00394821" w:rsidRPr="00D8017D">
        <w:rPr>
          <w:rFonts w:cs="Times New Roman"/>
          <w:szCs w:val="24"/>
        </w:rPr>
        <w:t>. un 202</w:t>
      </w:r>
      <w:r w:rsidR="005F556E">
        <w:rPr>
          <w:rFonts w:cs="Times New Roman"/>
          <w:szCs w:val="24"/>
        </w:rPr>
        <w:t>8</w:t>
      </w:r>
      <w:r w:rsidR="00394821" w:rsidRPr="00D8017D">
        <w:rPr>
          <w:rFonts w:cs="Times New Roman"/>
          <w:szCs w:val="24"/>
        </w:rPr>
        <w:t>. gadam”</w:t>
      </w:r>
      <w:r w:rsidRPr="000C7AD9">
        <w:rPr>
          <w:rFonts w:cs="Times New Roman"/>
          <w:szCs w:val="24"/>
        </w:rPr>
        <w:t xml:space="preserve"> </w:t>
      </w:r>
      <w:r w:rsidR="00085786" w:rsidRPr="000C7AD9">
        <w:rPr>
          <w:rFonts w:cs="Times New Roman"/>
          <w:szCs w:val="24"/>
        </w:rPr>
        <w:t>paredz</w:t>
      </w:r>
      <w:r w:rsidR="00FB2F05" w:rsidRPr="000C7AD9">
        <w:rPr>
          <w:rFonts w:cs="Times New Roman"/>
          <w:szCs w:val="24"/>
        </w:rPr>
        <w:t xml:space="preserve"> īstenot pasākumus</w:t>
      </w:r>
      <w:r w:rsidR="001D0754" w:rsidRPr="000C7AD9">
        <w:rPr>
          <w:rFonts w:cs="Times New Roman"/>
          <w:szCs w:val="24"/>
        </w:rPr>
        <w:t xml:space="preserve"> </w:t>
      </w:r>
      <w:r w:rsidR="000C7AD9" w:rsidRPr="000C7AD9">
        <w:rPr>
          <w:rFonts w:cs="Times New Roman"/>
          <w:szCs w:val="24"/>
        </w:rPr>
        <w:t>normatīvo aktu</w:t>
      </w:r>
      <w:r w:rsidR="001D0754" w:rsidRPr="000C7AD9">
        <w:rPr>
          <w:rFonts w:cs="Times New Roman"/>
          <w:szCs w:val="24"/>
        </w:rPr>
        <w:t xml:space="preserve"> izpildes nodrošināšanai</w:t>
      </w:r>
      <w:r w:rsidR="005C010B" w:rsidRPr="000C7AD9">
        <w:rPr>
          <w:rFonts w:cs="Times New Roman"/>
          <w:szCs w:val="24"/>
        </w:rPr>
        <w:t xml:space="preserve"> (</w:t>
      </w:r>
      <w:r w:rsidR="000C7AD9" w:rsidRPr="000C7AD9">
        <w:rPr>
          <w:rFonts w:cs="Times New Roman"/>
          <w:szCs w:val="24"/>
        </w:rPr>
        <w:t>paliatīvās aprūpes pakalpojuma nodrošināšanai (LM un VM), veicot politikas izmaiņas, vēlēšanu komisiju atlīdzības nodrošināšanai,</w:t>
      </w:r>
      <w:r w:rsidR="000C7AD9" w:rsidRPr="000C7AD9">
        <w:t xml:space="preserve"> s</w:t>
      </w:r>
      <w:r w:rsidR="000C7AD9" w:rsidRPr="000C7AD9">
        <w:rPr>
          <w:rFonts w:cs="Times New Roman"/>
          <w:szCs w:val="24"/>
        </w:rPr>
        <w:t>ociālās rehabilitācijas pakalpojumu nodrošināšanai (LM), vienreizējām investīcijām neatliekamu drošības pasākumu īstenošanai Ārlietu ministrijas pārstāvniecībai Briselē, VID un UR IT sistēmu pielāgošanai saistībā ar izmaiņām nodokļu likumos un citos normatīvos aktos (FM VID, TM UR</w:t>
      </w:r>
      <w:r w:rsidR="00394821">
        <w:rPr>
          <w:rFonts w:cs="Times New Roman"/>
          <w:szCs w:val="24"/>
        </w:rPr>
        <w:t>)</w:t>
      </w:r>
      <w:r w:rsidR="00FB2F05" w:rsidRPr="000C7AD9">
        <w:rPr>
          <w:rFonts w:cs="Times New Roman"/>
          <w:szCs w:val="24"/>
        </w:rPr>
        <w:t>, iezīmējot t</w:t>
      </w:r>
      <w:r w:rsidR="001D0754" w:rsidRPr="000C7AD9">
        <w:rPr>
          <w:rFonts w:cs="Times New Roman"/>
          <w:szCs w:val="24"/>
        </w:rPr>
        <w:t xml:space="preserve">iem </w:t>
      </w:r>
      <w:r w:rsidR="00FB2F05" w:rsidRPr="000C7AD9">
        <w:rPr>
          <w:rFonts w:cs="Times New Roman"/>
          <w:szCs w:val="24"/>
        </w:rPr>
        <w:t>vairāk kā</w:t>
      </w:r>
      <w:r w:rsidR="00E537F0" w:rsidRPr="000C7AD9">
        <w:rPr>
          <w:rFonts w:cs="Times New Roman"/>
          <w:szCs w:val="24"/>
        </w:rPr>
        <w:t xml:space="preserve"> </w:t>
      </w:r>
      <w:r w:rsidR="000C7AD9" w:rsidRPr="000C7AD9">
        <w:rPr>
          <w:rFonts w:cs="Times New Roman"/>
          <w:b/>
          <w:bCs/>
          <w:szCs w:val="24"/>
        </w:rPr>
        <w:t>38,1</w:t>
      </w:r>
      <w:r w:rsidR="00FB2F05" w:rsidRPr="000C7AD9">
        <w:rPr>
          <w:rFonts w:cs="Times New Roman"/>
          <w:b/>
          <w:bCs/>
          <w:szCs w:val="24"/>
        </w:rPr>
        <w:t xml:space="preserve"> milj. </w:t>
      </w:r>
      <w:r w:rsidR="00FB2F05" w:rsidRPr="000C7AD9">
        <w:rPr>
          <w:rFonts w:cs="Times New Roman"/>
          <w:b/>
          <w:bCs/>
          <w:i/>
          <w:iCs/>
          <w:szCs w:val="24"/>
        </w:rPr>
        <w:t>euro</w:t>
      </w:r>
      <w:r w:rsidR="00FB2F05" w:rsidRPr="000C7AD9">
        <w:rPr>
          <w:rFonts w:cs="Times New Roman"/>
          <w:szCs w:val="24"/>
        </w:rPr>
        <w:t xml:space="preserve"> (</w:t>
      </w:r>
      <w:r w:rsidR="00A039A9">
        <w:rPr>
          <w:rFonts w:cs="Times New Roman"/>
          <w:szCs w:val="24"/>
        </w:rPr>
        <w:t xml:space="preserve">t.sk. </w:t>
      </w:r>
      <w:r w:rsidR="000C7AD9" w:rsidRPr="000C7AD9">
        <w:rPr>
          <w:rFonts w:cs="Times New Roman"/>
          <w:szCs w:val="24"/>
        </w:rPr>
        <w:t>17,9</w:t>
      </w:r>
      <w:r w:rsidR="00FB2F05" w:rsidRPr="000C7AD9">
        <w:rPr>
          <w:rFonts w:cs="Times New Roman"/>
          <w:szCs w:val="24"/>
        </w:rPr>
        <w:t xml:space="preserve"> milj</w:t>
      </w:r>
      <w:r w:rsidR="00F85443" w:rsidRPr="000C7AD9">
        <w:rPr>
          <w:rFonts w:cs="Times New Roman"/>
          <w:szCs w:val="24"/>
        </w:rPr>
        <w:t>.</w:t>
      </w:r>
      <w:r w:rsidR="00FB2F05" w:rsidRPr="000C7AD9">
        <w:rPr>
          <w:rFonts w:cs="Times New Roman"/>
          <w:szCs w:val="24"/>
        </w:rPr>
        <w:t xml:space="preserve"> </w:t>
      </w:r>
      <w:r w:rsidR="00FB2F05" w:rsidRPr="000C7AD9">
        <w:rPr>
          <w:rFonts w:cs="Times New Roman"/>
          <w:i/>
          <w:iCs/>
          <w:szCs w:val="24"/>
        </w:rPr>
        <w:t xml:space="preserve">euro </w:t>
      </w:r>
      <w:r w:rsidR="0084019B" w:rsidRPr="000C7AD9">
        <w:rPr>
          <w:rFonts w:cs="Times New Roman"/>
          <w:szCs w:val="24"/>
        </w:rPr>
        <w:t>202</w:t>
      </w:r>
      <w:r w:rsidR="000C7AD9" w:rsidRPr="000C7AD9">
        <w:rPr>
          <w:rFonts w:cs="Times New Roman"/>
          <w:szCs w:val="24"/>
        </w:rPr>
        <w:t>6</w:t>
      </w:r>
      <w:r w:rsidR="0084019B" w:rsidRPr="000C7AD9">
        <w:rPr>
          <w:rFonts w:cs="Times New Roman"/>
          <w:szCs w:val="24"/>
        </w:rPr>
        <w:t>.</w:t>
      </w:r>
      <w:r w:rsidR="00376254">
        <w:rPr>
          <w:rFonts w:cs="Times New Roman"/>
          <w:szCs w:val="24"/>
        </w:rPr>
        <w:t xml:space="preserve"> </w:t>
      </w:r>
      <w:r w:rsidR="0084019B" w:rsidRPr="000C7AD9">
        <w:rPr>
          <w:rFonts w:cs="Times New Roman"/>
          <w:szCs w:val="24"/>
        </w:rPr>
        <w:t xml:space="preserve">gadam, </w:t>
      </w:r>
      <w:r w:rsidR="000C7AD9" w:rsidRPr="000C7AD9">
        <w:rPr>
          <w:rFonts w:cs="Times New Roman"/>
          <w:szCs w:val="24"/>
        </w:rPr>
        <w:t>10,2</w:t>
      </w:r>
      <w:r w:rsidR="0084019B" w:rsidRPr="000C7AD9">
        <w:rPr>
          <w:rFonts w:cs="Times New Roman"/>
          <w:szCs w:val="24"/>
        </w:rPr>
        <w:t xml:space="preserve"> milj. </w:t>
      </w:r>
      <w:r w:rsidR="0084019B" w:rsidRPr="000C7AD9">
        <w:rPr>
          <w:rFonts w:cs="Times New Roman"/>
          <w:i/>
          <w:iCs/>
          <w:szCs w:val="24"/>
        </w:rPr>
        <w:t>euro</w:t>
      </w:r>
      <w:r w:rsidR="0084019B" w:rsidRPr="000C7AD9">
        <w:rPr>
          <w:rFonts w:cs="Times New Roman"/>
          <w:szCs w:val="24"/>
        </w:rPr>
        <w:t xml:space="preserve"> 202</w:t>
      </w:r>
      <w:r w:rsidR="000C7AD9" w:rsidRPr="000C7AD9">
        <w:rPr>
          <w:rFonts w:cs="Times New Roman"/>
          <w:szCs w:val="24"/>
        </w:rPr>
        <w:t>7</w:t>
      </w:r>
      <w:r w:rsidR="0084019B" w:rsidRPr="000C7AD9">
        <w:rPr>
          <w:rFonts w:cs="Times New Roman"/>
          <w:szCs w:val="24"/>
        </w:rPr>
        <w:t>. gadam</w:t>
      </w:r>
      <w:r w:rsidR="000C7AD9" w:rsidRPr="000C7AD9">
        <w:rPr>
          <w:rFonts w:cs="Times New Roman"/>
          <w:szCs w:val="24"/>
        </w:rPr>
        <w:t xml:space="preserve"> un</w:t>
      </w:r>
      <w:r w:rsidR="00E537F0" w:rsidRPr="000C7AD9">
        <w:rPr>
          <w:rFonts w:cs="Times New Roman"/>
          <w:szCs w:val="24"/>
        </w:rPr>
        <w:t xml:space="preserve"> </w:t>
      </w:r>
      <w:r w:rsidR="000C7AD9" w:rsidRPr="000C7AD9">
        <w:rPr>
          <w:rFonts w:cs="Times New Roman"/>
          <w:szCs w:val="24"/>
        </w:rPr>
        <w:t xml:space="preserve">10 </w:t>
      </w:r>
      <w:r w:rsidR="0084019B" w:rsidRPr="000C7AD9">
        <w:rPr>
          <w:rFonts w:cs="Times New Roman"/>
          <w:szCs w:val="24"/>
        </w:rPr>
        <w:t xml:space="preserve">milj. </w:t>
      </w:r>
      <w:r w:rsidR="0084019B" w:rsidRPr="000C7AD9">
        <w:rPr>
          <w:rFonts w:cs="Times New Roman"/>
          <w:i/>
          <w:iCs/>
          <w:szCs w:val="24"/>
        </w:rPr>
        <w:t>euro</w:t>
      </w:r>
      <w:r w:rsidR="0084019B" w:rsidRPr="000C7AD9">
        <w:rPr>
          <w:rFonts w:cs="Times New Roman"/>
          <w:szCs w:val="24"/>
        </w:rPr>
        <w:t xml:space="preserve"> 202</w:t>
      </w:r>
      <w:r w:rsidR="000C7AD9" w:rsidRPr="000C7AD9">
        <w:rPr>
          <w:rFonts w:cs="Times New Roman"/>
          <w:szCs w:val="24"/>
        </w:rPr>
        <w:t>8</w:t>
      </w:r>
      <w:r w:rsidR="0084019B" w:rsidRPr="000C7AD9">
        <w:rPr>
          <w:rFonts w:cs="Times New Roman"/>
          <w:szCs w:val="24"/>
        </w:rPr>
        <w:t>. gadam)</w:t>
      </w:r>
      <w:r w:rsidR="000C7AD9">
        <w:rPr>
          <w:rFonts w:cs="Times New Roman"/>
          <w:szCs w:val="24"/>
        </w:rPr>
        <w:t xml:space="preserve"> un </w:t>
      </w:r>
      <w:r w:rsidR="00A039A9">
        <w:rPr>
          <w:rFonts w:cs="Times New Roman"/>
          <w:szCs w:val="24"/>
        </w:rPr>
        <w:t>virkni citu pasākumu, kuriem novirzīts finansējums</w:t>
      </w:r>
      <w:r w:rsidR="009F5EAF">
        <w:rPr>
          <w:rFonts w:cs="Times New Roman"/>
          <w:szCs w:val="24"/>
        </w:rPr>
        <w:t xml:space="preserve"> </w:t>
      </w:r>
      <w:r w:rsidR="009F5EAF" w:rsidRPr="009F5EAF">
        <w:rPr>
          <w:rFonts w:cs="Times New Roman"/>
          <w:b/>
          <w:bCs/>
          <w:szCs w:val="24"/>
        </w:rPr>
        <w:t xml:space="preserve">126 milj. </w:t>
      </w:r>
      <w:r w:rsidR="009F5EAF" w:rsidRPr="009F5EAF">
        <w:rPr>
          <w:rFonts w:cs="Times New Roman"/>
          <w:b/>
          <w:bCs/>
          <w:i/>
          <w:iCs/>
          <w:szCs w:val="24"/>
        </w:rPr>
        <w:t>euro</w:t>
      </w:r>
      <w:r w:rsidR="00A039A9">
        <w:rPr>
          <w:rFonts w:cs="Times New Roman"/>
          <w:b/>
          <w:bCs/>
          <w:i/>
          <w:iCs/>
          <w:szCs w:val="24"/>
        </w:rPr>
        <w:t xml:space="preserve"> </w:t>
      </w:r>
      <w:r w:rsidR="00A039A9" w:rsidRPr="00A039A9">
        <w:rPr>
          <w:rFonts w:cs="Times New Roman"/>
          <w:szCs w:val="24"/>
        </w:rPr>
        <w:t>apmērā</w:t>
      </w:r>
      <w:r w:rsidR="009F5EAF">
        <w:rPr>
          <w:rFonts w:cs="Times New Roman"/>
          <w:b/>
          <w:bCs/>
          <w:i/>
          <w:iCs/>
          <w:szCs w:val="24"/>
        </w:rPr>
        <w:t xml:space="preserve"> </w:t>
      </w:r>
      <w:r w:rsidR="009F5EAF" w:rsidRPr="00A039A9">
        <w:rPr>
          <w:rFonts w:cs="Times New Roman"/>
          <w:b/>
          <w:bCs/>
          <w:szCs w:val="24"/>
        </w:rPr>
        <w:t>(</w:t>
      </w:r>
      <w:r w:rsidR="00A039A9" w:rsidRPr="00E44322">
        <w:rPr>
          <w:rFonts w:cs="Times New Roman"/>
          <w:szCs w:val="24"/>
        </w:rPr>
        <w:t>t.sk.</w:t>
      </w:r>
      <w:r w:rsidR="00A039A9">
        <w:rPr>
          <w:rFonts w:cs="Times New Roman"/>
          <w:b/>
          <w:bCs/>
          <w:szCs w:val="24"/>
        </w:rPr>
        <w:t xml:space="preserve"> </w:t>
      </w:r>
      <w:r w:rsidR="009F5EAF" w:rsidRPr="00A039A9">
        <w:rPr>
          <w:rFonts w:cs="Times New Roman"/>
          <w:szCs w:val="24"/>
        </w:rPr>
        <w:t>87</w:t>
      </w:r>
      <w:r w:rsidR="009F5EAF">
        <w:rPr>
          <w:rFonts w:cs="Times New Roman"/>
          <w:szCs w:val="24"/>
        </w:rPr>
        <w:t>,5</w:t>
      </w:r>
      <w:r w:rsidR="009F5EAF" w:rsidRPr="000C7AD9">
        <w:rPr>
          <w:rFonts w:cs="Times New Roman"/>
          <w:szCs w:val="24"/>
        </w:rPr>
        <w:t xml:space="preserve"> milj. </w:t>
      </w:r>
      <w:r w:rsidR="009F5EAF" w:rsidRPr="000C7AD9">
        <w:rPr>
          <w:rFonts w:cs="Times New Roman"/>
          <w:i/>
          <w:iCs/>
          <w:szCs w:val="24"/>
        </w:rPr>
        <w:t xml:space="preserve">euro </w:t>
      </w:r>
      <w:r w:rsidR="009F5EAF" w:rsidRPr="000C7AD9">
        <w:rPr>
          <w:rFonts w:cs="Times New Roman"/>
          <w:szCs w:val="24"/>
        </w:rPr>
        <w:t>2026.</w:t>
      </w:r>
      <w:r w:rsidR="00376254">
        <w:rPr>
          <w:rFonts w:cs="Times New Roman"/>
          <w:szCs w:val="24"/>
        </w:rPr>
        <w:t xml:space="preserve"> </w:t>
      </w:r>
      <w:r w:rsidR="009F5EAF" w:rsidRPr="000C7AD9">
        <w:rPr>
          <w:rFonts w:cs="Times New Roman"/>
          <w:szCs w:val="24"/>
        </w:rPr>
        <w:t xml:space="preserve">gadam, </w:t>
      </w:r>
      <w:r w:rsidR="009F5EAF">
        <w:rPr>
          <w:rFonts w:cs="Times New Roman"/>
          <w:szCs w:val="24"/>
        </w:rPr>
        <w:t>27,5</w:t>
      </w:r>
      <w:r w:rsidR="009F5EAF" w:rsidRPr="000C7AD9">
        <w:rPr>
          <w:rFonts w:cs="Times New Roman"/>
          <w:szCs w:val="24"/>
        </w:rPr>
        <w:t xml:space="preserve"> milj. </w:t>
      </w:r>
      <w:r w:rsidR="009F5EAF" w:rsidRPr="000C7AD9">
        <w:rPr>
          <w:rFonts w:cs="Times New Roman"/>
          <w:i/>
          <w:iCs/>
          <w:szCs w:val="24"/>
        </w:rPr>
        <w:t>euro</w:t>
      </w:r>
      <w:r w:rsidR="009F5EAF" w:rsidRPr="000C7AD9">
        <w:rPr>
          <w:rFonts w:cs="Times New Roman"/>
          <w:szCs w:val="24"/>
        </w:rPr>
        <w:t xml:space="preserve"> 2027. gadam un 1</w:t>
      </w:r>
      <w:r w:rsidR="009F5EAF">
        <w:rPr>
          <w:rFonts w:cs="Times New Roman"/>
          <w:szCs w:val="24"/>
        </w:rPr>
        <w:t>1,1</w:t>
      </w:r>
      <w:r w:rsidR="009F5EAF" w:rsidRPr="000C7AD9">
        <w:rPr>
          <w:rFonts w:cs="Times New Roman"/>
          <w:szCs w:val="24"/>
        </w:rPr>
        <w:t xml:space="preserve"> milj. </w:t>
      </w:r>
      <w:r w:rsidR="009F5EAF" w:rsidRPr="000C7AD9">
        <w:rPr>
          <w:rFonts w:cs="Times New Roman"/>
          <w:i/>
          <w:iCs/>
          <w:szCs w:val="24"/>
        </w:rPr>
        <w:t>euro</w:t>
      </w:r>
      <w:r w:rsidR="009F5EAF" w:rsidRPr="000C7AD9">
        <w:rPr>
          <w:rFonts w:cs="Times New Roman"/>
          <w:szCs w:val="24"/>
        </w:rPr>
        <w:t xml:space="preserve"> 2028. gadam</w:t>
      </w:r>
      <w:r w:rsidR="00A039A9">
        <w:rPr>
          <w:rFonts w:cs="Times New Roman"/>
          <w:szCs w:val="24"/>
        </w:rPr>
        <w:t>)</w:t>
      </w:r>
      <w:r w:rsidR="009F5EAF">
        <w:rPr>
          <w:rFonts w:cs="Times New Roman"/>
          <w:szCs w:val="24"/>
        </w:rPr>
        <w:t xml:space="preserve">, kopā </w:t>
      </w:r>
      <w:r w:rsidR="00394821">
        <w:rPr>
          <w:rFonts w:cs="Times New Roman"/>
          <w:szCs w:val="24"/>
        </w:rPr>
        <w:t>veidojot</w:t>
      </w:r>
      <w:r w:rsidR="009F5EAF">
        <w:rPr>
          <w:rFonts w:cs="Times New Roman"/>
          <w:szCs w:val="24"/>
        </w:rPr>
        <w:t xml:space="preserve"> </w:t>
      </w:r>
      <w:r w:rsidR="009F5EAF" w:rsidRPr="00A039A9">
        <w:rPr>
          <w:rFonts w:cs="Times New Roman"/>
          <w:b/>
          <w:bCs/>
          <w:szCs w:val="24"/>
        </w:rPr>
        <w:t xml:space="preserve">164,1 milj. </w:t>
      </w:r>
      <w:r w:rsidR="009F5EAF" w:rsidRPr="00A039A9">
        <w:rPr>
          <w:rFonts w:cs="Times New Roman"/>
          <w:b/>
          <w:bCs/>
          <w:i/>
          <w:iCs/>
          <w:szCs w:val="24"/>
        </w:rPr>
        <w:t>euro</w:t>
      </w:r>
      <w:r w:rsidR="009F5EAF">
        <w:rPr>
          <w:rFonts w:cs="Times New Roman"/>
          <w:i/>
          <w:iCs/>
          <w:szCs w:val="24"/>
        </w:rPr>
        <w:t xml:space="preserve"> </w:t>
      </w:r>
      <w:r w:rsidR="009F5EAF" w:rsidRPr="00A039A9">
        <w:rPr>
          <w:rFonts w:cs="Times New Roman"/>
          <w:szCs w:val="24"/>
        </w:rPr>
        <w:t>(</w:t>
      </w:r>
      <w:r w:rsidR="00A039A9">
        <w:rPr>
          <w:rFonts w:cs="Times New Roman"/>
          <w:szCs w:val="24"/>
        </w:rPr>
        <w:t xml:space="preserve">t.sk. </w:t>
      </w:r>
      <w:r w:rsidR="009F5EAF" w:rsidRPr="00A039A9">
        <w:rPr>
          <w:rFonts w:cs="Times New Roman"/>
          <w:szCs w:val="24"/>
        </w:rPr>
        <w:t>1</w:t>
      </w:r>
      <w:r w:rsidR="009F5EAF">
        <w:rPr>
          <w:rFonts w:cs="Times New Roman"/>
          <w:szCs w:val="24"/>
        </w:rPr>
        <w:t>05,4</w:t>
      </w:r>
      <w:r w:rsidR="009F5EAF" w:rsidRPr="000C7AD9">
        <w:rPr>
          <w:rFonts w:cs="Times New Roman"/>
          <w:szCs w:val="24"/>
        </w:rPr>
        <w:t xml:space="preserve"> milj. </w:t>
      </w:r>
      <w:r w:rsidR="009F5EAF" w:rsidRPr="000C7AD9">
        <w:rPr>
          <w:rFonts w:cs="Times New Roman"/>
          <w:i/>
          <w:iCs/>
          <w:szCs w:val="24"/>
        </w:rPr>
        <w:t xml:space="preserve">euro </w:t>
      </w:r>
      <w:r w:rsidR="009F5EAF" w:rsidRPr="000C7AD9">
        <w:rPr>
          <w:rFonts w:cs="Times New Roman"/>
          <w:szCs w:val="24"/>
        </w:rPr>
        <w:t>2026.</w:t>
      </w:r>
      <w:r w:rsidR="00376254">
        <w:rPr>
          <w:rFonts w:cs="Times New Roman"/>
          <w:szCs w:val="24"/>
        </w:rPr>
        <w:t xml:space="preserve"> </w:t>
      </w:r>
      <w:r w:rsidR="009F5EAF" w:rsidRPr="000C7AD9">
        <w:rPr>
          <w:rFonts w:cs="Times New Roman"/>
          <w:szCs w:val="24"/>
        </w:rPr>
        <w:t xml:space="preserve">gadam, </w:t>
      </w:r>
      <w:r w:rsidR="00A039A9">
        <w:rPr>
          <w:rFonts w:cs="Times New Roman"/>
          <w:szCs w:val="24"/>
        </w:rPr>
        <w:t>37,7</w:t>
      </w:r>
      <w:r w:rsidR="009F5EAF" w:rsidRPr="000C7AD9">
        <w:rPr>
          <w:rFonts w:cs="Times New Roman"/>
          <w:szCs w:val="24"/>
        </w:rPr>
        <w:t xml:space="preserve"> milj. </w:t>
      </w:r>
      <w:r w:rsidR="009F5EAF" w:rsidRPr="000C7AD9">
        <w:rPr>
          <w:rFonts w:cs="Times New Roman"/>
          <w:i/>
          <w:iCs/>
          <w:szCs w:val="24"/>
        </w:rPr>
        <w:t>euro</w:t>
      </w:r>
      <w:r w:rsidR="009F5EAF" w:rsidRPr="000C7AD9">
        <w:rPr>
          <w:rFonts w:cs="Times New Roman"/>
          <w:szCs w:val="24"/>
        </w:rPr>
        <w:t xml:space="preserve"> 2027. gadam un </w:t>
      </w:r>
      <w:r w:rsidR="00A039A9">
        <w:rPr>
          <w:rFonts w:cs="Times New Roman"/>
          <w:szCs w:val="24"/>
        </w:rPr>
        <w:t>21,1</w:t>
      </w:r>
      <w:r w:rsidR="009F5EAF" w:rsidRPr="000C7AD9">
        <w:rPr>
          <w:rFonts w:cs="Times New Roman"/>
          <w:szCs w:val="24"/>
        </w:rPr>
        <w:t xml:space="preserve"> milj. </w:t>
      </w:r>
      <w:r w:rsidR="009F5EAF" w:rsidRPr="000C7AD9">
        <w:rPr>
          <w:rFonts w:cs="Times New Roman"/>
          <w:i/>
          <w:iCs/>
          <w:szCs w:val="24"/>
        </w:rPr>
        <w:t>euro</w:t>
      </w:r>
      <w:r w:rsidR="009F5EAF" w:rsidRPr="000C7AD9">
        <w:rPr>
          <w:rFonts w:cs="Times New Roman"/>
          <w:szCs w:val="24"/>
        </w:rPr>
        <w:t xml:space="preserve"> 2028. gadam</w:t>
      </w:r>
      <w:r w:rsidR="009F5EAF">
        <w:rPr>
          <w:rFonts w:cs="Times New Roman"/>
          <w:szCs w:val="24"/>
        </w:rPr>
        <w:t>)</w:t>
      </w:r>
      <w:r w:rsidR="009579B2">
        <w:rPr>
          <w:rFonts w:cs="Times New Roman"/>
          <w:szCs w:val="24"/>
        </w:rPr>
        <w:t>.</w:t>
      </w:r>
    </w:p>
    <w:bookmarkEnd w:id="77"/>
    <w:p w14:paraId="2C5663F2" w14:textId="11D05989" w:rsidR="009F5EAF" w:rsidRPr="00C83BE3" w:rsidRDefault="009F5EAF" w:rsidP="009F5EAF">
      <w:pPr>
        <w:keepNext/>
        <w:spacing w:before="120"/>
        <w:ind w:firstLine="357"/>
        <w:jc w:val="right"/>
        <w:rPr>
          <w:rFonts w:eastAsia="Times New Roman" w:cs="Times New Roman"/>
          <w:i/>
          <w:szCs w:val="24"/>
          <w:lang w:eastAsia="en-US"/>
        </w:rPr>
      </w:pPr>
      <w:r w:rsidRPr="00B57F87">
        <w:rPr>
          <w:rFonts w:eastAsia="Times New Roman" w:cs="Times New Roman"/>
          <w:b/>
          <w:i/>
          <w:szCs w:val="24"/>
          <w:lang w:eastAsia="en-US"/>
        </w:rPr>
        <w:lastRenderedPageBreak/>
        <w:t>2.</w:t>
      </w:r>
      <w:r w:rsidR="00B57F87" w:rsidRPr="00B57F87">
        <w:rPr>
          <w:rFonts w:eastAsia="Times New Roman" w:cs="Times New Roman"/>
          <w:b/>
          <w:i/>
          <w:szCs w:val="24"/>
          <w:lang w:eastAsia="en-US"/>
        </w:rPr>
        <w:t>24</w:t>
      </w:r>
      <w:r w:rsidRPr="00B57F87">
        <w:rPr>
          <w:rFonts w:eastAsia="Times New Roman" w:cs="Times New Roman"/>
          <w:b/>
          <w:i/>
          <w:szCs w:val="24"/>
          <w:lang w:eastAsia="en-US"/>
        </w:rPr>
        <w:t>.</w:t>
      </w:r>
      <w:r w:rsidRPr="00C83BE3">
        <w:rPr>
          <w:rFonts w:eastAsia="Times New Roman" w:cs="Times New Roman"/>
          <w:b/>
          <w:i/>
          <w:szCs w:val="24"/>
          <w:lang w:eastAsia="en-US"/>
        </w:rPr>
        <w:t xml:space="preserve"> tabula </w:t>
      </w:r>
      <w:r>
        <w:rPr>
          <w:rFonts w:eastAsia="Times New Roman" w:cs="Times New Roman"/>
          <w:b/>
          <w:i/>
          <w:szCs w:val="24"/>
          <w:lang w:eastAsia="en-US"/>
        </w:rPr>
        <w:t>Citiem prioritārajiem p</w:t>
      </w:r>
      <w:r w:rsidRPr="00C83BE3">
        <w:rPr>
          <w:rFonts w:eastAsia="Times New Roman" w:cs="Times New Roman"/>
          <w:b/>
          <w:i/>
          <w:szCs w:val="24"/>
          <w:lang w:eastAsia="en-US"/>
        </w:rPr>
        <w:t>asākum</w:t>
      </w:r>
      <w:r>
        <w:rPr>
          <w:rFonts w:eastAsia="Times New Roman" w:cs="Times New Roman"/>
          <w:b/>
          <w:i/>
          <w:szCs w:val="24"/>
          <w:lang w:eastAsia="en-US"/>
        </w:rPr>
        <w:t>ie</w:t>
      </w:r>
      <w:r w:rsidRPr="00C83BE3">
        <w:rPr>
          <w:rFonts w:eastAsia="Times New Roman" w:cs="Times New Roman"/>
          <w:b/>
          <w:i/>
          <w:szCs w:val="24"/>
          <w:lang w:eastAsia="en-US"/>
        </w:rPr>
        <w:t xml:space="preserve">m </w:t>
      </w:r>
      <w:r w:rsidRPr="00C83BE3">
        <w:rPr>
          <w:rFonts w:eastAsia="Times New Roman" w:cs="Times New Roman"/>
          <w:b/>
          <w:bCs/>
          <w:i/>
          <w:szCs w:val="24"/>
        </w:rPr>
        <w:t>piešķirtais finansējums</w:t>
      </w:r>
      <w:r w:rsidRPr="00C83BE3">
        <w:rPr>
          <w:rFonts w:eastAsia="Times New Roman" w:cs="Times New Roman"/>
          <w:b/>
          <w:i/>
          <w:szCs w:val="24"/>
          <w:lang w:eastAsia="en-US"/>
        </w:rPr>
        <w:t xml:space="preserve">, milj. euro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1"/>
        <w:gridCol w:w="1197"/>
        <w:gridCol w:w="1134"/>
        <w:gridCol w:w="1201"/>
        <w:gridCol w:w="1634"/>
      </w:tblGrid>
      <w:tr w:rsidR="009F5EAF" w:rsidRPr="00B57F87" w14:paraId="5D14D121" w14:textId="77777777" w:rsidTr="00171F89">
        <w:trPr>
          <w:trHeight w:val="360"/>
          <w:tblHeader/>
        </w:trPr>
        <w:tc>
          <w:tcPr>
            <w:tcW w:w="3901" w:type="dxa"/>
            <w:shd w:val="clear" w:color="auto" w:fill="BDD6EE" w:themeFill="accent1" w:themeFillTint="66"/>
            <w:vAlign w:val="center"/>
          </w:tcPr>
          <w:p w14:paraId="09450060" w14:textId="77777777" w:rsidR="009F5EAF" w:rsidRPr="00B57F87" w:rsidRDefault="009F5EAF" w:rsidP="009F5EAF">
            <w:pPr>
              <w:spacing w:after="0"/>
              <w:ind w:firstLineChars="200" w:firstLine="442"/>
              <w:jc w:val="left"/>
              <w:rPr>
                <w:rFonts w:eastAsia="Times New Roman" w:cs="Times New Roman"/>
                <w:b/>
                <w:bCs/>
                <w:i/>
                <w:iCs/>
                <w:color w:val="000000"/>
                <w:sz w:val="22"/>
              </w:rPr>
            </w:pPr>
          </w:p>
        </w:tc>
        <w:tc>
          <w:tcPr>
            <w:tcW w:w="1197" w:type="dxa"/>
            <w:shd w:val="clear" w:color="auto" w:fill="BDD6EE" w:themeFill="accent1" w:themeFillTint="66"/>
            <w:vAlign w:val="center"/>
          </w:tcPr>
          <w:p w14:paraId="372C24F6" w14:textId="77777777" w:rsidR="009F5EAF" w:rsidRPr="00B57F87" w:rsidRDefault="009F5EAF" w:rsidP="00A039A9">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2026</w:t>
            </w:r>
          </w:p>
        </w:tc>
        <w:tc>
          <w:tcPr>
            <w:tcW w:w="1134" w:type="dxa"/>
            <w:shd w:val="clear" w:color="auto" w:fill="BDD6EE" w:themeFill="accent1" w:themeFillTint="66"/>
            <w:vAlign w:val="center"/>
          </w:tcPr>
          <w:p w14:paraId="3392D326" w14:textId="77777777" w:rsidR="009F5EAF" w:rsidRPr="00B57F87" w:rsidRDefault="009F5EAF" w:rsidP="00A039A9">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2027</w:t>
            </w:r>
          </w:p>
        </w:tc>
        <w:tc>
          <w:tcPr>
            <w:tcW w:w="1201" w:type="dxa"/>
            <w:shd w:val="clear" w:color="auto" w:fill="BDD6EE" w:themeFill="accent1" w:themeFillTint="66"/>
            <w:vAlign w:val="center"/>
          </w:tcPr>
          <w:p w14:paraId="22BB3438" w14:textId="77777777" w:rsidR="009F5EAF" w:rsidRPr="00B57F87" w:rsidRDefault="009F5EAF" w:rsidP="00A039A9">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2028</w:t>
            </w:r>
          </w:p>
        </w:tc>
        <w:tc>
          <w:tcPr>
            <w:tcW w:w="1634" w:type="dxa"/>
            <w:shd w:val="clear" w:color="auto" w:fill="BDD6EE" w:themeFill="accent1" w:themeFillTint="66"/>
            <w:vAlign w:val="center"/>
          </w:tcPr>
          <w:p w14:paraId="02CF12E7" w14:textId="77777777" w:rsidR="009F5EAF" w:rsidRPr="00B57F87" w:rsidRDefault="009F5EAF" w:rsidP="00A039A9">
            <w:pPr>
              <w:spacing w:after="0"/>
              <w:ind w:firstLine="0"/>
              <w:jc w:val="center"/>
              <w:rPr>
                <w:rFonts w:eastAsia="Times New Roman" w:cs="Times New Roman"/>
                <w:b/>
                <w:bCs/>
                <w:color w:val="000000"/>
                <w:sz w:val="22"/>
              </w:rPr>
            </w:pPr>
            <w:r w:rsidRPr="00B57F87">
              <w:rPr>
                <w:rFonts w:eastAsia="Times New Roman" w:cs="Times New Roman"/>
                <w:b/>
                <w:bCs/>
                <w:color w:val="000000"/>
                <w:sz w:val="22"/>
              </w:rPr>
              <w:t>2026. – 2028. gadam</w:t>
            </w:r>
          </w:p>
        </w:tc>
      </w:tr>
      <w:tr w:rsidR="00A039A9" w:rsidRPr="00B57F87" w14:paraId="11DACA33" w14:textId="77777777" w:rsidTr="00A039A9">
        <w:trPr>
          <w:trHeight w:val="360"/>
        </w:trPr>
        <w:tc>
          <w:tcPr>
            <w:tcW w:w="3901" w:type="dxa"/>
            <w:vAlign w:val="center"/>
          </w:tcPr>
          <w:p w14:paraId="5DDC9EF5" w14:textId="4DB7507A" w:rsidR="00A039A9" w:rsidRPr="00B57F87" w:rsidRDefault="00A039A9" w:rsidP="00A039A9">
            <w:pPr>
              <w:spacing w:after="0"/>
              <w:ind w:firstLine="0"/>
              <w:jc w:val="left"/>
              <w:rPr>
                <w:rFonts w:eastAsia="Times New Roman" w:cs="Times New Roman"/>
                <w:color w:val="000000"/>
                <w:sz w:val="22"/>
              </w:rPr>
            </w:pPr>
            <w:r w:rsidRPr="00B57F87">
              <w:rPr>
                <w:rFonts w:eastAsia="Times New Roman" w:cs="Times New Roman"/>
                <w:color w:val="000000"/>
                <w:sz w:val="22"/>
              </w:rPr>
              <w:t>Normatīvo aktu izpildes nodrošināšanai</w:t>
            </w:r>
          </w:p>
        </w:tc>
        <w:tc>
          <w:tcPr>
            <w:tcW w:w="1197" w:type="dxa"/>
            <w:vAlign w:val="center"/>
          </w:tcPr>
          <w:p w14:paraId="73CB04B4" w14:textId="1F2B0639" w:rsidR="00A039A9" w:rsidRPr="00B57F87" w:rsidRDefault="00A039A9" w:rsidP="00A039A9">
            <w:pPr>
              <w:spacing w:after="0"/>
              <w:ind w:firstLine="0"/>
              <w:jc w:val="center"/>
              <w:rPr>
                <w:rFonts w:eastAsia="Times New Roman" w:cs="Times New Roman"/>
                <w:color w:val="000000"/>
                <w:sz w:val="22"/>
              </w:rPr>
            </w:pPr>
            <w:r w:rsidRPr="00B57F87">
              <w:rPr>
                <w:rFonts w:cs="Times New Roman"/>
                <w:color w:val="000000"/>
                <w:sz w:val="22"/>
              </w:rPr>
              <w:t>17,9</w:t>
            </w:r>
          </w:p>
        </w:tc>
        <w:tc>
          <w:tcPr>
            <w:tcW w:w="1134" w:type="dxa"/>
            <w:vAlign w:val="center"/>
          </w:tcPr>
          <w:p w14:paraId="4E805637" w14:textId="509A82A9" w:rsidR="00A039A9" w:rsidRPr="00B57F87" w:rsidRDefault="00A039A9" w:rsidP="00A039A9">
            <w:pPr>
              <w:spacing w:after="0"/>
              <w:ind w:firstLine="0"/>
              <w:jc w:val="center"/>
              <w:rPr>
                <w:rFonts w:eastAsia="Times New Roman" w:cs="Times New Roman"/>
                <w:color w:val="000000"/>
                <w:sz w:val="22"/>
              </w:rPr>
            </w:pPr>
            <w:r w:rsidRPr="00B57F87">
              <w:rPr>
                <w:rFonts w:cs="Times New Roman"/>
                <w:color w:val="000000"/>
                <w:sz w:val="22"/>
              </w:rPr>
              <w:t>10,2</w:t>
            </w:r>
          </w:p>
        </w:tc>
        <w:tc>
          <w:tcPr>
            <w:tcW w:w="1201" w:type="dxa"/>
            <w:vAlign w:val="center"/>
          </w:tcPr>
          <w:p w14:paraId="2C785A51" w14:textId="529371F3" w:rsidR="00A039A9" w:rsidRPr="00B57F87" w:rsidRDefault="00A039A9" w:rsidP="00A039A9">
            <w:pPr>
              <w:spacing w:after="0"/>
              <w:ind w:firstLine="0"/>
              <w:jc w:val="center"/>
              <w:rPr>
                <w:rFonts w:eastAsia="Times New Roman" w:cs="Times New Roman"/>
                <w:color w:val="000000"/>
                <w:sz w:val="22"/>
              </w:rPr>
            </w:pPr>
            <w:r w:rsidRPr="00B57F87">
              <w:rPr>
                <w:rFonts w:cs="Times New Roman"/>
                <w:color w:val="000000"/>
                <w:sz w:val="22"/>
              </w:rPr>
              <w:t>10,0</w:t>
            </w:r>
          </w:p>
        </w:tc>
        <w:tc>
          <w:tcPr>
            <w:tcW w:w="1634" w:type="dxa"/>
            <w:vAlign w:val="center"/>
          </w:tcPr>
          <w:p w14:paraId="202DA334" w14:textId="328D0873" w:rsidR="00A039A9" w:rsidRPr="00B57F87" w:rsidRDefault="00A039A9" w:rsidP="00A039A9">
            <w:pPr>
              <w:spacing w:after="0"/>
              <w:ind w:firstLine="0"/>
              <w:jc w:val="center"/>
              <w:rPr>
                <w:rFonts w:eastAsia="Times New Roman" w:cs="Times New Roman"/>
                <w:color w:val="000000"/>
                <w:sz w:val="22"/>
              </w:rPr>
            </w:pPr>
            <w:r w:rsidRPr="00B57F87">
              <w:rPr>
                <w:rFonts w:eastAsia="Times New Roman" w:cs="Times New Roman"/>
                <w:color w:val="000000"/>
                <w:sz w:val="22"/>
              </w:rPr>
              <w:t>38,1</w:t>
            </w:r>
          </w:p>
        </w:tc>
      </w:tr>
      <w:tr w:rsidR="009F5EAF" w:rsidRPr="00B57F87" w14:paraId="13EAD9C3" w14:textId="77777777" w:rsidTr="00A039A9">
        <w:trPr>
          <w:trHeight w:val="360"/>
        </w:trPr>
        <w:tc>
          <w:tcPr>
            <w:tcW w:w="3901" w:type="dxa"/>
            <w:vAlign w:val="center"/>
            <w:hideMark/>
          </w:tcPr>
          <w:p w14:paraId="6AE987F4" w14:textId="09CA2477" w:rsidR="009F5EAF" w:rsidRPr="00B57F87" w:rsidRDefault="009F5EAF" w:rsidP="009F5EAF">
            <w:pPr>
              <w:spacing w:after="0"/>
              <w:ind w:firstLine="0"/>
              <w:jc w:val="left"/>
              <w:rPr>
                <w:rFonts w:eastAsia="Times New Roman" w:cs="Times New Roman"/>
                <w:color w:val="000000"/>
                <w:sz w:val="22"/>
              </w:rPr>
            </w:pPr>
            <w:r w:rsidRPr="00B57F87">
              <w:rPr>
                <w:rFonts w:cs="Times New Roman"/>
                <w:sz w:val="22"/>
              </w:rPr>
              <w:t xml:space="preserve">Atbalsts lauksaimniekiem </w:t>
            </w:r>
            <w:r w:rsidR="00FB0C96" w:rsidRPr="00B57F87">
              <w:rPr>
                <w:rFonts w:cs="Times New Roman"/>
                <w:sz w:val="22"/>
              </w:rPr>
              <w:t>(ietver maksājumus augkopības un lopkopības nozarēs, lai nodrošinātu vienlīdzīgu konkurenci ar citām ES dalībvalstīm</w:t>
            </w:r>
            <w:r w:rsidRPr="00B57F87">
              <w:rPr>
                <w:rFonts w:cs="Times New Roman"/>
                <w:sz w:val="22"/>
              </w:rPr>
              <w:t>)</w:t>
            </w:r>
            <w:r w:rsidR="00FB0C96" w:rsidRPr="00B57F87">
              <w:rPr>
                <w:rFonts w:cs="Times New Roman"/>
                <w:sz w:val="22"/>
              </w:rPr>
              <w:t xml:space="preserve"> (ZM)</w:t>
            </w:r>
          </w:p>
        </w:tc>
        <w:tc>
          <w:tcPr>
            <w:tcW w:w="1197" w:type="dxa"/>
            <w:vAlign w:val="center"/>
          </w:tcPr>
          <w:p w14:paraId="1C1189DD" w14:textId="220C8176"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59,3</w:t>
            </w:r>
          </w:p>
        </w:tc>
        <w:tc>
          <w:tcPr>
            <w:tcW w:w="1134" w:type="dxa"/>
            <w:vAlign w:val="center"/>
          </w:tcPr>
          <w:p w14:paraId="67E29E40" w14:textId="54CF549F"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0,0</w:t>
            </w:r>
          </w:p>
        </w:tc>
        <w:tc>
          <w:tcPr>
            <w:tcW w:w="1201" w:type="dxa"/>
            <w:vAlign w:val="center"/>
          </w:tcPr>
          <w:p w14:paraId="7BDDFB93" w14:textId="30EE3FEA"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0,0</w:t>
            </w:r>
          </w:p>
        </w:tc>
        <w:tc>
          <w:tcPr>
            <w:tcW w:w="1634" w:type="dxa"/>
            <w:vAlign w:val="center"/>
          </w:tcPr>
          <w:p w14:paraId="0E09400D" w14:textId="7ADA48E6"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59,3</w:t>
            </w:r>
          </w:p>
        </w:tc>
      </w:tr>
      <w:tr w:rsidR="009F5EAF" w:rsidRPr="00B57F87" w14:paraId="65D75996" w14:textId="77777777" w:rsidTr="00A039A9">
        <w:trPr>
          <w:trHeight w:val="360"/>
        </w:trPr>
        <w:tc>
          <w:tcPr>
            <w:tcW w:w="3901" w:type="dxa"/>
            <w:vAlign w:val="center"/>
            <w:hideMark/>
          </w:tcPr>
          <w:p w14:paraId="33B0D9AB" w14:textId="1BF72495" w:rsidR="009F5EAF" w:rsidRPr="00B57F87" w:rsidRDefault="009F5EAF" w:rsidP="009F5EAF">
            <w:pPr>
              <w:spacing w:after="0"/>
              <w:ind w:firstLine="0"/>
              <w:jc w:val="left"/>
              <w:rPr>
                <w:rFonts w:eastAsia="Times New Roman" w:cs="Times New Roman"/>
                <w:color w:val="000000"/>
                <w:sz w:val="22"/>
              </w:rPr>
            </w:pPr>
            <w:r w:rsidRPr="00B57F87">
              <w:rPr>
                <w:rFonts w:cs="Times New Roman"/>
                <w:sz w:val="22"/>
              </w:rPr>
              <w:t xml:space="preserve">Medikamentu pieejamības stiprināšana medikamentu cenu segmentā līdz 10 </w:t>
            </w:r>
            <w:r w:rsidRPr="00B57F87">
              <w:rPr>
                <w:rFonts w:cs="Times New Roman"/>
                <w:i/>
                <w:iCs/>
                <w:sz w:val="22"/>
              </w:rPr>
              <w:t>euro</w:t>
            </w:r>
            <w:r w:rsidRPr="00B57F87">
              <w:rPr>
                <w:rFonts w:cs="Times New Roman"/>
                <w:sz w:val="22"/>
              </w:rPr>
              <w:t xml:space="preserve"> un invalīdiem (farmācijas pakalpojuma līdzfinansējuma korekcija) (VM)</w:t>
            </w:r>
          </w:p>
        </w:tc>
        <w:tc>
          <w:tcPr>
            <w:tcW w:w="1197" w:type="dxa"/>
            <w:vAlign w:val="center"/>
          </w:tcPr>
          <w:p w14:paraId="229B4812" w14:textId="3F16B9EB"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9,6</w:t>
            </w:r>
          </w:p>
        </w:tc>
        <w:tc>
          <w:tcPr>
            <w:tcW w:w="1134" w:type="dxa"/>
            <w:vAlign w:val="center"/>
          </w:tcPr>
          <w:p w14:paraId="3A2890F0" w14:textId="65E731E7"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9,6</w:t>
            </w:r>
          </w:p>
        </w:tc>
        <w:tc>
          <w:tcPr>
            <w:tcW w:w="1201" w:type="dxa"/>
            <w:vAlign w:val="center"/>
          </w:tcPr>
          <w:p w14:paraId="414D1C15" w14:textId="71725A55"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9,6</w:t>
            </w:r>
          </w:p>
        </w:tc>
        <w:tc>
          <w:tcPr>
            <w:tcW w:w="1634" w:type="dxa"/>
            <w:vAlign w:val="center"/>
          </w:tcPr>
          <w:p w14:paraId="463B23C0" w14:textId="232BA72D"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28,8</w:t>
            </w:r>
          </w:p>
        </w:tc>
      </w:tr>
      <w:tr w:rsidR="009F5EAF" w:rsidRPr="00B57F87" w14:paraId="1FE6332C" w14:textId="77777777" w:rsidTr="00A039A9">
        <w:trPr>
          <w:trHeight w:val="624"/>
        </w:trPr>
        <w:tc>
          <w:tcPr>
            <w:tcW w:w="3901" w:type="dxa"/>
            <w:vAlign w:val="center"/>
            <w:hideMark/>
          </w:tcPr>
          <w:p w14:paraId="1194AB5C" w14:textId="6E377CEA" w:rsidR="009F5EAF" w:rsidRPr="00B57F87" w:rsidRDefault="009F5EAF" w:rsidP="009F5EAF">
            <w:pPr>
              <w:spacing w:after="0"/>
              <w:ind w:firstLine="0"/>
              <w:jc w:val="left"/>
              <w:rPr>
                <w:rFonts w:eastAsia="Times New Roman" w:cs="Times New Roman"/>
                <w:color w:val="000000"/>
                <w:sz w:val="22"/>
              </w:rPr>
            </w:pPr>
            <w:r w:rsidRPr="00B57F87">
              <w:rPr>
                <w:rFonts w:cs="Times New Roman"/>
                <w:sz w:val="22"/>
              </w:rPr>
              <w:t>Pieejamu cenu īres dzīvokļu privātās un publiskās partnerības (PPP) projekta īstenošanai 2026.</w:t>
            </w:r>
            <w:r w:rsidR="00376254">
              <w:rPr>
                <w:rFonts w:cs="Times New Roman"/>
                <w:sz w:val="22"/>
              </w:rPr>
              <w:t xml:space="preserve"> </w:t>
            </w:r>
            <w:r w:rsidRPr="00B57F87">
              <w:rPr>
                <w:rFonts w:cs="Times New Roman"/>
                <w:sz w:val="22"/>
              </w:rPr>
              <w:t>gadam  (FM, VNĪ)</w:t>
            </w:r>
          </w:p>
        </w:tc>
        <w:tc>
          <w:tcPr>
            <w:tcW w:w="1197" w:type="dxa"/>
            <w:vAlign w:val="center"/>
          </w:tcPr>
          <w:p w14:paraId="0F7E9010" w14:textId="4B0072E7"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0,8</w:t>
            </w:r>
          </w:p>
        </w:tc>
        <w:tc>
          <w:tcPr>
            <w:tcW w:w="1134" w:type="dxa"/>
            <w:vAlign w:val="center"/>
          </w:tcPr>
          <w:p w14:paraId="05696CAA" w14:textId="6B44E3DA"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0,0</w:t>
            </w:r>
          </w:p>
        </w:tc>
        <w:tc>
          <w:tcPr>
            <w:tcW w:w="1201" w:type="dxa"/>
            <w:vAlign w:val="center"/>
          </w:tcPr>
          <w:p w14:paraId="387A67BC" w14:textId="4CE61D87"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0,0</w:t>
            </w:r>
          </w:p>
        </w:tc>
        <w:tc>
          <w:tcPr>
            <w:tcW w:w="1634" w:type="dxa"/>
            <w:vAlign w:val="center"/>
          </w:tcPr>
          <w:p w14:paraId="4AEA770E" w14:textId="5CB93A7E"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0,8</w:t>
            </w:r>
          </w:p>
        </w:tc>
      </w:tr>
      <w:tr w:rsidR="009F5EAF" w:rsidRPr="00B57F87" w14:paraId="2E6B9F34" w14:textId="77777777" w:rsidTr="00A039A9">
        <w:trPr>
          <w:trHeight w:val="360"/>
        </w:trPr>
        <w:tc>
          <w:tcPr>
            <w:tcW w:w="3901" w:type="dxa"/>
            <w:vAlign w:val="center"/>
            <w:hideMark/>
          </w:tcPr>
          <w:p w14:paraId="5D45E5B7" w14:textId="45BFDCE8" w:rsidR="009F5EAF" w:rsidRPr="00B57F87" w:rsidRDefault="009F5EAF" w:rsidP="009F5EAF">
            <w:pPr>
              <w:spacing w:after="0"/>
              <w:ind w:firstLine="0"/>
              <w:jc w:val="left"/>
              <w:rPr>
                <w:rFonts w:eastAsia="Times New Roman" w:cs="Times New Roman"/>
                <w:color w:val="000000"/>
                <w:sz w:val="22"/>
              </w:rPr>
            </w:pPr>
            <w:r w:rsidRPr="00B57F87">
              <w:rPr>
                <w:rFonts w:cs="Times New Roman"/>
                <w:sz w:val="22"/>
              </w:rPr>
              <w:t>PVN samazināšana pārtikai (maize, piens, olas un svaiga putnu gaļa) - pilotprojekts no 2026.</w:t>
            </w:r>
            <w:r w:rsidR="00452D88" w:rsidRPr="00B57F87">
              <w:rPr>
                <w:rFonts w:cs="Times New Roman"/>
                <w:sz w:val="22"/>
              </w:rPr>
              <w:t xml:space="preserve"> </w:t>
            </w:r>
            <w:r w:rsidRPr="00B57F87">
              <w:rPr>
                <w:rFonts w:cs="Times New Roman"/>
                <w:sz w:val="22"/>
              </w:rPr>
              <w:t>g</w:t>
            </w:r>
            <w:r w:rsidR="00452D88" w:rsidRPr="00B57F87">
              <w:rPr>
                <w:rFonts w:cs="Times New Roman"/>
                <w:sz w:val="22"/>
              </w:rPr>
              <w:t>ada</w:t>
            </w:r>
            <w:r w:rsidRPr="00B57F87">
              <w:rPr>
                <w:rFonts w:cs="Times New Roman"/>
                <w:sz w:val="22"/>
              </w:rPr>
              <w:t xml:space="preserve"> 1.</w:t>
            </w:r>
            <w:r w:rsidR="00452D88" w:rsidRPr="00B57F87">
              <w:rPr>
                <w:rFonts w:cs="Times New Roman"/>
                <w:sz w:val="22"/>
              </w:rPr>
              <w:t xml:space="preserve"> </w:t>
            </w:r>
            <w:r w:rsidRPr="00B57F87">
              <w:rPr>
                <w:rFonts w:cs="Times New Roman"/>
                <w:sz w:val="22"/>
              </w:rPr>
              <w:t>jūlija līdz 2027.</w:t>
            </w:r>
            <w:r w:rsidR="00452D88" w:rsidRPr="00B57F87">
              <w:rPr>
                <w:rFonts w:cs="Times New Roman"/>
                <w:sz w:val="22"/>
              </w:rPr>
              <w:t xml:space="preserve"> gada </w:t>
            </w:r>
            <w:r w:rsidRPr="00B57F87">
              <w:rPr>
                <w:rFonts w:cs="Times New Roman"/>
                <w:sz w:val="22"/>
              </w:rPr>
              <w:t>30.</w:t>
            </w:r>
            <w:r w:rsidR="00452D88" w:rsidRPr="00B57F87">
              <w:rPr>
                <w:rFonts w:cs="Times New Roman"/>
                <w:sz w:val="22"/>
              </w:rPr>
              <w:t xml:space="preserve"> </w:t>
            </w:r>
            <w:r w:rsidRPr="00B57F87">
              <w:rPr>
                <w:rFonts w:cs="Times New Roman"/>
                <w:sz w:val="22"/>
              </w:rPr>
              <w:t>jūnijam</w:t>
            </w:r>
          </w:p>
        </w:tc>
        <w:tc>
          <w:tcPr>
            <w:tcW w:w="1197" w:type="dxa"/>
            <w:vAlign w:val="center"/>
          </w:tcPr>
          <w:p w14:paraId="5D8A894D" w14:textId="33079D49"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15,0</w:t>
            </w:r>
          </w:p>
        </w:tc>
        <w:tc>
          <w:tcPr>
            <w:tcW w:w="1134" w:type="dxa"/>
            <w:vAlign w:val="center"/>
          </w:tcPr>
          <w:p w14:paraId="26C2376D" w14:textId="4629B9CF"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16,4</w:t>
            </w:r>
          </w:p>
        </w:tc>
        <w:tc>
          <w:tcPr>
            <w:tcW w:w="1201" w:type="dxa"/>
            <w:vAlign w:val="center"/>
          </w:tcPr>
          <w:p w14:paraId="03D50C05" w14:textId="49CA0E32"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0,0</w:t>
            </w:r>
          </w:p>
        </w:tc>
        <w:tc>
          <w:tcPr>
            <w:tcW w:w="1634" w:type="dxa"/>
            <w:vAlign w:val="center"/>
          </w:tcPr>
          <w:p w14:paraId="1F3AD0DE" w14:textId="4905E91C"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31,4</w:t>
            </w:r>
          </w:p>
        </w:tc>
      </w:tr>
      <w:tr w:rsidR="009F5EAF" w:rsidRPr="00B57F87" w14:paraId="63D0D325" w14:textId="77777777" w:rsidTr="00A039A9">
        <w:trPr>
          <w:trHeight w:val="360"/>
        </w:trPr>
        <w:tc>
          <w:tcPr>
            <w:tcW w:w="3901" w:type="dxa"/>
            <w:vAlign w:val="center"/>
            <w:hideMark/>
          </w:tcPr>
          <w:p w14:paraId="71C75D76" w14:textId="7AE0D932" w:rsidR="009F5EAF" w:rsidRPr="00B57F87" w:rsidRDefault="009F5EAF" w:rsidP="009F5EAF">
            <w:pPr>
              <w:spacing w:after="0"/>
              <w:ind w:firstLine="0"/>
              <w:jc w:val="left"/>
              <w:rPr>
                <w:rFonts w:eastAsia="Times New Roman" w:cs="Times New Roman"/>
                <w:color w:val="000000"/>
                <w:sz w:val="22"/>
              </w:rPr>
            </w:pPr>
            <w:r w:rsidRPr="00B57F87">
              <w:rPr>
                <w:rFonts w:cs="Times New Roman"/>
                <w:color w:val="000000"/>
                <w:sz w:val="22"/>
              </w:rPr>
              <w:t>Rail Baltica projekta Latvijā ieviešanas visaptveroša un padziļināta projekta vadības, finanšu, ekonomiskā, tehnoloģiskā un juridiskā izvērtējuma veikšanai, kā arī vienota dzelzceļa infrastruktūras pārvaldības modeļa izstrādei (SM, rezervēt 74.resorā)</w:t>
            </w:r>
          </w:p>
        </w:tc>
        <w:tc>
          <w:tcPr>
            <w:tcW w:w="1197" w:type="dxa"/>
            <w:vAlign w:val="center"/>
          </w:tcPr>
          <w:p w14:paraId="08597454" w14:textId="588FA320"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1,4</w:t>
            </w:r>
          </w:p>
        </w:tc>
        <w:tc>
          <w:tcPr>
            <w:tcW w:w="1134" w:type="dxa"/>
            <w:vAlign w:val="center"/>
          </w:tcPr>
          <w:p w14:paraId="6AD062C0" w14:textId="1971EA07"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0,0</w:t>
            </w:r>
          </w:p>
        </w:tc>
        <w:tc>
          <w:tcPr>
            <w:tcW w:w="1201" w:type="dxa"/>
            <w:vAlign w:val="center"/>
          </w:tcPr>
          <w:p w14:paraId="57694E58" w14:textId="422BDB7F"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0,0</w:t>
            </w:r>
          </w:p>
        </w:tc>
        <w:tc>
          <w:tcPr>
            <w:tcW w:w="1634" w:type="dxa"/>
            <w:vAlign w:val="center"/>
          </w:tcPr>
          <w:p w14:paraId="7DEF63B3" w14:textId="02CCC240"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1,4</w:t>
            </w:r>
          </w:p>
        </w:tc>
      </w:tr>
      <w:tr w:rsidR="009F5EAF" w:rsidRPr="00B57F87" w14:paraId="6B9F9033" w14:textId="77777777" w:rsidTr="00A039A9">
        <w:trPr>
          <w:trHeight w:val="624"/>
        </w:trPr>
        <w:tc>
          <w:tcPr>
            <w:tcW w:w="3901" w:type="dxa"/>
            <w:vAlign w:val="center"/>
            <w:hideMark/>
          </w:tcPr>
          <w:p w14:paraId="66DBFFD9" w14:textId="77777777" w:rsidR="009F5EAF" w:rsidRPr="00B57F87" w:rsidRDefault="009F5EAF" w:rsidP="009F5EAF">
            <w:pPr>
              <w:spacing w:after="0"/>
              <w:ind w:firstLine="0"/>
              <w:jc w:val="left"/>
              <w:rPr>
                <w:rFonts w:cs="Times New Roman"/>
                <w:color w:val="000000"/>
                <w:sz w:val="22"/>
              </w:rPr>
            </w:pPr>
            <w:r w:rsidRPr="00B57F87">
              <w:rPr>
                <w:rFonts w:cs="Times New Roman"/>
                <w:color w:val="000000"/>
                <w:sz w:val="22"/>
              </w:rPr>
              <w:t>ZM fondi (Meža attīstības fonds, Medību saimniecības attīstības fonds, Zivju fonds)</w:t>
            </w:r>
          </w:p>
          <w:p w14:paraId="5D411BDD" w14:textId="4D88351C" w:rsidR="009F5EAF" w:rsidRPr="00B57F87" w:rsidRDefault="009F5EAF" w:rsidP="009F5EAF">
            <w:pPr>
              <w:spacing w:after="0"/>
              <w:ind w:firstLine="0"/>
              <w:jc w:val="left"/>
              <w:rPr>
                <w:rFonts w:eastAsia="Times New Roman" w:cs="Times New Roman"/>
                <w:color w:val="000000"/>
                <w:sz w:val="22"/>
              </w:rPr>
            </w:pPr>
          </w:p>
        </w:tc>
        <w:tc>
          <w:tcPr>
            <w:tcW w:w="1197" w:type="dxa"/>
            <w:vAlign w:val="center"/>
          </w:tcPr>
          <w:p w14:paraId="25D6DCEE" w14:textId="65510090"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1,5</w:t>
            </w:r>
          </w:p>
        </w:tc>
        <w:tc>
          <w:tcPr>
            <w:tcW w:w="1134" w:type="dxa"/>
            <w:vAlign w:val="center"/>
          </w:tcPr>
          <w:p w14:paraId="3EE662AA" w14:textId="70EB4D03"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1,5</w:t>
            </w:r>
          </w:p>
        </w:tc>
        <w:tc>
          <w:tcPr>
            <w:tcW w:w="1201" w:type="dxa"/>
            <w:vAlign w:val="center"/>
          </w:tcPr>
          <w:p w14:paraId="2763E32F" w14:textId="4057D9FF"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1,5</w:t>
            </w:r>
          </w:p>
        </w:tc>
        <w:tc>
          <w:tcPr>
            <w:tcW w:w="1634" w:type="dxa"/>
            <w:vAlign w:val="center"/>
          </w:tcPr>
          <w:p w14:paraId="3E0F4A3B" w14:textId="0444B405" w:rsidR="009F5EAF" w:rsidRPr="00B57F87" w:rsidRDefault="009F5EAF" w:rsidP="00A039A9">
            <w:pPr>
              <w:spacing w:after="0"/>
              <w:ind w:firstLine="0"/>
              <w:jc w:val="center"/>
              <w:rPr>
                <w:rFonts w:eastAsia="Times New Roman" w:cs="Times New Roman"/>
                <w:color w:val="000000"/>
                <w:sz w:val="22"/>
              </w:rPr>
            </w:pPr>
            <w:r w:rsidRPr="00B57F87">
              <w:rPr>
                <w:rFonts w:cs="Times New Roman"/>
                <w:color w:val="000000"/>
                <w:sz w:val="22"/>
              </w:rPr>
              <w:t>4,4</w:t>
            </w:r>
          </w:p>
        </w:tc>
      </w:tr>
      <w:tr w:rsidR="00A039A9" w:rsidRPr="00B57F87" w14:paraId="6879350F" w14:textId="77777777" w:rsidTr="009427E1">
        <w:trPr>
          <w:trHeight w:val="624"/>
        </w:trPr>
        <w:tc>
          <w:tcPr>
            <w:tcW w:w="3901" w:type="dxa"/>
            <w:shd w:val="clear" w:color="auto" w:fill="BDD6EE" w:themeFill="accent1" w:themeFillTint="66"/>
            <w:vAlign w:val="center"/>
          </w:tcPr>
          <w:p w14:paraId="389B9E8F" w14:textId="13C2A44A" w:rsidR="00A039A9" w:rsidRPr="00B57F87" w:rsidRDefault="00A039A9" w:rsidP="00A039A9">
            <w:pPr>
              <w:spacing w:after="0"/>
              <w:ind w:firstLine="0"/>
              <w:jc w:val="left"/>
              <w:rPr>
                <w:rFonts w:cs="Times New Roman"/>
                <w:b/>
                <w:bCs/>
                <w:color w:val="000000"/>
                <w:sz w:val="22"/>
              </w:rPr>
            </w:pPr>
            <w:r w:rsidRPr="00B57F87">
              <w:rPr>
                <w:rFonts w:cs="Times New Roman"/>
                <w:b/>
                <w:bCs/>
                <w:color w:val="000000"/>
                <w:sz w:val="22"/>
              </w:rPr>
              <w:t xml:space="preserve">Kopā, milj. </w:t>
            </w:r>
            <w:r w:rsidRPr="00B57F87">
              <w:rPr>
                <w:rFonts w:cs="Times New Roman"/>
                <w:b/>
                <w:bCs/>
                <w:i/>
                <w:iCs/>
                <w:color w:val="000000"/>
                <w:sz w:val="22"/>
              </w:rPr>
              <w:t>euro</w:t>
            </w:r>
          </w:p>
        </w:tc>
        <w:tc>
          <w:tcPr>
            <w:tcW w:w="1197" w:type="dxa"/>
            <w:shd w:val="clear" w:color="auto" w:fill="BDD6EE" w:themeFill="accent1" w:themeFillTint="66"/>
            <w:vAlign w:val="center"/>
          </w:tcPr>
          <w:p w14:paraId="451EA386" w14:textId="643E3507" w:rsidR="00A039A9" w:rsidRPr="00B57F87" w:rsidRDefault="00A039A9" w:rsidP="00A039A9">
            <w:pPr>
              <w:spacing w:after="0"/>
              <w:ind w:firstLine="0"/>
              <w:jc w:val="center"/>
              <w:rPr>
                <w:rFonts w:cs="Times New Roman"/>
                <w:b/>
                <w:bCs/>
                <w:color w:val="000000"/>
                <w:sz w:val="22"/>
              </w:rPr>
            </w:pPr>
            <w:r w:rsidRPr="00B57F87">
              <w:rPr>
                <w:rFonts w:cs="Times New Roman"/>
                <w:b/>
                <w:bCs/>
                <w:color w:val="000000"/>
                <w:sz w:val="22"/>
              </w:rPr>
              <w:t>105,4</w:t>
            </w:r>
          </w:p>
        </w:tc>
        <w:tc>
          <w:tcPr>
            <w:tcW w:w="1134" w:type="dxa"/>
            <w:shd w:val="clear" w:color="auto" w:fill="BDD6EE" w:themeFill="accent1" w:themeFillTint="66"/>
            <w:vAlign w:val="center"/>
          </w:tcPr>
          <w:p w14:paraId="437421C6" w14:textId="41852DD3" w:rsidR="00A039A9" w:rsidRPr="00B57F87" w:rsidRDefault="00A039A9" w:rsidP="00A039A9">
            <w:pPr>
              <w:spacing w:after="0"/>
              <w:ind w:firstLine="0"/>
              <w:jc w:val="center"/>
              <w:rPr>
                <w:rFonts w:cs="Times New Roman"/>
                <w:b/>
                <w:bCs/>
                <w:color w:val="000000"/>
                <w:sz w:val="22"/>
              </w:rPr>
            </w:pPr>
            <w:r w:rsidRPr="00B57F87">
              <w:rPr>
                <w:rFonts w:cs="Times New Roman"/>
                <w:b/>
                <w:bCs/>
                <w:color w:val="000000"/>
                <w:sz w:val="22"/>
              </w:rPr>
              <w:t>37,7</w:t>
            </w:r>
          </w:p>
        </w:tc>
        <w:tc>
          <w:tcPr>
            <w:tcW w:w="1201" w:type="dxa"/>
            <w:shd w:val="clear" w:color="auto" w:fill="BDD6EE" w:themeFill="accent1" w:themeFillTint="66"/>
            <w:vAlign w:val="center"/>
          </w:tcPr>
          <w:p w14:paraId="59407774" w14:textId="2D3BE127" w:rsidR="00A039A9" w:rsidRPr="00B57F87" w:rsidRDefault="00A039A9" w:rsidP="00A039A9">
            <w:pPr>
              <w:spacing w:after="0"/>
              <w:ind w:firstLine="0"/>
              <w:jc w:val="center"/>
              <w:rPr>
                <w:rFonts w:cs="Times New Roman"/>
                <w:b/>
                <w:bCs/>
                <w:color w:val="000000"/>
                <w:sz w:val="22"/>
              </w:rPr>
            </w:pPr>
            <w:r w:rsidRPr="00B57F87">
              <w:rPr>
                <w:rFonts w:cs="Times New Roman"/>
                <w:b/>
                <w:bCs/>
                <w:color w:val="000000"/>
                <w:sz w:val="22"/>
              </w:rPr>
              <w:t>21,1</w:t>
            </w:r>
          </w:p>
        </w:tc>
        <w:tc>
          <w:tcPr>
            <w:tcW w:w="1634" w:type="dxa"/>
            <w:shd w:val="clear" w:color="auto" w:fill="BDD6EE" w:themeFill="accent1" w:themeFillTint="66"/>
            <w:vAlign w:val="center"/>
          </w:tcPr>
          <w:p w14:paraId="193384C5" w14:textId="6D39656A" w:rsidR="00A039A9" w:rsidRPr="00B57F87" w:rsidRDefault="00A039A9" w:rsidP="00A039A9">
            <w:pPr>
              <w:spacing w:after="0"/>
              <w:ind w:firstLine="0"/>
              <w:jc w:val="center"/>
              <w:rPr>
                <w:rFonts w:cs="Times New Roman"/>
                <w:b/>
                <w:bCs/>
                <w:color w:val="000000"/>
                <w:sz w:val="22"/>
              </w:rPr>
            </w:pPr>
            <w:r w:rsidRPr="00B57F87">
              <w:rPr>
                <w:rFonts w:cs="Times New Roman"/>
                <w:b/>
                <w:bCs/>
                <w:color w:val="000000"/>
                <w:sz w:val="22"/>
              </w:rPr>
              <w:t>164,1</w:t>
            </w:r>
          </w:p>
        </w:tc>
      </w:tr>
    </w:tbl>
    <w:p w14:paraId="0C1944B1" w14:textId="77777777" w:rsidR="009F5EAF" w:rsidRPr="00085B8F" w:rsidRDefault="009F5EAF" w:rsidP="008349F0">
      <w:pPr>
        <w:spacing w:after="0"/>
        <w:ind w:firstLine="0"/>
        <w:rPr>
          <w:rFonts w:cs="Times New Roman"/>
          <w:szCs w:val="24"/>
          <w:highlight w:val="lightGray"/>
        </w:rPr>
      </w:pPr>
    </w:p>
    <w:p w14:paraId="113986DD" w14:textId="44AF93F3" w:rsidR="00CB7E29" w:rsidRPr="008C0450" w:rsidRDefault="000548A5" w:rsidP="008D5151">
      <w:pPr>
        <w:pStyle w:val="Heading3"/>
        <w:numPr>
          <w:ilvl w:val="0"/>
          <w:numId w:val="0"/>
        </w:numPr>
        <w:spacing w:before="0"/>
        <w:ind w:left="425"/>
      </w:pPr>
      <w:bookmarkStart w:id="78" w:name="_Toc210289894"/>
      <w:r w:rsidRPr="008C0450">
        <w:t>2.3.2. Finanšu resursi vidēja termiņa budžeta prioritāro attīstības virzienu</w:t>
      </w:r>
      <w:r w:rsidR="00C7787C" w:rsidRPr="008C0450">
        <w:t xml:space="preserve"> un citu prioritāro pasākumu</w:t>
      </w:r>
      <w:r w:rsidRPr="008C0450">
        <w:t xml:space="preserve"> īstenošanā</w:t>
      </w:r>
      <w:bookmarkEnd w:id="78"/>
    </w:p>
    <w:p w14:paraId="0AC0D597" w14:textId="3F0B3213" w:rsidR="00C7787C" w:rsidRPr="001542B6" w:rsidRDefault="00C7787C" w:rsidP="001542B6">
      <w:pPr>
        <w:rPr>
          <w:rFonts w:cs="Times New Roman"/>
          <w:szCs w:val="24"/>
        </w:rPr>
      </w:pPr>
      <w:r w:rsidRPr="001542B6">
        <w:rPr>
          <w:rFonts w:eastAsia="Times New Roman" w:cs="Times New Roman"/>
          <w:szCs w:val="24"/>
        </w:rPr>
        <w:t xml:space="preserve">Kā jau ir minēts </w:t>
      </w:r>
      <w:r w:rsidR="00516AA5" w:rsidRPr="001542B6">
        <w:rPr>
          <w:rFonts w:eastAsia="Times New Roman" w:cs="Times New Roman"/>
          <w:szCs w:val="24"/>
        </w:rPr>
        <w:t>iepriekšējā sadaļā</w:t>
      </w:r>
      <w:r w:rsidRPr="001542B6">
        <w:rPr>
          <w:rFonts w:eastAsia="Times New Roman" w:cs="Times New Roman"/>
          <w:szCs w:val="24"/>
        </w:rPr>
        <w:t>, ņemot vērā ierobežoto fiskālo telpu</w:t>
      </w:r>
      <w:r w:rsidR="00516AA5" w:rsidRPr="001542B6">
        <w:rPr>
          <w:rFonts w:eastAsia="Times New Roman" w:cs="Times New Roman"/>
          <w:szCs w:val="24"/>
        </w:rPr>
        <w:t xml:space="preserve"> 2026. gadā un negatīvo fiskālo telpu 2027. gadā un 2028. gadā</w:t>
      </w:r>
      <w:r w:rsidRPr="001542B6">
        <w:rPr>
          <w:rFonts w:eastAsia="Times New Roman" w:cs="Times New Roman"/>
          <w:szCs w:val="24"/>
        </w:rPr>
        <w:t>, papildus jau iepriekš piešķirtajam bāzes finansējumam, prioritāro pasākumu īstenošanai tiks izmantoti vairāki kompensējošie pasākumi</w:t>
      </w:r>
      <w:r w:rsidR="00516AA5" w:rsidRPr="001542B6">
        <w:rPr>
          <w:rFonts w:eastAsia="Times New Roman" w:cs="Times New Roman"/>
          <w:szCs w:val="24"/>
        </w:rPr>
        <w:t>.</w:t>
      </w:r>
      <w:r w:rsidR="00516AA5" w:rsidRPr="001542B6">
        <w:rPr>
          <w:rFonts w:cs="Times New Roman"/>
          <w:szCs w:val="24"/>
        </w:rPr>
        <w:t xml:space="preserve"> </w:t>
      </w:r>
      <w:r w:rsidR="00CB7E29" w:rsidRPr="00B57F87">
        <w:rPr>
          <w:rFonts w:eastAsia="Times New Roman" w:cs="Times New Roman"/>
          <w:color w:val="000000"/>
          <w:szCs w:val="28"/>
        </w:rPr>
        <w:t>2.</w:t>
      </w:r>
      <w:r w:rsidR="00B57F87" w:rsidRPr="00B57F87">
        <w:rPr>
          <w:rFonts w:eastAsia="Times New Roman" w:cs="Times New Roman"/>
          <w:color w:val="000000"/>
          <w:szCs w:val="28"/>
        </w:rPr>
        <w:t>25</w:t>
      </w:r>
      <w:r w:rsidR="00CB7E29" w:rsidRPr="00B57F87">
        <w:rPr>
          <w:rFonts w:eastAsia="Times New Roman" w:cs="Times New Roman"/>
          <w:color w:val="000000"/>
          <w:szCs w:val="28"/>
        </w:rPr>
        <w:t>.</w:t>
      </w:r>
      <w:r w:rsidR="00CB7E29" w:rsidRPr="001542B6">
        <w:rPr>
          <w:rFonts w:eastAsia="Times New Roman" w:cs="Times New Roman"/>
          <w:color w:val="000000"/>
          <w:szCs w:val="28"/>
        </w:rPr>
        <w:t xml:space="preserve"> tabulā </w:t>
      </w:r>
      <w:r w:rsidRPr="001542B6">
        <w:rPr>
          <w:rFonts w:eastAsia="Times New Roman" w:cs="Times New Roman"/>
          <w:color w:val="000000"/>
          <w:szCs w:val="28"/>
        </w:rPr>
        <w:t>ir atspoguļoti būtiskākie vispārējās valdības ieņēmumu pasākumi, par kuriem lēma MK budžeta sagatavošanas procesā</w:t>
      </w:r>
      <w:r w:rsidRPr="001542B6">
        <w:rPr>
          <w:rFonts w:eastAsia="Times New Roman" w:cs="Times New Roman"/>
          <w:szCs w:val="24"/>
          <w:vertAlign w:val="superscript"/>
        </w:rPr>
        <w:footnoteReference w:id="41"/>
      </w:r>
      <w:r w:rsidR="007A616E" w:rsidRPr="001542B6">
        <w:rPr>
          <w:rFonts w:eastAsia="Times New Roman" w:cs="Times New Roman"/>
          <w:color w:val="000000"/>
          <w:szCs w:val="28"/>
        </w:rPr>
        <w:t>.</w:t>
      </w:r>
    </w:p>
    <w:p w14:paraId="18CA8607" w14:textId="59AB0BCE" w:rsidR="00CB7E29" w:rsidRDefault="00CB7E29" w:rsidP="00516AA5">
      <w:pPr>
        <w:widowControl w:val="0"/>
        <w:ind w:firstLine="709"/>
        <w:jc w:val="right"/>
        <w:rPr>
          <w:rFonts w:eastAsia="Times New Roman" w:cs="Times New Roman"/>
          <w:b/>
          <w:i/>
          <w:color w:val="000000"/>
        </w:rPr>
      </w:pPr>
      <w:r w:rsidRPr="00B57F87">
        <w:rPr>
          <w:rFonts w:eastAsia="Times New Roman" w:cs="Times New Roman"/>
          <w:b/>
          <w:i/>
          <w:color w:val="000000"/>
        </w:rPr>
        <w:t>2.</w:t>
      </w:r>
      <w:r w:rsidR="00B57F87" w:rsidRPr="00B57F87">
        <w:rPr>
          <w:rFonts w:eastAsia="Times New Roman" w:cs="Times New Roman"/>
          <w:b/>
          <w:i/>
          <w:color w:val="000000"/>
        </w:rPr>
        <w:t>25</w:t>
      </w:r>
      <w:r w:rsidRPr="00B57F87">
        <w:rPr>
          <w:rFonts w:eastAsia="Times New Roman" w:cs="Times New Roman"/>
          <w:b/>
          <w:i/>
          <w:color w:val="000000"/>
        </w:rPr>
        <w:t>. tabula</w:t>
      </w:r>
      <w:r w:rsidRPr="001542B6">
        <w:rPr>
          <w:rFonts w:eastAsia="Times New Roman" w:cs="Times New Roman"/>
          <w:b/>
          <w:i/>
          <w:color w:val="000000"/>
        </w:rPr>
        <w:t>. Ieņēmumu pasākumi, milj. euro</w:t>
      </w:r>
    </w:p>
    <w:tbl>
      <w:tblPr>
        <w:tblW w:w="9072" w:type="dxa"/>
        <w:jc w:val="center"/>
        <w:tblLook w:val="04A0" w:firstRow="1" w:lastRow="0" w:firstColumn="1" w:lastColumn="0" w:noHBand="0" w:noVBand="1"/>
      </w:tblPr>
      <w:tblGrid>
        <w:gridCol w:w="1159"/>
        <w:gridCol w:w="2722"/>
        <w:gridCol w:w="1191"/>
        <w:gridCol w:w="1276"/>
        <w:gridCol w:w="908"/>
        <w:gridCol w:w="908"/>
        <w:gridCol w:w="908"/>
      </w:tblGrid>
      <w:tr w:rsidR="001542B6" w:rsidRPr="008E12E9" w14:paraId="63A5BC7D" w14:textId="77777777" w:rsidTr="005725B2">
        <w:trPr>
          <w:trHeight w:val="310"/>
          <w:tblHeader/>
          <w:jc w:val="center"/>
        </w:trPr>
        <w:tc>
          <w:tcPr>
            <w:tcW w:w="1159"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14:paraId="5F75A3E6"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Pasākuma nosaukums</w:t>
            </w:r>
          </w:p>
        </w:tc>
        <w:tc>
          <w:tcPr>
            <w:tcW w:w="2722"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3F1D9150"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Detalizēts apraksts</w:t>
            </w:r>
          </w:p>
        </w:tc>
        <w:tc>
          <w:tcPr>
            <w:tcW w:w="119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6C5C6CF9"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Nodokļu veids</w:t>
            </w:r>
          </w:p>
        </w:tc>
        <w:tc>
          <w:tcPr>
            <w:tcW w:w="1276"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30CD6E2A"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Ieņēmumu veids</w:t>
            </w:r>
          </w:p>
        </w:tc>
        <w:tc>
          <w:tcPr>
            <w:tcW w:w="908"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540815B3"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2026</w:t>
            </w:r>
          </w:p>
        </w:tc>
        <w:tc>
          <w:tcPr>
            <w:tcW w:w="908"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55356910"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2027</w:t>
            </w:r>
          </w:p>
        </w:tc>
        <w:tc>
          <w:tcPr>
            <w:tcW w:w="908"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14:paraId="7D0C805F"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2028</w:t>
            </w:r>
          </w:p>
        </w:tc>
      </w:tr>
      <w:tr w:rsidR="008E12E9" w:rsidRPr="008E12E9" w14:paraId="03FE95E4" w14:textId="77777777" w:rsidTr="001542B6">
        <w:trPr>
          <w:trHeight w:val="290"/>
          <w:jc w:val="center"/>
        </w:trPr>
        <w:tc>
          <w:tcPr>
            <w:tcW w:w="9072" w:type="dxa"/>
            <w:gridSpan w:val="7"/>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bottom"/>
            <w:hideMark/>
          </w:tcPr>
          <w:p w14:paraId="683CEA8A" w14:textId="77777777" w:rsidR="008E12E9" w:rsidRPr="001542B6" w:rsidRDefault="008E12E9" w:rsidP="008E12E9">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Valdības prioritātes</w:t>
            </w:r>
          </w:p>
        </w:tc>
      </w:tr>
      <w:tr w:rsidR="008E12E9" w:rsidRPr="008E12E9" w14:paraId="6416A5B6" w14:textId="77777777" w:rsidTr="001542B6">
        <w:trPr>
          <w:trHeight w:val="520"/>
          <w:jc w:val="center"/>
        </w:trPr>
        <w:tc>
          <w:tcPr>
            <w:tcW w:w="1159" w:type="dxa"/>
            <w:vMerge w:val="restart"/>
            <w:tcBorders>
              <w:top w:val="nil"/>
              <w:left w:val="single" w:sz="4" w:space="0" w:color="auto"/>
              <w:bottom w:val="single" w:sz="4" w:space="0" w:color="auto"/>
              <w:right w:val="single" w:sz="4" w:space="0" w:color="auto"/>
            </w:tcBorders>
            <w:vAlign w:val="center"/>
            <w:hideMark/>
          </w:tcPr>
          <w:p w14:paraId="58C8F291"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PVN likmju izmaiņas</w:t>
            </w:r>
          </w:p>
        </w:tc>
        <w:tc>
          <w:tcPr>
            <w:tcW w:w="2722" w:type="dxa"/>
            <w:tcBorders>
              <w:top w:val="nil"/>
              <w:left w:val="nil"/>
              <w:bottom w:val="single" w:sz="4" w:space="0" w:color="auto"/>
              <w:right w:val="single" w:sz="4" w:space="0" w:color="auto"/>
            </w:tcBorders>
            <w:vAlign w:val="center"/>
            <w:hideMark/>
          </w:tcPr>
          <w:p w14:paraId="300E7AFF"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 xml:space="preserve">PVN samazināšana pārtikai (maize, piens, olas un svaiga </w:t>
            </w:r>
            <w:r w:rsidRPr="001542B6">
              <w:rPr>
                <w:rFonts w:eastAsia="Times New Roman" w:cs="Times New Roman"/>
                <w:color w:val="000000"/>
                <w:sz w:val="18"/>
                <w:szCs w:val="18"/>
              </w:rPr>
              <w:lastRenderedPageBreak/>
              <w:t>putnu gaļa) - pilotprojekts no 2026.g. 1. jūlija līdz 2027.g. 30.jūnijam</w:t>
            </w:r>
          </w:p>
        </w:tc>
        <w:tc>
          <w:tcPr>
            <w:tcW w:w="1191" w:type="dxa"/>
            <w:tcBorders>
              <w:top w:val="nil"/>
              <w:left w:val="nil"/>
              <w:bottom w:val="single" w:sz="4" w:space="0" w:color="auto"/>
              <w:right w:val="single" w:sz="4" w:space="0" w:color="auto"/>
            </w:tcBorders>
            <w:vAlign w:val="center"/>
            <w:hideMark/>
          </w:tcPr>
          <w:p w14:paraId="369145B4"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lastRenderedPageBreak/>
              <w:t>PVN</w:t>
            </w:r>
          </w:p>
        </w:tc>
        <w:tc>
          <w:tcPr>
            <w:tcW w:w="1276" w:type="dxa"/>
            <w:tcBorders>
              <w:top w:val="nil"/>
              <w:left w:val="nil"/>
              <w:bottom w:val="single" w:sz="4" w:space="0" w:color="auto"/>
              <w:right w:val="single" w:sz="4" w:space="0" w:color="auto"/>
            </w:tcBorders>
            <w:vAlign w:val="center"/>
            <w:hideMark/>
          </w:tcPr>
          <w:p w14:paraId="7E2BE5A6"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75161AA5"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-15,0</w:t>
            </w:r>
          </w:p>
        </w:tc>
        <w:tc>
          <w:tcPr>
            <w:tcW w:w="908" w:type="dxa"/>
            <w:tcBorders>
              <w:top w:val="nil"/>
              <w:left w:val="nil"/>
              <w:bottom w:val="single" w:sz="4" w:space="0" w:color="auto"/>
              <w:right w:val="single" w:sz="4" w:space="0" w:color="auto"/>
            </w:tcBorders>
            <w:noWrap/>
            <w:vAlign w:val="center"/>
            <w:hideMark/>
          </w:tcPr>
          <w:p w14:paraId="6C092A31"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-16,4</w:t>
            </w:r>
          </w:p>
        </w:tc>
        <w:tc>
          <w:tcPr>
            <w:tcW w:w="908" w:type="dxa"/>
            <w:tcBorders>
              <w:top w:val="nil"/>
              <w:left w:val="nil"/>
              <w:bottom w:val="single" w:sz="4" w:space="0" w:color="auto"/>
              <w:right w:val="single" w:sz="4" w:space="0" w:color="auto"/>
            </w:tcBorders>
            <w:noWrap/>
            <w:vAlign w:val="center"/>
            <w:hideMark/>
          </w:tcPr>
          <w:p w14:paraId="36A49C8D"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r>
      <w:tr w:rsidR="008E12E9" w:rsidRPr="008E12E9" w14:paraId="49C69330"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53E024D0" w14:textId="77777777" w:rsidR="008E12E9" w:rsidRPr="001542B6" w:rsidRDefault="008E12E9" w:rsidP="001542B6">
            <w:pPr>
              <w:spacing w:after="0"/>
              <w:ind w:firstLine="0"/>
              <w:jc w:val="right"/>
              <w:rPr>
                <w:rFonts w:eastAsia="Times New Roman" w:cs="Times New Roman"/>
                <w:color w:val="000000"/>
                <w:sz w:val="18"/>
                <w:szCs w:val="18"/>
              </w:rPr>
            </w:pPr>
          </w:p>
        </w:tc>
        <w:tc>
          <w:tcPr>
            <w:tcW w:w="5189" w:type="dxa"/>
            <w:gridSpan w:val="3"/>
            <w:tcBorders>
              <w:top w:val="single" w:sz="4" w:space="0" w:color="auto"/>
              <w:left w:val="nil"/>
              <w:bottom w:val="single" w:sz="4" w:space="0" w:color="auto"/>
              <w:right w:val="single" w:sz="4" w:space="0" w:color="auto"/>
            </w:tcBorders>
            <w:shd w:val="clear" w:color="auto" w:fill="DEEAF6" w:themeFill="accent1" w:themeFillTint="33"/>
            <w:noWrap/>
            <w:vAlign w:val="center"/>
            <w:hideMark/>
          </w:tcPr>
          <w:p w14:paraId="58F11667" w14:textId="77777777" w:rsidR="008E12E9" w:rsidRPr="001542B6" w:rsidRDefault="008E12E9" w:rsidP="009638A2">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Kopā PVN</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33F55B44" w14:textId="77777777" w:rsidR="008E12E9" w:rsidRPr="001542B6" w:rsidRDefault="008E12E9" w:rsidP="009638A2">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-15,0</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66BAFE1E" w14:textId="77777777" w:rsidR="008E12E9" w:rsidRPr="001542B6" w:rsidRDefault="008E12E9" w:rsidP="009638A2">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-16,4</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2EB3AA81" w14:textId="77777777" w:rsidR="008E12E9" w:rsidRPr="001542B6" w:rsidRDefault="008E12E9" w:rsidP="009638A2">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0,0</w:t>
            </w:r>
          </w:p>
        </w:tc>
      </w:tr>
      <w:tr w:rsidR="00005C1A" w:rsidRPr="008E12E9" w14:paraId="3633E737" w14:textId="77777777" w:rsidTr="001542B6">
        <w:trPr>
          <w:trHeight w:val="290"/>
          <w:jc w:val="center"/>
        </w:trPr>
        <w:tc>
          <w:tcPr>
            <w:tcW w:w="6348"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5E3FA91A" w14:textId="77777777" w:rsidR="008E12E9" w:rsidRPr="001542B6" w:rsidRDefault="008E12E9" w:rsidP="009638A2">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Valdības prioritātes kopā</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4B472D20" w14:textId="77777777" w:rsidR="008E12E9" w:rsidRPr="001542B6" w:rsidRDefault="008E12E9" w:rsidP="009638A2">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-15,0</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049B06EF" w14:textId="77777777" w:rsidR="008E12E9" w:rsidRPr="001542B6" w:rsidRDefault="008E12E9" w:rsidP="009638A2">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-16,4</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4A65BE4A" w14:textId="77777777" w:rsidR="008E12E9" w:rsidRPr="001542B6" w:rsidRDefault="008E12E9" w:rsidP="009638A2">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0,0</w:t>
            </w:r>
          </w:p>
        </w:tc>
      </w:tr>
      <w:tr w:rsidR="008E12E9" w:rsidRPr="008E12E9" w14:paraId="5E9EFF8C" w14:textId="77777777" w:rsidTr="001542B6">
        <w:trPr>
          <w:trHeight w:val="290"/>
          <w:jc w:val="center"/>
        </w:trPr>
        <w:tc>
          <w:tcPr>
            <w:tcW w:w="9072" w:type="dxa"/>
            <w:gridSpan w:val="7"/>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bottom"/>
            <w:hideMark/>
          </w:tcPr>
          <w:p w14:paraId="48C592D6" w14:textId="77777777" w:rsidR="008E12E9" w:rsidRPr="001542B6" w:rsidRDefault="008E12E9" w:rsidP="008E12E9">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Kompensējošie pasākumi</w:t>
            </w:r>
          </w:p>
        </w:tc>
      </w:tr>
      <w:tr w:rsidR="008E12E9" w:rsidRPr="008E12E9" w14:paraId="555E45E0" w14:textId="77777777" w:rsidTr="001542B6">
        <w:trPr>
          <w:trHeight w:val="290"/>
          <w:jc w:val="center"/>
        </w:trPr>
        <w:tc>
          <w:tcPr>
            <w:tcW w:w="1159" w:type="dxa"/>
            <w:vMerge w:val="restart"/>
            <w:tcBorders>
              <w:top w:val="nil"/>
              <w:left w:val="single" w:sz="4" w:space="0" w:color="auto"/>
              <w:bottom w:val="single" w:sz="4" w:space="0" w:color="auto"/>
              <w:right w:val="single" w:sz="4" w:space="0" w:color="auto"/>
            </w:tcBorders>
            <w:noWrap/>
            <w:vAlign w:val="center"/>
            <w:hideMark/>
          </w:tcPr>
          <w:p w14:paraId="14BE759A"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Nenodokļi</w:t>
            </w:r>
          </w:p>
        </w:tc>
        <w:tc>
          <w:tcPr>
            <w:tcW w:w="2722" w:type="dxa"/>
            <w:tcBorders>
              <w:top w:val="nil"/>
              <w:left w:val="nil"/>
              <w:bottom w:val="single" w:sz="4" w:space="0" w:color="auto"/>
              <w:right w:val="single" w:sz="4" w:space="0" w:color="auto"/>
            </w:tcBorders>
            <w:noWrap/>
            <w:vAlign w:val="center"/>
            <w:hideMark/>
          </w:tcPr>
          <w:p w14:paraId="69B26351"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Paaugstinātas dividendes valsts kapitālsabiedrībām uz 90%</w:t>
            </w:r>
          </w:p>
        </w:tc>
        <w:tc>
          <w:tcPr>
            <w:tcW w:w="1191" w:type="dxa"/>
            <w:tcBorders>
              <w:top w:val="nil"/>
              <w:left w:val="nil"/>
              <w:bottom w:val="single" w:sz="4" w:space="0" w:color="auto"/>
              <w:right w:val="single" w:sz="4" w:space="0" w:color="auto"/>
            </w:tcBorders>
            <w:vAlign w:val="center"/>
            <w:hideMark/>
          </w:tcPr>
          <w:p w14:paraId="7B991A7A"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w:t>
            </w:r>
          </w:p>
        </w:tc>
        <w:tc>
          <w:tcPr>
            <w:tcW w:w="1276" w:type="dxa"/>
            <w:tcBorders>
              <w:top w:val="nil"/>
              <w:left w:val="nil"/>
              <w:bottom w:val="single" w:sz="4" w:space="0" w:color="auto"/>
              <w:right w:val="single" w:sz="4" w:space="0" w:color="auto"/>
            </w:tcBorders>
            <w:vAlign w:val="center"/>
            <w:hideMark/>
          </w:tcPr>
          <w:p w14:paraId="3B99A46B"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Daļēji diskrecionāri</w:t>
            </w:r>
          </w:p>
        </w:tc>
        <w:tc>
          <w:tcPr>
            <w:tcW w:w="908" w:type="dxa"/>
            <w:tcBorders>
              <w:top w:val="nil"/>
              <w:left w:val="nil"/>
              <w:bottom w:val="single" w:sz="4" w:space="0" w:color="auto"/>
              <w:right w:val="single" w:sz="4" w:space="0" w:color="auto"/>
            </w:tcBorders>
            <w:noWrap/>
            <w:vAlign w:val="center"/>
            <w:hideMark/>
          </w:tcPr>
          <w:p w14:paraId="10457E82"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49,6</w:t>
            </w:r>
          </w:p>
        </w:tc>
        <w:tc>
          <w:tcPr>
            <w:tcW w:w="908" w:type="dxa"/>
            <w:tcBorders>
              <w:top w:val="nil"/>
              <w:left w:val="nil"/>
              <w:bottom w:val="single" w:sz="4" w:space="0" w:color="auto"/>
              <w:right w:val="single" w:sz="4" w:space="0" w:color="auto"/>
            </w:tcBorders>
            <w:noWrap/>
            <w:vAlign w:val="center"/>
            <w:hideMark/>
          </w:tcPr>
          <w:p w14:paraId="5512E857"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68,4</w:t>
            </w:r>
          </w:p>
        </w:tc>
        <w:tc>
          <w:tcPr>
            <w:tcW w:w="908" w:type="dxa"/>
            <w:tcBorders>
              <w:top w:val="nil"/>
              <w:left w:val="nil"/>
              <w:bottom w:val="single" w:sz="4" w:space="0" w:color="auto"/>
              <w:right w:val="single" w:sz="4" w:space="0" w:color="auto"/>
            </w:tcBorders>
            <w:noWrap/>
            <w:vAlign w:val="center"/>
            <w:hideMark/>
          </w:tcPr>
          <w:p w14:paraId="51682467"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65,1</w:t>
            </w:r>
          </w:p>
        </w:tc>
      </w:tr>
      <w:tr w:rsidR="008E12E9" w:rsidRPr="008E12E9" w14:paraId="57D9A8D4" w14:textId="77777777" w:rsidTr="001542B6">
        <w:trPr>
          <w:trHeight w:val="530"/>
          <w:jc w:val="center"/>
        </w:trPr>
        <w:tc>
          <w:tcPr>
            <w:tcW w:w="1159" w:type="dxa"/>
            <w:vMerge/>
            <w:tcBorders>
              <w:top w:val="nil"/>
              <w:left w:val="single" w:sz="4" w:space="0" w:color="auto"/>
              <w:bottom w:val="single" w:sz="4" w:space="0" w:color="auto"/>
              <w:right w:val="single" w:sz="4" w:space="0" w:color="auto"/>
            </w:tcBorders>
            <w:vAlign w:val="center"/>
            <w:hideMark/>
          </w:tcPr>
          <w:p w14:paraId="4EE4F1A9"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bottom"/>
            <w:hideMark/>
          </w:tcPr>
          <w:p w14:paraId="4017B1C4"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Papildu ieņēmumi valsts budžetā no LVM atsavinātajiem kokiem, kas gūti aizsardzības infrastruktūras projektu īstenošanas rezultātā</w:t>
            </w:r>
          </w:p>
        </w:tc>
        <w:tc>
          <w:tcPr>
            <w:tcW w:w="1191" w:type="dxa"/>
            <w:tcBorders>
              <w:top w:val="nil"/>
              <w:left w:val="nil"/>
              <w:bottom w:val="single" w:sz="4" w:space="0" w:color="auto"/>
              <w:right w:val="single" w:sz="4" w:space="0" w:color="auto"/>
            </w:tcBorders>
            <w:noWrap/>
            <w:vAlign w:val="bottom"/>
            <w:hideMark/>
          </w:tcPr>
          <w:p w14:paraId="680B9015"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w:t>
            </w:r>
          </w:p>
        </w:tc>
        <w:tc>
          <w:tcPr>
            <w:tcW w:w="1276" w:type="dxa"/>
            <w:tcBorders>
              <w:top w:val="nil"/>
              <w:left w:val="nil"/>
              <w:bottom w:val="single" w:sz="4" w:space="0" w:color="auto"/>
              <w:right w:val="single" w:sz="4" w:space="0" w:color="auto"/>
            </w:tcBorders>
            <w:noWrap/>
            <w:vAlign w:val="center"/>
            <w:hideMark/>
          </w:tcPr>
          <w:p w14:paraId="1EA35457"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Ne-diskrecionāri</w:t>
            </w:r>
          </w:p>
        </w:tc>
        <w:tc>
          <w:tcPr>
            <w:tcW w:w="908" w:type="dxa"/>
            <w:tcBorders>
              <w:top w:val="nil"/>
              <w:left w:val="nil"/>
              <w:bottom w:val="single" w:sz="4" w:space="0" w:color="auto"/>
              <w:right w:val="single" w:sz="4" w:space="0" w:color="auto"/>
            </w:tcBorders>
            <w:noWrap/>
            <w:vAlign w:val="center"/>
            <w:hideMark/>
          </w:tcPr>
          <w:p w14:paraId="7AE757DB"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2,7</w:t>
            </w:r>
          </w:p>
        </w:tc>
        <w:tc>
          <w:tcPr>
            <w:tcW w:w="908" w:type="dxa"/>
            <w:tcBorders>
              <w:top w:val="nil"/>
              <w:left w:val="nil"/>
              <w:bottom w:val="single" w:sz="4" w:space="0" w:color="auto"/>
              <w:right w:val="single" w:sz="4" w:space="0" w:color="auto"/>
            </w:tcBorders>
            <w:noWrap/>
            <w:vAlign w:val="center"/>
            <w:hideMark/>
          </w:tcPr>
          <w:p w14:paraId="18226CFD"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2,7</w:t>
            </w:r>
          </w:p>
        </w:tc>
        <w:tc>
          <w:tcPr>
            <w:tcW w:w="908" w:type="dxa"/>
            <w:tcBorders>
              <w:top w:val="nil"/>
              <w:left w:val="nil"/>
              <w:bottom w:val="single" w:sz="4" w:space="0" w:color="auto"/>
              <w:right w:val="single" w:sz="4" w:space="0" w:color="auto"/>
            </w:tcBorders>
            <w:noWrap/>
            <w:vAlign w:val="center"/>
            <w:hideMark/>
          </w:tcPr>
          <w:p w14:paraId="7BBBE645"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2,7</w:t>
            </w:r>
          </w:p>
        </w:tc>
      </w:tr>
      <w:tr w:rsidR="008E12E9" w:rsidRPr="008E12E9" w14:paraId="3914EF80"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62FC77F2" w14:textId="77777777" w:rsidR="008E12E9" w:rsidRPr="001542B6" w:rsidRDefault="008E12E9" w:rsidP="008E12E9">
            <w:pPr>
              <w:spacing w:after="0"/>
              <w:ind w:firstLine="0"/>
              <w:jc w:val="left"/>
              <w:rPr>
                <w:rFonts w:eastAsia="Times New Roman" w:cs="Times New Roman"/>
                <w:color w:val="000000"/>
                <w:sz w:val="18"/>
                <w:szCs w:val="18"/>
              </w:rPr>
            </w:pPr>
          </w:p>
        </w:tc>
        <w:tc>
          <w:tcPr>
            <w:tcW w:w="5189" w:type="dxa"/>
            <w:gridSpan w:val="3"/>
            <w:tcBorders>
              <w:top w:val="single" w:sz="4" w:space="0" w:color="auto"/>
              <w:left w:val="nil"/>
              <w:bottom w:val="single" w:sz="4" w:space="0" w:color="auto"/>
              <w:right w:val="single" w:sz="4" w:space="0" w:color="auto"/>
            </w:tcBorders>
            <w:shd w:val="clear" w:color="auto" w:fill="DEEAF6" w:themeFill="accent1" w:themeFillTint="33"/>
            <w:noWrap/>
            <w:vAlign w:val="center"/>
            <w:hideMark/>
          </w:tcPr>
          <w:p w14:paraId="0A92753B" w14:textId="77777777" w:rsidR="008E12E9" w:rsidRPr="001542B6" w:rsidRDefault="008E12E9" w:rsidP="009638A2">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Kopā nenodokļi</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2FA804A5"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52,3</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5BC6E7DC"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71,1</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78B9CC6B"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67,8</w:t>
            </w:r>
          </w:p>
        </w:tc>
      </w:tr>
      <w:tr w:rsidR="008E12E9" w:rsidRPr="008E12E9" w14:paraId="52526EEE" w14:textId="77777777" w:rsidTr="001542B6">
        <w:trPr>
          <w:trHeight w:val="290"/>
          <w:jc w:val="center"/>
        </w:trPr>
        <w:tc>
          <w:tcPr>
            <w:tcW w:w="1159" w:type="dxa"/>
            <w:vMerge w:val="restart"/>
            <w:tcBorders>
              <w:top w:val="nil"/>
              <w:left w:val="single" w:sz="4" w:space="0" w:color="auto"/>
              <w:bottom w:val="single" w:sz="4" w:space="0" w:color="auto"/>
              <w:right w:val="single" w:sz="4" w:space="0" w:color="auto"/>
            </w:tcBorders>
            <w:noWrap/>
            <w:vAlign w:val="center"/>
            <w:hideMark/>
          </w:tcPr>
          <w:p w14:paraId="6BFF2C33"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UIN</w:t>
            </w:r>
          </w:p>
        </w:tc>
        <w:tc>
          <w:tcPr>
            <w:tcW w:w="2722" w:type="dxa"/>
            <w:tcBorders>
              <w:top w:val="nil"/>
              <w:left w:val="nil"/>
              <w:bottom w:val="single" w:sz="4" w:space="0" w:color="auto"/>
              <w:right w:val="single" w:sz="4" w:space="0" w:color="auto"/>
            </w:tcBorders>
            <w:noWrap/>
            <w:vAlign w:val="center"/>
            <w:hideMark/>
          </w:tcPr>
          <w:p w14:paraId="374F9DA9"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Paaugstinātas dividendes valsts kapitālsabiedrībām uz 90%</w:t>
            </w:r>
          </w:p>
        </w:tc>
        <w:tc>
          <w:tcPr>
            <w:tcW w:w="1191" w:type="dxa"/>
            <w:tcBorders>
              <w:top w:val="nil"/>
              <w:left w:val="nil"/>
              <w:bottom w:val="single" w:sz="4" w:space="0" w:color="auto"/>
              <w:right w:val="single" w:sz="4" w:space="0" w:color="auto"/>
            </w:tcBorders>
            <w:noWrap/>
            <w:vAlign w:val="bottom"/>
            <w:hideMark/>
          </w:tcPr>
          <w:p w14:paraId="04601D10"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w:t>
            </w:r>
          </w:p>
        </w:tc>
        <w:tc>
          <w:tcPr>
            <w:tcW w:w="1276" w:type="dxa"/>
            <w:tcBorders>
              <w:top w:val="nil"/>
              <w:left w:val="nil"/>
              <w:bottom w:val="single" w:sz="4" w:space="0" w:color="auto"/>
              <w:right w:val="single" w:sz="4" w:space="0" w:color="auto"/>
            </w:tcBorders>
            <w:vAlign w:val="center"/>
            <w:hideMark/>
          </w:tcPr>
          <w:p w14:paraId="764798EB"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Daļēji diskrecionāri</w:t>
            </w:r>
          </w:p>
        </w:tc>
        <w:tc>
          <w:tcPr>
            <w:tcW w:w="908" w:type="dxa"/>
            <w:tcBorders>
              <w:top w:val="nil"/>
              <w:left w:val="nil"/>
              <w:bottom w:val="single" w:sz="4" w:space="0" w:color="auto"/>
              <w:right w:val="single" w:sz="4" w:space="0" w:color="auto"/>
            </w:tcBorders>
            <w:noWrap/>
            <w:vAlign w:val="center"/>
            <w:hideMark/>
          </w:tcPr>
          <w:p w14:paraId="33C272B9"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12,4</w:t>
            </w:r>
          </w:p>
        </w:tc>
        <w:tc>
          <w:tcPr>
            <w:tcW w:w="908" w:type="dxa"/>
            <w:tcBorders>
              <w:top w:val="nil"/>
              <w:left w:val="nil"/>
              <w:bottom w:val="single" w:sz="4" w:space="0" w:color="auto"/>
              <w:right w:val="single" w:sz="4" w:space="0" w:color="auto"/>
            </w:tcBorders>
            <w:noWrap/>
            <w:vAlign w:val="center"/>
            <w:hideMark/>
          </w:tcPr>
          <w:p w14:paraId="45B7E6B8"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17,1</w:t>
            </w:r>
          </w:p>
        </w:tc>
        <w:tc>
          <w:tcPr>
            <w:tcW w:w="908" w:type="dxa"/>
            <w:tcBorders>
              <w:top w:val="nil"/>
              <w:left w:val="nil"/>
              <w:bottom w:val="single" w:sz="4" w:space="0" w:color="auto"/>
              <w:right w:val="single" w:sz="4" w:space="0" w:color="auto"/>
            </w:tcBorders>
            <w:noWrap/>
            <w:vAlign w:val="center"/>
            <w:hideMark/>
          </w:tcPr>
          <w:p w14:paraId="3B1AED92"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16,3</w:t>
            </w:r>
          </w:p>
        </w:tc>
      </w:tr>
      <w:tr w:rsidR="008E12E9" w:rsidRPr="008E12E9" w14:paraId="4BA9BCCC" w14:textId="77777777" w:rsidTr="001542B6">
        <w:trPr>
          <w:trHeight w:val="580"/>
          <w:jc w:val="center"/>
        </w:trPr>
        <w:tc>
          <w:tcPr>
            <w:tcW w:w="1159" w:type="dxa"/>
            <w:vMerge/>
            <w:tcBorders>
              <w:top w:val="nil"/>
              <w:left w:val="single" w:sz="4" w:space="0" w:color="auto"/>
              <w:bottom w:val="single" w:sz="4" w:space="0" w:color="auto"/>
              <w:right w:val="single" w:sz="4" w:space="0" w:color="auto"/>
            </w:tcBorders>
            <w:vAlign w:val="center"/>
            <w:hideMark/>
          </w:tcPr>
          <w:p w14:paraId="3A853069"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center"/>
            <w:hideMark/>
          </w:tcPr>
          <w:p w14:paraId="229F0589"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Samazināti uzņēmumu ienākuma nodokļa ierobežojumi attiecībā uz procentu maksājumiem</w:t>
            </w:r>
          </w:p>
        </w:tc>
        <w:tc>
          <w:tcPr>
            <w:tcW w:w="1191" w:type="dxa"/>
            <w:tcBorders>
              <w:top w:val="nil"/>
              <w:left w:val="nil"/>
              <w:bottom w:val="single" w:sz="4" w:space="0" w:color="auto"/>
              <w:right w:val="single" w:sz="4" w:space="0" w:color="auto"/>
            </w:tcBorders>
            <w:vAlign w:val="center"/>
            <w:hideMark/>
          </w:tcPr>
          <w:p w14:paraId="49A426FF"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w:t>
            </w:r>
          </w:p>
        </w:tc>
        <w:tc>
          <w:tcPr>
            <w:tcW w:w="1276" w:type="dxa"/>
            <w:tcBorders>
              <w:top w:val="nil"/>
              <w:left w:val="nil"/>
              <w:bottom w:val="single" w:sz="4" w:space="0" w:color="auto"/>
              <w:right w:val="single" w:sz="4" w:space="0" w:color="auto"/>
            </w:tcBorders>
            <w:vAlign w:val="center"/>
            <w:hideMark/>
          </w:tcPr>
          <w:p w14:paraId="3978D064"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6ADF584E"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c>
          <w:tcPr>
            <w:tcW w:w="908" w:type="dxa"/>
            <w:tcBorders>
              <w:top w:val="nil"/>
              <w:left w:val="nil"/>
              <w:bottom w:val="single" w:sz="4" w:space="0" w:color="auto"/>
              <w:right w:val="single" w:sz="4" w:space="0" w:color="auto"/>
            </w:tcBorders>
            <w:noWrap/>
            <w:vAlign w:val="center"/>
            <w:hideMark/>
          </w:tcPr>
          <w:p w14:paraId="154B8939"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c>
          <w:tcPr>
            <w:tcW w:w="908" w:type="dxa"/>
            <w:tcBorders>
              <w:top w:val="nil"/>
              <w:left w:val="nil"/>
              <w:bottom w:val="single" w:sz="4" w:space="0" w:color="auto"/>
              <w:right w:val="single" w:sz="4" w:space="0" w:color="auto"/>
            </w:tcBorders>
            <w:noWrap/>
            <w:vAlign w:val="center"/>
            <w:hideMark/>
          </w:tcPr>
          <w:p w14:paraId="0DDBFDF1"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-2,9</w:t>
            </w:r>
          </w:p>
        </w:tc>
      </w:tr>
      <w:tr w:rsidR="008E12E9" w:rsidRPr="008E12E9" w14:paraId="20855FBB"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49BCCB6E"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noWrap/>
            <w:vAlign w:val="bottom"/>
            <w:hideMark/>
          </w:tcPr>
          <w:p w14:paraId="6AD51552"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Nodokļu sloga līdzsvarošana investoriem – fiziskām personām</w:t>
            </w:r>
          </w:p>
        </w:tc>
        <w:tc>
          <w:tcPr>
            <w:tcW w:w="1191" w:type="dxa"/>
            <w:tcBorders>
              <w:top w:val="nil"/>
              <w:left w:val="nil"/>
              <w:bottom w:val="single" w:sz="4" w:space="0" w:color="auto"/>
              <w:right w:val="single" w:sz="4" w:space="0" w:color="auto"/>
            </w:tcBorders>
            <w:noWrap/>
            <w:vAlign w:val="bottom"/>
            <w:hideMark/>
          </w:tcPr>
          <w:p w14:paraId="0B9FED3E"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w:t>
            </w:r>
          </w:p>
        </w:tc>
        <w:tc>
          <w:tcPr>
            <w:tcW w:w="1276" w:type="dxa"/>
            <w:tcBorders>
              <w:top w:val="nil"/>
              <w:left w:val="nil"/>
              <w:bottom w:val="single" w:sz="4" w:space="0" w:color="auto"/>
              <w:right w:val="single" w:sz="4" w:space="0" w:color="auto"/>
            </w:tcBorders>
            <w:vAlign w:val="center"/>
            <w:hideMark/>
          </w:tcPr>
          <w:p w14:paraId="115D2025"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3CA6DCE5"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-0,4</w:t>
            </w:r>
          </w:p>
        </w:tc>
        <w:tc>
          <w:tcPr>
            <w:tcW w:w="908" w:type="dxa"/>
            <w:tcBorders>
              <w:top w:val="nil"/>
              <w:left w:val="nil"/>
              <w:bottom w:val="single" w:sz="4" w:space="0" w:color="auto"/>
              <w:right w:val="single" w:sz="4" w:space="0" w:color="auto"/>
            </w:tcBorders>
            <w:noWrap/>
            <w:vAlign w:val="center"/>
            <w:hideMark/>
          </w:tcPr>
          <w:p w14:paraId="68751288"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-0,4</w:t>
            </w:r>
          </w:p>
        </w:tc>
        <w:tc>
          <w:tcPr>
            <w:tcW w:w="908" w:type="dxa"/>
            <w:tcBorders>
              <w:top w:val="nil"/>
              <w:left w:val="nil"/>
              <w:bottom w:val="single" w:sz="4" w:space="0" w:color="auto"/>
              <w:right w:val="single" w:sz="4" w:space="0" w:color="auto"/>
            </w:tcBorders>
            <w:noWrap/>
            <w:vAlign w:val="center"/>
            <w:hideMark/>
          </w:tcPr>
          <w:p w14:paraId="6E54E756"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-0,4</w:t>
            </w:r>
          </w:p>
        </w:tc>
      </w:tr>
      <w:tr w:rsidR="008E12E9" w:rsidRPr="008E12E9" w14:paraId="1D57FDEA"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702A22AA" w14:textId="77777777" w:rsidR="008E12E9" w:rsidRPr="001542B6" w:rsidRDefault="008E12E9" w:rsidP="008E12E9">
            <w:pPr>
              <w:spacing w:after="0"/>
              <w:ind w:firstLine="0"/>
              <w:jc w:val="left"/>
              <w:rPr>
                <w:rFonts w:eastAsia="Times New Roman" w:cs="Times New Roman"/>
                <w:color w:val="000000"/>
                <w:sz w:val="18"/>
                <w:szCs w:val="18"/>
              </w:rPr>
            </w:pPr>
          </w:p>
        </w:tc>
        <w:tc>
          <w:tcPr>
            <w:tcW w:w="5189" w:type="dxa"/>
            <w:gridSpan w:val="3"/>
            <w:tcBorders>
              <w:top w:val="single" w:sz="4" w:space="0" w:color="auto"/>
              <w:left w:val="nil"/>
              <w:bottom w:val="single" w:sz="4" w:space="0" w:color="auto"/>
              <w:right w:val="single" w:sz="4" w:space="0" w:color="auto"/>
            </w:tcBorders>
            <w:shd w:val="clear" w:color="auto" w:fill="DEEAF6" w:themeFill="accent1" w:themeFillTint="33"/>
            <w:noWrap/>
            <w:vAlign w:val="center"/>
            <w:hideMark/>
          </w:tcPr>
          <w:p w14:paraId="1B80B9F6" w14:textId="77777777" w:rsidR="008E12E9" w:rsidRPr="001542B6" w:rsidRDefault="008E12E9" w:rsidP="009638A2">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Kopā UIN</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346AE2EB"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12,0</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03900EF7"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16,7</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489AD90B"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13,0</w:t>
            </w:r>
          </w:p>
        </w:tc>
      </w:tr>
      <w:tr w:rsidR="008E12E9" w:rsidRPr="008E12E9" w14:paraId="319C4307" w14:textId="77777777" w:rsidTr="001542B6">
        <w:trPr>
          <w:trHeight w:val="290"/>
          <w:jc w:val="center"/>
        </w:trPr>
        <w:tc>
          <w:tcPr>
            <w:tcW w:w="1159" w:type="dxa"/>
            <w:vMerge w:val="restart"/>
            <w:tcBorders>
              <w:top w:val="nil"/>
              <w:left w:val="single" w:sz="4" w:space="0" w:color="auto"/>
              <w:bottom w:val="single" w:sz="4" w:space="0" w:color="auto"/>
              <w:right w:val="single" w:sz="4" w:space="0" w:color="auto"/>
            </w:tcBorders>
            <w:vAlign w:val="center"/>
            <w:hideMark/>
          </w:tcPr>
          <w:p w14:paraId="53E02736" w14:textId="1B1398A9"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xml:space="preserve">IAN likmju </w:t>
            </w:r>
            <w:r w:rsidRPr="00005C1A">
              <w:rPr>
                <w:rFonts w:eastAsia="Times New Roman" w:cs="Times New Roman"/>
                <w:color w:val="000000"/>
                <w:sz w:val="18"/>
                <w:szCs w:val="18"/>
              </w:rPr>
              <w:t>izmaiņas</w:t>
            </w:r>
          </w:p>
        </w:tc>
        <w:tc>
          <w:tcPr>
            <w:tcW w:w="2722" w:type="dxa"/>
            <w:tcBorders>
              <w:top w:val="nil"/>
              <w:left w:val="nil"/>
              <w:bottom w:val="single" w:sz="4" w:space="0" w:color="auto"/>
              <w:right w:val="single" w:sz="4" w:space="0" w:color="auto"/>
            </w:tcBorders>
            <w:noWrap/>
            <w:vAlign w:val="center"/>
            <w:hideMark/>
          </w:tcPr>
          <w:p w14:paraId="594D25BF" w14:textId="61C011F8" w:rsidR="008E12E9" w:rsidRPr="001542B6" w:rsidRDefault="003F5E29" w:rsidP="008E12E9">
            <w:pPr>
              <w:spacing w:after="0"/>
              <w:ind w:firstLine="0"/>
              <w:jc w:val="left"/>
              <w:rPr>
                <w:rFonts w:eastAsia="Times New Roman" w:cs="Times New Roman"/>
                <w:color w:val="000000"/>
                <w:sz w:val="18"/>
                <w:szCs w:val="18"/>
              </w:rPr>
            </w:pPr>
            <w:r>
              <w:rPr>
                <w:rFonts w:eastAsia="Times New Roman" w:cs="Times New Roman"/>
                <w:color w:val="000000"/>
                <w:sz w:val="18"/>
                <w:szCs w:val="18"/>
              </w:rPr>
              <w:t>IAN</w:t>
            </w:r>
            <w:r w:rsidR="008E12E9" w:rsidRPr="001542B6">
              <w:rPr>
                <w:rFonts w:eastAsia="Times New Roman" w:cs="Times New Roman"/>
                <w:color w:val="000000"/>
                <w:sz w:val="18"/>
                <w:szCs w:val="18"/>
              </w:rPr>
              <w:t xml:space="preserve"> palielinājums ar 2026.</w:t>
            </w:r>
            <w:r w:rsidR="00376254">
              <w:rPr>
                <w:rFonts w:eastAsia="Times New Roman" w:cs="Times New Roman"/>
                <w:color w:val="000000"/>
                <w:sz w:val="18"/>
                <w:szCs w:val="18"/>
              </w:rPr>
              <w:t xml:space="preserve"> </w:t>
            </w:r>
            <w:r w:rsidR="008E12E9" w:rsidRPr="001542B6">
              <w:rPr>
                <w:rFonts w:eastAsia="Times New Roman" w:cs="Times New Roman"/>
                <w:color w:val="000000"/>
                <w:sz w:val="18"/>
                <w:szCs w:val="18"/>
              </w:rPr>
              <w:t>gadu (par vienu gadu ātrāk)</w:t>
            </w:r>
          </w:p>
        </w:tc>
        <w:tc>
          <w:tcPr>
            <w:tcW w:w="1191" w:type="dxa"/>
            <w:tcBorders>
              <w:top w:val="nil"/>
              <w:left w:val="nil"/>
              <w:bottom w:val="single" w:sz="4" w:space="0" w:color="auto"/>
              <w:right w:val="single" w:sz="4" w:space="0" w:color="auto"/>
            </w:tcBorders>
            <w:vAlign w:val="center"/>
            <w:hideMark/>
          </w:tcPr>
          <w:p w14:paraId="7FADF623"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w:t>
            </w:r>
          </w:p>
        </w:tc>
        <w:tc>
          <w:tcPr>
            <w:tcW w:w="1276" w:type="dxa"/>
            <w:tcBorders>
              <w:top w:val="nil"/>
              <w:left w:val="nil"/>
              <w:bottom w:val="single" w:sz="4" w:space="0" w:color="auto"/>
              <w:right w:val="single" w:sz="4" w:space="0" w:color="auto"/>
            </w:tcBorders>
            <w:vAlign w:val="center"/>
            <w:hideMark/>
          </w:tcPr>
          <w:p w14:paraId="4FC8902E"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5C500B1A"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9,2</w:t>
            </w:r>
          </w:p>
        </w:tc>
        <w:tc>
          <w:tcPr>
            <w:tcW w:w="908" w:type="dxa"/>
            <w:tcBorders>
              <w:top w:val="nil"/>
              <w:left w:val="nil"/>
              <w:bottom w:val="single" w:sz="4" w:space="0" w:color="auto"/>
              <w:right w:val="single" w:sz="4" w:space="0" w:color="auto"/>
            </w:tcBorders>
            <w:noWrap/>
            <w:vAlign w:val="center"/>
            <w:hideMark/>
          </w:tcPr>
          <w:p w14:paraId="05C6CED9"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c>
          <w:tcPr>
            <w:tcW w:w="908" w:type="dxa"/>
            <w:tcBorders>
              <w:top w:val="nil"/>
              <w:left w:val="nil"/>
              <w:bottom w:val="single" w:sz="4" w:space="0" w:color="auto"/>
              <w:right w:val="single" w:sz="4" w:space="0" w:color="auto"/>
            </w:tcBorders>
            <w:noWrap/>
            <w:vAlign w:val="center"/>
            <w:hideMark/>
          </w:tcPr>
          <w:p w14:paraId="36FA0B9C"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r>
      <w:tr w:rsidR="008E12E9" w:rsidRPr="008E12E9" w14:paraId="15FC8634"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52C437D6" w14:textId="77777777" w:rsidR="008E12E9" w:rsidRPr="001542B6" w:rsidRDefault="008E12E9" w:rsidP="008E12E9">
            <w:pPr>
              <w:spacing w:after="0"/>
              <w:ind w:firstLine="0"/>
              <w:jc w:val="left"/>
              <w:rPr>
                <w:rFonts w:eastAsia="Times New Roman" w:cs="Times New Roman"/>
                <w:color w:val="000000"/>
                <w:sz w:val="18"/>
                <w:szCs w:val="18"/>
              </w:rPr>
            </w:pPr>
          </w:p>
        </w:tc>
        <w:tc>
          <w:tcPr>
            <w:tcW w:w="5189" w:type="dxa"/>
            <w:gridSpan w:val="3"/>
            <w:tcBorders>
              <w:top w:val="single" w:sz="4" w:space="0" w:color="auto"/>
              <w:left w:val="nil"/>
              <w:bottom w:val="single" w:sz="4" w:space="0" w:color="auto"/>
              <w:right w:val="single" w:sz="4" w:space="0" w:color="auto"/>
            </w:tcBorders>
            <w:shd w:val="clear" w:color="auto" w:fill="DEEAF6" w:themeFill="accent1" w:themeFillTint="33"/>
            <w:noWrap/>
            <w:vAlign w:val="center"/>
            <w:hideMark/>
          </w:tcPr>
          <w:p w14:paraId="4C9EF3D8" w14:textId="77777777" w:rsidR="008E12E9" w:rsidRPr="001542B6" w:rsidRDefault="008E12E9" w:rsidP="008E12E9">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Kopā IAN</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08FD7CEA"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9,2</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7FADCF82"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0,0</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49FE9866"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0,0</w:t>
            </w:r>
          </w:p>
        </w:tc>
      </w:tr>
      <w:tr w:rsidR="008E12E9" w:rsidRPr="008E12E9" w14:paraId="222A084D" w14:textId="77777777" w:rsidTr="001542B6">
        <w:trPr>
          <w:trHeight w:val="290"/>
          <w:jc w:val="center"/>
        </w:trPr>
        <w:tc>
          <w:tcPr>
            <w:tcW w:w="1159" w:type="dxa"/>
            <w:vMerge w:val="restart"/>
            <w:tcBorders>
              <w:top w:val="nil"/>
              <w:left w:val="single" w:sz="4" w:space="0" w:color="auto"/>
              <w:bottom w:val="single" w:sz="4" w:space="0" w:color="auto"/>
              <w:right w:val="single" w:sz="4" w:space="0" w:color="auto"/>
            </w:tcBorders>
            <w:vAlign w:val="center"/>
            <w:hideMark/>
          </w:tcPr>
          <w:p w14:paraId="1AC9FB42" w14:textId="650A77BE"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xml:space="preserve">DRN likmju </w:t>
            </w:r>
            <w:r w:rsidRPr="00005C1A">
              <w:rPr>
                <w:rFonts w:eastAsia="Times New Roman" w:cs="Times New Roman"/>
                <w:color w:val="000000"/>
                <w:sz w:val="18"/>
                <w:szCs w:val="18"/>
              </w:rPr>
              <w:t>izmaiņas</w:t>
            </w:r>
          </w:p>
        </w:tc>
        <w:tc>
          <w:tcPr>
            <w:tcW w:w="2722" w:type="dxa"/>
            <w:tcBorders>
              <w:top w:val="nil"/>
              <w:left w:val="nil"/>
              <w:bottom w:val="single" w:sz="4" w:space="0" w:color="auto"/>
              <w:right w:val="single" w:sz="4" w:space="0" w:color="auto"/>
            </w:tcBorders>
            <w:noWrap/>
            <w:vAlign w:val="center"/>
            <w:hideMark/>
          </w:tcPr>
          <w:p w14:paraId="51B8E206"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DRN likmes palielināšana: smilts</w:t>
            </w:r>
          </w:p>
        </w:tc>
        <w:tc>
          <w:tcPr>
            <w:tcW w:w="1191" w:type="dxa"/>
            <w:tcBorders>
              <w:top w:val="nil"/>
              <w:left w:val="nil"/>
              <w:bottom w:val="single" w:sz="4" w:space="0" w:color="auto"/>
              <w:right w:val="single" w:sz="4" w:space="0" w:color="auto"/>
            </w:tcBorders>
            <w:noWrap/>
            <w:vAlign w:val="center"/>
            <w:hideMark/>
          </w:tcPr>
          <w:p w14:paraId="3CC3F239"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DRN</w:t>
            </w:r>
          </w:p>
        </w:tc>
        <w:tc>
          <w:tcPr>
            <w:tcW w:w="1276" w:type="dxa"/>
            <w:tcBorders>
              <w:top w:val="nil"/>
              <w:left w:val="nil"/>
              <w:bottom w:val="single" w:sz="4" w:space="0" w:color="auto"/>
              <w:right w:val="single" w:sz="4" w:space="0" w:color="auto"/>
            </w:tcBorders>
            <w:vAlign w:val="center"/>
            <w:hideMark/>
          </w:tcPr>
          <w:p w14:paraId="443039B7"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0923067D"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0,3</w:t>
            </w:r>
          </w:p>
        </w:tc>
        <w:tc>
          <w:tcPr>
            <w:tcW w:w="908" w:type="dxa"/>
            <w:tcBorders>
              <w:top w:val="nil"/>
              <w:left w:val="nil"/>
              <w:bottom w:val="single" w:sz="4" w:space="0" w:color="auto"/>
              <w:right w:val="single" w:sz="4" w:space="0" w:color="auto"/>
            </w:tcBorders>
            <w:noWrap/>
            <w:vAlign w:val="center"/>
            <w:hideMark/>
          </w:tcPr>
          <w:p w14:paraId="1FBC9732" w14:textId="530DAB86"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w:t>
            </w:r>
            <w:r w:rsidR="009638A2">
              <w:rPr>
                <w:rFonts w:eastAsia="Times New Roman" w:cs="Times New Roman"/>
                <w:color w:val="000000"/>
                <w:sz w:val="18"/>
                <w:szCs w:val="18"/>
              </w:rPr>
              <w:t>4</w:t>
            </w:r>
          </w:p>
        </w:tc>
        <w:tc>
          <w:tcPr>
            <w:tcW w:w="908" w:type="dxa"/>
            <w:tcBorders>
              <w:top w:val="nil"/>
              <w:left w:val="nil"/>
              <w:bottom w:val="single" w:sz="4" w:space="0" w:color="auto"/>
              <w:right w:val="single" w:sz="4" w:space="0" w:color="auto"/>
            </w:tcBorders>
            <w:noWrap/>
            <w:vAlign w:val="center"/>
            <w:hideMark/>
          </w:tcPr>
          <w:p w14:paraId="21010BF8" w14:textId="3728336B"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w:t>
            </w:r>
            <w:r w:rsidR="009638A2">
              <w:rPr>
                <w:rFonts w:eastAsia="Times New Roman" w:cs="Times New Roman"/>
                <w:color w:val="000000"/>
                <w:sz w:val="18"/>
                <w:szCs w:val="18"/>
              </w:rPr>
              <w:t>4</w:t>
            </w:r>
          </w:p>
        </w:tc>
      </w:tr>
      <w:tr w:rsidR="008E12E9" w:rsidRPr="008E12E9" w14:paraId="19D1709C"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47DED4A0"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noWrap/>
            <w:vAlign w:val="center"/>
            <w:hideMark/>
          </w:tcPr>
          <w:p w14:paraId="4A8FC8FA"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DRN likmes palielināšana: smilts-grants</w:t>
            </w:r>
          </w:p>
        </w:tc>
        <w:tc>
          <w:tcPr>
            <w:tcW w:w="1191" w:type="dxa"/>
            <w:tcBorders>
              <w:top w:val="nil"/>
              <w:left w:val="nil"/>
              <w:bottom w:val="single" w:sz="4" w:space="0" w:color="auto"/>
              <w:right w:val="single" w:sz="4" w:space="0" w:color="auto"/>
            </w:tcBorders>
            <w:noWrap/>
            <w:vAlign w:val="center"/>
            <w:hideMark/>
          </w:tcPr>
          <w:p w14:paraId="091E0A45"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DRN</w:t>
            </w:r>
          </w:p>
        </w:tc>
        <w:tc>
          <w:tcPr>
            <w:tcW w:w="1276" w:type="dxa"/>
            <w:tcBorders>
              <w:top w:val="nil"/>
              <w:left w:val="nil"/>
              <w:bottom w:val="single" w:sz="4" w:space="0" w:color="auto"/>
              <w:right w:val="single" w:sz="4" w:space="0" w:color="auto"/>
            </w:tcBorders>
            <w:vAlign w:val="center"/>
            <w:hideMark/>
          </w:tcPr>
          <w:p w14:paraId="607CBEAC"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2CABC2DF"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0,2</w:t>
            </w:r>
          </w:p>
        </w:tc>
        <w:tc>
          <w:tcPr>
            <w:tcW w:w="908" w:type="dxa"/>
            <w:tcBorders>
              <w:top w:val="nil"/>
              <w:left w:val="nil"/>
              <w:bottom w:val="single" w:sz="4" w:space="0" w:color="auto"/>
              <w:right w:val="single" w:sz="4" w:space="0" w:color="auto"/>
            </w:tcBorders>
            <w:noWrap/>
            <w:vAlign w:val="center"/>
            <w:hideMark/>
          </w:tcPr>
          <w:p w14:paraId="545FBE8D" w14:textId="44F8EF98"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w:t>
            </w:r>
            <w:r w:rsidR="009638A2">
              <w:rPr>
                <w:rFonts w:eastAsia="Times New Roman" w:cs="Times New Roman"/>
                <w:color w:val="000000"/>
                <w:sz w:val="18"/>
                <w:szCs w:val="18"/>
              </w:rPr>
              <w:t>3</w:t>
            </w:r>
          </w:p>
        </w:tc>
        <w:tc>
          <w:tcPr>
            <w:tcW w:w="908" w:type="dxa"/>
            <w:tcBorders>
              <w:top w:val="nil"/>
              <w:left w:val="nil"/>
              <w:bottom w:val="single" w:sz="4" w:space="0" w:color="auto"/>
              <w:right w:val="single" w:sz="4" w:space="0" w:color="auto"/>
            </w:tcBorders>
            <w:noWrap/>
            <w:vAlign w:val="center"/>
            <w:hideMark/>
          </w:tcPr>
          <w:p w14:paraId="781E0362" w14:textId="5387242F"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w:t>
            </w:r>
            <w:r w:rsidR="009638A2">
              <w:rPr>
                <w:rFonts w:eastAsia="Times New Roman" w:cs="Times New Roman"/>
                <w:color w:val="000000"/>
                <w:sz w:val="18"/>
                <w:szCs w:val="18"/>
              </w:rPr>
              <w:t>3</w:t>
            </w:r>
          </w:p>
        </w:tc>
      </w:tr>
      <w:tr w:rsidR="008E12E9" w:rsidRPr="008E12E9" w14:paraId="4FAE2687"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41A3051F"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noWrap/>
            <w:vAlign w:val="center"/>
            <w:hideMark/>
          </w:tcPr>
          <w:p w14:paraId="26085712"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DRN likmes palielināšana: kūdra</w:t>
            </w:r>
          </w:p>
        </w:tc>
        <w:tc>
          <w:tcPr>
            <w:tcW w:w="1191" w:type="dxa"/>
            <w:tcBorders>
              <w:top w:val="nil"/>
              <w:left w:val="nil"/>
              <w:bottom w:val="single" w:sz="4" w:space="0" w:color="auto"/>
              <w:right w:val="single" w:sz="4" w:space="0" w:color="auto"/>
            </w:tcBorders>
            <w:noWrap/>
            <w:vAlign w:val="center"/>
            <w:hideMark/>
          </w:tcPr>
          <w:p w14:paraId="29011B17"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DRN</w:t>
            </w:r>
          </w:p>
        </w:tc>
        <w:tc>
          <w:tcPr>
            <w:tcW w:w="1276" w:type="dxa"/>
            <w:tcBorders>
              <w:top w:val="nil"/>
              <w:left w:val="nil"/>
              <w:bottom w:val="single" w:sz="4" w:space="0" w:color="auto"/>
              <w:right w:val="single" w:sz="4" w:space="0" w:color="auto"/>
            </w:tcBorders>
            <w:vAlign w:val="center"/>
            <w:hideMark/>
          </w:tcPr>
          <w:p w14:paraId="2A791B1F"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03123EF8"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c>
          <w:tcPr>
            <w:tcW w:w="908" w:type="dxa"/>
            <w:tcBorders>
              <w:top w:val="nil"/>
              <w:left w:val="nil"/>
              <w:bottom w:val="single" w:sz="4" w:space="0" w:color="auto"/>
              <w:right w:val="single" w:sz="4" w:space="0" w:color="auto"/>
            </w:tcBorders>
            <w:noWrap/>
            <w:vAlign w:val="center"/>
            <w:hideMark/>
          </w:tcPr>
          <w:p w14:paraId="6E06673D" w14:textId="6CB1AF6E" w:rsidR="008E12E9" w:rsidRPr="001542B6" w:rsidRDefault="009638A2" w:rsidP="008E12E9">
            <w:pPr>
              <w:spacing w:after="0"/>
              <w:ind w:firstLine="0"/>
              <w:jc w:val="center"/>
              <w:rPr>
                <w:rFonts w:eastAsia="Times New Roman" w:cs="Times New Roman"/>
                <w:color w:val="000000"/>
                <w:sz w:val="18"/>
                <w:szCs w:val="18"/>
              </w:rPr>
            </w:pPr>
            <w:r>
              <w:rPr>
                <w:rFonts w:eastAsia="Times New Roman" w:cs="Times New Roman"/>
                <w:color w:val="000000"/>
                <w:sz w:val="18"/>
                <w:szCs w:val="18"/>
              </w:rPr>
              <w:t>7,6</w:t>
            </w:r>
          </w:p>
        </w:tc>
        <w:tc>
          <w:tcPr>
            <w:tcW w:w="908" w:type="dxa"/>
            <w:tcBorders>
              <w:top w:val="nil"/>
              <w:left w:val="nil"/>
              <w:bottom w:val="single" w:sz="4" w:space="0" w:color="auto"/>
              <w:right w:val="single" w:sz="4" w:space="0" w:color="auto"/>
            </w:tcBorders>
            <w:noWrap/>
            <w:vAlign w:val="center"/>
            <w:hideMark/>
          </w:tcPr>
          <w:p w14:paraId="06B38361" w14:textId="6B72D9D9" w:rsidR="008E12E9" w:rsidRPr="001542B6" w:rsidRDefault="009638A2" w:rsidP="008E12E9">
            <w:pPr>
              <w:spacing w:after="0"/>
              <w:ind w:firstLine="0"/>
              <w:jc w:val="center"/>
              <w:rPr>
                <w:rFonts w:eastAsia="Times New Roman" w:cs="Times New Roman"/>
                <w:color w:val="000000"/>
                <w:sz w:val="18"/>
                <w:szCs w:val="18"/>
              </w:rPr>
            </w:pPr>
            <w:r>
              <w:rPr>
                <w:rFonts w:eastAsia="Times New Roman" w:cs="Times New Roman"/>
                <w:color w:val="000000"/>
                <w:sz w:val="18"/>
                <w:szCs w:val="18"/>
              </w:rPr>
              <w:t>18,5</w:t>
            </w:r>
          </w:p>
        </w:tc>
      </w:tr>
      <w:tr w:rsidR="008E12E9" w:rsidRPr="008E12E9" w14:paraId="767AB505"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087B0FB0"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noWrap/>
            <w:vAlign w:val="center"/>
            <w:hideMark/>
          </w:tcPr>
          <w:p w14:paraId="74158C68"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DRN likmes palielināšana: nepārstrādāts koks</w:t>
            </w:r>
          </w:p>
        </w:tc>
        <w:tc>
          <w:tcPr>
            <w:tcW w:w="1191" w:type="dxa"/>
            <w:tcBorders>
              <w:top w:val="nil"/>
              <w:left w:val="nil"/>
              <w:bottom w:val="single" w:sz="4" w:space="0" w:color="auto"/>
              <w:right w:val="single" w:sz="4" w:space="0" w:color="auto"/>
            </w:tcBorders>
            <w:noWrap/>
            <w:vAlign w:val="center"/>
            <w:hideMark/>
          </w:tcPr>
          <w:p w14:paraId="79B857D5"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DRN</w:t>
            </w:r>
          </w:p>
        </w:tc>
        <w:tc>
          <w:tcPr>
            <w:tcW w:w="1276" w:type="dxa"/>
            <w:tcBorders>
              <w:top w:val="nil"/>
              <w:left w:val="nil"/>
              <w:bottom w:val="single" w:sz="4" w:space="0" w:color="auto"/>
              <w:right w:val="single" w:sz="4" w:space="0" w:color="auto"/>
            </w:tcBorders>
            <w:vAlign w:val="center"/>
            <w:hideMark/>
          </w:tcPr>
          <w:p w14:paraId="300E6F81"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34D87BB6"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c>
          <w:tcPr>
            <w:tcW w:w="908" w:type="dxa"/>
            <w:tcBorders>
              <w:top w:val="nil"/>
              <w:left w:val="nil"/>
              <w:bottom w:val="single" w:sz="4" w:space="0" w:color="auto"/>
              <w:right w:val="single" w:sz="4" w:space="0" w:color="auto"/>
            </w:tcBorders>
            <w:noWrap/>
            <w:vAlign w:val="center"/>
            <w:hideMark/>
          </w:tcPr>
          <w:p w14:paraId="700EB268" w14:textId="1EF4DC49" w:rsidR="008E12E9" w:rsidRPr="001542B6" w:rsidRDefault="009638A2" w:rsidP="008E12E9">
            <w:pPr>
              <w:spacing w:after="0"/>
              <w:ind w:firstLine="0"/>
              <w:jc w:val="center"/>
              <w:rPr>
                <w:rFonts w:eastAsia="Times New Roman" w:cs="Times New Roman"/>
                <w:color w:val="000000"/>
                <w:sz w:val="18"/>
                <w:szCs w:val="18"/>
              </w:rPr>
            </w:pPr>
            <w:r>
              <w:rPr>
                <w:rFonts w:eastAsia="Times New Roman" w:cs="Times New Roman"/>
                <w:color w:val="000000"/>
                <w:sz w:val="18"/>
                <w:szCs w:val="18"/>
              </w:rPr>
              <w:t>12,3</w:t>
            </w:r>
          </w:p>
        </w:tc>
        <w:tc>
          <w:tcPr>
            <w:tcW w:w="908" w:type="dxa"/>
            <w:tcBorders>
              <w:top w:val="nil"/>
              <w:left w:val="nil"/>
              <w:bottom w:val="single" w:sz="4" w:space="0" w:color="auto"/>
              <w:right w:val="single" w:sz="4" w:space="0" w:color="auto"/>
            </w:tcBorders>
            <w:noWrap/>
            <w:vAlign w:val="center"/>
            <w:hideMark/>
          </w:tcPr>
          <w:p w14:paraId="7EDF2FF2" w14:textId="768E3875" w:rsidR="008E12E9" w:rsidRPr="001542B6" w:rsidRDefault="000B0C11" w:rsidP="008E12E9">
            <w:pPr>
              <w:spacing w:after="0"/>
              <w:ind w:firstLine="0"/>
              <w:jc w:val="center"/>
              <w:rPr>
                <w:rFonts w:eastAsia="Times New Roman" w:cs="Times New Roman"/>
                <w:color w:val="000000"/>
                <w:sz w:val="18"/>
                <w:szCs w:val="18"/>
              </w:rPr>
            </w:pPr>
            <w:r>
              <w:rPr>
                <w:rFonts w:eastAsia="Times New Roman" w:cs="Times New Roman"/>
                <w:color w:val="000000"/>
                <w:sz w:val="18"/>
                <w:szCs w:val="18"/>
              </w:rPr>
              <w:t>16,4</w:t>
            </w:r>
          </w:p>
        </w:tc>
      </w:tr>
      <w:tr w:rsidR="00005C1A" w:rsidRPr="008E12E9" w14:paraId="5463A24E"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3F853114" w14:textId="77777777" w:rsidR="008E12E9" w:rsidRPr="001542B6" w:rsidRDefault="008E12E9" w:rsidP="008E12E9">
            <w:pPr>
              <w:spacing w:after="0"/>
              <w:ind w:firstLine="0"/>
              <w:jc w:val="left"/>
              <w:rPr>
                <w:rFonts w:eastAsia="Times New Roman" w:cs="Times New Roman"/>
                <w:color w:val="000000"/>
                <w:sz w:val="18"/>
                <w:szCs w:val="18"/>
              </w:rPr>
            </w:pPr>
          </w:p>
        </w:tc>
        <w:tc>
          <w:tcPr>
            <w:tcW w:w="5189" w:type="dxa"/>
            <w:gridSpan w:val="3"/>
            <w:tcBorders>
              <w:top w:val="single" w:sz="4" w:space="0" w:color="auto"/>
              <w:left w:val="nil"/>
              <w:bottom w:val="single" w:sz="4" w:space="0" w:color="auto"/>
              <w:right w:val="single" w:sz="4" w:space="0" w:color="auto"/>
            </w:tcBorders>
            <w:shd w:val="clear" w:color="auto" w:fill="DEEAF6" w:themeFill="accent1" w:themeFillTint="33"/>
            <w:noWrap/>
            <w:vAlign w:val="center"/>
            <w:hideMark/>
          </w:tcPr>
          <w:p w14:paraId="73B899E3" w14:textId="77777777" w:rsidR="008E12E9" w:rsidRPr="001542B6" w:rsidRDefault="008E12E9" w:rsidP="008E12E9">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Kopā DRN</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0BF4A090"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0,5</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42C07AF8" w14:textId="2A912DF5" w:rsidR="008E12E9" w:rsidRPr="001542B6" w:rsidRDefault="009638A2" w:rsidP="008E12E9">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20,5</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6D3A60F2" w14:textId="2A3D3BD0" w:rsidR="008E12E9" w:rsidRPr="001542B6" w:rsidRDefault="000B0C11" w:rsidP="008E12E9">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35,6</w:t>
            </w:r>
          </w:p>
        </w:tc>
      </w:tr>
      <w:tr w:rsidR="008E12E9" w:rsidRPr="008E12E9" w14:paraId="3C0CDD45" w14:textId="77777777" w:rsidTr="001542B6">
        <w:trPr>
          <w:trHeight w:val="290"/>
          <w:jc w:val="center"/>
        </w:trPr>
        <w:tc>
          <w:tcPr>
            <w:tcW w:w="1159" w:type="dxa"/>
            <w:vMerge w:val="restart"/>
            <w:tcBorders>
              <w:top w:val="nil"/>
              <w:left w:val="single" w:sz="4" w:space="0" w:color="auto"/>
              <w:bottom w:val="single" w:sz="4" w:space="0" w:color="auto"/>
              <w:right w:val="single" w:sz="4" w:space="0" w:color="auto"/>
            </w:tcBorders>
            <w:vAlign w:val="center"/>
            <w:hideMark/>
          </w:tcPr>
          <w:p w14:paraId="44D34687" w14:textId="1817FD6B"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PVN izmaiņas</w:t>
            </w:r>
          </w:p>
        </w:tc>
        <w:tc>
          <w:tcPr>
            <w:tcW w:w="2722" w:type="dxa"/>
            <w:tcBorders>
              <w:top w:val="nil"/>
              <w:left w:val="nil"/>
              <w:bottom w:val="single" w:sz="4" w:space="0" w:color="auto"/>
              <w:right w:val="single" w:sz="4" w:space="0" w:color="auto"/>
            </w:tcBorders>
            <w:vAlign w:val="center"/>
            <w:hideMark/>
          </w:tcPr>
          <w:p w14:paraId="78458F04"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AN paaugstināšana naftas produktiem</w:t>
            </w:r>
          </w:p>
        </w:tc>
        <w:tc>
          <w:tcPr>
            <w:tcW w:w="1191" w:type="dxa"/>
            <w:tcBorders>
              <w:top w:val="nil"/>
              <w:left w:val="nil"/>
              <w:bottom w:val="single" w:sz="4" w:space="0" w:color="auto"/>
              <w:right w:val="single" w:sz="4" w:space="0" w:color="auto"/>
            </w:tcBorders>
            <w:vAlign w:val="center"/>
            <w:hideMark/>
          </w:tcPr>
          <w:p w14:paraId="1F8C94D3"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PVN</w:t>
            </w:r>
          </w:p>
        </w:tc>
        <w:tc>
          <w:tcPr>
            <w:tcW w:w="1276" w:type="dxa"/>
            <w:tcBorders>
              <w:top w:val="nil"/>
              <w:left w:val="nil"/>
              <w:bottom w:val="single" w:sz="4" w:space="0" w:color="auto"/>
              <w:right w:val="single" w:sz="4" w:space="0" w:color="auto"/>
            </w:tcBorders>
            <w:vAlign w:val="center"/>
            <w:hideMark/>
          </w:tcPr>
          <w:p w14:paraId="6F362C9B"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0C5A1ADE"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c>
          <w:tcPr>
            <w:tcW w:w="908" w:type="dxa"/>
            <w:tcBorders>
              <w:top w:val="nil"/>
              <w:left w:val="nil"/>
              <w:bottom w:val="single" w:sz="4" w:space="0" w:color="auto"/>
              <w:right w:val="single" w:sz="4" w:space="0" w:color="auto"/>
            </w:tcBorders>
            <w:noWrap/>
            <w:vAlign w:val="center"/>
            <w:hideMark/>
          </w:tcPr>
          <w:p w14:paraId="77C56121"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c>
          <w:tcPr>
            <w:tcW w:w="908" w:type="dxa"/>
            <w:tcBorders>
              <w:top w:val="nil"/>
              <w:left w:val="nil"/>
              <w:bottom w:val="single" w:sz="4" w:space="0" w:color="auto"/>
              <w:right w:val="single" w:sz="4" w:space="0" w:color="auto"/>
            </w:tcBorders>
            <w:noWrap/>
            <w:vAlign w:val="center"/>
            <w:hideMark/>
          </w:tcPr>
          <w:p w14:paraId="6A2C2ED0"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0,1</w:t>
            </w:r>
          </w:p>
        </w:tc>
      </w:tr>
      <w:tr w:rsidR="008E12E9" w:rsidRPr="008E12E9" w14:paraId="140044D3"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549175A2"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center"/>
            <w:hideMark/>
          </w:tcPr>
          <w:p w14:paraId="6B5AB253"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AN paaugstināšana alkoholiskajiem dzērieniem un alum</w:t>
            </w:r>
          </w:p>
        </w:tc>
        <w:tc>
          <w:tcPr>
            <w:tcW w:w="1191" w:type="dxa"/>
            <w:tcBorders>
              <w:top w:val="nil"/>
              <w:left w:val="nil"/>
              <w:bottom w:val="single" w:sz="4" w:space="0" w:color="auto"/>
              <w:right w:val="single" w:sz="4" w:space="0" w:color="auto"/>
            </w:tcBorders>
            <w:vAlign w:val="center"/>
            <w:hideMark/>
          </w:tcPr>
          <w:p w14:paraId="1177F844"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PVN</w:t>
            </w:r>
          </w:p>
        </w:tc>
        <w:tc>
          <w:tcPr>
            <w:tcW w:w="1276" w:type="dxa"/>
            <w:tcBorders>
              <w:top w:val="nil"/>
              <w:left w:val="nil"/>
              <w:bottom w:val="single" w:sz="4" w:space="0" w:color="auto"/>
              <w:right w:val="single" w:sz="4" w:space="0" w:color="auto"/>
            </w:tcBorders>
            <w:vAlign w:val="center"/>
            <w:hideMark/>
          </w:tcPr>
          <w:p w14:paraId="427C0193"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2A553913"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0,2</w:t>
            </w:r>
          </w:p>
        </w:tc>
        <w:tc>
          <w:tcPr>
            <w:tcW w:w="908" w:type="dxa"/>
            <w:tcBorders>
              <w:top w:val="nil"/>
              <w:left w:val="nil"/>
              <w:bottom w:val="single" w:sz="4" w:space="0" w:color="auto"/>
              <w:right w:val="single" w:sz="4" w:space="0" w:color="auto"/>
            </w:tcBorders>
            <w:noWrap/>
            <w:vAlign w:val="center"/>
            <w:hideMark/>
          </w:tcPr>
          <w:p w14:paraId="227B4B1F"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0,1</w:t>
            </w:r>
          </w:p>
        </w:tc>
        <w:tc>
          <w:tcPr>
            <w:tcW w:w="908" w:type="dxa"/>
            <w:tcBorders>
              <w:top w:val="nil"/>
              <w:left w:val="nil"/>
              <w:bottom w:val="single" w:sz="4" w:space="0" w:color="auto"/>
              <w:right w:val="single" w:sz="4" w:space="0" w:color="auto"/>
            </w:tcBorders>
            <w:noWrap/>
            <w:vAlign w:val="center"/>
            <w:hideMark/>
          </w:tcPr>
          <w:p w14:paraId="6EFDA718"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0,5</w:t>
            </w:r>
          </w:p>
        </w:tc>
      </w:tr>
      <w:tr w:rsidR="008E12E9" w:rsidRPr="008E12E9" w14:paraId="4A41783C" w14:textId="77777777" w:rsidTr="001542B6">
        <w:trPr>
          <w:trHeight w:val="520"/>
          <w:jc w:val="center"/>
        </w:trPr>
        <w:tc>
          <w:tcPr>
            <w:tcW w:w="1159" w:type="dxa"/>
            <w:vMerge/>
            <w:tcBorders>
              <w:top w:val="nil"/>
              <w:left w:val="single" w:sz="4" w:space="0" w:color="auto"/>
              <w:bottom w:val="single" w:sz="4" w:space="0" w:color="auto"/>
              <w:right w:val="single" w:sz="4" w:space="0" w:color="auto"/>
            </w:tcBorders>
            <w:vAlign w:val="center"/>
            <w:hideMark/>
          </w:tcPr>
          <w:p w14:paraId="695D04ED"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center"/>
            <w:hideMark/>
          </w:tcPr>
          <w:p w14:paraId="3092F3BB"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AN paaugstināšana tabakas izstrādājumiem un pēc izmantošanas mērķa līdzīgiem produktiem</w:t>
            </w:r>
          </w:p>
        </w:tc>
        <w:tc>
          <w:tcPr>
            <w:tcW w:w="1191" w:type="dxa"/>
            <w:tcBorders>
              <w:top w:val="nil"/>
              <w:left w:val="nil"/>
              <w:bottom w:val="single" w:sz="4" w:space="0" w:color="auto"/>
              <w:right w:val="single" w:sz="4" w:space="0" w:color="auto"/>
            </w:tcBorders>
            <w:vAlign w:val="center"/>
            <w:hideMark/>
          </w:tcPr>
          <w:p w14:paraId="109D1B89"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PVN</w:t>
            </w:r>
          </w:p>
        </w:tc>
        <w:tc>
          <w:tcPr>
            <w:tcW w:w="1276" w:type="dxa"/>
            <w:tcBorders>
              <w:top w:val="nil"/>
              <w:left w:val="nil"/>
              <w:bottom w:val="single" w:sz="4" w:space="0" w:color="auto"/>
              <w:right w:val="single" w:sz="4" w:space="0" w:color="auto"/>
            </w:tcBorders>
            <w:vAlign w:val="center"/>
            <w:hideMark/>
          </w:tcPr>
          <w:p w14:paraId="76361EFF"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155020BD"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1,1</w:t>
            </w:r>
          </w:p>
        </w:tc>
        <w:tc>
          <w:tcPr>
            <w:tcW w:w="908" w:type="dxa"/>
            <w:tcBorders>
              <w:top w:val="nil"/>
              <w:left w:val="nil"/>
              <w:bottom w:val="single" w:sz="4" w:space="0" w:color="auto"/>
              <w:right w:val="single" w:sz="4" w:space="0" w:color="auto"/>
            </w:tcBorders>
            <w:noWrap/>
            <w:vAlign w:val="center"/>
            <w:hideMark/>
          </w:tcPr>
          <w:p w14:paraId="3E04AF21"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2,0</w:t>
            </w:r>
          </w:p>
        </w:tc>
        <w:tc>
          <w:tcPr>
            <w:tcW w:w="908" w:type="dxa"/>
            <w:tcBorders>
              <w:top w:val="nil"/>
              <w:left w:val="nil"/>
              <w:bottom w:val="single" w:sz="4" w:space="0" w:color="auto"/>
              <w:right w:val="single" w:sz="4" w:space="0" w:color="auto"/>
            </w:tcBorders>
            <w:noWrap/>
            <w:vAlign w:val="center"/>
            <w:hideMark/>
          </w:tcPr>
          <w:p w14:paraId="54BF4EDE"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4,3</w:t>
            </w:r>
          </w:p>
        </w:tc>
      </w:tr>
      <w:tr w:rsidR="008E12E9" w:rsidRPr="008E12E9" w14:paraId="4364B122"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4CAE6A9E"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center"/>
            <w:hideMark/>
          </w:tcPr>
          <w:p w14:paraId="5A3CFA8D"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AN paaugstināšana bezalkoholiskajiem dzērieniem</w:t>
            </w:r>
          </w:p>
        </w:tc>
        <w:tc>
          <w:tcPr>
            <w:tcW w:w="1191" w:type="dxa"/>
            <w:tcBorders>
              <w:top w:val="nil"/>
              <w:left w:val="nil"/>
              <w:bottom w:val="single" w:sz="4" w:space="0" w:color="auto"/>
              <w:right w:val="single" w:sz="4" w:space="0" w:color="auto"/>
            </w:tcBorders>
            <w:vAlign w:val="center"/>
            <w:hideMark/>
          </w:tcPr>
          <w:p w14:paraId="7064D42D"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PVN</w:t>
            </w:r>
          </w:p>
        </w:tc>
        <w:tc>
          <w:tcPr>
            <w:tcW w:w="1276" w:type="dxa"/>
            <w:tcBorders>
              <w:top w:val="nil"/>
              <w:left w:val="nil"/>
              <w:bottom w:val="single" w:sz="4" w:space="0" w:color="auto"/>
              <w:right w:val="single" w:sz="4" w:space="0" w:color="auto"/>
            </w:tcBorders>
            <w:vAlign w:val="center"/>
            <w:hideMark/>
          </w:tcPr>
          <w:p w14:paraId="672CC432"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3B6FAA20"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w:t>
            </w:r>
          </w:p>
        </w:tc>
        <w:tc>
          <w:tcPr>
            <w:tcW w:w="908" w:type="dxa"/>
            <w:tcBorders>
              <w:top w:val="nil"/>
              <w:left w:val="nil"/>
              <w:bottom w:val="single" w:sz="4" w:space="0" w:color="auto"/>
              <w:right w:val="single" w:sz="4" w:space="0" w:color="auto"/>
            </w:tcBorders>
            <w:noWrap/>
            <w:vAlign w:val="center"/>
            <w:hideMark/>
          </w:tcPr>
          <w:p w14:paraId="45DE600C"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w:t>
            </w:r>
          </w:p>
        </w:tc>
        <w:tc>
          <w:tcPr>
            <w:tcW w:w="908" w:type="dxa"/>
            <w:tcBorders>
              <w:top w:val="nil"/>
              <w:left w:val="nil"/>
              <w:bottom w:val="single" w:sz="4" w:space="0" w:color="auto"/>
              <w:right w:val="single" w:sz="4" w:space="0" w:color="auto"/>
            </w:tcBorders>
            <w:noWrap/>
            <w:vAlign w:val="center"/>
            <w:hideMark/>
          </w:tcPr>
          <w:p w14:paraId="7F177EB4"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0,4</w:t>
            </w:r>
          </w:p>
        </w:tc>
      </w:tr>
      <w:tr w:rsidR="008E12E9" w:rsidRPr="008E12E9" w14:paraId="0DFD9DE3" w14:textId="77777777" w:rsidTr="001542B6">
        <w:trPr>
          <w:trHeight w:val="555"/>
          <w:jc w:val="center"/>
        </w:trPr>
        <w:tc>
          <w:tcPr>
            <w:tcW w:w="1159" w:type="dxa"/>
            <w:vMerge/>
            <w:tcBorders>
              <w:top w:val="nil"/>
              <w:left w:val="single" w:sz="4" w:space="0" w:color="auto"/>
              <w:bottom w:val="single" w:sz="4" w:space="0" w:color="auto"/>
              <w:right w:val="single" w:sz="4" w:space="0" w:color="auto"/>
            </w:tcBorders>
            <w:vAlign w:val="center"/>
            <w:hideMark/>
          </w:tcPr>
          <w:p w14:paraId="08EC3501"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center"/>
            <w:hideMark/>
          </w:tcPr>
          <w:p w14:paraId="68BA1E0F"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PVN palielināšana presei un grāmatām, kas nav izdotas valsts valodā, ES un ESAO dalībvalstu vai kandidātvalstu oficiālajās valodās</w:t>
            </w:r>
          </w:p>
        </w:tc>
        <w:tc>
          <w:tcPr>
            <w:tcW w:w="1191" w:type="dxa"/>
            <w:tcBorders>
              <w:top w:val="nil"/>
              <w:left w:val="nil"/>
              <w:bottom w:val="single" w:sz="4" w:space="0" w:color="auto"/>
              <w:right w:val="single" w:sz="4" w:space="0" w:color="auto"/>
            </w:tcBorders>
            <w:vAlign w:val="center"/>
            <w:hideMark/>
          </w:tcPr>
          <w:p w14:paraId="47201637"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PVN</w:t>
            </w:r>
          </w:p>
        </w:tc>
        <w:tc>
          <w:tcPr>
            <w:tcW w:w="1276" w:type="dxa"/>
            <w:tcBorders>
              <w:top w:val="nil"/>
              <w:left w:val="nil"/>
              <w:bottom w:val="single" w:sz="4" w:space="0" w:color="auto"/>
              <w:right w:val="single" w:sz="4" w:space="0" w:color="auto"/>
            </w:tcBorders>
            <w:vAlign w:val="center"/>
            <w:hideMark/>
          </w:tcPr>
          <w:p w14:paraId="350123FB"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07CE3286"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1,0</w:t>
            </w:r>
          </w:p>
        </w:tc>
        <w:tc>
          <w:tcPr>
            <w:tcW w:w="908" w:type="dxa"/>
            <w:tcBorders>
              <w:top w:val="nil"/>
              <w:left w:val="nil"/>
              <w:bottom w:val="single" w:sz="4" w:space="0" w:color="auto"/>
              <w:right w:val="single" w:sz="4" w:space="0" w:color="auto"/>
            </w:tcBorders>
            <w:noWrap/>
            <w:vAlign w:val="center"/>
            <w:hideMark/>
          </w:tcPr>
          <w:p w14:paraId="0C74E618"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1,0</w:t>
            </w:r>
          </w:p>
        </w:tc>
        <w:tc>
          <w:tcPr>
            <w:tcW w:w="908" w:type="dxa"/>
            <w:tcBorders>
              <w:top w:val="nil"/>
              <w:left w:val="nil"/>
              <w:bottom w:val="single" w:sz="4" w:space="0" w:color="auto"/>
              <w:right w:val="single" w:sz="4" w:space="0" w:color="auto"/>
            </w:tcBorders>
            <w:noWrap/>
            <w:vAlign w:val="center"/>
            <w:hideMark/>
          </w:tcPr>
          <w:p w14:paraId="7BABEF05"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1,0</w:t>
            </w:r>
          </w:p>
        </w:tc>
      </w:tr>
      <w:tr w:rsidR="008E12E9" w:rsidRPr="008E12E9" w14:paraId="5534FA6B"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559EC5BC" w14:textId="77777777" w:rsidR="008E12E9" w:rsidRPr="001542B6" w:rsidRDefault="008E12E9" w:rsidP="008E12E9">
            <w:pPr>
              <w:spacing w:after="0"/>
              <w:ind w:firstLine="0"/>
              <w:jc w:val="left"/>
              <w:rPr>
                <w:rFonts w:eastAsia="Times New Roman" w:cs="Times New Roman"/>
                <w:color w:val="000000"/>
                <w:sz w:val="18"/>
                <w:szCs w:val="18"/>
              </w:rPr>
            </w:pPr>
          </w:p>
        </w:tc>
        <w:tc>
          <w:tcPr>
            <w:tcW w:w="5189" w:type="dxa"/>
            <w:gridSpan w:val="3"/>
            <w:tcBorders>
              <w:top w:val="single" w:sz="4" w:space="0" w:color="auto"/>
              <w:left w:val="nil"/>
              <w:bottom w:val="single" w:sz="4" w:space="0" w:color="auto"/>
              <w:right w:val="single" w:sz="4" w:space="0" w:color="auto"/>
            </w:tcBorders>
            <w:shd w:val="clear" w:color="auto" w:fill="DEEAF6" w:themeFill="accent1" w:themeFillTint="33"/>
            <w:vAlign w:val="center"/>
            <w:hideMark/>
          </w:tcPr>
          <w:p w14:paraId="4714A6F2" w14:textId="77777777" w:rsidR="008E12E9" w:rsidRPr="001542B6" w:rsidRDefault="008E12E9" w:rsidP="008E12E9">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Kopā PVN</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7E557018"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2,3</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2EBA5549"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3,1</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3D66A211"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6,3</w:t>
            </w:r>
          </w:p>
        </w:tc>
      </w:tr>
      <w:tr w:rsidR="008E12E9" w:rsidRPr="008E12E9" w14:paraId="1E7B95A6" w14:textId="77777777" w:rsidTr="001542B6">
        <w:trPr>
          <w:trHeight w:val="290"/>
          <w:jc w:val="center"/>
        </w:trPr>
        <w:tc>
          <w:tcPr>
            <w:tcW w:w="1159" w:type="dxa"/>
            <w:vMerge w:val="restart"/>
            <w:tcBorders>
              <w:top w:val="nil"/>
              <w:left w:val="single" w:sz="4" w:space="0" w:color="auto"/>
              <w:bottom w:val="single" w:sz="4" w:space="0" w:color="auto"/>
              <w:right w:val="single" w:sz="4" w:space="0" w:color="auto"/>
            </w:tcBorders>
            <w:vAlign w:val="center"/>
            <w:hideMark/>
          </w:tcPr>
          <w:p w14:paraId="137CB9AB"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AN likmju izmaiņas</w:t>
            </w:r>
          </w:p>
        </w:tc>
        <w:tc>
          <w:tcPr>
            <w:tcW w:w="2722" w:type="dxa"/>
            <w:tcBorders>
              <w:top w:val="nil"/>
              <w:left w:val="nil"/>
              <w:bottom w:val="single" w:sz="4" w:space="0" w:color="auto"/>
              <w:right w:val="single" w:sz="4" w:space="0" w:color="auto"/>
            </w:tcBorders>
            <w:vAlign w:val="center"/>
            <w:hideMark/>
          </w:tcPr>
          <w:p w14:paraId="32EB9B41"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AN paaugstināšana naftas produktiem</w:t>
            </w:r>
          </w:p>
        </w:tc>
        <w:tc>
          <w:tcPr>
            <w:tcW w:w="1191" w:type="dxa"/>
            <w:tcBorders>
              <w:top w:val="nil"/>
              <w:left w:val="nil"/>
              <w:bottom w:val="single" w:sz="4" w:space="0" w:color="auto"/>
              <w:right w:val="single" w:sz="4" w:space="0" w:color="auto"/>
            </w:tcBorders>
            <w:vAlign w:val="center"/>
            <w:hideMark/>
          </w:tcPr>
          <w:p w14:paraId="13AFE70E"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AN</w:t>
            </w:r>
          </w:p>
        </w:tc>
        <w:tc>
          <w:tcPr>
            <w:tcW w:w="1276" w:type="dxa"/>
            <w:tcBorders>
              <w:top w:val="nil"/>
              <w:left w:val="nil"/>
              <w:bottom w:val="single" w:sz="4" w:space="0" w:color="auto"/>
              <w:right w:val="single" w:sz="4" w:space="0" w:color="auto"/>
            </w:tcBorders>
            <w:vAlign w:val="center"/>
            <w:hideMark/>
          </w:tcPr>
          <w:p w14:paraId="5E3FC0C7"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4ED37114"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c>
          <w:tcPr>
            <w:tcW w:w="908" w:type="dxa"/>
            <w:tcBorders>
              <w:top w:val="nil"/>
              <w:left w:val="nil"/>
              <w:bottom w:val="single" w:sz="4" w:space="0" w:color="auto"/>
              <w:right w:val="single" w:sz="4" w:space="0" w:color="auto"/>
            </w:tcBorders>
            <w:noWrap/>
            <w:vAlign w:val="center"/>
            <w:hideMark/>
          </w:tcPr>
          <w:p w14:paraId="20A5DD7D"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c>
          <w:tcPr>
            <w:tcW w:w="908" w:type="dxa"/>
            <w:tcBorders>
              <w:top w:val="nil"/>
              <w:left w:val="nil"/>
              <w:bottom w:val="single" w:sz="4" w:space="0" w:color="auto"/>
              <w:right w:val="single" w:sz="4" w:space="0" w:color="auto"/>
            </w:tcBorders>
            <w:noWrap/>
            <w:vAlign w:val="center"/>
            <w:hideMark/>
          </w:tcPr>
          <w:p w14:paraId="162EDA5B"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0,4</w:t>
            </w:r>
          </w:p>
        </w:tc>
      </w:tr>
      <w:tr w:rsidR="008E12E9" w:rsidRPr="008E12E9" w14:paraId="7957BB18"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0628CAD0"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center"/>
            <w:hideMark/>
          </w:tcPr>
          <w:p w14:paraId="65F9484E"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AN paaugstināšana alkoholiskajiem dzērieniem un alum</w:t>
            </w:r>
          </w:p>
        </w:tc>
        <w:tc>
          <w:tcPr>
            <w:tcW w:w="1191" w:type="dxa"/>
            <w:tcBorders>
              <w:top w:val="nil"/>
              <w:left w:val="nil"/>
              <w:bottom w:val="single" w:sz="4" w:space="0" w:color="auto"/>
              <w:right w:val="single" w:sz="4" w:space="0" w:color="auto"/>
            </w:tcBorders>
            <w:vAlign w:val="center"/>
            <w:hideMark/>
          </w:tcPr>
          <w:p w14:paraId="2757C1C3"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AN</w:t>
            </w:r>
          </w:p>
        </w:tc>
        <w:tc>
          <w:tcPr>
            <w:tcW w:w="1276" w:type="dxa"/>
            <w:tcBorders>
              <w:top w:val="nil"/>
              <w:left w:val="nil"/>
              <w:bottom w:val="single" w:sz="4" w:space="0" w:color="auto"/>
              <w:right w:val="single" w:sz="4" w:space="0" w:color="auto"/>
            </w:tcBorders>
            <w:vAlign w:val="center"/>
            <w:hideMark/>
          </w:tcPr>
          <w:p w14:paraId="6CB11F1E"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6203B476"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1,1</w:t>
            </w:r>
          </w:p>
        </w:tc>
        <w:tc>
          <w:tcPr>
            <w:tcW w:w="908" w:type="dxa"/>
            <w:tcBorders>
              <w:top w:val="nil"/>
              <w:left w:val="nil"/>
              <w:bottom w:val="single" w:sz="4" w:space="0" w:color="auto"/>
              <w:right w:val="single" w:sz="4" w:space="0" w:color="auto"/>
            </w:tcBorders>
            <w:noWrap/>
            <w:vAlign w:val="center"/>
            <w:hideMark/>
          </w:tcPr>
          <w:p w14:paraId="432F08BB"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0,3</w:t>
            </w:r>
          </w:p>
        </w:tc>
        <w:tc>
          <w:tcPr>
            <w:tcW w:w="908" w:type="dxa"/>
            <w:tcBorders>
              <w:top w:val="nil"/>
              <w:left w:val="nil"/>
              <w:bottom w:val="single" w:sz="4" w:space="0" w:color="auto"/>
              <w:right w:val="single" w:sz="4" w:space="0" w:color="auto"/>
            </w:tcBorders>
            <w:noWrap/>
            <w:vAlign w:val="center"/>
            <w:hideMark/>
          </w:tcPr>
          <w:p w14:paraId="7E6EBD0E"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2,4</w:t>
            </w:r>
          </w:p>
        </w:tc>
      </w:tr>
      <w:tr w:rsidR="008E12E9" w:rsidRPr="008E12E9" w14:paraId="7C74542F" w14:textId="77777777" w:rsidTr="001542B6">
        <w:trPr>
          <w:trHeight w:val="520"/>
          <w:jc w:val="center"/>
        </w:trPr>
        <w:tc>
          <w:tcPr>
            <w:tcW w:w="1159" w:type="dxa"/>
            <w:vMerge/>
            <w:tcBorders>
              <w:top w:val="nil"/>
              <w:left w:val="single" w:sz="4" w:space="0" w:color="auto"/>
              <w:bottom w:val="single" w:sz="4" w:space="0" w:color="auto"/>
              <w:right w:val="single" w:sz="4" w:space="0" w:color="auto"/>
            </w:tcBorders>
            <w:vAlign w:val="center"/>
            <w:hideMark/>
          </w:tcPr>
          <w:p w14:paraId="35B16F0C"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center"/>
            <w:hideMark/>
          </w:tcPr>
          <w:p w14:paraId="72FDE56A"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AN paaugstināšana tabakas izstrādājumiem un pēc izmantošanas mērķa līdzīgiem produktiem</w:t>
            </w:r>
          </w:p>
        </w:tc>
        <w:tc>
          <w:tcPr>
            <w:tcW w:w="1191" w:type="dxa"/>
            <w:tcBorders>
              <w:top w:val="nil"/>
              <w:left w:val="nil"/>
              <w:bottom w:val="single" w:sz="4" w:space="0" w:color="auto"/>
              <w:right w:val="single" w:sz="4" w:space="0" w:color="auto"/>
            </w:tcBorders>
            <w:vAlign w:val="center"/>
            <w:hideMark/>
          </w:tcPr>
          <w:p w14:paraId="11570D58"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AN</w:t>
            </w:r>
          </w:p>
        </w:tc>
        <w:tc>
          <w:tcPr>
            <w:tcW w:w="1276" w:type="dxa"/>
            <w:tcBorders>
              <w:top w:val="nil"/>
              <w:left w:val="nil"/>
              <w:bottom w:val="single" w:sz="4" w:space="0" w:color="auto"/>
              <w:right w:val="single" w:sz="4" w:space="0" w:color="auto"/>
            </w:tcBorders>
            <w:vAlign w:val="center"/>
            <w:hideMark/>
          </w:tcPr>
          <w:p w14:paraId="53A7A9EE"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622EFBCE"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5,2</w:t>
            </w:r>
          </w:p>
        </w:tc>
        <w:tc>
          <w:tcPr>
            <w:tcW w:w="908" w:type="dxa"/>
            <w:tcBorders>
              <w:top w:val="nil"/>
              <w:left w:val="nil"/>
              <w:bottom w:val="single" w:sz="4" w:space="0" w:color="auto"/>
              <w:right w:val="single" w:sz="4" w:space="0" w:color="auto"/>
            </w:tcBorders>
            <w:noWrap/>
            <w:vAlign w:val="center"/>
            <w:hideMark/>
          </w:tcPr>
          <w:p w14:paraId="3F7F00B4"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9,6</w:t>
            </w:r>
          </w:p>
        </w:tc>
        <w:tc>
          <w:tcPr>
            <w:tcW w:w="908" w:type="dxa"/>
            <w:tcBorders>
              <w:top w:val="nil"/>
              <w:left w:val="nil"/>
              <w:bottom w:val="single" w:sz="4" w:space="0" w:color="auto"/>
              <w:right w:val="single" w:sz="4" w:space="0" w:color="auto"/>
            </w:tcBorders>
            <w:noWrap/>
            <w:vAlign w:val="center"/>
            <w:hideMark/>
          </w:tcPr>
          <w:p w14:paraId="064ABE54"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20,4</w:t>
            </w:r>
          </w:p>
        </w:tc>
      </w:tr>
      <w:tr w:rsidR="008E12E9" w:rsidRPr="008E12E9" w14:paraId="32792828"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15CE8DB5"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center"/>
            <w:hideMark/>
          </w:tcPr>
          <w:p w14:paraId="301F0B55"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AN paaugstināšana bezalkoholiskajiem dzērieniem</w:t>
            </w:r>
          </w:p>
        </w:tc>
        <w:tc>
          <w:tcPr>
            <w:tcW w:w="1191" w:type="dxa"/>
            <w:tcBorders>
              <w:top w:val="nil"/>
              <w:left w:val="nil"/>
              <w:bottom w:val="single" w:sz="4" w:space="0" w:color="auto"/>
              <w:right w:val="single" w:sz="4" w:space="0" w:color="auto"/>
            </w:tcBorders>
            <w:vAlign w:val="center"/>
            <w:hideMark/>
          </w:tcPr>
          <w:p w14:paraId="320286A9"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AN</w:t>
            </w:r>
          </w:p>
        </w:tc>
        <w:tc>
          <w:tcPr>
            <w:tcW w:w="1276" w:type="dxa"/>
            <w:tcBorders>
              <w:top w:val="nil"/>
              <w:left w:val="nil"/>
              <w:bottom w:val="single" w:sz="4" w:space="0" w:color="auto"/>
              <w:right w:val="single" w:sz="4" w:space="0" w:color="auto"/>
            </w:tcBorders>
            <w:vAlign w:val="center"/>
            <w:hideMark/>
          </w:tcPr>
          <w:p w14:paraId="25F4BF83"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3963CE52"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c>
          <w:tcPr>
            <w:tcW w:w="908" w:type="dxa"/>
            <w:tcBorders>
              <w:top w:val="nil"/>
              <w:left w:val="nil"/>
              <w:bottom w:val="single" w:sz="4" w:space="0" w:color="auto"/>
              <w:right w:val="single" w:sz="4" w:space="0" w:color="auto"/>
            </w:tcBorders>
            <w:noWrap/>
            <w:vAlign w:val="center"/>
            <w:hideMark/>
          </w:tcPr>
          <w:p w14:paraId="44EEEF70"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0,0</w:t>
            </w:r>
          </w:p>
        </w:tc>
        <w:tc>
          <w:tcPr>
            <w:tcW w:w="908" w:type="dxa"/>
            <w:tcBorders>
              <w:top w:val="nil"/>
              <w:left w:val="nil"/>
              <w:bottom w:val="single" w:sz="4" w:space="0" w:color="auto"/>
              <w:right w:val="single" w:sz="4" w:space="0" w:color="auto"/>
            </w:tcBorders>
            <w:noWrap/>
            <w:vAlign w:val="center"/>
            <w:hideMark/>
          </w:tcPr>
          <w:p w14:paraId="1D6478C0"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2,0</w:t>
            </w:r>
          </w:p>
        </w:tc>
      </w:tr>
      <w:tr w:rsidR="008E12E9" w:rsidRPr="008E12E9" w14:paraId="19BBBE30"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6D06482A" w14:textId="77777777" w:rsidR="008E12E9" w:rsidRPr="001542B6" w:rsidRDefault="008E12E9" w:rsidP="008E12E9">
            <w:pPr>
              <w:spacing w:after="0"/>
              <w:ind w:firstLine="0"/>
              <w:jc w:val="left"/>
              <w:rPr>
                <w:rFonts w:eastAsia="Times New Roman" w:cs="Times New Roman"/>
                <w:color w:val="000000"/>
                <w:sz w:val="18"/>
                <w:szCs w:val="18"/>
              </w:rPr>
            </w:pPr>
          </w:p>
        </w:tc>
        <w:tc>
          <w:tcPr>
            <w:tcW w:w="5189" w:type="dxa"/>
            <w:gridSpan w:val="3"/>
            <w:tcBorders>
              <w:top w:val="single" w:sz="4" w:space="0" w:color="auto"/>
              <w:left w:val="nil"/>
              <w:bottom w:val="single" w:sz="4" w:space="0" w:color="auto"/>
              <w:right w:val="single" w:sz="4" w:space="0" w:color="auto"/>
            </w:tcBorders>
            <w:shd w:val="clear" w:color="auto" w:fill="DEEAF6" w:themeFill="accent1" w:themeFillTint="33"/>
            <w:vAlign w:val="center"/>
            <w:hideMark/>
          </w:tcPr>
          <w:p w14:paraId="250B77F5" w14:textId="77777777" w:rsidR="008E12E9" w:rsidRPr="001542B6" w:rsidRDefault="008E12E9" w:rsidP="008E12E9">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Kopā AN</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4405BFDB"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6,2</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2B9E03D6"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9,9</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6805E2F6"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25,2</w:t>
            </w:r>
          </w:p>
        </w:tc>
      </w:tr>
      <w:tr w:rsidR="008E12E9" w:rsidRPr="008E12E9" w14:paraId="1D8AB644" w14:textId="77777777" w:rsidTr="001542B6">
        <w:trPr>
          <w:trHeight w:val="290"/>
          <w:jc w:val="center"/>
        </w:trPr>
        <w:tc>
          <w:tcPr>
            <w:tcW w:w="1159" w:type="dxa"/>
            <w:vMerge w:val="restart"/>
            <w:tcBorders>
              <w:top w:val="nil"/>
              <w:left w:val="single" w:sz="4" w:space="0" w:color="auto"/>
              <w:bottom w:val="single" w:sz="4" w:space="0" w:color="auto"/>
              <w:right w:val="single" w:sz="4" w:space="0" w:color="auto"/>
            </w:tcBorders>
            <w:vAlign w:val="center"/>
            <w:hideMark/>
          </w:tcPr>
          <w:p w14:paraId="008D0702"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IIN likmju izmaiņas</w:t>
            </w:r>
          </w:p>
        </w:tc>
        <w:tc>
          <w:tcPr>
            <w:tcW w:w="2722" w:type="dxa"/>
            <w:tcBorders>
              <w:top w:val="nil"/>
              <w:left w:val="nil"/>
              <w:bottom w:val="single" w:sz="4" w:space="0" w:color="auto"/>
              <w:right w:val="single" w:sz="4" w:space="0" w:color="auto"/>
            </w:tcBorders>
            <w:vAlign w:val="center"/>
            <w:hideMark/>
          </w:tcPr>
          <w:p w14:paraId="3D527AF1"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Nodokļu sloga līdzsvarošana investoriem – fiziskām personām</w:t>
            </w:r>
          </w:p>
        </w:tc>
        <w:tc>
          <w:tcPr>
            <w:tcW w:w="1191" w:type="dxa"/>
            <w:tcBorders>
              <w:top w:val="nil"/>
              <w:left w:val="nil"/>
              <w:bottom w:val="single" w:sz="4" w:space="0" w:color="auto"/>
              <w:right w:val="single" w:sz="4" w:space="0" w:color="auto"/>
            </w:tcBorders>
            <w:vAlign w:val="center"/>
            <w:hideMark/>
          </w:tcPr>
          <w:p w14:paraId="204357A1"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IIN</w:t>
            </w:r>
          </w:p>
        </w:tc>
        <w:tc>
          <w:tcPr>
            <w:tcW w:w="1276" w:type="dxa"/>
            <w:tcBorders>
              <w:top w:val="nil"/>
              <w:left w:val="nil"/>
              <w:bottom w:val="single" w:sz="4" w:space="0" w:color="auto"/>
              <w:right w:val="single" w:sz="4" w:space="0" w:color="auto"/>
            </w:tcBorders>
            <w:vAlign w:val="center"/>
            <w:hideMark/>
          </w:tcPr>
          <w:p w14:paraId="528585E4"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676E63D4"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0,4</w:t>
            </w:r>
          </w:p>
        </w:tc>
        <w:tc>
          <w:tcPr>
            <w:tcW w:w="908" w:type="dxa"/>
            <w:tcBorders>
              <w:top w:val="nil"/>
              <w:left w:val="nil"/>
              <w:bottom w:val="single" w:sz="4" w:space="0" w:color="auto"/>
              <w:right w:val="single" w:sz="4" w:space="0" w:color="auto"/>
            </w:tcBorders>
            <w:noWrap/>
            <w:vAlign w:val="center"/>
            <w:hideMark/>
          </w:tcPr>
          <w:p w14:paraId="10F89A5B"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0,4</w:t>
            </w:r>
          </w:p>
        </w:tc>
        <w:tc>
          <w:tcPr>
            <w:tcW w:w="908" w:type="dxa"/>
            <w:tcBorders>
              <w:top w:val="nil"/>
              <w:left w:val="nil"/>
              <w:bottom w:val="single" w:sz="4" w:space="0" w:color="auto"/>
              <w:right w:val="single" w:sz="4" w:space="0" w:color="auto"/>
            </w:tcBorders>
            <w:noWrap/>
            <w:vAlign w:val="center"/>
            <w:hideMark/>
          </w:tcPr>
          <w:p w14:paraId="2C463C79" w14:textId="77777777" w:rsidR="008E12E9" w:rsidRPr="001542B6" w:rsidRDefault="008E12E9" w:rsidP="008E12E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0,4</w:t>
            </w:r>
          </w:p>
        </w:tc>
      </w:tr>
      <w:tr w:rsidR="008E12E9" w:rsidRPr="008E12E9" w14:paraId="10D54F4A" w14:textId="77777777" w:rsidTr="001542B6">
        <w:trPr>
          <w:trHeight w:val="300"/>
          <w:jc w:val="center"/>
        </w:trPr>
        <w:tc>
          <w:tcPr>
            <w:tcW w:w="1159" w:type="dxa"/>
            <w:vMerge/>
            <w:tcBorders>
              <w:top w:val="nil"/>
              <w:left w:val="single" w:sz="4" w:space="0" w:color="auto"/>
              <w:bottom w:val="single" w:sz="4" w:space="0" w:color="auto"/>
              <w:right w:val="single" w:sz="4" w:space="0" w:color="auto"/>
            </w:tcBorders>
            <w:vAlign w:val="center"/>
            <w:hideMark/>
          </w:tcPr>
          <w:p w14:paraId="6D7F0D0B" w14:textId="77777777" w:rsidR="008E12E9" w:rsidRPr="001542B6" w:rsidRDefault="008E12E9" w:rsidP="001542B6">
            <w:pPr>
              <w:spacing w:after="0"/>
              <w:ind w:firstLine="0"/>
              <w:jc w:val="right"/>
              <w:rPr>
                <w:rFonts w:eastAsia="Times New Roman" w:cs="Times New Roman"/>
                <w:color w:val="000000"/>
                <w:sz w:val="18"/>
                <w:szCs w:val="18"/>
              </w:rPr>
            </w:pPr>
          </w:p>
        </w:tc>
        <w:tc>
          <w:tcPr>
            <w:tcW w:w="5189" w:type="dxa"/>
            <w:gridSpan w:val="3"/>
            <w:tcBorders>
              <w:top w:val="single" w:sz="4" w:space="0" w:color="auto"/>
              <w:left w:val="nil"/>
              <w:bottom w:val="single" w:sz="4" w:space="0" w:color="auto"/>
              <w:right w:val="single" w:sz="4" w:space="0" w:color="auto"/>
            </w:tcBorders>
            <w:shd w:val="clear" w:color="auto" w:fill="DEEAF6" w:themeFill="accent1" w:themeFillTint="33"/>
            <w:vAlign w:val="center"/>
            <w:hideMark/>
          </w:tcPr>
          <w:p w14:paraId="3E243DA2" w14:textId="77777777" w:rsidR="008E12E9" w:rsidRPr="001542B6" w:rsidRDefault="008E12E9" w:rsidP="009638A2">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Kopā IIN</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0F5D3337" w14:textId="77777777" w:rsidR="008E12E9" w:rsidRPr="001542B6" w:rsidRDefault="008E12E9" w:rsidP="009638A2">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0,4</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058283C6" w14:textId="77777777" w:rsidR="008E12E9" w:rsidRPr="001542B6" w:rsidRDefault="008E12E9" w:rsidP="009638A2">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0,4</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7B05FEA5" w14:textId="77777777" w:rsidR="008E12E9" w:rsidRPr="001542B6" w:rsidRDefault="008E12E9" w:rsidP="009638A2">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0,4</w:t>
            </w:r>
          </w:p>
        </w:tc>
      </w:tr>
      <w:tr w:rsidR="00005C1A" w:rsidRPr="008E12E9" w14:paraId="52055609" w14:textId="77777777" w:rsidTr="001542B6">
        <w:trPr>
          <w:trHeight w:val="290"/>
          <w:jc w:val="center"/>
        </w:trPr>
        <w:tc>
          <w:tcPr>
            <w:tcW w:w="6348"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16474C82" w14:textId="77777777" w:rsidR="008E12E9" w:rsidRPr="001542B6" w:rsidRDefault="008E12E9" w:rsidP="009638A2">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Kompensējošie pasākumi kopā</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484EC1EF" w14:textId="64600D78" w:rsidR="008E12E9" w:rsidRPr="001542B6" w:rsidRDefault="000B0C11"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82,9</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1072DC32" w14:textId="47EA4C7A" w:rsidR="008E12E9" w:rsidRPr="001542B6" w:rsidRDefault="000B0C11"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121,7</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217632FF" w14:textId="155530F2" w:rsidR="008E12E9" w:rsidRPr="001542B6" w:rsidRDefault="000B0C11"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148,3</w:t>
            </w:r>
          </w:p>
        </w:tc>
      </w:tr>
      <w:tr w:rsidR="008E12E9" w:rsidRPr="008E12E9" w14:paraId="0EC53998" w14:textId="77777777" w:rsidTr="001542B6">
        <w:trPr>
          <w:trHeight w:val="290"/>
          <w:jc w:val="center"/>
        </w:trPr>
        <w:tc>
          <w:tcPr>
            <w:tcW w:w="9072" w:type="dxa"/>
            <w:gridSpan w:val="7"/>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bottom"/>
            <w:hideMark/>
          </w:tcPr>
          <w:p w14:paraId="6533C97A" w14:textId="77777777" w:rsidR="008E12E9" w:rsidRPr="001542B6" w:rsidRDefault="008E12E9" w:rsidP="008E12E9">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Fiskāli neitrālie pasākumi</w:t>
            </w:r>
          </w:p>
        </w:tc>
      </w:tr>
      <w:tr w:rsidR="008E12E9" w:rsidRPr="008E12E9" w14:paraId="1BDD5E29" w14:textId="77777777" w:rsidTr="001542B6">
        <w:trPr>
          <w:trHeight w:val="290"/>
          <w:jc w:val="center"/>
        </w:trPr>
        <w:tc>
          <w:tcPr>
            <w:tcW w:w="1159" w:type="dxa"/>
            <w:vMerge w:val="restart"/>
            <w:tcBorders>
              <w:top w:val="nil"/>
              <w:left w:val="single" w:sz="4" w:space="0" w:color="auto"/>
              <w:bottom w:val="single" w:sz="4" w:space="0" w:color="auto"/>
              <w:right w:val="single" w:sz="4" w:space="0" w:color="auto"/>
            </w:tcBorders>
            <w:noWrap/>
            <w:vAlign w:val="center"/>
            <w:hideMark/>
          </w:tcPr>
          <w:p w14:paraId="3F3F41C1"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w:t>
            </w:r>
          </w:p>
        </w:tc>
        <w:tc>
          <w:tcPr>
            <w:tcW w:w="2722" w:type="dxa"/>
            <w:tcBorders>
              <w:top w:val="nil"/>
              <w:left w:val="nil"/>
              <w:bottom w:val="single" w:sz="4" w:space="0" w:color="auto"/>
              <w:right w:val="single" w:sz="4" w:space="0" w:color="auto"/>
            </w:tcBorders>
            <w:vAlign w:val="bottom"/>
            <w:hideMark/>
          </w:tcPr>
          <w:p w14:paraId="78CA522A"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Ieņēmumu palielināšana no naudas sodiem, ko uzliek Valsts robežsardze</w:t>
            </w:r>
          </w:p>
        </w:tc>
        <w:tc>
          <w:tcPr>
            <w:tcW w:w="1191" w:type="dxa"/>
            <w:tcBorders>
              <w:top w:val="nil"/>
              <w:left w:val="nil"/>
              <w:bottom w:val="single" w:sz="4" w:space="0" w:color="auto"/>
              <w:right w:val="single" w:sz="4" w:space="0" w:color="auto"/>
            </w:tcBorders>
            <w:noWrap/>
            <w:vAlign w:val="center"/>
            <w:hideMark/>
          </w:tcPr>
          <w:p w14:paraId="04BF1949"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Nenodokļi</w:t>
            </w:r>
          </w:p>
        </w:tc>
        <w:tc>
          <w:tcPr>
            <w:tcW w:w="1276" w:type="dxa"/>
            <w:tcBorders>
              <w:top w:val="nil"/>
              <w:left w:val="nil"/>
              <w:bottom w:val="single" w:sz="4" w:space="0" w:color="auto"/>
              <w:right w:val="single" w:sz="4" w:space="0" w:color="auto"/>
            </w:tcBorders>
            <w:vAlign w:val="center"/>
            <w:hideMark/>
          </w:tcPr>
          <w:p w14:paraId="3239BB18"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Ne-diskrecionāri</w:t>
            </w:r>
          </w:p>
        </w:tc>
        <w:tc>
          <w:tcPr>
            <w:tcW w:w="908" w:type="dxa"/>
            <w:tcBorders>
              <w:top w:val="nil"/>
              <w:left w:val="nil"/>
              <w:bottom w:val="single" w:sz="4" w:space="0" w:color="auto"/>
              <w:right w:val="single" w:sz="4" w:space="0" w:color="auto"/>
            </w:tcBorders>
            <w:noWrap/>
            <w:vAlign w:val="center"/>
            <w:hideMark/>
          </w:tcPr>
          <w:p w14:paraId="6BCB5CAF"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0,1</w:t>
            </w:r>
          </w:p>
        </w:tc>
        <w:tc>
          <w:tcPr>
            <w:tcW w:w="908" w:type="dxa"/>
            <w:tcBorders>
              <w:top w:val="nil"/>
              <w:left w:val="nil"/>
              <w:bottom w:val="single" w:sz="4" w:space="0" w:color="auto"/>
              <w:right w:val="single" w:sz="4" w:space="0" w:color="auto"/>
            </w:tcBorders>
            <w:noWrap/>
            <w:vAlign w:val="center"/>
            <w:hideMark/>
          </w:tcPr>
          <w:p w14:paraId="73AFA506"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0,1</w:t>
            </w:r>
          </w:p>
        </w:tc>
        <w:tc>
          <w:tcPr>
            <w:tcW w:w="908" w:type="dxa"/>
            <w:tcBorders>
              <w:top w:val="nil"/>
              <w:left w:val="nil"/>
              <w:bottom w:val="single" w:sz="4" w:space="0" w:color="auto"/>
              <w:right w:val="single" w:sz="4" w:space="0" w:color="auto"/>
            </w:tcBorders>
            <w:noWrap/>
            <w:vAlign w:val="center"/>
            <w:hideMark/>
          </w:tcPr>
          <w:p w14:paraId="345AD656"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0,1</w:t>
            </w:r>
          </w:p>
        </w:tc>
      </w:tr>
      <w:tr w:rsidR="008E12E9" w:rsidRPr="008E12E9" w14:paraId="6D6966D1" w14:textId="77777777" w:rsidTr="001542B6">
        <w:trPr>
          <w:trHeight w:val="530"/>
          <w:jc w:val="center"/>
        </w:trPr>
        <w:tc>
          <w:tcPr>
            <w:tcW w:w="1159" w:type="dxa"/>
            <w:vMerge/>
            <w:tcBorders>
              <w:top w:val="nil"/>
              <w:left w:val="single" w:sz="4" w:space="0" w:color="auto"/>
              <w:bottom w:val="single" w:sz="4" w:space="0" w:color="auto"/>
              <w:right w:val="single" w:sz="4" w:space="0" w:color="auto"/>
            </w:tcBorders>
            <w:vAlign w:val="center"/>
            <w:hideMark/>
          </w:tcPr>
          <w:p w14:paraId="16721839"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bottom"/>
            <w:hideMark/>
          </w:tcPr>
          <w:p w14:paraId="32180791" w14:textId="77777777" w:rsidR="008E12E9" w:rsidRPr="001542B6" w:rsidRDefault="008E12E9" w:rsidP="008E12E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Ieņēmumu palielināšana no valstij piekritīgās mantas realizācijas pēc citu valsts institūciju pieņemtā lēmuma</w:t>
            </w:r>
          </w:p>
        </w:tc>
        <w:tc>
          <w:tcPr>
            <w:tcW w:w="1191" w:type="dxa"/>
            <w:tcBorders>
              <w:top w:val="nil"/>
              <w:left w:val="nil"/>
              <w:bottom w:val="single" w:sz="4" w:space="0" w:color="auto"/>
              <w:right w:val="single" w:sz="4" w:space="0" w:color="auto"/>
            </w:tcBorders>
            <w:noWrap/>
            <w:vAlign w:val="center"/>
            <w:hideMark/>
          </w:tcPr>
          <w:p w14:paraId="5EE71CBE"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Nenodokļi</w:t>
            </w:r>
          </w:p>
        </w:tc>
        <w:tc>
          <w:tcPr>
            <w:tcW w:w="1276" w:type="dxa"/>
            <w:tcBorders>
              <w:top w:val="nil"/>
              <w:left w:val="nil"/>
              <w:bottom w:val="single" w:sz="4" w:space="0" w:color="auto"/>
              <w:right w:val="single" w:sz="4" w:space="0" w:color="auto"/>
            </w:tcBorders>
            <w:vAlign w:val="center"/>
            <w:hideMark/>
          </w:tcPr>
          <w:p w14:paraId="63468168"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Ne-diskrecionāri</w:t>
            </w:r>
          </w:p>
        </w:tc>
        <w:tc>
          <w:tcPr>
            <w:tcW w:w="908" w:type="dxa"/>
            <w:tcBorders>
              <w:top w:val="nil"/>
              <w:left w:val="nil"/>
              <w:bottom w:val="single" w:sz="4" w:space="0" w:color="auto"/>
              <w:right w:val="single" w:sz="4" w:space="0" w:color="auto"/>
            </w:tcBorders>
            <w:noWrap/>
            <w:vAlign w:val="center"/>
            <w:hideMark/>
          </w:tcPr>
          <w:p w14:paraId="22DF7190"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0,1</w:t>
            </w:r>
          </w:p>
        </w:tc>
        <w:tc>
          <w:tcPr>
            <w:tcW w:w="908" w:type="dxa"/>
            <w:tcBorders>
              <w:top w:val="nil"/>
              <w:left w:val="nil"/>
              <w:bottom w:val="single" w:sz="4" w:space="0" w:color="auto"/>
              <w:right w:val="single" w:sz="4" w:space="0" w:color="auto"/>
            </w:tcBorders>
            <w:noWrap/>
            <w:vAlign w:val="center"/>
            <w:hideMark/>
          </w:tcPr>
          <w:p w14:paraId="711461AC"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0,1</w:t>
            </w:r>
          </w:p>
        </w:tc>
        <w:tc>
          <w:tcPr>
            <w:tcW w:w="908" w:type="dxa"/>
            <w:tcBorders>
              <w:top w:val="nil"/>
              <w:left w:val="nil"/>
              <w:bottom w:val="single" w:sz="4" w:space="0" w:color="auto"/>
              <w:right w:val="single" w:sz="4" w:space="0" w:color="auto"/>
            </w:tcBorders>
            <w:noWrap/>
            <w:vAlign w:val="center"/>
            <w:hideMark/>
          </w:tcPr>
          <w:p w14:paraId="35F404D0"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0,1</w:t>
            </w:r>
          </w:p>
        </w:tc>
      </w:tr>
      <w:tr w:rsidR="009638A2" w:rsidRPr="008E12E9" w14:paraId="04C54355" w14:textId="77777777" w:rsidTr="006F08FA">
        <w:trPr>
          <w:trHeight w:val="530"/>
          <w:jc w:val="center"/>
        </w:trPr>
        <w:tc>
          <w:tcPr>
            <w:tcW w:w="1159" w:type="dxa"/>
            <w:vMerge/>
            <w:tcBorders>
              <w:top w:val="nil"/>
              <w:left w:val="single" w:sz="4" w:space="0" w:color="auto"/>
              <w:bottom w:val="single" w:sz="4" w:space="0" w:color="auto"/>
              <w:right w:val="single" w:sz="4" w:space="0" w:color="auto"/>
            </w:tcBorders>
            <w:vAlign w:val="center"/>
          </w:tcPr>
          <w:p w14:paraId="4EA8D031" w14:textId="77777777" w:rsidR="009638A2" w:rsidRPr="009638A2" w:rsidRDefault="009638A2"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bottom"/>
          </w:tcPr>
          <w:p w14:paraId="3D47CA55" w14:textId="5FE79BAC" w:rsidR="009638A2" w:rsidRPr="009638A2" w:rsidRDefault="009638A2" w:rsidP="008E12E9">
            <w:pPr>
              <w:spacing w:after="0"/>
              <w:ind w:firstLine="0"/>
              <w:jc w:val="left"/>
              <w:rPr>
                <w:rFonts w:eastAsia="Times New Roman" w:cs="Times New Roman"/>
                <w:color w:val="000000"/>
                <w:sz w:val="18"/>
                <w:szCs w:val="18"/>
              </w:rPr>
            </w:pPr>
            <w:r>
              <w:rPr>
                <w:rFonts w:eastAsia="Times New Roman" w:cs="Times New Roman"/>
                <w:color w:val="000000"/>
                <w:sz w:val="18"/>
                <w:szCs w:val="18"/>
              </w:rPr>
              <w:t>Ieņēmumi no naudas sodiem, kas fiksēti ar komersanta tehniskajiem līdzekļiem</w:t>
            </w:r>
          </w:p>
        </w:tc>
        <w:tc>
          <w:tcPr>
            <w:tcW w:w="1191" w:type="dxa"/>
            <w:tcBorders>
              <w:top w:val="nil"/>
              <w:left w:val="nil"/>
              <w:bottom w:val="single" w:sz="4" w:space="0" w:color="auto"/>
              <w:right w:val="single" w:sz="4" w:space="0" w:color="auto"/>
            </w:tcBorders>
            <w:noWrap/>
            <w:vAlign w:val="center"/>
          </w:tcPr>
          <w:p w14:paraId="0629F341" w14:textId="3CCE24E8" w:rsidR="009638A2" w:rsidRPr="009638A2" w:rsidRDefault="009638A2" w:rsidP="00005C1A">
            <w:pPr>
              <w:spacing w:after="0"/>
              <w:ind w:firstLine="0"/>
              <w:jc w:val="center"/>
              <w:rPr>
                <w:rFonts w:eastAsia="Times New Roman" w:cs="Times New Roman"/>
                <w:color w:val="000000"/>
                <w:sz w:val="18"/>
                <w:szCs w:val="18"/>
              </w:rPr>
            </w:pPr>
            <w:r>
              <w:rPr>
                <w:rFonts w:eastAsia="Times New Roman" w:cs="Times New Roman"/>
                <w:color w:val="000000"/>
                <w:sz w:val="18"/>
                <w:szCs w:val="18"/>
              </w:rPr>
              <w:t>Nenodokļi</w:t>
            </w:r>
          </w:p>
        </w:tc>
        <w:tc>
          <w:tcPr>
            <w:tcW w:w="1276" w:type="dxa"/>
            <w:tcBorders>
              <w:top w:val="nil"/>
              <w:left w:val="nil"/>
              <w:bottom w:val="single" w:sz="4" w:space="0" w:color="auto"/>
              <w:right w:val="single" w:sz="4" w:space="0" w:color="auto"/>
            </w:tcBorders>
            <w:vAlign w:val="center"/>
          </w:tcPr>
          <w:p w14:paraId="1265A5F6" w14:textId="4FB53699" w:rsidR="009638A2" w:rsidRPr="009638A2" w:rsidRDefault="009638A2" w:rsidP="00005C1A">
            <w:pPr>
              <w:spacing w:after="0"/>
              <w:ind w:firstLine="0"/>
              <w:jc w:val="center"/>
              <w:rPr>
                <w:rFonts w:eastAsia="Times New Roman" w:cs="Times New Roman"/>
                <w:color w:val="000000"/>
                <w:sz w:val="18"/>
                <w:szCs w:val="18"/>
              </w:rPr>
            </w:pPr>
            <w:r>
              <w:rPr>
                <w:rFonts w:eastAsia="Times New Roman" w:cs="Times New Roman"/>
                <w:color w:val="000000"/>
                <w:sz w:val="18"/>
                <w:szCs w:val="18"/>
              </w:rPr>
              <w:t>Daļēji diskrecionāri</w:t>
            </w:r>
          </w:p>
        </w:tc>
        <w:tc>
          <w:tcPr>
            <w:tcW w:w="908" w:type="dxa"/>
            <w:tcBorders>
              <w:top w:val="nil"/>
              <w:left w:val="nil"/>
              <w:bottom w:val="single" w:sz="4" w:space="0" w:color="auto"/>
              <w:right w:val="single" w:sz="4" w:space="0" w:color="auto"/>
            </w:tcBorders>
            <w:noWrap/>
            <w:vAlign w:val="center"/>
          </w:tcPr>
          <w:p w14:paraId="609C7B53" w14:textId="3DCB3915" w:rsidR="009638A2" w:rsidRPr="009638A2" w:rsidRDefault="009638A2" w:rsidP="00005C1A">
            <w:pPr>
              <w:spacing w:after="0"/>
              <w:ind w:firstLine="0"/>
              <w:jc w:val="center"/>
              <w:rPr>
                <w:rFonts w:eastAsia="Times New Roman" w:cs="Times New Roman"/>
                <w:color w:val="000000"/>
                <w:sz w:val="18"/>
                <w:szCs w:val="18"/>
              </w:rPr>
            </w:pPr>
            <w:r>
              <w:rPr>
                <w:rFonts w:eastAsia="Times New Roman" w:cs="Times New Roman"/>
                <w:color w:val="000000"/>
                <w:sz w:val="18"/>
                <w:szCs w:val="18"/>
              </w:rPr>
              <w:t>3,8</w:t>
            </w:r>
          </w:p>
        </w:tc>
        <w:tc>
          <w:tcPr>
            <w:tcW w:w="908" w:type="dxa"/>
            <w:tcBorders>
              <w:top w:val="nil"/>
              <w:left w:val="nil"/>
              <w:bottom w:val="single" w:sz="4" w:space="0" w:color="auto"/>
              <w:right w:val="single" w:sz="4" w:space="0" w:color="auto"/>
            </w:tcBorders>
            <w:noWrap/>
            <w:vAlign w:val="center"/>
          </w:tcPr>
          <w:p w14:paraId="6E33F864" w14:textId="16711F55" w:rsidR="009638A2" w:rsidRPr="009638A2" w:rsidRDefault="009638A2" w:rsidP="00005C1A">
            <w:pPr>
              <w:spacing w:after="0"/>
              <w:ind w:firstLine="0"/>
              <w:jc w:val="center"/>
              <w:rPr>
                <w:rFonts w:eastAsia="Times New Roman" w:cs="Times New Roman"/>
                <w:color w:val="000000"/>
                <w:sz w:val="18"/>
                <w:szCs w:val="18"/>
              </w:rPr>
            </w:pPr>
            <w:r>
              <w:rPr>
                <w:rFonts w:eastAsia="Times New Roman" w:cs="Times New Roman"/>
                <w:color w:val="000000"/>
                <w:sz w:val="18"/>
                <w:szCs w:val="18"/>
              </w:rPr>
              <w:t>6,4</w:t>
            </w:r>
          </w:p>
        </w:tc>
        <w:tc>
          <w:tcPr>
            <w:tcW w:w="908" w:type="dxa"/>
            <w:tcBorders>
              <w:top w:val="nil"/>
              <w:left w:val="nil"/>
              <w:bottom w:val="single" w:sz="4" w:space="0" w:color="auto"/>
              <w:right w:val="single" w:sz="4" w:space="0" w:color="auto"/>
            </w:tcBorders>
            <w:noWrap/>
            <w:vAlign w:val="center"/>
          </w:tcPr>
          <w:p w14:paraId="5ACCFAFB" w14:textId="13201F28" w:rsidR="009638A2" w:rsidRPr="009638A2" w:rsidRDefault="009638A2" w:rsidP="00005C1A">
            <w:pPr>
              <w:spacing w:after="0"/>
              <w:ind w:firstLine="0"/>
              <w:jc w:val="center"/>
              <w:rPr>
                <w:rFonts w:eastAsia="Times New Roman" w:cs="Times New Roman"/>
                <w:color w:val="000000"/>
                <w:sz w:val="18"/>
                <w:szCs w:val="18"/>
              </w:rPr>
            </w:pPr>
            <w:r>
              <w:rPr>
                <w:rFonts w:eastAsia="Times New Roman" w:cs="Times New Roman"/>
                <w:color w:val="000000"/>
                <w:sz w:val="18"/>
                <w:szCs w:val="18"/>
              </w:rPr>
              <w:t>6,4</w:t>
            </w:r>
          </w:p>
        </w:tc>
      </w:tr>
      <w:tr w:rsidR="008E12E9" w:rsidRPr="008E12E9" w14:paraId="0E2F2B8F" w14:textId="77777777" w:rsidTr="001542B6">
        <w:trPr>
          <w:trHeight w:val="530"/>
          <w:jc w:val="center"/>
        </w:trPr>
        <w:tc>
          <w:tcPr>
            <w:tcW w:w="1159" w:type="dxa"/>
            <w:vMerge/>
            <w:tcBorders>
              <w:top w:val="nil"/>
              <w:left w:val="single" w:sz="4" w:space="0" w:color="auto"/>
              <w:bottom w:val="single" w:sz="4" w:space="0" w:color="auto"/>
              <w:right w:val="single" w:sz="4" w:space="0" w:color="auto"/>
            </w:tcBorders>
            <w:vAlign w:val="center"/>
            <w:hideMark/>
          </w:tcPr>
          <w:p w14:paraId="7F9A5629" w14:textId="77777777" w:rsidR="008E12E9" w:rsidRPr="001542B6" w:rsidRDefault="008E12E9" w:rsidP="008E12E9">
            <w:pPr>
              <w:spacing w:after="0"/>
              <w:ind w:firstLine="0"/>
              <w:jc w:val="left"/>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vAlign w:val="center"/>
            <w:hideMark/>
          </w:tcPr>
          <w:p w14:paraId="5EE85502" w14:textId="2A91CD61" w:rsidR="008E12E9" w:rsidRPr="001542B6" w:rsidRDefault="008E12E9" w:rsidP="009638A2">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 xml:space="preserve">Citi pašu ieņēmumi </w:t>
            </w:r>
          </w:p>
        </w:tc>
        <w:tc>
          <w:tcPr>
            <w:tcW w:w="1191" w:type="dxa"/>
            <w:tcBorders>
              <w:top w:val="nil"/>
              <w:left w:val="nil"/>
              <w:bottom w:val="single" w:sz="4" w:space="0" w:color="auto"/>
              <w:right w:val="single" w:sz="4" w:space="0" w:color="auto"/>
            </w:tcBorders>
            <w:noWrap/>
            <w:vAlign w:val="center"/>
            <w:hideMark/>
          </w:tcPr>
          <w:p w14:paraId="12122025"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Maksas pakalpojumi</w:t>
            </w:r>
          </w:p>
        </w:tc>
        <w:tc>
          <w:tcPr>
            <w:tcW w:w="1276" w:type="dxa"/>
            <w:tcBorders>
              <w:top w:val="nil"/>
              <w:left w:val="nil"/>
              <w:bottom w:val="single" w:sz="4" w:space="0" w:color="auto"/>
              <w:right w:val="single" w:sz="4" w:space="0" w:color="auto"/>
            </w:tcBorders>
            <w:vAlign w:val="center"/>
            <w:hideMark/>
          </w:tcPr>
          <w:p w14:paraId="5C67ECED" w14:textId="77777777" w:rsidR="008E12E9" w:rsidRPr="001542B6" w:rsidRDefault="008E12E9" w:rsidP="00005C1A">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Ne-diskrecionāri</w:t>
            </w:r>
          </w:p>
        </w:tc>
        <w:tc>
          <w:tcPr>
            <w:tcW w:w="908" w:type="dxa"/>
            <w:tcBorders>
              <w:top w:val="nil"/>
              <w:left w:val="nil"/>
              <w:bottom w:val="single" w:sz="4" w:space="0" w:color="auto"/>
              <w:right w:val="single" w:sz="4" w:space="0" w:color="auto"/>
            </w:tcBorders>
            <w:noWrap/>
            <w:vAlign w:val="center"/>
            <w:hideMark/>
          </w:tcPr>
          <w:p w14:paraId="19F936DD" w14:textId="6E2DDE10" w:rsidR="008E12E9" w:rsidRPr="001542B6" w:rsidRDefault="009638A2" w:rsidP="00005C1A">
            <w:pPr>
              <w:spacing w:after="0"/>
              <w:ind w:firstLine="0"/>
              <w:jc w:val="center"/>
              <w:rPr>
                <w:rFonts w:eastAsia="Times New Roman" w:cs="Times New Roman"/>
                <w:color w:val="000000"/>
                <w:sz w:val="18"/>
                <w:szCs w:val="18"/>
              </w:rPr>
            </w:pPr>
            <w:r>
              <w:rPr>
                <w:rFonts w:eastAsia="Times New Roman" w:cs="Times New Roman"/>
                <w:color w:val="000000"/>
                <w:sz w:val="18"/>
                <w:szCs w:val="18"/>
              </w:rPr>
              <w:t>5,2</w:t>
            </w:r>
          </w:p>
        </w:tc>
        <w:tc>
          <w:tcPr>
            <w:tcW w:w="908" w:type="dxa"/>
            <w:tcBorders>
              <w:top w:val="nil"/>
              <w:left w:val="nil"/>
              <w:bottom w:val="single" w:sz="4" w:space="0" w:color="auto"/>
              <w:right w:val="single" w:sz="4" w:space="0" w:color="auto"/>
            </w:tcBorders>
            <w:noWrap/>
            <w:vAlign w:val="center"/>
            <w:hideMark/>
          </w:tcPr>
          <w:p w14:paraId="08BA6BF1" w14:textId="10A824EF" w:rsidR="008E12E9" w:rsidRPr="001542B6" w:rsidRDefault="009638A2" w:rsidP="00005C1A">
            <w:pPr>
              <w:spacing w:after="0"/>
              <w:ind w:firstLine="0"/>
              <w:jc w:val="center"/>
              <w:rPr>
                <w:rFonts w:eastAsia="Times New Roman" w:cs="Times New Roman"/>
                <w:color w:val="000000"/>
                <w:sz w:val="18"/>
                <w:szCs w:val="18"/>
              </w:rPr>
            </w:pPr>
            <w:r>
              <w:rPr>
                <w:rFonts w:eastAsia="Times New Roman" w:cs="Times New Roman"/>
                <w:color w:val="000000"/>
                <w:sz w:val="18"/>
                <w:szCs w:val="18"/>
              </w:rPr>
              <w:t>3,9</w:t>
            </w:r>
          </w:p>
        </w:tc>
        <w:tc>
          <w:tcPr>
            <w:tcW w:w="908" w:type="dxa"/>
            <w:tcBorders>
              <w:top w:val="nil"/>
              <w:left w:val="nil"/>
              <w:bottom w:val="single" w:sz="4" w:space="0" w:color="auto"/>
              <w:right w:val="single" w:sz="4" w:space="0" w:color="auto"/>
            </w:tcBorders>
            <w:noWrap/>
            <w:vAlign w:val="center"/>
            <w:hideMark/>
          </w:tcPr>
          <w:p w14:paraId="72CBC41B" w14:textId="43083120" w:rsidR="008E12E9" w:rsidRPr="001542B6" w:rsidRDefault="009638A2" w:rsidP="00005C1A">
            <w:pPr>
              <w:spacing w:after="0"/>
              <w:ind w:firstLine="0"/>
              <w:jc w:val="center"/>
              <w:rPr>
                <w:rFonts w:eastAsia="Times New Roman" w:cs="Times New Roman"/>
                <w:color w:val="000000"/>
                <w:sz w:val="18"/>
                <w:szCs w:val="18"/>
              </w:rPr>
            </w:pPr>
            <w:r>
              <w:rPr>
                <w:rFonts w:eastAsia="Times New Roman" w:cs="Times New Roman"/>
                <w:color w:val="000000"/>
                <w:sz w:val="18"/>
                <w:szCs w:val="18"/>
              </w:rPr>
              <w:t>3,9</w:t>
            </w:r>
          </w:p>
        </w:tc>
      </w:tr>
      <w:tr w:rsidR="00005C1A" w:rsidRPr="008E12E9" w14:paraId="11C777A8" w14:textId="77777777" w:rsidTr="001542B6">
        <w:trPr>
          <w:trHeight w:val="290"/>
          <w:jc w:val="center"/>
        </w:trPr>
        <w:tc>
          <w:tcPr>
            <w:tcW w:w="1159" w:type="dxa"/>
            <w:vMerge/>
            <w:tcBorders>
              <w:top w:val="nil"/>
              <w:left w:val="single" w:sz="4" w:space="0" w:color="auto"/>
              <w:bottom w:val="single" w:sz="4" w:space="0" w:color="auto"/>
              <w:right w:val="single" w:sz="4" w:space="0" w:color="auto"/>
            </w:tcBorders>
            <w:vAlign w:val="center"/>
            <w:hideMark/>
          </w:tcPr>
          <w:p w14:paraId="42A6C838" w14:textId="77777777" w:rsidR="008E12E9" w:rsidRPr="001542B6" w:rsidRDefault="008E12E9" w:rsidP="001542B6">
            <w:pPr>
              <w:spacing w:after="0"/>
              <w:ind w:firstLine="0"/>
              <w:jc w:val="right"/>
              <w:rPr>
                <w:rFonts w:eastAsia="Times New Roman" w:cs="Times New Roman"/>
                <w:color w:val="000000"/>
                <w:sz w:val="18"/>
                <w:szCs w:val="18"/>
              </w:rPr>
            </w:pPr>
          </w:p>
        </w:tc>
        <w:tc>
          <w:tcPr>
            <w:tcW w:w="5189" w:type="dxa"/>
            <w:gridSpan w:val="3"/>
            <w:tcBorders>
              <w:top w:val="single" w:sz="4" w:space="0" w:color="auto"/>
              <w:left w:val="nil"/>
              <w:bottom w:val="single" w:sz="4" w:space="0" w:color="auto"/>
              <w:right w:val="single" w:sz="4" w:space="0" w:color="auto"/>
            </w:tcBorders>
            <w:shd w:val="clear" w:color="auto" w:fill="DEEAF6" w:themeFill="accent1" w:themeFillTint="33"/>
            <w:noWrap/>
            <w:vAlign w:val="center"/>
            <w:hideMark/>
          </w:tcPr>
          <w:p w14:paraId="135BD9D3" w14:textId="77777777" w:rsidR="008E12E9" w:rsidRPr="001542B6" w:rsidRDefault="008E12E9" w:rsidP="009638A2">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Kopā nenodokļi un maksas pakalpojumi</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45C02016" w14:textId="7A57C74F" w:rsidR="008E12E9" w:rsidRPr="001542B6" w:rsidRDefault="009638A2"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9,2</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769BBAD0" w14:textId="2C75940A" w:rsidR="008E12E9" w:rsidRPr="001542B6" w:rsidRDefault="009638A2"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10,4</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4F5AC110" w14:textId="3BD932CB" w:rsidR="008E12E9" w:rsidRPr="001542B6" w:rsidRDefault="009638A2"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10,4</w:t>
            </w:r>
          </w:p>
        </w:tc>
      </w:tr>
      <w:tr w:rsidR="00005C1A" w:rsidRPr="008E12E9" w14:paraId="4E538CB6" w14:textId="77777777" w:rsidTr="001542B6">
        <w:trPr>
          <w:trHeight w:val="290"/>
          <w:jc w:val="center"/>
        </w:trPr>
        <w:tc>
          <w:tcPr>
            <w:tcW w:w="6348" w:type="dxa"/>
            <w:gridSpan w:val="4"/>
            <w:tcBorders>
              <w:top w:val="single" w:sz="4" w:space="0" w:color="auto"/>
              <w:left w:val="single" w:sz="4" w:space="0" w:color="auto"/>
              <w:bottom w:val="single" w:sz="4" w:space="0" w:color="auto"/>
              <w:right w:val="single" w:sz="4" w:space="0" w:color="000000"/>
            </w:tcBorders>
            <w:shd w:val="clear" w:color="auto" w:fill="DEEAF6" w:themeFill="accent1" w:themeFillTint="33"/>
            <w:noWrap/>
            <w:vAlign w:val="center"/>
            <w:hideMark/>
          </w:tcPr>
          <w:p w14:paraId="7F8652D2" w14:textId="77777777" w:rsidR="008E12E9" w:rsidRPr="001542B6" w:rsidRDefault="008E12E9" w:rsidP="009638A2">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Fiskāli neitrālie pasākumi kopā</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5F24433D" w14:textId="5B7B2A95" w:rsidR="008E12E9" w:rsidRPr="001542B6" w:rsidRDefault="009638A2"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9,2</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0D346C3B" w14:textId="6CD30C01" w:rsidR="008E12E9" w:rsidRPr="001542B6" w:rsidRDefault="009638A2"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10,4</w:t>
            </w:r>
          </w:p>
        </w:tc>
        <w:tc>
          <w:tcPr>
            <w:tcW w:w="908" w:type="dxa"/>
            <w:tcBorders>
              <w:top w:val="nil"/>
              <w:left w:val="nil"/>
              <w:bottom w:val="single" w:sz="4" w:space="0" w:color="auto"/>
              <w:right w:val="single" w:sz="4" w:space="0" w:color="auto"/>
            </w:tcBorders>
            <w:shd w:val="clear" w:color="auto" w:fill="DEEAF6" w:themeFill="accent1" w:themeFillTint="33"/>
            <w:noWrap/>
            <w:vAlign w:val="center"/>
            <w:hideMark/>
          </w:tcPr>
          <w:p w14:paraId="2F28CA95" w14:textId="3E8E57A7" w:rsidR="008E12E9" w:rsidRPr="001542B6" w:rsidRDefault="009638A2"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10,4</w:t>
            </w:r>
          </w:p>
        </w:tc>
      </w:tr>
      <w:tr w:rsidR="008E12E9" w:rsidRPr="008E12E9" w14:paraId="1D058017" w14:textId="77777777" w:rsidTr="001542B6">
        <w:trPr>
          <w:trHeight w:val="290"/>
          <w:jc w:val="center"/>
        </w:trPr>
        <w:tc>
          <w:tcPr>
            <w:tcW w:w="9072" w:type="dxa"/>
            <w:gridSpan w:val="7"/>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bottom"/>
            <w:hideMark/>
          </w:tcPr>
          <w:p w14:paraId="08040376" w14:textId="77777777" w:rsidR="008E12E9" w:rsidRPr="001542B6" w:rsidRDefault="008E12E9" w:rsidP="008E12E9">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EKS korekcijas</w:t>
            </w:r>
          </w:p>
        </w:tc>
      </w:tr>
      <w:tr w:rsidR="008E12E9" w:rsidRPr="008E12E9" w14:paraId="04A727FC" w14:textId="77777777" w:rsidTr="001542B6">
        <w:trPr>
          <w:trHeight w:val="290"/>
          <w:jc w:val="center"/>
        </w:trPr>
        <w:tc>
          <w:tcPr>
            <w:tcW w:w="1159" w:type="dxa"/>
            <w:vMerge w:val="restart"/>
            <w:tcBorders>
              <w:top w:val="nil"/>
              <w:left w:val="single" w:sz="4" w:space="0" w:color="auto"/>
              <w:bottom w:val="single" w:sz="4" w:space="0" w:color="auto"/>
              <w:right w:val="single" w:sz="4" w:space="0" w:color="auto"/>
            </w:tcBorders>
            <w:noWrap/>
            <w:vAlign w:val="center"/>
            <w:hideMark/>
          </w:tcPr>
          <w:p w14:paraId="770FAB00" w14:textId="77777777" w:rsidR="008E12E9" w:rsidRPr="001542B6" w:rsidRDefault="008E12E9" w:rsidP="008E12E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EKS korekcijas</w:t>
            </w:r>
          </w:p>
        </w:tc>
        <w:tc>
          <w:tcPr>
            <w:tcW w:w="2722" w:type="dxa"/>
            <w:tcBorders>
              <w:top w:val="nil"/>
              <w:left w:val="nil"/>
              <w:bottom w:val="single" w:sz="4" w:space="0" w:color="auto"/>
              <w:right w:val="single" w:sz="4" w:space="0" w:color="auto"/>
            </w:tcBorders>
            <w:noWrap/>
            <w:vAlign w:val="center"/>
            <w:hideMark/>
          </w:tcPr>
          <w:p w14:paraId="2F200521" w14:textId="268E997F" w:rsidR="008E12E9" w:rsidRPr="001542B6" w:rsidRDefault="009638A2" w:rsidP="001542B6">
            <w:pPr>
              <w:spacing w:after="0"/>
              <w:ind w:firstLine="0"/>
              <w:jc w:val="left"/>
              <w:rPr>
                <w:rFonts w:eastAsia="Times New Roman" w:cs="Times New Roman"/>
                <w:color w:val="000000"/>
                <w:sz w:val="18"/>
                <w:szCs w:val="18"/>
              </w:rPr>
            </w:pPr>
            <w:r>
              <w:rPr>
                <w:rFonts w:eastAsia="Times New Roman" w:cs="Times New Roman"/>
                <w:color w:val="000000"/>
                <w:sz w:val="18"/>
                <w:szCs w:val="18"/>
              </w:rPr>
              <w:t>PVN un akcīzes EKS korekcijas</w:t>
            </w:r>
          </w:p>
        </w:tc>
        <w:tc>
          <w:tcPr>
            <w:tcW w:w="1191" w:type="dxa"/>
            <w:tcBorders>
              <w:top w:val="nil"/>
              <w:left w:val="nil"/>
              <w:bottom w:val="single" w:sz="4" w:space="0" w:color="auto"/>
              <w:right w:val="single" w:sz="4" w:space="0" w:color="auto"/>
            </w:tcBorders>
            <w:noWrap/>
            <w:vAlign w:val="bottom"/>
            <w:hideMark/>
          </w:tcPr>
          <w:p w14:paraId="7A718CA4" w14:textId="77777777" w:rsidR="008E12E9" w:rsidRPr="001542B6" w:rsidRDefault="008E12E9" w:rsidP="008E12E9">
            <w:pPr>
              <w:spacing w:after="0"/>
              <w:ind w:firstLine="0"/>
              <w:jc w:val="right"/>
              <w:rPr>
                <w:rFonts w:eastAsia="Times New Roman" w:cs="Times New Roman"/>
                <w:color w:val="000000"/>
                <w:sz w:val="18"/>
                <w:szCs w:val="18"/>
              </w:rPr>
            </w:pPr>
            <w:r w:rsidRPr="001542B6">
              <w:rPr>
                <w:rFonts w:eastAsia="Times New Roman" w:cs="Times New Roman"/>
                <w:color w:val="000000"/>
                <w:sz w:val="18"/>
                <w:szCs w:val="18"/>
              </w:rPr>
              <w:t> </w:t>
            </w:r>
          </w:p>
        </w:tc>
        <w:tc>
          <w:tcPr>
            <w:tcW w:w="1276" w:type="dxa"/>
            <w:tcBorders>
              <w:top w:val="nil"/>
              <w:left w:val="nil"/>
              <w:bottom w:val="single" w:sz="4" w:space="0" w:color="auto"/>
              <w:right w:val="single" w:sz="4" w:space="0" w:color="auto"/>
            </w:tcBorders>
            <w:noWrap/>
            <w:vAlign w:val="center"/>
            <w:hideMark/>
          </w:tcPr>
          <w:p w14:paraId="712D5E9F" w14:textId="77777777" w:rsidR="008E12E9" w:rsidRPr="001542B6" w:rsidRDefault="008E12E9" w:rsidP="001542B6">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hideMark/>
          </w:tcPr>
          <w:p w14:paraId="7493DB17" w14:textId="77777777" w:rsidR="008E12E9" w:rsidRPr="001542B6" w:rsidRDefault="008E12E9" w:rsidP="009638A2">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-1,5</w:t>
            </w:r>
          </w:p>
        </w:tc>
        <w:tc>
          <w:tcPr>
            <w:tcW w:w="908" w:type="dxa"/>
            <w:tcBorders>
              <w:top w:val="nil"/>
              <w:left w:val="nil"/>
              <w:bottom w:val="single" w:sz="4" w:space="0" w:color="auto"/>
              <w:right w:val="single" w:sz="4" w:space="0" w:color="auto"/>
            </w:tcBorders>
            <w:noWrap/>
            <w:vAlign w:val="center"/>
            <w:hideMark/>
          </w:tcPr>
          <w:p w14:paraId="6748FFC2" w14:textId="77777777" w:rsidR="008E12E9" w:rsidRPr="001542B6" w:rsidRDefault="008E12E9" w:rsidP="009638A2">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2,6</w:t>
            </w:r>
          </w:p>
        </w:tc>
        <w:tc>
          <w:tcPr>
            <w:tcW w:w="908" w:type="dxa"/>
            <w:tcBorders>
              <w:top w:val="nil"/>
              <w:left w:val="nil"/>
              <w:bottom w:val="single" w:sz="4" w:space="0" w:color="auto"/>
              <w:right w:val="single" w:sz="4" w:space="0" w:color="auto"/>
            </w:tcBorders>
            <w:noWrap/>
            <w:vAlign w:val="center"/>
            <w:hideMark/>
          </w:tcPr>
          <w:p w14:paraId="76889FCC" w14:textId="32EFDB13" w:rsidR="008E12E9" w:rsidRPr="001542B6" w:rsidRDefault="008E12E9" w:rsidP="009638A2">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w:t>
            </w:r>
            <w:r w:rsidR="009638A2">
              <w:rPr>
                <w:rFonts w:eastAsia="Times New Roman" w:cs="Times New Roman"/>
                <w:color w:val="000000"/>
                <w:sz w:val="18"/>
                <w:szCs w:val="18"/>
              </w:rPr>
              <w:t>6</w:t>
            </w:r>
          </w:p>
        </w:tc>
      </w:tr>
      <w:tr w:rsidR="009638A2" w:rsidRPr="008E12E9" w14:paraId="2B897D69" w14:textId="77777777" w:rsidTr="009638A2">
        <w:trPr>
          <w:trHeight w:val="290"/>
          <w:jc w:val="center"/>
        </w:trPr>
        <w:tc>
          <w:tcPr>
            <w:tcW w:w="1159" w:type="dxa"/>
            <w:vMerge/>
            <w:tcBorders>
              <w:top w:val="nil"/>
              <w:left w:val="single" w:sz="4" w:space="0" w:color="auto"/>
              <w:bottom w:val="single" w:sz="4" w:space="0" w:color="auto"/>
              <w:right w:val="single" w:sz="4" w:space="0" w:color="auto"/>
            </w:tcBorders>
            <w:noWrap/>
            <w:vAlign w:val="center"/>
          </w:tcPr>
          <w:p w14:paraId="7B387671" w14:textId="77777777" w:rsidR="009638A2" w:rsidRPr="009638A2" w:rsidRDefault="009638A2" w:rsidP="009638A2">
            <w:pPr>
              <w:spacing w:after="0"/>
              <w:ind w:firstLine="0"/>
              <w:jc w:val="center"/>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noWrap/>
            <w:vAlign w:val="center"/>
          </w:tcPr>
          <w:p w14:paraId="4024D87E" w14:textId="59C399DE" w:rsidR="009638A2" w:rsidRDefault="009638A2" w:rsidP="009638A2">
            <w:pPr>
              <w:spacing w:after="0"/>
              <w:ind w:firstLine="0"/>
              <w:jc w:val="left"/>
              <w:rPr>
                <w:rFonts w:eastAsia="Times New Roman" w:cs="Times New Roman"/>
                <w:color w:val="000000"/>
                <w:sz w:val="18"/>
                <w:szCs w:val="18"/>
              </w:rPr>
            </w:pPr>
            <w:r>
              <w:rPr>
                <w:rFonts w:eastAsia="Times New Roman" w:cs="Times New Roman"/>
                <w:color w:val="000000"/>
                <w:sz w:val="18"/>
                <w:szCs w:val="18"/>
              </w:rPr>
              <w:t>UIN EKS korekcijas</w:t>
            </w:r>
          </w:p>
        </w:tc>
        <w:tc>
          <w:tcPr>
            <w:tcW w:w="1191" w:type="dxa"/>
            <w:tcBorders>
              <w:top w:val="nil"/>
              <w:left w:val="nil"/>
              <w:bottom w:val="single" w:sz="4" w:space="0" w:color="auto"/>
              <w:right w:val="single" w:sz="4" w:space="0" w:color="auto"/>
            </w:tcBorders>
            <w:noWrap/>
            <w:vAlign w:val="bottom"/>
          </w:tcPr>
          <w:p w14:paraId="609234F6" w14:textId="77777777" w:rsidR="009638A2" w:rsidRPr="009638A2" w:rsidRDefault="009638A2" w:rsidP="009638A2">
            <w:pPr>
              <w:spacing w:after="0"/>
              <w:ind w:firstLine="0"/>
              <w:jc w:val="right"/>
              <w:rPr>
                <w:rFonts w:eastAsia="Times New Roman" w:cs="Times New Roman"/>
                <w:color w:val="000000"/>
                <w:sz w:val="18"/>
                <w:szCs w:val="18"/>
              </w:rPr>
            </w:pPr>
          </w:p>
        </w:tc>
        <w:tc>
          <w:tcPr>
            <w:tcW w:w="1276" w:type="dxa"/>
            <w:tcBorders>
              <w:top w:val="nil"/>
              <w:left w:val="nil"/>
              <w:bottom w:val="single" w:sz="4" w:space="0" w:color="auto"/>
              <w:right w:val="single" w:sz="4" w:space="0" w:color="auto"/>
            </w:tcBorders>
            <w:noWrap/>
            <w:vAlign w:val="center"/>
          </w:tcPr>
          <w:p w14:paraId="64069D61" w14:textId="1E1CE8B4" w:rsidR="009638A2" w:rsidRPr="009638A2" w:rsidRDefault="009638A2" w:rsidP="009638A2">
            <w:pPr>
              <w:spacing w:after="0"/>
              <w:ind w:firstLine="0"/>
              <w:jc w:val="center"/>
              <w:rPr>
                <w:rFonts w:eastAsia="Times New Roman" w:cs="Times New Roman"/>
                <w:color w:val="000000"/>
                <w:sz w:val="18"/>
                <w:szCs w:val="18"/>
              </w:rPr>
            </w:pPr>
            <w:r w:rsidRPr="00501222">
              <w:rPr>
                <w:rFonts w:eastAsia="Times New Roman" w:cs="Times New Roman"/>
                <w:color w:val="000000"/>
                <w:sz w:val="18"/>
                <w:szCs w:val="18"/>
              </w:rPr>
              <w:t>Diskrecionāri</w:t>
            </w:r>
          </w:p>
        </w:tc>
        <w:tc>
          <w:tcPr>
            <w:tcW w:w="908" w:type="dxa"/>
            <w:tcBorders>
              <w:top w:val="nil"/>
              <w:left w:val="nil"/>
              <w:bottom w:val="single" w:sz="4" w:space="0" w:color="auto"/>
              <w:right w:val="single" w:sz="4" w:space="0" w:color="auto"/>
            </w:tcBorders>
            <w:noWrap/>
            <w:vAlign w:val="center"/>
          </w:tcPr>
          <w:p w14:paraId="6CD06E2C" w14:textId="77777777" w:rsidR="009638A2" w:rsidRPr="009638A2" w:rsidRDefault="009638A2" w:rsidP="009638A2">
            <w:pPr>
              <w:spacing w:after="0"/>
              <w:ind w:firstLine="0"/>
              <w:jc w:val="center"/>
              <w:rPr>
                <w:rFonts w:eastAsia="Times New Roman" w:cs="Times New Roman"/>
                <w:color w:val="000000"/>
                <w:sz w:val="18"/>
                <w:szCs w:val="18"/>
              </w:rPr>
            </w:pPr>
          </w:p>
        </w:tc>
        <w:tc>
          <w:tcPr>
            <w:tcW w:w="908" w:type="dxa"/>
            <w:tcBorders>
              <w:top w:val="nil"/>
              <w:left w:val="nil"/>
              <w:bottom w:val="single" w:sz="4" w:space="0" w:color="auto"/>
              <w:right w:val="single" w:sz="4" w:space="0" w:color="auto"/>
            </w:tcBorders>
            <w:noWrap/>
            <w:vAlign w:val="center"/>
          </w:tcPr>
          <w:p w14:paraId="131F8952" w14:textId="77777777" w:rsidR="009638A2" w:rsidRPr="009638A2" w:rsidRDefault="009638A2" w:rsidP="009638A2">
            <w:pPr>
              <w:spacing w:after="0"/>
              <w:ind w:firstLine="0"/>
              <w:jc w:val="center"/>
              <w:rPr>
                <w:rFonts w:eastAsia="Times New Roman" w:cs="Times New Roman"/>
                <w:color w:val="000000"/>
                <w:sz w:val="18"/>
                <w:szCs w:val="18"/>
              </w:rPr>
            </w:pPr>
          </w:p>
        </w:tc>
        <w:tc>
          <w:tcPr>
            <w:tcW w:w="908" w:type="dxa"/>
            <w:tcBorders>
              <w:top w:val="nil"/>
              <w:left w:val="nil"/>
              <w:bottom w:val="single" w:sz="4" w:space="0" w:color="auto"/>
              <w:right w:val="single" w:sz="4" w:space="0" w:color="auto"/>
            </w:tcBorders>
            <w:noWrap/>
            <w:vAlign w:val="center"/>
          </w:tcPr>
          <w:p w14:paraId="3BE3C1AA" w14:textId="69B5F951" w:rsidR="009638A2" w:rsidRPr="009638A2" w:rsidRDefault="009638A2" w:rsidP="009638A2">
            <w:pPr>
              <w:spacing w:after="0"/>
              <w:ind w:firstLine="0"/>
              <w:jc w:val="center"/>
              <w:rPr>
                <w:rFonts w:eastAsia="Times New Roman" w:cs="Times New Roman"/>
                <w:color w:val="000000"/>
                <w:sz w:val="18"/>
                <w:szCs w:val="18"/>
              </w:rPr>
            </w:pPr>
            <w:r>
              <w:rPr>
                <w:rFonts w:eastAsia="Times New Roman" w:cs="Times New Roman"/>
                <w:color w:val="000000"/>
                <w:sz w:val="18"/>
                <w:szCs w:val="18"/>
              </w:rPr>
              <w:t>-0,2</w:t>
            </w:r>
          </w:p>
        </w:tc>
      </w:tr>
      <w:tr w:rsidR="009638A2" w:rsidRPr="008E12E9" w14:paraId="498F4053" w14:textId="77777777" w:rsidTr="009638A2">
        <w:trPr>
          <w:trHeight w:val="290"/>
          <w:jc w:val="center"/>
        </w:trPr>
        <w:tc>
          <w:tcPr>
            <w:tcW w:w="1159" w:type="dxa"/>
            <w:vMerge/>
            <w:tcBorders>
              <w:top w:val="nil"/>
              <w:left w:val="single" w:sz="4" w:space="0" w:color="auto"/>
              <w:bottom w:val="single" w:sz="4" w:space="0" w:color="auto"/>
              <w:right w:val="single" w:sz="4" w:space="0" w:color="auto"/>
            </w:tcBorders>
            <w:noWrap/>
            <w:vAlign w:val="center"/>
          </w:tcPr>
          <w:p w14:paraId="1EA4EC1D" w14:textId="77777777" w:rsidR="009638A2" w:rsidRPr="009638A2" w:rsidRDefault="009638A2" w:rsidP="009638A2">
            <w:pPr>
              <w:spacing w:after="0"/>
              <w:ind w:firstLine="0"/>
              <w:jc w:val="center"/>
              <w:rPr>
                <w:rFonts w:eastAsia="Times New Roman" w:cs="Times New Roman"/>
                <w:color w:val="000000"/>
                <w:sz w:val="18"/>
                <w:szCs w:val="18"/>
              </w:rPr>
            </w:pPr>
          </w:p>
        </w:tc>
        <w:tc>
          <w:tcPr>
            <w:tcW w:w="2722" w:type="dxa"/>
            <w:tcBorders>
              <w:top w:val="nil"/>
              <w:left w:val="nil"/>
              <w:bottom w:val="single" w:sz="4" w:space="0" w:color="auto"/>
              <w:right w:val="single" w:sz="4" w:space="0" w:color="auto"/>
            </w:tcBorders>
            <w:noWrap/>
            <w:vAlign w:val="center"/>
          </w:tcPr>
          <w:p w14:paraId="3802E6E2" w14:textId="49E99195" w:rsidR="009638A2" w:rsidRDefault="009638A2" w:rsidP="009638A2">
            <w:pPr>
              <w:spacing w:after="0"/>
              <w:ind w:firstLine="0"/>
              <w:jc w:val="left"/>
              <w:rPr>
                <w:rFonts w:eastAsia="Times New Roman" w:cs="Times New Roman"/>
                <w:color w:val="000000"/>
                <w:sz w:val="18"/>
                <w:szCs w:val="18"/>
              </w:rPr>
            </w:pPr>
            <w:r>
              <w:rPr>
                <w:rFonts w:eastAsia="Times New Roman" w:cs="Times New Roman"/>
                <w:color w:val="000000"/>
                <w:sz w:val="18"/>
                <w:szCs w:val="18"/>
              </w:rPr>
              <w:t>ĀFP EKS korekcijas</w:t>
            </w:r>
          </w:p>
        </w:tc>
        <w:tc>
          <w:tcPr>
            <w:tcW w:w="1191" w:type="dxa"/>
            <w:tcBorders>
              <w:top w:val="nil"/>
              <w:left w:val="nil"/>
              <w:bottom w:val="single" w:sz="4" w:space="0" w:color="auto"/>
              <w:right w:val="single" w:sz="4" w:space="0" w:color="auto"/>
            </w:tcBorders>
            <w:noWrap/>
            <w:vAlign w:val="bottom"/>
          </w:tcPr>
          <w:p w14:paraId="6260377A" w14:textId="77777777" w:rsidR="009638A2" w:rsidRPr="009638A2" w:rsidRDefault="009638A2" w:rsidP="009638A2">
            <w:pPr>
              <w:spacing w:after="0"/>
              <w:ind w:firstLine="0"/>
              <w:jc w:val="right"/>
              <w:rPr>
                <w:rFonts w:eastAsia="Times New Roman" w:cs="Times New Roman"/>
                <w:color w:val="000000"/>
                <w:sz w:val="18"/>
                <w:szCs w:val="18"/>
              </w:rPr>
            </w:pPr>
          </w:p>
        </w:tc>
        <w:tc>
          <w:tcPr>
            <w:tcW w:w="1276" w:type="dxa"/>
            <w:tcBorders>
              <w:top w:val="nil"/>
              <w:left w:val="nil"/>
              <w:bottom w:val="single" w:sz="4" w:space="0" w:color="auto"/>
              <w:right w:val="single" w:sz="4" w:space="0" w:color="auto"/>
            </w:tcBorders>
            <w:noWrap/>
            <w:vAlign w:val="center"/>
          </w:tcPr>
          <w:p w14:paraId="203D392F" w14:textId="13A3F293" w:rsidR="009638A2" w:rsidRPr="009638A2" w:rsidRDefault="009638A2" w:rsidP="009638A2">
            <w:pPr>
              <w:spacing w:after="0"/>
              <w:ind w:firstLine="0"/>
              <w:jc w:val="center"/>
              <w:rPr>
                <w:rFonts w:eastAsia="Times New Roman" w:cs="Times New Roman"/>
                <w:color w:val="000000"/>
                <w:sz w:val="18"/>
                <w:szCs w:val="18"/>
              </w:rPr>
            </w:pPr>
            <w:r>
              <w:rPr>
                <w:rFonts w:eastAsia="Times New Roman" w:cs="Times New Roman"/>
                <w:color w:val="000000"/>
                <w:sz w:val="18"/>
                <w:szCs w:val="18"/>
              </w:rPr>
              <w:t>Ne-diskrecionāri</w:t>
            </w:r>
          </w:p>
        </w:tc>
        <w:tc>
          <w:tcPr>
            <w:tcW w:w="908" w:type="dxa"/>
            <w:tcBorders>
              <w:top w:val="nil"/>
              <w:left w:val="nil"/>
              <w:bottom w:val="single" w:sz="4" w:space="0" w:color="auto"/>
              <w:right w:val="single" w:sz="4" w:space="0" w:color="auto"/>
            </w:tcBorders>
            <w:noWrap/>
            <w:vAlign w:val="center"/>
          </w:tcPr>
          <w:p w14:paraId="67C78F32" w14:textId="1061E25E" w:rsidR="009638A2" w:rsidRPr="009638A2" w:rsidRDefault="009638A2" w:rsidP="009638A2">
            <w:pPr>
              <w:spacing w:after="0"/>
              <w:ind w:firstLine="0"/>
              <w:jc w:val="center"/>
              <w:rPr>
                <w:rFonts w:eastAsia="Times New Roman" w:cs="Times New Roman"/>
                <w:color w:val="000000"/>
                <w:sz w:val="18"/>
                <w:szCs w:val="18"/>
              </w:rPr>
            </w:pPr>
            <w:r>
              <w:rPr>
                <w:rFonts w:eastAsia="Times New Roman" w:cs="Times New Roman"/>
                <w:color w:val="000000"/>
                <w:sz w:val="18"/>
                <w:szCs w:val="18"/>
              </w:rPr>
              <w:t>1,1</w:t>
            </w:r>
          </w:p>
        </w:tc>
        <w:tc>
          <w:tcPr>
            <w:tcW w:w="908" w:type="dxa"/>
            <w:tcBorders>
              <w:top w:val="nil"/>
              <w:left w:val="nil"/>
              <w:bottom w:val="single" w:sz="4" w:space="0" w:color="auto"/>
              <w:right w:val="single" w:sz="4" w:space="0" w:color="auto"/>
            </w:tcBorders>
            <w:noWrap/>
            <w:vAlign w:val="center"/>
          </w:tcPr>
          <w:p w14:paraId="6DCD6A2C" w14:textId="5CD1B365" w:rsidR="009638A2" w:rsidRPr="009638A2" w:rsidRDefault="009638A2" w:rsidP="009638A2">
            <w:pPr>
              <w:spacing w:after="0"/>
              <w:ind w:firstLine="0"/>
              <w:jc w:val="center"/>
              <w:rPr>
                <w:rFonts w:eastAsia="Times New Roman" w:cs="Times New Roman"/>
                <w:color w:val="000000"/>
                <w:sz w:val="18"/>
                <w:szCs w:val="18"/>
              </w:rPr>
            </w:pPr>
            <w:r>
              <w:rPr>
                <w:rFonts w:eastAsia="Times New Roman" w:cs="Times New Roman"/>
                <w:color w:val="000000"/>
                <w:sz w:val="18"/>
                <w:szCs w:val="18"/>
              </w:rPr>
              <w:t>2,5</w:t>
            </w:r>
          </w:p>
        </w:tc>
        <w:tc>
          <w:tcPr>
            <w:tcW w:w="908" w:type="dxa"/>
            <w:tcBorders>
              <w:top w:val="nil"/>
              <w:left w:val="nil"/>
              <w:bottom w:val="single" w:sz="4" w:space="0" w:color="auto"/>
              <w:right w:val="single" w:sz="4" w:space="0" w:color="auto"/>
            </w:tcBorders>
            <w:noWrap/>
            <w:vAlign w:val="center"/>
          </w:tcPr>
          <w:p w14:paraId="7C6F013B" w14:textId="3CCE74A7" w:rsidR="009638A2" w:rsidRPr="009638A2" w:rsidRDefault="009638A2" w:rsidP="009638A2">
            <w:pPr>
              <w:spacing w:after="0"/>
              <w:ind w:firstLine="0"/>
              <w:jc w:val="center"/>
              <w:rPr>
                <w:rFonts w:eastAsia="Times New Roman" w:cs="Times New Roman"/>
                <w:color w:val="000000"/>
                <w:sz w:val="18"/>
                <w:szCs w:val="18"/>
              </w:rPr>
            </w:pPr>
            <w:r>
              <w:rPr>
                <w:rFonts w:eastAsia="Times New Roman" w:cs="Times New Roman"/>
                <w:color w:val="000000"/>
                <w:sz w:val="18"/>
                <w:szCs w:val="18"/>
              </w:rPr>
              <w:t>0,4</w:t>
            </w:r>
          </w:p>
        </w:tc>
      </w:tr>
      <w:tr w:rsidR="009638A2" w:rsidRPr="008E12E9" w14:paraId="62CECF07" w14:textId="77777777" w:rsidTr="001542B6">
        <w:trPr>
          <w:trHeight w:val="300"/>
          <w:jc w:val="center"/>
        </w:trPr>
        <w:tc>
          <w:tcPr>
            <w:tcW w:w="1159" w:type="dxa"/>
            <w:vMerge/>
            <w:tcBorders>
              <w:top w:val="nil"/>
              <w:left w:val="single" w:sz="4" w:space="0" w:color="auto"/>
              <w:bottom w:val="single" w:sz="4" w:space="0" w:color="auto"/>
              <w:right w:val="single" w:sz="4" w:space="0" w:color="auto"/>
            </w:tcBorders>
            <w:vAlign w:val="center"/>
            <w:hideMark/>
          </w:tcPr>
          <w:p w14:paraId="7FCDE090" w14:textId="77777777" w:rsidR="009638A2" w:rsidRPr="001542B6" w:rsidRDefault="009638A2" w:rsidP="001542B6">
            <w:pPr>
              <w:spacing w:after="0"/>
              <w:ind w:firstLine="0"/>
              <w:jc w:val="right"/>
              <w:rPr>
                <w:rFonts w:eastAsia="Times New Roman" w:cs="Times New Roman"/>
                <w:b/>
                <w:bCs/>
                <w:color w:val="000000"/>
                <w:sz w:val="18"/>
                <w:szCs w:val="18"/>
              </w:rPr>
            </w:pPr>
          </w:p>
        </w:tc>
        <w:tc>
          <w:tcPr>
            <w:tcW w:w="5189" w:type="dxa"/>
            <w:gridSpan w:val="3"/>
            <w:tcBorders>
              <w:top w:val="single" w:sz="4" w:space="0" w:color="auto"/>
              <w:left w:val="nil"/>
              <w:bottom w:val="nil"/>
              <w:right w:val="single" w:sz="4" w:space="0" w:color="auto"/>
            </w:tcBorders>
            <w:shd w:val="clear" w:color="auto" w:fill="DEEAF6" w:themeFill="accent1" w:themeFillTint="33"/>
            <w:noWrap/>
            <w:vAlign w:val="center"/>
            <w:hideMark/>
          </w:tcPr>
          <w:p w14:paraId="182CFC9C" w14:textId="77777777" w:rsidR="009638A2" w:rsidRPr="001542B6" w:rsidRDefault="009638A2" w:rsidP="009638A2">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Kopā EKS korekcijas</w:t>
            </w:r>
          </w:p>
        </w:tc>
        <w:tc>
          <w:tcPr>
            <w:tcW w:w="908" w:type="dxa"/>
            <w:tcBorders>
              <w:top w:val="nil"/>
              <w:left w:val="nil"/>
              <w:bottom w:val="nil"/>
              <w:right w:val="single" w:sz="4" w:space="0" w:color="auto"/>
            </w:tcBorders>
            <w:shd w:val="clear" w:color="auto" w:fill="DEEAF6" w:themeFill="accent1" w:themeFillTint="33"/>
            <w:noWrap/>
            <w:vAlign w:val="center"/>
            <w:hideMark/>
          </w:tcPr>
          <w:p w14:paraId="10E3AFBC" w14:textId="3D9A96C6" w:rsidR="009638A2" w:rsidRPr="001542B6" w:rsidRDefault="009638A2" w:rsidP="009638A2">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w:t>
            </w:r>
            <w:r>
              <w:rPr>
                <w:rFonts w:eastAsia="Times New Roman" w:cs="Times New Roman"/>
                <w:b/>
                <w:bCs/>
                <w:color w:val="000000"/>
                <w:sz w:val="18"/>
                <w:szCs w:val="18"/>
              </w:rPr>
              <w:t>0,4</w:t>
            </w:r>
          </w:p>
        </w:tc>
        <w:tc>
          <w:tcPr>
            <w:tcW w:w="908" w:type="dxa"/>
            <w:tcBorders>
              <w:top w:val="nil"/>
              <w:left w:val="nil"/>
              <w:bottom w:val="nil"/>
              <w:right w:val="single" w:sz="4" w:space="0" w:color="auto"/>
            </w:tcBorders>
            <w:shd w:val="clear" w:color="auto" w:fill="DEEAF6" w:themeFill="accent1" w:themeFillTint="33"/>
            <w:noWrap/>
            <w:vAlign w:val="center"/>
            <w:hideMark/>
          </w:tcPr>
          <w:p w14:paraId="09D98895" w14:textId="4B4D69D4" w:rsidR="009638A2" w:rsidRPr="001542B6" w:rsidRDefault="009638A2"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5,0</w:t>
            </w:r>
          </w:p>
        </w:tc>
        <w:tc>
          <w:tcPr>
            <w:tcW w:w="908" w:type="dxa"/>
            <w:tcBorders>
              <w:top w:val="nil"/>
              <w:left w:val="nil"/>
              <w:bottom w:val="nil"/>
              <w:right w:val="single" w:sz="4" w:space="0" w:color="auto"/>
            </w:tcBorders>
            <w:shd w:val="clear" w:color="auto" w:fill="DEEAF6" w:themeFill="accent1" w:themeFillTint="33"/>
            <w:noWrap/>
            <w:vAlign w:val="center"/>
            <w:hideMark/>
          </w:tcPr>
          <w:p w14:paraId="795961F7" w14:textId="4173AF6B" w:rsidR="009638A2" w:rsidRPr="001542B6" w:rsidRDefault="009638A2"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1,8</w:t>
            </w:r>
          </w:p>
        </w:tc>
      </w:tr>
      <w:tr w:rsidR="009638A2" w:rsidRPr="008E12E9" w14:paraId="32CFCB26" w14:textId="77777777" w:rsidTr="005725B2">
        <w:trPr>
          <w:trHeight w:val="300"/>
          <w:jc w:val="center"/>
        </w:trPr>
        <w:tc>
          <w:tcPr>
            <w:tcW w:w="6348" w:type="dxa"/>
            <w:gridSpan w:val="4"/>
            <w:tcBorders>
              <w:top w:val="single" w:sz="8" w:space="0" w:color="auto"/>
              <w:left w:val="single" w:sz="8" w:space="0" w:color="auto"/>
              <w:bottom w:val="single" w:sz="8" w:space="0" w:color="auto"/>
              <w:right w:val="single" w:sz="4" w:space="0" w:color="auto"/>
            </w:tcBorders>
            <w:shd w:val="clear" w:color="auto" w:fill="BDD6EE" w:themeFill="accent1" w:themeFillTint="66"/>
            <w:noWrap/>
            <w:vAlign w:val="center"/>
            <w:hideMark/>
          </w:tcPr>
          <w:p w14:paraId="0A08547A" w14:textId="77777777" w:rsidR="009638A2" w:rsidRPr="001542B6" w:rsidRDefault="009638A2" w:rsidP="009638A2">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Ieņēmumu pasākumi kopā</w:t>
            </w:r>
          </w:p>
        </w:tc>
        <w:tc>
          <w:tcPr>
            <w:tcW w:w="908" w:type="dxa"/>
            <w:tcBorders>
              <w:top w:val="single" w:sz="8" w:space="0" w:color="auto"/>
              <w:left w:val="nil"/>
              <w:bottom w:val="single" w:sz="8" w:space="0" w:color="auto"/>
              <w:right w:val="single" w:sz="4" w:space="0" w:color="auto"/>
            </w:tcBorders>
            <w:shd w:val="clear" w:color="auto" w:fill="BDD6EE" w:themeFill="accent1" w:themeFillTint="66"/>
            <w:noWrap/>
            <w:vAlign w:val="center"/>
            <w:hideMark/>
          </w:tcPr>
          <w:p w14:paraId="7C9D7CCC" w14:textId="06698426" w:rsidR="009638A2" w:rsidRPr="001542B6" w:rsidRDefault="009638A2"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76,7</w:t>
            </w:r>
          </w:p>
        </w:tc>
        <w:tc>
          <w:tcPr>
            <w:tcW w:w="908" w:type="dxa"/>
            <w:tcBorders>
              <w:top w:val="single" w:sz="8" w:space="0" w:color="auto"/>
              <w:left w:val="nil"/>
              <w:bottom w:val="single" w:sz="8" w:space="0" w:color="auto"/>
              <w:right w:val="single" w:sz="4" w:space="0" w:color="auto"/>
            </w:tcBorders>
            <w:shd w:val="clear" w:color="auto" w:fill="BDD6EE" w:themeFill="accent1" w:themeFillTint="66"/>
            <w:noWrap/>
            <w:vAlign w:val="center"/>
            <w:hideMark/>
          </w:tcPr>
          <w:p w14:paraId="40C98BF4" w14:textId="549A8B58" w:rsidR="009638A2" w:rsidRPr="001542B6" w:rsidRDefault="009638A2"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120,7</w:t>
            </w:r>
          </w:p>
        </w:tc>
        <w:tc>
          <w:tcPr>
            <w:tcW w:w="908" w:type="dxa"/>
            <w:tcBorders>
              <w:top w:val="single" w:sz="8" w:space="0" w:color="auto"/>
              <w:left w:val="nil"/>
              <w:bottom w:val="single" w:sz="8" w:space="0" w:color="auto"/>
              <w:right w:val="single" w:sz="4" w:space="0" w:color="auto"/>
            </w:tcBorders>
            <w:shd w:val="clear" w:color="auto" w:fill="BDD6EE" w:themeFill="accent1" w:themeFillTint="66"/>
            <w:noWrap/>
            <w:vAlign w:val="center"/>
            <w:hideMark/>
          </w:tcPr>
          <w:p w14:paraId="0F0AF493" w14:textId="31C4330F" w:rsidR="009638A2" w:rsidRPr="001542B6" w:rsidRDefault="000B0C11" w:rsidP="009638A2">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160,5</w:t>
            </w:r>
          </w:p>
        </w:tc>
      </w:tr>
    </w:tbl>
    <w:p w14:paraId="7353A53D" w14:textId="77777777" w:rsidR="00CB7E29" w:rsidRPr="00D8017D" w:rsidRDefault="00CB7E29" w:rsidP="001542B6">
      <w:pPr>
        <w:widowControl w:val="0"/>
        <w:spacing w:after="0"/>
        <w:ind w:firstLine="0"/>
        <w:rPr>
          <w:rFonts w:eastAsia="Times New Roman" w:cs="Times New Roman"/>
          <w:color w:val="000000"/>
          <w:highlight w:val="lightGray"/>
        </w:rPr>
      </w:pPr>
    </w:p>
    <w:p w14:paraId="1718CCFB" w14:textId="2692B9FD" w:rsidR="00FF4199" w:rsidRPr="00B57F87" w:rsidRDefault="00E11486" w:rsidP="00FF4199">
      <w:pPr>
        <w:widowControl w:val="0"/>
        <w:rPr>
          <w:rFonts w:eastAsia="Times New Roman" w:cs="Times New Roman"/>
          <w:color w:val="000000"/>
        </w:rPr>
      </w:pPr>
      <w:r w:rsidRPr="001542B6">
        <w:rPr>
          <w:rFonts w:eastAsia="Times New Roman" w:cs="Times New Roman"/>
          <w:color w:val="000000"/>
        </w:rPr>
        <w:t>MK</w:t>
      </w:r>
      <w:r w:rsidR="00CB7E29" w:rsidRPr="001542B6">
        <w:rPr>
          <w:rFonts w:eastAsia="Times New Roman" w:cs="Times New Roman"/>
          <w:color w:val="000000"/>
        </w:rPr>
        <w:t xml:space="preserve"> lēmumi par finansējuma palielinājumu vidēja termiņa prioritāraj</w:t>
      </w:r>
      <w:r w:rsidR="002B6EFC" w:rsidRPr="001542B6">
        <w:rPr>
          <w:rFonts w:eastAsia="Times New Roman" w:cs="Times New Roman"/>
          <w:color w:val="000000"/>
        </w:rPr>
        <w:t>am</w:t>
      </w:r>
      <w:r w:rsidR="00CB7E29" w:rsidRPr="001542B6">
        <w:rPr>
          <w:rFonts w:eastAsia="Times New Roman" w:cs="Times New Roman"/>
          <w:color w:val="000000"/>
        </w:rPr>
        <w:t xml:space="preserve"> virzien</w:t>
      </w:r>
      <w:r w:rsidR="002B6EFC" w:rsidRPr="001542B6">
        <w:rPr>
          <w:rFonts w:eastAsia="Times New Roman" w:cs="Times New Roman"/>
          <w:color w:val="000000"/>
        </w:rPr>
        <w:t>am</w:t>
      </w:r>
      <w:r w:rsidR="00CB7E29" w:rsidRPr="001542B6">
        <w:rPr>
          <w:rFonts w:eastAsia="Times New Roman" w:cs="Times New Roman"/>
          <w:color w:val="000000"/>
        </w:rPr>
        <w:t xml:space="preserve"> ir apkopoti </w:t>
      </w:r>
      <w:r w:rsidR="00CB7E29" w:rsidRPr="00B57F87">
        <w:rPr>
          <w:rFonts w:eastAsia="Times New Roman" w:cs="Times New Roman"/>
          <w:color w:val="000000"/>
        </w:rPr>
        <w:t>2.</w:t>
      </w:r>
      <w:r w:rsidR="00B57F87" w:rsidRPr="00B57F87">
        <w:rPr>
          <w:rFonts w:eastAsia="Times New Roman" w:cs="Times New Roman"/>
          <w:color w:val="000000"/>
        </w:rPr>
        <w:t>26</w:t>
      </w:r>
      <w:r w:rsidR="00CB7E29" w:rsidRPr="00B57F87">
        <w:rPr>
          <w:rFonts w:eastAsia="Times New Roman" w:cs="Times New Roman"/>
          <w:color w:val="000000"/>
        </w:rPr>
        <w:t>. tabulā.</w:t>
      </w:r>
      <w:r w:rsidR="002B6EFC" w:rsidRPr="00B57F87">
        <w:rPr>
          <w:rFonts w:eastAsia="Times New Roman" w:cs="Times New Roman"/>
          <w:color w:val="000000"/>
        </w:rPr>
        <w:t xml:space="preserve"> Tabula papildināta arī ar </w:t>
      </w:r>
      <w:r w:rsidR="002D70A6" w:rsidRPr="00B57F87">
        <w:rPr>
          <w:rFonts w:eastAsia="Times New Roman" w:cs="Times New Roman"/>
          <w:color w:val="000000"/>
        </w:rPr>
        <w:t xml:space="preserve">izdevumu pasākumiem, </w:t>
      </w:r>
      <w:r w:rsidR="00FF4199" w:rsidRPr="00B57F87">
        <w:rPr>
          <w:rFonts w:eastAsia="Times New Roman" w:cs="Times New Roman"/>
          <w:color w:val="000000"/>
        </w:rPr>
        <w:t xml:space="preserve">kas apstiprināti izdevumu pārskatīšanas rezultātā, kā arī pasākumiem, </w:t>
      </w:r>
      <w:r w:rsidR="002D70A6" w:rsidRPr="00B57F87">
        <w:rPr>
          <w:rFonts w:eastAsia="Times New Roman" w:cs="Times New Roman"/>
          <w:color w:val="000000"/>
        </w:rPr>
        <w:t>kas pilnībā kompensēti (</w:t>
      </w:r>
      <w:r w:rsidR="002B6EFC" w:rsidRPr="00B57F87">
        <w:rPr>
          <w:rFonts w:eastAsia="Times New Roman" w:cs="Times New Roman"/>
          <w:color w:val="000000"/>
        </w:rPr>
        <w:t>fiskāli neitrāliem</w:t>
      </w:r>
      <w:r w:rsidR="002D70A6" w:rsidRPr="00B57F87">
        <w:rPr>
          <w:rFonts w:eastAsia="Times New Roman" w:cs="Times New Roman"/>
          <w:color w:val="000000"/>
        </w:rPr>
        <w:t>),</w:t>
      </w:r>
      <w:r w:rsidR="002B6EFC" w:rsidRPr="00B57F87">
        <w:rPr>
          <w:rFonts w:eastAsia="Times New Roman" w:cs="Times New Roman"/>
          <w:color w:val="000000"/>
        </w:rPr>
        <w:t xml:space="preserve"> </w:t>
      </w:r>
      <w:r w:rsidR="00FF4199" w:rsidRPr="00B57F87">
        <w:rPr>
          <w:rFonts w:eastAsia="Times New Roman" w:cs="Times New Roman"/>
          <w:color w:val="000000"/>
        </w:rPr>
        <w:t>un papildus izdevumiem aizsardzības spēju stiprināšanai, kas palielināti izmantojot valsts izņēmuma klauzulu (palielinot vispārējās valdības budžeta deficītu).</w:t>
      </w:r>
    </w:p>
    <w:p w14:paraId="21E4BA97" w14:textId="7A658E1A" w:rsidR="00CB7E29" w:rsidRPr="00D8017D" w:rsidRDefault="00CB7E29" w:rsidP="008349F0">
      <w:pPr>
        <w:widowControl w:val="0"/>
        <w:jc w:val="right"/>
        <w:rPr>
          <w:rFonts w:eastAsia="Times New Roman" w:cs="Times New Roman"/>
          <w:b/>
          <w:i/>
          <w:color w:val="000000"/>
          <w:highlight w:val="lightGray"/>
        </w:rPr>
      </w:pPr>
      <w:r w:rsidRPr="00B57F87">
        <w:rPr>
          <w:rFonts w:eastAsia="Times New Roman" w:cs="Times New Roman"/>
          <w:b/>
          <w:i/>
          <w:color w:val="000000"/>
        </w:rPr>
        <w:t>2.</w:t>
      </w:r>
      <w:r w:rsidR="00B57F87" w:rsidRPr="00B57F87">
        <w:rPr>
          <w:rFonts w:eastAsia="Times New Roman" w:cs="Times New Roman"/>
          <w:b/>
          <w:i/>
          <w:color w:val="000000"/>
        </w:rPr>
        <w:t>26</w:t>
      </w:r>
      <w:r w:rsidRPr="00B57F87">
        <w:rPr>
          <w:rFonts w:eastAsia="Times New Roman" w:cs="Times New Roman"/>
          <w:b/>
          <w:i/>
          <w:color w:val="000000"/>
        </w:rPr>
        <w:t>. tabula</w:t>
      </w:r>
      <w:r w:rsidRPr="005D100B">
        <w:rPr>
          <w:rFonts w:eastAsia="Times New Roman" w:cs="Times New Roman"/>
          <w:b/>
          <w:i/>
          <w:color w:val="000000"/>
        </w:rPr>
        <w:t>. Izdevumu pasākumi, milj. euro</w:t>
      </w:r>
    </w:p>
    <w:tbl>
      <w:tblPr>
        <w:tblW w:w="8505" w:type="dxa"/>
        <w:jc w:val="center"/>
        <w:tblLook w:val="04A0" w:firstRow="1" w:lastRow="0" w:firstColumn="1" w:lastColumn="0" w:noHBand="0" w:noVBand="1"/>
      </w:tblPr>
      <w:tblGrid>
        <w:gridCol w:w="5397"/>
        <w:gridCol w:w="1036"/>
        <w:gridCol w:w="1036"/>
        <w:gridCol w:w="1036"/>
      </w:tblGrid>
      <w:tr w:rsidR="005725B2" w:rsidRPr="00FF4199" w14:paraId="7429B383" w14:textId="77777777" w:rsidTr="005725B2">
        <w:trPr>
          <w:trHeight w:val="310"/>
          <w:tblHeader/>
          <w:jc w:val="center"/>
        </w:trPr>
        <w:tc>
          <w:tcPr>
            <w:tcW w:w="5397" w:type="dxa"/>
            <w:vMerge w:val="restart"/>
            <w:tcBorders>
              <w:top w:val="single" w:sz="4" w:space="0" w:color="auto"/>
              <w:left w:val="single" w:sz="4" w:space="0" w:color="auto"/>
              <w:right w:val="single" w:sz="4" w:space="0" w:color="auto"/>
            </w:tcBorders>
            <w:shd w:val="clear" w:color="000000" w:fill="9BC2E6"/>
            <w:noWrap/>
            <w:vAlign w:val="bottom"/>
            <w:hideMark/>
          </w:tcPr>
          <w:p w14:paraId="48DB5077" w14:textId="77777777" w:rsidR="005725B2" w:rsidRPr="001542B6" w:rsidRDefault="005725B2" w:rsidP="005725B2">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Pasākuma nosaukums</w:t>
            </w:r>
          </w:p>
          <w:p w14:paraId="5415101F" w14:textId="20AAB3D5" w:rsidR="005725B2" w:rsidRPr="001542B6" w:rsidRDefault="005725B2" w:rsidP="005725B2">
            <w:pPr>
              <w:spacing w:after="0"/>
              <w:jc w:val="left"/>
              <w:rPr>
                <w:rFonts w:eastAsia="Times New Roman" w:cs="Times New Roman"/>
                <w:b/>
                <w:bCs/>
                <w:color w:val="000000"/>
                <w:sz w:val="18"/>
                <w:szCs w:val="18"/>
              </w:rPr>
            </w:pPr>
            <w:r w:rsidRPr="001542B6">
              <w:rPr>
                <w:rFonts w:eastAsia="Times New Roman" w:cs="Times New Roman"/>
                <w:color w:val="FF0000"/>
                <w:sz w:val="18"/>
                <w:szCs w:val="18"/>
              </w:rPr>
              <w:t> </w:t>
            </w:r>
          </w:p>
        </w:tc>
        <w:tc>
          <w:tcPr>
            <w:tcW w:w="1036" w:type="dxa"/>
            <w:tcBorders>
              <w:top w:val="single" w:sz="4" w:space="0" w:color="auto"/>
              <w:left w:val="nil"/>
              <w:bottom w:val="single" w:sz="4" w:space="0" w:color="auto"/>
              <w:right w:val="single" w:sz="4" w:space="0" w:color="auto"/>
            </w:tcBorders>
            <w:shd w:val="clear" w:color="000000" w:fill="9BC2E6"/>
            <w:noWrap/>
            <w:vAlign w:val="center"/>
            <w:hideMark/>
          </w:tcPr>
          <w:p w14:paraId="47185F83" w14:textId="77777777" w:rsidR="005725B2" w:rsidRPr="001542B6" w:rsidRDefault="005725B2"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2026</w:t>
            </w:r>
          </w:p>
        </w:tc>
        <w:tc>
          <w:tcPr>
            <w:tcW w:w="1036" w:type="dxa"/>
            <w:tcBorders>
              <w:top w:val="single" w:sz="4" w:space="0" w:color="auto"/>
              <w:left w:val="nil"/>
              <w:bottom w:val="single" w:sz="4" w:space="0" w:color="auto"/>
              <w:right w:val="single" w:sz="4" w:space="0" w:color="auto"/>
            </w:tcBorders>
            <w:shd w:val="clear" w:color="000000" w:fill="9BC2E6"/>
            <w:noWrap/>
            <w:vAlign w:val="center"/>
            <w:hideMark/>
          </w:tcPr>
          <w:p w14:paraId="0D14EDCC" w14:textId="77777777" w:rsidR="005725B2" w:rsidRPr="001542B6" w:rsidRDefault="005725B2"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2027</w:t>
            </w:r>
          </w:p>
        </w:tc>
        <w:tc>
          <w:tcPr>
            <w:tcW w:w="1036" w:type="dxa"/>
            <w:tcBorders>
              <w:top w:val="single" w:sz="4" w:space="0" w:color="auto"/>
              <w:left w:val="nil"/>
              <w:bottom w:val="single" w:sz="4" w:space="0" w:color="auto"/>
              <w:right w:val="single" w:sz="4" w:space="0" w:color="auto"/>
            </w:tcBorders>
            <w:shd w:val="clear" w:color="000000" w:fill="9BC2E6"/>
            <w:noWrap/>
            <w:vAlign w:val="center"/>
            <w:hideMark/>
          </w:tcPr>
          <w:p w14:paraId="76F37057" w14:textId="77777777" w:rsidR="005725B2" w:rsidRPr="001542B6" w:rsidRDefault="005725B2"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2028</w:t>
            </w:r>
          </w:p>
        </w:tc>
      </w:tr>
      <w:tr w:rsidR="005725B2" w:rsidRPr="00FF4199" w14:paraId="67038D72" w14:textId="77777777" w:rsidTr="005725B2">
        <w:trPr>
          <w:trHeight w:val="310"/>
          <w:tblHeader/>
          <w:jc w:val="center"/>
        </w:trPr>
        <w:tc>
          <w:tcPr>
            <w:tcW w:w="5397" w:type="dxa"/>
            <w:vMerge/>
            <w:tcBorders>
              <w:left w:val="single" w:sz="4" w:space="0" w:color="auto"/>
              <w:bottom w:val="single" w:sz="4" w:space="0" w:color="auto"/>
              <w:right w:val="single" w:sz="4" w:space="0" w:color="auto"/>
            </w:tcBorders>
            <w:shd w:val="clear" w:color="000000" w:fill="9BC2E6"/>
            <w:noWrap/>
            <w:vAlign w:val="center"/>
            <w:hideMark/>
          </w:tcPr>
          <w:p w14:paraId="7ED896CE" w14:textId="13E810DB" w:rsidR="005725B2" w:rsidRPr="001542B6" w:rsidRDefault="005725B2" w:rsidP="00FF4199">
            <w:pPr>
              <w:spacing w:after="0"/>
              <w:ind w:firstLine="0"/>
              <w:jc w:val="left"/>
              <w:rPr>
                <w:rFonts w:eastAsia="Times New Roman" w:cs="Times New Roman"/>
                <w:color w:val="FF0000"/>
                <w:sz w:val="18"/>
                <w:szCs w:val="18"/>
              </w:rPr>
            </w:pPr>
          </w:p>
        </w:tc>
        <w:tc>
          <w:tcPr>
            <w:tcW w:w="3108" w:type="dxa"/>
            <w:gridSpan w:val="3"/>
            <w:tcBorders>
              <w:top w:val="single" w:sz="4" w:space="0" w:color="auto"/>
              <w:left w:val="nil"/>
              <w:bottom w:val="single" w:sz="4" w:space="0" w:color="auto"/>
              <w:right w:val="single" w:sz="4" w:space="0" w:color="auto"/>
            </w:tcBorders>
            <w:shd w:val="clear" w:color="000000" w:fill="9BC2E6"/>
            <w:noWrap/>
            <w:vAlign w:val="center"/>
            <w:hideMark/>
          </w:tcPr>
          <w:p w14:paraId="561E6488" w14:textId="77777777" w:rsidR="005725B2" w:rsidRPr="001542B6" w:rsidRDefault="005725B2"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xml:space="preserve">milj. </w:t>
            </w:r>
            <w:r w:rsidRPr="001542B6">
              <w:rPr>
                <w:rFonts w:eastAsia="Times New Roman" w:cs="Times New Roman"/>
                <w:i/>
                <w:iCs/>
                <w:color w:val="000000"/>
                <w:sz w:val="18"/>
                <w:szCs w:val="18"/>
              </w:rPr>
              <w:t>euro</w:t>
            </w:r>
          </w:p>
        </w:tc>
      </w:tr>
      <w:tr w:rsidR="00FF4199" w:rsidRPr="00FF4199" w14:paraId="1CC89AF7" w14:textId="77777777" w:rsidTr="005725B2">
        <w:trPr>
          <w:trHeight w:val="310"/>
          <w:jc w:val="center"/>
        </w:trPr>
        <w:tc>
          <w:tcPr>
            <w:tcW w:w="8505" w:type="dxa"/>
            <w:gridSpan w:val="4"/>
            <w:tcBorders>
              <w:top w:val="single" w:sz="4" w:space="0" w:color="auto"/>
              <w:left w:val="single" w:sz="4" w:space="0" w:color="auto"/>
              <w:bottom w:val="single" w:sz="4" w:space="0" w:color="auto"/>
              <w:right w:val="nil"/>
            </w:tcBorders>
            <w:shd w:val="clear" w:color="000000" w:fill="BDD7EE"/>
            <w:noWrap/>
            <w:vAlign w:val="center"/>
            <w:hideMark/>
          </w:tcPr>
          <w:p w14:paraId="0E5638AA" w14:textId="77777777" w:rsidR="00FF4199" w:rsidRPr="001542B6" w:rsidRDefault="00FF4199" w:rsidP="00FF4199">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Izdevumu pārskatīšana</w:t>
            </w:r>
          </w:p>
        </w:tc>
      </w:tr>
      <w:tr w:rsidR="00FF4199" w:rsidRPr="00FF4199" w14:paraId="137CE83D" w14:textId="77777777" w:rsidTr="005725B2">
        <w:trPr>
          <w:trHeight w:val="310"/>
          <w:jc w:val="center"/>
        </w:trPr>
        <w:tc>
          <w:tcPr>
            <w:tcW w:w="5397" w:type="dxa"/>
            <w:tcBorders>
              <w:top w:val="nil"/>
              <w:left w:val="single" w:sz="4" w:space="0" w:color="auto"/>
              <w:bottom w:val="single" w:sz="4" w:space="0" w:color="auto"/>
              <w:right w:val="nil"/>
            </w:tcBorders>
            <w:noWrap/>
            <w:vAlign w:val="center"/>
            <w:hideMark/>
          </w:tcPr>
          <w:p w14:paraId="56EDBAF7"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Izdevumu samazinājums ministrijās</w:t>
            </w:r>
          </w:p>
        </w:tc>
        <w:tc>
          <w:tcPr>
            <w:tcW w:w="1036" w:type="dxa"/>
            <w:tcBorders>
              <w:top w:val="nil"/>
              <w:left w:val="single" w:sz="4" w:space="0" w:color="auto"/>
              <w:bottom w:val="single" w:sz="4" w:space="0" w:color="auto"/>
              <w:right w:val="single" w:sz="4" w:space="0" w:color="auto"/>
            </w:tcBorders>
            <w:noWrap/>
            <w:vAlign w:val="center"/>
            <w:hideMark/>
          </w:tcPr>
          <w:p w14:paraId="792A6946"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-98,9</w:t>
            </w:r>
          </w:p>
        </w:tc>
        <w:tc>
          <w:tcPr>
            <w:tcW w:w="1036" w:type="dxa"/>
            <w:tcBorders>
              <w:top w:val="nil"/>
              <w:left w:val="nil"/>
              <w:bottom w:val="single" w:sz="4" w:space="0" w:color="auto"/>
              <w:right w:val="single" w:sz="4" w:space="0" w:color="auto"/>
            </w:tcBorders>
            <w:noWrap/>
            <w:vAlign w:val="center"/>
            <w:hideMark/>
          </w:tcPr>
          <w:p w14:paraId="6B159092"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-78,0</w:t>
            </w:r>
          </w:p>
        </w:tc>
        <w:tc>
          <w:tcPr>
            <w:tcW w:w="1036" w:type="dxa"/>
            <w:tcBorders>
              <w:top w:val="nil"/>
              <w:left w:val="nil"/>
              <w:bottom w:val="single" w:sz="4" w:space="0" w:color="auto"/>
              <w:right w:val="single" w:sz="4" w:space="0" w:color="auto"/>
            </w:tcBorders>
            <w:noWrap/>
            <w:vAlign w:val="center"/>
            <w:hideMark/>
          </w:tcPr>
          <w:p w14:paraId="355831D7"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-79,3</w:t>
            </w:r>
          </w:p>
        </w:tc>
      </w:tr>
      <w:tr w:rsidR="00FF4199" w:rsidRPr="00FF4199" w14:paraId="27B47B85" w14:textId="77777777" w:rsidTr="005725B2">
        <w:trPr>
          <w:trHeight w:val="310"/>
          <w:jc w:val="center"/>
        </w:trPr>
        <w:tc>
          <w:tcPr>
            <w:tcW w:w="5397" w:type="dxa"/>
            <w:tcBorders>
              <w:top w:val="nil"/>
              <w:left w:val="single" w:sz="4" w:space="0" w:color="auto"/>
              <w:bottom w:val="single" w:sz="4" w:space="0" w:color="auto"/>
              <w:right w:val="nil"/>
            </w:tcBorders>
            <w:noWrap/>
            <w:vAlign w:val="center"/>
            <w:hideMark/>
          </w:tcPr>
          <w:p w14:paraId="39E62B8D" w14:textId="30AFF6CF"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Izdevumu samazinājums nea</w:t>
            </w:r>
            <w:r>
              <w:rPr>
                <w:rFonts w:eastAsia="Times New Roman" w:cs="Times New Roman"/>
                <w:color w:val="000000"/>
                <w:sz w:val="18"/>
                <w:szCs w:val="18"/>
              </w:rPr>
              <w:t>tk</w:t>
            </w:r>
            <w:r w:rsidRPr="001542B6">
              <w:rPr>
                <w:rFonts w:eastAsia="Times New Roman" w:cs="Times New Roman"/>
                <w:color w:val="000000"/>
                <w:sz w:val="18"/>
                <w:szCs w:val="18"/>
              </w:rPr>
              <w:t>arīgajās institūcijas</w:t>
            </w:r>
          </w:p>
        </w:tc>
        <w:tc>
          <w:tcPr>
            <w:tcW w:w="1036" w:type="dxa"/>
            <w:tcBorders>
              <w:top w:val="nil"/>
              <w:left w:val="single" w:sz="4" w:space="0" w:color="auto"/>
              <w:bottom w:val="single" w:sz="4" w:space="0" w:color="auto"/>
              <w:right w:val="single" w:sz="4" w:space="0" w:color="auto"/>
            </w:tcBorders>
            <w:noWrap/>
            <w:vAlign w:val="center"/>
            <w:hideMark/>
          </w:tcPr>
          <w:p w14:paraId="4E218D53"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-1,2</w:t>
            </w:r>
          </w:p>
        </w:tc>
        <w:tc>
          <w:tcPr>
            <w:tcW w:w="1036" w:type="dxa"/>
            <w:tcBorders>
              <w:top w:val="nil"/>
              <w:left w:val="nil"/>
              <w:bottom w:val="single" w:sz="4" w:space="0" w:color="auto"/>
              <w:right w:val="single" w:sz="4" w:space="0" w:color="auto"/>
            </w:tcBorders>
            <w:noWrap/>
            <w:vAlign w:val="center"/>
            <w:hideMark/>
          </w:tcPr>
          <w:p w14:paraId="78377F77"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-2,5</w:t>
            </w:r>
          </w:p>
        </w:tc>
        <w:tc>
          <w:tcPr>
            <w:tcW w:w="1036" w:type="dxa"/>
            <w:tcBorders>
              <w:top w:val="nil"/>
              <w:left w:val="nil"/>
              <w:bottom w:val="single" w:sz="4" w:space="0" w:color="auto"/>
              <w:right w:val="single" w:sz="4" w:space="0" w:color="auto"/>
            </w:tcBorders>
            <w:noWrap/>
            <w:vAlign w:val="center"/>
            <w:hideMark/>
          </w:tcPr>
          <w:p w14:paraId="04220207"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-4,1</w:t>
            </w:r>
          </w:p>
        </w:tc>
      </w:tr>
      <w:tr w:rsidR="00FF4199" w:rsidRPr="00FF4199" w14:paraId="056FDD45" w14:textId="77777777" w:rsidTr="005725B2">
        <w:trPr>
          <w:trHeight w:val="310"/>
          <w:jc w:val="center"/>
        </w:trPr>
        <w:tc>
          <w:tcPr>
            <w:tcW w:w="5397" w:type="dxa"/>
            <w:tcBorders>
              <w:top w:val="nil"/>
              <w:left w:val="single" w:sz="4" w:space="0" w:color="auto"/>
              <w:bottom w:val="single" w:sz="4" w:space="0" w:color="auto"/>
              <w:right w:val="nil"/>
            </w:tcBorders>
            <w:noWrap/>
            <w:vAlign w:val="center"/>
            <w:hideMark/>
          </w:tcPr>
          <w:p w14:paraId="51F360E7"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Izdevumu samazinājums pašvaldību budžetā (precizēta nodokļu reformas ietekmes kompensācija)</w:t>
            </w:r>
          </w:p>
        </w:tc>
        <w:tc>
          <w:tcPr>
            <w:tcW w:w="1036" w:type="dxa"/>
            <w:tcBorders>
              <w:top w:val="nil"/>
              <w:left w:val="single" w:sz="4" w:space="0" w:color="auto"/>
              <w:bottom w:val="single" w:sz="4" w:space="0" w:color="auto"/>
              <w:right w:val="single" w:sz="4" w:space="0" w:color="auto"/>
            </w:tcBorders>
            <w:noWrap/>
            <w:vAlign w:val="center"/>
            <w:hideMark/>
          </w:tcPr>
          <w:p w14:paraId="00D9519E"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-58,7</w:t>
            </w:r>
          </w:p>
        </w:tc>
        <w:tc>
          <w:tcPr>
            <w:tcW w:w="1036" w:type="dxa"/>
            <w:tcBorders>
              <w:top w:val="nil"/>
              <w:left w:val="nil"/>
              <w:bottom w:val="single" w:sz="4" w:space="0" w:color="auto"/>
              <w:right w:val="single" w:sz="4" w:space="0" w:color="auto"/>
            </w:tcBorders>
            <w:noWrap/>
            <w:vAlign w:val="center"/>
            <w:hideMark/>
          </w:tcPr>
          <w:p w14:paraId="2C1CC9C1"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-63,0</w:t>
            </w:r>
          </w:p>
        </w:tc>
        <w:tc>
          <w:tcPr>
            <w:tcW w:w="1036" w:type="dxa"/>
            <w:tcBorders>
              <w:top w:val="nil"/>
              <w:left w:val="nil"/>
              <w:bottom w:val="single" w:sz="4" w:space="0" w:color="auto"/>
              <w:right w:val="single" w:sz="4" w:space="0" w:color="auto"/>
            </w:tcBorders>
            <w:noWrap/>
            <w:vAlign w:val="center"/>
            <w:hideMark/>
          </w:tcPr>
          <w:p w14:paraId="6774C329"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-57,6</w:t>
            </w:r>
          </w:p>
        </w:tc>
      </w:tr>
      <w:tr w:rsidR="00FF4199" w:rsidRPr="00FF4199" w14:paraId="7177BC76" w14:textId="77777777" w:rsidTr="005725B2">
        <w:trPr>
          <w:trHeight w:val="310"/>
          <w:jc w:val="center"/>
        </w:trPr>
        <w:tc>
          <w:tcPr>
            <w:tcW w:w="5397" w:type="dxa"/>
            <w:tcBorders>
              <w:top w:val="nil"/>
              <w:left w:val="single" w:sz="4" w:space="0" w:color="auto"/>
              <w:bottom w:val="single" w:sz="4" w:space="0" w:color="auto"/>
              <w:right w:val="nil"/>
            </w:tcBorders>
            <w:noWrap/>
            <w:vAlign w:val="center"/>
            <w:hideMark/>
          </w:tcPr>
          <w:p w14:paraId="2F8841EF"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 xml:space="preserve">Cits izdevumu samazinājums </w:t>
            </w:r>
          </w:p>
        </w:tc>
        <w:tc>
          <w:tcPr>
            <w:tcW w:w="1036" w:type="dxa"/>
            <w:tcBorders>
              <w:top w:val="nil"/>
              <w:left w:val="single" w:sz="4" w:space="0" w:color="auto"/>
              <w:bottom w:val="single" w:sz="4" w:space="0" w:color="auto"/>
              <w:right w:val="single" w:sz="4" w:space="0" w:color="auto"/>
            </w:tcBorders>
            <w:noWrap/>
            <w:vAlign w:val="center"/>
            <w:hideMark/>
          </w:tcPr>
          <w:p w14:paraId="19564B90"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-12,3</w:t>
            </w:r>
          </w:p>
        </w:tc>
        <w:tc>
          <w:tcPr>
            <w:tcW w:w="1036" w:type="dxa"/>
            <w:tcBorders>
              <w:top w:val="nil"/>
              <w:left w:val="nil"/>
              <w:bottom w:val="single" w:sz="4" w:space="0" w:color="auto"/>
              <w:right w:val="single" w:sz="4" w:space="0" w:color="auto"/>
            </w:tcBorders>
            <w:noWrap/>
            <w:vAlign w:val="center"/>
            <w:hideMark/>
          </w:tcPr>
          <w:p w14:paraId="1E9D8FB5"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-11,7</w:t>
            </w:r>
          </w:p>
        </w:tc>
        <w:tc>
          <w:tcPr>
            <w:tcW w:w="1036" w:type="dxa"/>
            <w:tcBorders>
              <w:top w:val="nil"/>
              <w:left w:val="nil"/>
              <w:bottom w:val="single" w:sz="4" w:space="0" w:color="auto"/>
              <w:right w:val="single" w:sz="4" w:space="0" w:color="auto"/>
            </w:tcBorders>
            <w:noWrap/>
            <w:vAlign w:val="center"/>
            <w:hideMark/>
          </w:tcPr>
          <w:p w14:paraId="1D9ED5AB"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-11,7</w:t>
            </w:r>
          </w:p>
        </w:tc>
      </w:tr>
      <w:tr w:rsidR="00FF4199" w:rsidRPr="00FF4199" w14:paraId="200A441B" w14:textId="77777777" w:rsidTr="005725B2">
        <w:trPr>
          <w:trHeight w:val="310"/>
          <w:jc w:val="center"/>
        </w:trPr>
        <w:tc>
          <w:tcPr>
            <w:tcW w:w="5397" w:type="dxa"/>
            <w:tcBorders>
              <w:top w:val="nil"/>
              <w:left w:val="single" w:sz="4" w:space="0" w:color="auto"/>
              <w:bottom w:val="single" w:sz="4" w:space="0" w:color="auto"/>
              <w:right w:val="nil"/>
            </w:tcBorders>
            <w:shd w:val="clear" w:color="000000" w:fill="DDEBF7"/>
            <w:noWrap/>
            <w:vAlign w:val="center"/>
            <w:hideMark/>
          </w:tcPr>
          <w:p w14:paraId="1985F5AD" w14:textId="77777777" w:rsidR="00FF4199" w:rsidRPr="001542B6" w:rsidRDefault="00FF4199" w:rsidP="00FF4199">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Izdevumu pārskatīšana kopā</w:t>
            </w:r>
          </w:p>
        </w:tc>
        <w:tc>
          <w:tcPr>
            <w:tcW w:w="1036" w:type="dxa"/>
            <w:tcBorders>
              <w:top w:val="nil"/>
              <w:left w:val="single" w:sz="4" w:space="0" w:color="auto"/>
              <w:bottom w:val="single" w:sz="4" w:space="0" w:color="auto"/>
              <w:right w:val="single" w:sz="4" w:space="0" w:color="auto"/>
            </w:tcBorders>
            <w:shd w:val="clear" w:color="000000" w:fill="DDEBF7"/>
            <w:noWrap/>
            <w:vAlign w:val="center"/>
            <w:hideMark/>
          </w:tcPr>
          <w:p w14:paraId="432EBC99"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-171,1</w:t>
            </w:r>
          </w:p>
        </w:tc>
        <w:tc>
          <w:tcPr>
            <w:tcW w:w="1036" w:type="dxa"/>
            <w:tcBorders>
              <w:top w:val="nil"/>
              <w:left w:val="nil"/>
              <w:bottom w:val="single" w:sz="4" w:space="0" w:color="auto"/>
              <w:right w:val="single" w:sz="4" w:space="0" w:color="auto"/>
            </w:tcBorders>
            <w:shd w:val="clear" w:color="000000" w:fill="DDEBF7"/>
            <w:noWrap/>
            <w:vAlign w:val="center"/>
            <w:hideMark/>
          </w:tcPr>
          <w:p w14:paraId="73060FBF"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-155,2</w:t>
            </w:r>
          </w:p>
        </w:tc>
        <w:tc>
          <w:tcPr>
            <w:tcW w:w="1036" w:type="dxa"/>
            <w:tcBorders>
              <w:top w:val="nil"/>
              <w:left w:val="nil"/>
              <w:bottom w:val="single" w:sz="4" w:space="0" w:color="auto"/>
              <w:right w:val="single" w:sz="4" w:space="0" w:color="auto"/>
            </w:tcBorders>
            <w:shd w:val="clear" w:color="000000" w:fill="DDEBF7"/>
            <w:noWrap/>
            <w:vAlign w:val="center"/>
            <w:hideMark/>
          </w:tcPr>
          <w:p w14:paraId="4A970E3E"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-152,8</w:t>
            </w:r>
          </w:p>
        </w:tc>
      </w:tr>
      <w:tr w:rsidR="00FF4199" w:rsidRPr="00FF4199" w14:paraId="15D442F1" w14:textId="77777777" w:rsidTr="005725B2">
        <w:trPr>
          <w:trHeight w:val="310"/>
          <w:jc w:val="center"/>
        </w:trPr>
        <w:tc>
          <w:tcPr>
            <w:tcW w:w="5397" w:type="dxa"/>
            <w:tcBorders>
              <w:top w:val="nil"/>
              <w:left w:val="single" w:sz="4" w:space="0" w:color="auto"/>
              <w:bottom w:val="single" w:sz="4" w:space="0" w:color="auto"/>
              <w:right w:val="nil"/>
            </w:tcBorders>
            <w:shd w:val="clear" w:color="auto" w:fill="BDD6EE" w:themeFill="accent1" w:themeFillTint="66"/>
            <w:noWrap/>
            <w:vAlign w:val="center"/>
            <w:hideMark/>
          </w:tcPr>
          <w:p w14:paraId="44E382A5" w14:textId="77777777" w:rsidR="00FF4199" w:rsidRPr="001542B6" w:rsidRDefault="00FF4199" w:rsidP="00FF4199">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Atbalsts Ukrainas civiliedzīvotājiem</w:t>
            </w:r>
          </w:p>
        </w:tc>
        <w:tc>
          <w:tcPr>
            <w:tcW w:w="1036" w:type="dxa"/>
            <w:tcBorders>
              <w:top w:val="nil"/>
              <w:left w:val="nil"/>
              <w:bottom w:val="single" w:sz="4" w:space="0" w:color="auto"/>
              <w:right w:val="nil"/>
            </w:tcBorders>
            <w:shd w:val="clear" w:color="000000" w:fill="BDD7EE"/>
            <w:noWrap/>
            <w:vAlign w:val="center"/>
            <w:hideMark/>
          </w:tcPr>
          <w:p w14:paraId="6717CEAD"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 </w:t>
            </w:r>
          </w:p>
        </w:tc>
        <w:tc>
          <w:tcPr>
            <w:tcW w:w="1036" w:type="dxa"/>
            <w:tcBorders>
              <w:top w:val="nil"/>
              <w:left w:val="nil"/>
              <w:bottom w:val="single" w:sz="4" w:space="0" w:color="auto"/>
              <w:right w:val="nil"/>
            </w:tcBorders>
            <w:shd w:val="clear" w:color="000000" w:fill="BDD7EE"/>
            <w:noWrap/>
            <w:vAlign w:val="center"/>
            <w:hideMark/>
          </w:tcPr>
          <w:p w14:paraId="1760C1C7"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 </w:t>
            </w:r>
          </w:p>
        </w:tc>
        <w:tc>
          <w:tcPr>
            <w:tcW w:w="1036" w:type="dxa"/>
            <w:tcBorders>
              <w:top w:val="nil"/>
              <w:left w:val="nil"/>
              <w:bottom w:val="single" w:sz="4" w:space="0" w:color="auto"/>
              <w:right w:val="nil"/>
            </w:tcBorders>
            <w:shd w:val="clear" w:color="000000" w:fill="BDD7EE"/>
            <w:noWrap/>
            <w:vAlign w:val="center"/>
            <w:hideMark/>
          </w:tcPr>
          <w:p w14:paraId="75F6BD97"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 </w:t>
            </w:r>
          </w:p>
        </w:tc>
      </w:tr>
      <w:tr w:rsidR="00FF4199" w:rsidRPr="00FF4199" w14:paraId="4086B4C8" w14:textId="77777777" w:rsidTr="005725B2">
        <w:trPr>
          <w:trHeight w:val="310"/>
          <w:jc w:val="center"/>
        </w:trPr>
        <w:tc>
          <w:tcPr>
            <w:tcW w:w="5397" w:type="dxa"/>
            <w:tcBorders>
              <w:top w:val="nil"/>
              <w:left w:val="single" w:sz="4" w:space="0" w:color="auto"/>
              <w:bottom w:val="single" w:sz="4" w:space="0" w:color="auto"/>
              <w:right w:val="single" w:sz="4" w:space="0" w:color="auto"/>
            </w:tcBorders>
            <w:noWrap/>
            <w:vAlign w:val="center"/>
            <w:hideMark/>
          </w:tcPr>
          <w:p w14:paraId="0B18DF69"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Atbalsts Ukrainas civiliedzīvotājiem</w:t>
            </w:r>
          </w:p>
        </w:tc>
        <w:tc>
          <w:tcPr>
            <w:tcW w:w="1036" w:type="dxa"/>
            <w:tcBorders>
              <w:top w:val="nil"/>
              <w:left w:val="nil"/>
              <w:bottom w:val="single" w:sz="4" w:space="0" w:color="auto"/>
              <w:right w:val="single" w:sz="4" w:space="0" w:color="auto"/>
            </w:tcBorders>
            <w:noWrap/>
            <w:vAlign w:val="center"/>
            <w:hideMark/>
          </w:tcPr>
          <w:p w14:paraId="543F7A0A"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39,7</w:t>
            </w:r>
          </w:p>
        </w:tc>
        <w:tc>
          <w:tcPr>
            <w:tcW w:w="1036" w:type="dxa"/>
            <w:tcBorders>
              <w:top w:val="nil"/>
              <w:left w:val="nil"/>
              <w:bottom w:val="single" w:sz="4" w:space="0" w:color="auto"/>
              <w:right w:val="single" w:sz="4" w:space="0" w:color="auto"/>
            </w:tcBorders>
            <w:noWrap/>
            <w:vAlign w:val="center"/>
            <w:hideMark/>
          </w:tcPr>
          <w:p w14:paraId="2239A2A2"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 </w:t>
            </w:r>
          </w:p>
        </w:tc>
        <w:tc>
          <w:tcPr>
            <w:tcW w:w="1036" w:type="dxa"/>
            <w:tcBorders>
              <w:top w:val="nil"/>
              <w:left w:val="nil"/>
              <w:bottom w:val="single" w:sz="4" w:space="0" w:color="auto"/>
              <w:right w:val="single" w:sz="4" w:space="0" w:color="auto"/>
            </w:tcBorders>
            <w:noWrap/>
            <w:vAlign w:val="center"/>
            <w:hideMark/>
          </w:tcPr>
          <w:p w14:paraId="1820E1E4"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 </w:t>
            </w:r>
          </w:p>
        </w:tc>
      </w:tr>
      <w:tr w:rsidR="00FF4199" w:rsidRPr="00FF4199" w14:paraId="78DBE067" w14:textId="77777777" w:rsidTr="005725B2">
        <w:trPr>
          <w:trHeight w:val="310"/>
          <w:jc w:val="center"/>
        </w:trPr>
        <w:tc>
          <w:tcPr>
            <w:tcW w:w="5397" w:type="dxa"/>
            <w:tcBorders>
              <w:top w:val="nil"/>
              <w:left w:val="single" w:sz="4" w:space="0" w:color="auto"/>
              <w:bottom w:val="single" w:sz="4" w:space="0" w:color="auto"/>
              <w:right w:val="single" w:sz="4" w:space="0" w:color="auto"/>
            </w:tcBorders>
            <w:shd w:val="clear" w:color="000000" w:fill="DDEBF7"/>
            <w:noWrap/>
            <w:vAlign w:val="center"/>
            <w:hideMark/>
          </w:tcPr>
          <w:p w14:paraId="0AD2250A" w14:textId="77777777" w:rsidR="00FF4199" w:rsidRPr="001542B6" w:rsidRDefault="00FF4199" w:rsidP="00FF4199">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Atbalsts Ukrainas civiliedzīvotājiem kopā</w:t>
            </w:r>
          </w:p>
        </w:tc>
        <w:tc>
          <w:tcPr>
            <w:tcW w:w="1036" w:type="dxa"/>
            <w:tcBorders>
              <w:top w:val="nil"/>
              <w:left w:val="nil"/>
              <w:bottom w:val="single" w:sz="4" w:space="0" w:color="auto"/>
              <w:right w:val="single" w:sz="4" w:space="0" w:color="auto"/>
            </w:tcBorders>
            <w:shd w:val="clear" w:color="000000" w:fill="DDEBF7"/>
            <w:noWrap/>
            <w:vAlign w:val="center"/>
            <w:hideMark/>
          </w:tcPr>
          <w:p w14:paraId="3AE3B5F1"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39,7</w:t>
            </w:r>
          </w:p>
        </w:tc>
        <w:tc>
          <w:tcPr>
            <w:tcW w:w="1036" w:type="dxa"/>
            <w:tcBorders>
              <w:top w:val="nil"/>
              <w:left w:val="nil"/>
              <w:bottom w:val="single" w:sz="4" w:space="0" w:color="auto"/>
              <w:right w:val="single" w:sz="4" w:space="0" w:color="auto"/>
            </w:tcBorders>
            <w:shd w:val="clear" w:color="000000" w:fill="DDEBF7"/>
            <w:noWrap/>
            <w:vAlign w:val="center"/>
            <w:hideMark/>
          </w:tcPr>
          <w:p w14:paraId="4CC7B910"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 </w:t>
            </w:r>
          </w:p>
        </w:tc>
        <w:tc>
          <w:tcPr>
            <w:tcW w:w="1036" w:type="dxa"/>
            <w:tcBorders>
              <w:top w:val="nil"/>
              <w:left w:val="nil"/>
              <w:bottom w:val="single" w:sz="4" w:space="0" w:color="auto"/>
              <w:right w:val="single" w:sz="4" w:space="0" w:color="auto"/>
            </w:tcBorders>
            <w:shd w:val="clear" w:color="000000" w:fill="DDEBF7"/>
            <w:noWrap/>
            <w:vAlign w:val="center"/>
            <w:hideMark/>
          </w:tcPr>
          <w:p w14:paraId="251384D7"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 </w:t>
            </w:r>
          </w:p>
        </w:tc>
      </w:tr>
      <w:tr w:rsidR="00FF4199" w:rsidRPr="00FF4199" w14:paraId="04B9A6BD" w14:textId="77777777" w:rsidTr="005725B2">
        <w:trPr>
          <w:trHeight w:val="310"/>
          <w:jc w:val="center"/>
        </w:trPr>
        <w:tc>
          <w:tcPr>
            <w:tcW w:w="8505" w:type="dxa"/>
            <w:gridSpan w:val="4"/>
            <w:tcBorders>
              <w:top w:val="single" w:sz="4" w:space="0" w:color="auto"/>
              <w:left w:val="single" w:sz="4" w:space="0" w:color="auto"/>
              <w:bottom w:val="single" w:sz="4" w:space="0" w:color="auto"/>
              <w:right w:val="nil"/>
            </w:tcBorders>
            <w:shd w:val="clear" w:color="000000" w:fill="BDD7EE"/>
            <w:noWrap/>
            <w:vAlign w:val="center"/>
            <w:hideMark/>
          </w:tcPr>
          <w:p w14:paraId="263CC761" w14:textId="77777777" w:rsidR="00FF4199" w:rsidRPr="001542B6" w:rsidRDefault="00FF4199" w:rsidP="00FF4199">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Prioritārie pasākumi</w:t>
            </w:r>
          </w:p>
        </w:tc>
      </w:tr>
      <w:tr w:rsidR="00FF4199" w:rsidRPr="00FF4199" w14:paraId="478B30B0" w14:textId="77777777" w:rsidTr="005725B2">
        <w:trPr>
          <w:trHeight w:val="300"/>
          <w:jc w:val="center"/>
        </w:trPr>
        <w:tc>
          <w:tcPr>
            <w:tcW w:w="5397"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613E539C" w14:textId="77777777" w:rsidR="00FF4199" w:rsidRPr="001542B6" w:rsidRDefault="00FF4199" w:rsidP="001542B6">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Valdības prioritātes</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2F1A754B"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145,9</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25128E1F"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183,3</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53E306DD"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198,0</w:t>
            </w:r>
          </w:p>
        </w:tc>
      </w:tr>
      <w:tr w:rsidR="00FF4199" w:rsidRPr="00FF4199" w14:paraId="33409A70" w14:textId="77777777" w:rsidTr="005725B2">
        <w:trPr>
          <w:trHeight w:val="310"/>
          <w:jc w:val="center"/>
        </w:trPr>
        <w:tc>
          <w:tcPr>
            <w:tcW w:w="5397" w:type="dxa"/>
            <w:tcBorders>
              <w:top w:val="nil"/>
              <w:left w:val="single" w:sz="4" w:space="0" w:color="auto"/>
              <w:bottom w:val="single" w:sz="4" w:space="0" w:color="auto"/>
              <w:right w:val="single" w:sz="4" w:space="0" w:color="auto"/>
            </w:tcBorders>
            <w:vAlign w:val="center"/>
            <w:hideMark/>
          </w:tcPr>
          <w:p w14:paraId="41D7B910" w14:textId="77777777" w:rsidR="00FF4199" w:rsidRPr="001542B6" w:rsidRDefault="00FF4199" w:rsidP="001542B6">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Ar iekšējo drošību saistītie pasākumi</w:t>
            </w:r>
          </w:p>
        </w:tc>
        <w:tc>
          <w:tcPr>
            <w:tcW w:w="1036" w:type="dxa"/>
            <w:tcBorders>
              <w:top w:val="nil"/>
              <w:left w:val="nil"/>
              <w:bottom w:val="single" w:sz="4" w:space="0" w:color="auto"/>
              <w:right w:val="single" w:sz="4" w:space="0" w:color="auto"/>
            </w:tcBorders>
            <w:noWrap/>
            <w:vAlign w:val="center"/>
            <w:hideMark/>
          </w:tcPr>
          <w:p w14:paraId="0BE36E96"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6,0</w:t>
            </w:r>
          </w:p>
        </w:tc>
        <w:tc>
          <w:tcPr>
            <w:tcW w:w="1036" w:type="dxa"/>
            <w:tcBorders>
              <w:top w:val="nil"/>
              <w:left w:val="nil"/>
              <w:bottom w:val="single" w:sz="4" w:space="0" w:color="auto"/>
              <w:right w:val="single" w:sz="4" w:space="0" w:color="auto"/>
            </w:tcBorders>
            <w:noWrap/>
            <w:vAlign w:val="center"/>
            <w:hideMark/>
          </w:tcPr>
          <w:p w14:paraId="2F1626D1"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3,8</w:t>
            </w:r>
          </w:p>
        </w:tc>
        <w:tc>
          <w:tcPr>
            <w:tcW w:w="1036" w:type="dxa"/>
            <w:tcBorders>
              <w:top w:val="nil"/>
              <w:left w:val="nil"/>
              <w:bottom w:val="single" w:sz="4" w:space="0" w:color="auto"/>
              <w:right w:val="single" w:sz="4" w:space="0" w:color="auto"/>
            </w:tcBorders>
            <w:noWrap/>
            <w:vAlign w:val="center"/>
            <w:hideMark/>
          </w:tcPr>
          <w:p w14:paraId="7FDBEDD9"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3,7</w:t>
            </w:r>
          </w:p>
        </w:tc>
      </w:tr>
      <w:tr w:rsidR="00FF4199" w:rsidRPr="00FF4199" w14:paraId="6ACF2B32" w14:textId="77777777" w:rsidTr="005725B2">
        <w:trPr>
          <w:trHeight w:val="313"/>
          <w:jc w:val="center"/>
        </w:trPr>
        <w:tc>
          <w:tcPr>
            <w:tcW w:w="5397" w:type="dxa"/>
            <w:tcBorders>
              <w:top w:val="nil"/>
              <w:left w:val="single" w:sz="4" w:space="0" w:color="auto"/>
              <w:bottom w:val="single" w:sz="4" w:space="0" w:color="auto"/>
              <w:right w:val="single" w:sz="4" w:space="0" w:color="auto"/>
            </w:tcBorders>
            <w:noWrap/>
            <w:vAlign w:val="center"/>
            <w:hideMark/>
          </w:tcPr>
          <w:p w14:paraId="50719739" w14:textId="12EA4772" w:rsidR="00FF4199" w:rsidRPr="001542B6" w:rsidRDefault="00FF4199" w:rsidP="001542B6">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lastRenderedPageBreak/>
              <w:t xml:space="preserve">Finansēšanas modeļa </w:t>
            </w:r>
            <w:r w:rsidR="005725B2">
              <w:rPr>
                <w:rFonts w:eastAsia="Times New Roman" w:cs="Times New Roman"/>
                <w:color w:val="000000"/>
                <w:sz w:val="18"/>
                <w:szCs w:val="18"/>
              </w:rPr>
              <w:t>“</w:t>
            </w:r>
            <w:r w:rsidRPr="001542B6">
              <w:rPr>
                <w:rFonts w:eastAsia="Times New Roman" w:cs="Times New Roman"/>
                <w:color w:val="000000"/>
                <w:sz w:val="18"/>
                <w:szCs w:val="18"/>
              </w:rPr>
              <w:t>Programma skolā</w:t>
            </w:r>
            <w:r w:rsidR="005725B2">
              <w:rPr>
                <w:rFonts w:eastAsia="Times New Roman" w:cs="Times New Roman"/>
                <w:color w:val="000000"/>
                <w:sz w:val="18"/>
                <w:szCs w:val="18"/>
              </w:rPr>
              <w:t>”</w:t>
            </w:r>
            <w:r w:rsidRPr="001542B6">
              <w:rPr>
                <w:rFonts w:eastAsia="Times New Roman" w:cs="Times New Roman"/>
                <w:color w:val="000000"/>
                <w:sz w:val="18"/>
                <w:szCs w:val="18"/>
              </w:rPr>
              <w:t xml:space="preserve"> ieviešana</w:t>
            </w:r>
          </w:p>
        </w:tc>
        <w:tc>
          <w:tcPr>
            <w:tcW w:w="1036" w:type="dxa"/>
            <w:tcBorders>
              <w:top w:val="nil"/>
              <w:left w:val="nil"/>
              <w:bottom w:val="single" w:sz="4" w:space="0" w:color="auto"/>
              <w:right w:val="single" w:sz="4" w:space="0" w:color="auto"/>
            </w:tcBorders>
            <w:noWrap/>
            <w:vAlign w:val="center"/>
            <w:hideMark/>
          </w:tcPr>
          <w:p w14:paraId="30C34C0F"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45,0</w:t>
            </w:r>
          </w:p>
        </w:tc>
        <w:tc>
          <w:tcPr>
            <w:tcW w:w="1036" w:type="dxa"/>
            <w:tcBorders>
              <w:top w:val="nil"/>
              <w:left w:val="nil"/>
              <w:bottom w:val="single" w:sz="4" w:space="0" w:color="auto"/>
              <w:right w:val="single" w:sz="4" w:space="0" w:color="auto"/>
            </w:tcBorders>
            <w:noWrap/>
            <w:vAlign w:val="center"/>
            <w:hideMark/>
          </w:tcPr>
          <w:p w14:paraId="4F49B9EF"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90,6</w:t>
            </w:r>
          </w:p>
        </w:tc>
        <w:tc>
          <w:tcPr>
            <w:tcW w:w="1036" w:type="dxa"/>
            <w:tcBorders>
              <w:top w:val="nil"/>
              <w:left w:val="nil"/>
              <w:bottom w:val="single" w:sz="4" w:space="0" w:color="auto"/>
              <w:right w:val="single" w:sz="4" w:space="0" w:color="auto"/>
            </w:tcBorders>
            <w:noWrap/>
            <w:vAlign w:val="center"/>
            <w:hideMark/>
          </w:tcPr>
          <w:p w14:paraId="5A6EE189"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86,6</w:t>
            </w:r>
          </w:p>
        </w:tc>
      </w:tr>
      <w:tr w:rsidR="00FF4199" w:rsidRPr="00FF4199" w14:paraId="4D526430" w14:textId="77777777" w:rsidTr="005725B2">
        <w:trPr>
          <w:trHeight w:val="310"/>
          <w:jc w:val="center"/>
        </w:trPr>
        <w:tc>
          <w:tcPr>
            <w:tcW w:w="5397" w:type="dxa"/>
            <w:tcBorders>
              <w:top w:val="nil"/>
              <w:left w:val="single" w:sz="4" w:space="0" w:color="auto"/>
              <w:bottom w:val="single" w:sz="4" w:space="0" w:color="auto"/>
              <w:right w:val="single" w:sz="4" w:space="0" w:color="auto"/>
            </w:tcBorders>
            <w:noWrap/>
            <w:vAlign w:val="center"/>
            <w:hideMark/>
          </w:tcPr>
          <w:p w14:paraId="28B9029E"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Materiālā atbalsta (pabalstu) pilnveidošana ģimenēm ar bērniem</w:t>
            </w:r>
          </w:p>
        </w:tc>
        <w:tc>
          <w:tcPr>
            <w:tcW w:w="1036" w:type="dxa"/>
            <w:tcBorders>
              <w:top w:val="nil"/>
              <w:left w:val="nil"/>
              <w:bottom w:val="single" w:sz="4" w:space="0" w:color="auto"/>
              <w:right w:val="single" w:sz="4" w:space="0" w:color="auto"/>
            </w:tcBorders>
            <w:noWrap/>
            <w:vAlign w:val="center"/>
            <w:hideMark/>
          </w:tcPr>
          <w:p w14:paraId="5CA63F23"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42,0</w:t>
            </w:r>
          </w:p>
        </w:tc>
        <w:tc>
          <w:tcPr>
            <w:tcW w:w="1036" w:type="dxa"/>
            <w:tcBorders>
              <w:top w:val="nil"/>
              <w:left w:val="nil"/>
              <w:bottom w:val="single" w:sz="4" w:space="0" w:color="auto"/>
              <w:right w:val="single" w:sz="4" w:space="0" w:color="auto"/>
            </w:tcBorders>
            <w:noWrap/>
            <w:vAlign w:val="center"/>
            <w:hideMark/>
          </w:tcPr>
          <w:p w14:paraId="70D11673"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42,0</w:t>
            </w:r>
          </w:p>
        </w:tc>
        <w:tc>
          <w:tcPr>
            <w:tcW w:w="1036" w:type="dxa"/>
            <w:tcBorders>
              <w:top w:val="nil"/>
              <w:left w:val="nil"/>
              <w:bottom w:val="single" w:sz="4" w:space="0" w:color="auto"/>
              <w:right w:val="single" w:sz="4" w:space="0" w:color="auto"/>
            </w:tcBorders>
            <w:noWrap/>
            <w:vAlign w:val="center"/>
            <w:hideMark/>
          </w:tcPr>
          <w:p w14:paraId="205739D5"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57,0</w:t>
            </w:r>
          </w:p>
        </w:tc>
      </w:tr>
      <w:tr w:rsidR="00FF4199" w:rsidRPr="00FF4199" w14:paraId="175DCE40" w14:textId="77777777" w:rsidTr="005725B2">
        <w:trPr>
          <w:trHeight w:val="310"/>
          <w:jc w:val="center"/>
        </w:trPr>
        <w:tc>
          <w:tcPr>
            <w:tcW w:w="5397" w:type="dxa"/>
            <w:tcBorders>
              <w:top w:val="nil"/>
              <w:left w:val="single" w:sz="4" w:space="0" w:color="auto"/>
              <w:bottom w:val="single" w:sz="4" w:space="0" w:color="auto"/>
              <w:right w:val="single" w:sz="4" w:space="0" w:color="auto"/>
            </w:tcBorders>
            <w:vAlign w:val="center"/>
            <w:hideMark/>
          </w:tcPr>
          <w:p w14:paraId="6CDA6E09" w14:textId="77777777" w:rsidR="00FF4199" w:rsidRPr="001542B6" w:rsidRDefault="00FF4199" w:rsidP="001542B6">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Materiālā atbalsta pilnveidošana ārpusģimenes aprūpē esošiem bērniem</w:t>
            </w:r>
          </w:p>
        </w:tc>
        <w:tc>
          <w:tcPr>
            <w:tcW w:w="1036" w:type="dxa"/>
            <w:tcBorders>
              <w:top w:val="nil"/>
              <w:left w:val="nil"/>
              <w:bottom w:val="single" w:sz="4" w:space="0" w:color="auto"/>
              <w:right w:val="single" w:sz="4" w:space="0" w:color="auto"/>
            </w:tcBorders>
            <w:noWrap/>
            <w:vAlign w:val="center"/>
            <w:hideMark/>
          </w:tcPr>
          <w:p w14:paraId="12BC3EFE"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24,2</w:t>
            </w:r>
          </w:p>
        </w:tc>
        <w:tc>
          <w:tcPr>
            <w:tcW w:w="1036" w:type="dxa"/>
            <w:tcBorders>
              <w:top w:val="nil"/>
              <w:left w:val="nil"/>
              <w:bottom w:val="single" w:sz="4" w:space="0" w:color="auto"/>
              <w:right w:val="single" w:sz="4" w:space="0" w:color="auto"/>
            </w:tcBorders>
            <w:noWrap/>
            <w:vAlign w:val="center"/>
            <w:hideMark/>
          </w:tcPr>
          <w:p w14:paraId="5AC94327"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26,4</w:t>
            </w:r>
          </w:p>
        </w:tc>
        <w:tc>
          <w:tcPr>
            <w:tcW w:w="1036" w:type="dxa"/>
            <w:tcBorders>
              <w:top w:val="nil"/>
              <w:left w:val="nil"/>
              <w:bottom w:val="single" w:sz="4" w:space="0" w:color="auto"/>
              <w:right w:val="single" w:sz="4" w:space="0" w:color="auto"/>
            </w:tcBorders>
            <w:noWrap/>
            <w:vAlign w:val="center"/>
            <w:hideMark/>
          </w:tcPr>
          <w:p w14:paraId="762227CD"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30,2</w:t>
            </w:r>
          </w:p>
        </w:tc>
      </w:tr>
      <w:tr w:rsidR="00FF4199" w:rsidRPr="00FF4199" w14:paraId="4372E04B" w14:textId="77777777" w:rsidTr="005725B2">
        <w:trPr>
          <w:trHeight w:val="310"/>
          <w:jc w:val="center"/>
        </w:trPr>
        <w:tc>
          <w:tcPr>
            <w:tcW w:w="5397" w:type="dxa"/>
            <w:tcBorders>
              <w:top w:val="nil"/>
              <w:left w:val="single" w:sz="4" w:space="0" w:color="auto"/>
              <w:bottom w:val="single" w:sz="4" w:space="0" w:color="auto"/>
              <w:right w:val="single" w:sz="4" w:space="0" w:color="auto"/>
            </w:tcBorders>
            <w:vAlign w:val="center"/>
            <w:hideMark/>
          </w:tcPr>
          <w:p w14:paraId="04BE1A96" w14:textId="0D6FB12B"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Vecāku pabalsta saglabāšana 75% apmērā strādājošiem pabalsta saņēmējiem</w:t>
            </w:r>
          </w:p>
        </w:tc>
        <w:tc>
          <w:tcPr>
            <w:tcW w:w="1036" w:type="dxa"/>
            <w:tcBorders>
              <w:top w:val="nil"/>
              <w:left w:val="nil"/>
              <w:bottom w:val="single" w:sz="4" w:space="0" w:color="auto"/>
              <w:right w:val="single" w:sz="4" w:space="0" w:color="auto"/>
            </w:tcBorders>
            <w:noWrap/>
            <w:vAlign w:val="center"/>
            <w:hideMark/>
          </w:tcPr>
          <w:p w14:paraId="0C0E9BDA"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7,7</w:t>
            </w:r>
          </w:p>
        </w:tc>
        <w:tc>
          <w:tcPr>
            <w:tcW w:w="1036" w:type="dxa"/>
            <w:tcBorders>
              <w:top w:val="nil"/>
              <w:left w:val="nil"/>
              <w:bottom w:val="single" w:sz="4" w:space="0" w:color="auto"/>
              <w:right w:val="single" w:sz="4" w:space="0" w:color="auto"/>
            </w:tcBorders>
            <w:noWrap/>
            <w:vAlign w:val="center"/>
            <w:hideMark/>
          </w:tcPr>
          <w:p w14:paraId="277DA5E1" w14:textId="7FC6A64C" w:rsidR="00FF4199" w:rsidRPr="001542B6" w:rsidRDefault="00FF4199" w:rsidP="003F1400">
            <w:pPr>
              <w:spacing w:after="0"/>
              <w:ind w:firstLine="0"/>
              <w:jc w:val="center"/>
              <w:rPr>
                <w:rFonts w:eastAsia="Times New Roman" w:cs="Times New Roman"/>
                <w:color w:val="000000"/>
                <w:sz w:val="18"/>
                <w:szCs w:val="18"/>
              </w:rPr>
            </w:pPr>
          </w:p>
        </w:tc>
        <w:tc>
          <w:tcPr>
            <w:tcW w:w="1036" w:type="dxa"/>
            <w:tcBorders>
              <w:top w:val="nil"/>
              <w:left w:val="nil"/>
              <w:bottom w:val="single" w:sz="4" w:space="0" w:color="auto"/>
              <w:right w:val="single" w:sz="4" w:space="0" w:color="auto"/>
            </w:tcBorders>
            <w:noWrap/>
            <w:vAlign w:val="center"/>
            <w:hideMark/>
          </w:tcPr>
          <w:p w14:paraId="1A517E9C" w14:textId="02E6A813" w:rsidR="00FF4199" w:rsidRPr="001542B6" w:rsidRDefault="00FF4199" w:rsidP="003F1400">
            <w:pPr>
              <w:spacing w:after="0"/>
              <w:ind w:firstLine="0"/>
              <w:jc w:val="center"/>
              <w:rPr>
                <w:rFonts w:eastAsia="Times New Roman" w:cs="Times New Roman"/>
                <w:color w:val="000000"/>
                <w:sz w:val="18"/>
                <w:szCs w:val="18"/>
              </w:rPr>
            </w:pPr>
          </w:p>
        </w:tc>
      </w:tr>
      <w:tr w:rsidR="00FF4199" w:rsidRPr="00FF4199" w14:paraId="43794083" w14:textId="77777777" w:rsidTr="005725B2">
        <w:trPr>
          <w:trHeight w:val="310"/>
          <w:jc w:val="center"/>
        </w:trPr>
        <w:tc>
          <w:tcPr>
            <w:tcW w:w="5397" w:type="dxa"/>
            <w:tcBorders>
              <w:top w:val="nil"/>
              <w:left w:val="single" w:sz="4" w:space="0" w:color="auto"/>
              <w:bottom w:val="single" w:sz="4" w:space="0" w:color="auto"/>
              <w:right w:val="single" w:sz="4" w:space="0" w:color="auto"/>
            </w:tcBorders>
            <w:vAlign w:val="center"/>
            <w:hideMark/>
          </w:tcPr>
          <w:p w14:paraId="29136AE0"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Mātes un bērna veselības uzlabošana</w:t>
            </w:r>
          </w:p>
        </w:tc>
        <w:tc>
          <w:tcPr>
            <w:tcW w:w="1036" w:type="dxa"/>
            <w:tcBorders>
              <w:top w:val="nil"/>
              <w:left w:val="nil"/>
              <w:bottom w:val="single" w:sz="4" w:space="0" w:color="auto"/>
              <w:right w:val="single" w:sz="4" w:space="0" w:color="auto"/>
            </w:tcBorders>
            <w:noWrap/>
            <w:vAlign w:val="center"/>
            <w:hideMark/>
          </w:tcPr>
          <w:p w14:paraId="68F7CDBE"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10,0</w:t>
            </w:r>
          </w:p>
        </w:tc>
        <w:tc>
          <w:tcPr>
            <w:tcW w:w="1036" w:type="dxa"/>
            <w:tcBorders>
              <w:top w:val="nil"/>
              <w:left w:val="nil"/>
              <w:bottom w:val="single" w:sz="4" w:space="0" w:color="auto"/>
              <w:right w:val="single" w:sz="4" w:space="0" w:color="auto"/>
            </w:tcBorders>
            <w:noWrap/>
            <w:vAlign w:val="center"/>
            <w:hideMark/>
          </w:tcPr>
          <w:p w14:paraId="059CDEF9"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10,0</w:t>
            </w:r>
          </w:p>
        </w:tc>
        <w:tc>
          <w:tcPr>
            <w:tcW w:w="1036" w:type="dxa"/>
            <w:tcBorders>
              <w:top w:val="nil"/>
              <w:left w:val="nil"/>
              <w:bottom w:val="single" w:sz="4" w:space="0" w:color="auto"/>
              <w:right w:val="single" w:sz="4" w:space="0" w:color="auto"/>
            </w:tcBorders>
            <w:noWrap/>
            <w:vAlign w:val="center"/>
            <w:hideMark/>
          </w:tcPr>
          <w:p w14:paraId="6E22ADFA"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10,0</w:t>
            </w:r>
          </w:p>
        </w:tc>
      </w:tr>
      <w:tr w:rsidR="00FF4199" w:rsidRPr="00FF4199" w14:paraId="4AD358ED" w14:textId="77777777" w:rsidTr="005725B2">
        <w:trPr>
          <w:trHeight w:val="310"/>
          <w:jc w:val="center"/>
        </w:trPr>
        <w:tc>
          <w:tcPr>
            <w:tcW w:w="5397" w:type="dxa"/>
            <w:tcBorders>
              <w:top w:val="nil"/>
              <w:left w:val="single" w:sz="4" w:space="0" w:color="auto"/>
              <w:bottom w:val="single" w:sz="4" w:space="0" w:color="auto"/>
              <w:right w:val="single" w:sz="4" w:space="0" w:color="auto"/>
            </w:tcBorders>
            <w:vAlign w:val="center"/>
            <w:hideMark/>
          </w:tcPr>
          <w:p w14:paraId="1DACC2A0"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Veselības pakalpojumu un zāļu pieejamība bērniem</w:t>
            </w:r>
          </w:p>
        </w:tc>
        <w:tc>
          <w:tcPr>
            <w:tcW w:w="1036" w:type="dxa"/>
            <w:tcBorders>
              <w:top w:val="nil"/>
              <w:left w:val="nil"/>
              <w:bottom w:val="single" w:sz="4" w:space="0" w:color="auto"/>
              <w:right w:val="single" w:sz="4" w:space="0" w:color="auto"/>
            </w:tcBorders>
            <w:noWrap/>
            <w:vAlign w:val="center"/>
            <w:hideMark/>
          </w:tcPr>
          <w:p w14:paraId="07B33039"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10,9</w:t>
            </w:r>
          </w:p>
        </w:tc>
        <w:tc>
          <w:tcPr>
            <w:tcW w:w="1036" w:type="dxa"/>
            <w:tcBorders>
              <w:top w:val="nil"/>
              <w:left w:val="nil"/>
              <w:bottom w:val="single" w:sz="4" w:space="0" w:color="auto"/>
              <w:right w:val="single" w:sz="4" w:space="0" w:color="auto"/>
            </w:tcBorders>
            <w:noWrap/>
            <w:vAlign w:val="center"/>
            <w:hideMark/>
          </w:tcPr>
          <w:p w14:paraId="004DA1C0"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10,5</w:t>
            </w:r>
          </w:p>
        </w:tc>
        <w:tc>
          <w:tcPr>
            <w:tcW w:w="1036" w:type="dxa"/>
            <w:tcBorders>
              <w:top w:val="nil"/>
              <w:left w:val="nil"/>
              <w:bottom w:val="single" w:sz="4" w:space="0" w:color="auto"/>
              <w:right w:val="single" w:sz="4" w:space="0" w:color="auto"/>
            </w:tcBorders>
            <w:noWrap/>
            <w:vAlign w:val="center"/>
            <w:hideMark/>
          </w:tcPr>
          <w:p w14:paraId="3D42E837" w14:textId="77777777" w:rsidR="00FF4199" w:rsidRPr="001542B6" w:rsidRDefault="00FF4199" w:rsidP="003F1400">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10,5</w:t>
            </w:r>
          </w:p>
        </w:tc>
      </w:tr>
      <w:tr w:rsidR="00FF4199" w:rsidRPr="00FF4199" w14:paraId="2266391E" w14:textId="77777777" w:rsidTr="005725B2">
        <w:trPr>
          <w:trHeight w:val="300"/>
          <w:jc w:val="center"/>
        </w:trPr>
        <w:tc>
          <w:tcPr>
            <w:tcW w:w="5397"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2907673F" w14:textId="77777777" w:rsidR="00FF4199" w:rsidRPr="001542B6" w:rsidRDefault="00FF4199" w:rsidP="001542B6">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Normatīvo aktu izpildes nodrošināšana</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1C10ABFD"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17,9</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46A2C30E"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10,2</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6D21C820"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10,0</w:t>
            </w:r>
          </w:p>
        </w:tc>
      </w:tr>
      <w:tr w:rsidR="00FF4199" w:rsidRPr="00FF4199" w14:paraId="1310A0F5" w14:textId="77777777" w:rsidTr="005725B2">
        <w:trPr>
          <w:trHeight w:val="300"/>
          <w:jc w:val="center"/>
        </w:trPr>
        <w:tc>
          <w:tcPr>
            <w:tcW w:w="5397"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69A923BA" w14:textId="77777777" w:rsidR="00FF4199" w:rsidRPr="001542B6" w:rsidRDefault="00FF4199" w:rsidP="001542B6">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Citi prioritārie pasākumi</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18CC901B"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81,5</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7AC1271C"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11,1</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5F064C10"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11,1</w:t>
            </w:r>
          </w:p>
        </w:tc>
      </w:tr>
      <w:tr w:rsidR="00FF4199" w:rsidRPr="00FF4199" w14:paraId="1276C2F2" w14:textId="77777777" w:rsidTr="005725B2">
        <w:trPr>
          <w:trHeight w:val="310"/>
          <w:jc w:val="center"/>
        </w:trPr>
        <w:tc>
          <w:tcPr>
            <w:tcW w:w="5397" w:type="dxa"/>
            <w:tcBorders>
              <w:top w:val="nil"/>
              <w:left w:val="single" w:sz="4" w:space="0" w:color="auto"/>
              <w:bottom w:val="single" w:sz="4" w:space="0" w:color="auto"/>
              <w:right w:val="single" w:sz="4" w:space="0" w:color="auto"/>
            </w:tcBorders>
            <w:vAlign w:val="center"/>
            <w:hideMark/>
          </w:tcPr>
          <w:p w14:paraId="2DDA3082"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Atbalsts lauksaimniekiem</w:t>
            </w:r>
          </w:p>
        </w:tc>
        <w:tc>
          <w:tcPr>
            <w:tcW w:w="1036" w:type="dxa"/>
            <w:tcBorders>
              <w:top w:val="nil"/>
              <w:left w:val="nil"/>
              <w:bottom w:val="single" w:sz="4" w:space="0" w:color="auto"/>
              <w:right w:val="single" w:sz="4" w:space="0" w:color="auto"/>
            </w:tcBorders>
            <w:noWrap/>
            <w:vAlign w:val="center"/>
            <w:hideMark/>
          </w:tcPr>
          <w:p w14:paraId="2683AFA3"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59,3</w:t>
            </w:r>
          </w:p>
        </w:tc>
        <w:tc>
          <w:tcPr>
            <w:tcW w:w="1036" w:type="dxa"/>
            <w:tcBorders>
              <w:top w:val="nil"/>
              <w:left w:val="nil"/>
              <w:bottom w:val="single" w:sz="4" w:space="0" w:color="auto"/>
              <w:right w:val="single" w:sz="4" w:space="0" w:color="auto"/>
            </w:tcBorders>
            <w:noWrap/>
            <w:vAlign w:val="center"/>
            <w:hideMark/>
          </w:tcPr>
          <w:p w14:paraId="24F5D3D6"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w:t>
            </w:r>
          </w:p>
        </w:tc>
        <w:tc>
          <w:tcPr>
            <w:tcW w:w="1036" w:type="dxa"/>
            <w:tcBorders>
              <w:top w:val="nil"/>
              <w:left w:val="nil"/>
              <w:bottom w:val="single" w:sz="4" w:space="0" w:color="auto"/>
              <w:right w:val="single" w:sz="4" w:space="0" w:color="auto"/>
            </w:tcBorders>
            <w:noWrap/>
            <w:vAlign w:val="center"/>
            <w:hideMark/>
          </w:tcPr>
          <w:p w14:paraId="05CC877F"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 </w:t>
            </w:r>
          </w:p>
        </w:tc>
      </w:tr>
      <w:tr w:rsidR="00FF4199" w:rsidRPr="00FF4199" w14:paraId="2F505217" w14:textId="77777777" w:rsidTr="005725B2">
        <w:trPr>
          <w:trHeight w:val="310"/>
          <w:jc w:val="center"/>
        </w:trPr>
        <w:tc>
          <w:tcPr>
            <w:tcW w:w="5397" w:type="dxa"/>
            <w:tcBorders>
              <w:top w:val="nil"/>
              <w:left w:val="single" w:sz="4" w:space="0" w:color="auto"/>
              <w:bottom w:val="single" w:sz="4" w:space="0" w:color="auto"/>
              <w:right w:val="single" w:sz="4" w:space="0" w:color="auto"/>
            </w:tcBorders>
            <w:vAlign w:val="center"/>
            <w:hideMark/>
          </w:tcPr>
          <w:p w14:paraId="71216D0B"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 xml:space="preserve">Medikamentu pieejamības stiprināšana medikamentu cenu segmentā līdz 10 </w:t>
            </w:r>
            <w:r w:rsidRPr="001542B6">
              <w:rPr>
                <w:rFonts w:eastAsia="Times New Roman" w:cs="Times New Roman"/>
                <w:i/>
                <w:iCs/>
                <w:color w:val="000000"/>
                <w:sz w:val="18"/>
                <w:szCs w:val="18"/>
              </w:rPr>
              <w:t>euro</w:t>
            </w:r>
            <w:r w:rsidRPr="001542B6">
              <w:rPr>
                <w:rFonts w:eastAsia="Times New Roman" w:cs="Times New Roman"/>
                <w:color w:val="000000"/>
                <w:sz w:val="18"/>
                <w:szCs w:val="18"/>
              </w:rPr>
              <w:t xml:space="preserve"> un invalīdiem</w:t>
            </w:r>
          </w:p>
        </w:tc>
        <w:tc>
          <w:tcPr>
            <w:tcW w:w="1036" w:type="dxa"/>
            <w:tcBorders>
              <w:top w:val="nil"/>
              <w:left w:val="nil"/>
              <w:bottom w:val="single" w:sz="4" w:space="0" w:color="auto"/>
              <w:right w:val="single" w:sz="4" w:space="0" w:color="auto"/>
            </w:tcBorders>
            <w:noWrap/>
            <w:vAlign w:val="center"/>
            <w:hideMark/>
          </w:tcPr>
          <w:p w14:paraId="2A612281"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9,6</w:t>
            </w:r>
          </w:p>
        </w:tc>
        <w:tc>
          <w:tcPr>
            <w:tcW w:w="1036" w:type="dxa"/>
            <w:tcBorders>
              <w:top w:val="nil"/>
              <w:left w:val="nil"/>
              <w:bottom w:val="single" w:sz="4" w:space="0" w:color="auto"/>
              <w:right w:val="single" w:sz="4" w:space="0" w:color="auto"/>
            </w:tcBorders>
            <w:noWrap/>
            <w:vAlign w:val="center"/>
            <w:hideMark/>
          </w:tcPr>
          <w:p w14:paraId="6B756ABB"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9,6</w:t>
            </w:r>
          </w:p>
        </w:tc>
        <w:tc>
          <w:tcPr>
            <w:tcW w:w="1036" w:type="dxa"/>
            <w:tcBorders>
              <w:top w:val="nil"/>
              <w:left w:val="nil"/>
              <w:bottom w:val="single" w:sz="4" w:space="0" w:color="auto"/>
              <w:right w:val="single" w:sz="4" w:space="0" w:color="auto"/>
            </w:tcBorders>
            <w:noWrap/>
            <w:vAlign w:val="center"/>
            <w:hideMark/>
          </w:tcPr>
          <w:p w14:paraId="128C66CC"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9,6</w:t>
            </w:r>
          </w:p>
        </w:tc>
      </w:tr>
      <w:tr w:rsidR="00FF4199" w:rsidRPr="00FF4199" w14:paraId="661244BE" w14:textId="77777777" w:rsidTr="005725B2">
        <w:trPr>
          <w:trHeight w:val="310"/>
          <w:jc w:val="center"/>
        </w:trPr>
        <w:tc>
          <w:tcPr>
            <w:tcW w:w="5397" w:type="dxa"/>
            <w:tcBorders>
              <w:top w:val="nil"/>
              <w:left w:val="single" w:sz="4" w:space="0" w:color="auto"/>
              <w:bottom w:val="single" w:sz="4" w:space="0" w:color="auto"/>
              <w:right w:val="single" w:sz="4" w:space="0" w:color="auto"/>
            </w:tcBorders>
            <w:vAlign w:val="center"/>
            <w:hideMark/>
          </w:tcPr>
          <w:p w14:paraId="3769F5C0"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Citas prioritātes</w:t>
            </w:r>
          </w:p>
        </w:tc>
        <w:tc>
          <w:tcPr>
            <w:tcW w:w="1036" w:type="dxa"/>
            <w:tcBorders>
              <w:top w:val="nil"/>
              <w:left w:val="nil"/>
              <w:bottom w:val="single" w:sz="4" w:space="0" w:color="auto"/>
              <w:right w:val="single" w:sz="4" w:space="0" w:color="auto"/>
            </w:tcBorders>
            <w:noWrap/>
            <w:vAlign w:val="center"/>
            <w:hideMark/>
          </w:tcPr>
          <w:p w14:paraId="7705A5D5"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12,7</w:t>
            </w:r>
          </w:p>
        </w:tc>
        <w:tc>
          <w:tcPr>
            <w:tcW w:w="1036" w:type="dxa"/>
            <w:tcBorders>
              <w:top w:val="nil"/>
              <w:left w:val="nil"/>
              <w:bottom w:val="single" w:sz="4" w:space="0" w:color="auto"/>
              <w:right w:val="single" w:sz="4" w:space="0" w:color="auto"/>
            </w:tcBorders>
            <w:noWrap/>
            <w:vAlign w:val="center"/>
            <w:hideMark/>
          </w:tcPr>
          <w:p w14:paraId="2EB7C97A"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1,5</w:t>
            </w:r>
          </w:p>
        </w:tc>
        <w:tc>
          <w:tcPr>
            <w:tcW w:w="1036" w:type="dxa"/>
            <w:tcBorders>
              <w:top w:val="nil"/>
              <w:left w:val="nil"/>
              <w:bottom w:val="single" w:sz="4" w:space="0" w:color="auto"/>
              <w:right w:val="single" w:sz="4" w:space="0" w:color="auto"/>
            </w:tcBorders>
            <w:noWrap/>
            <w:vAlign w:val="center"/>
            <w:hideMark/>
          </w:tcPr>
          <w:p w14:paraId="5BB912C7"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1,5</w:t>
            </w:r>
          </w:p>
        </w:tc>
      </w:tr>
      <w:tr w:rsidR="00FF4199" w:rsidRPr="00FF4199" w14:paraId="4EFCE11B" w14:textId="77777777" w:rsidTr="005725B2">
        <w:trPr>
          <w:trHeight w:val="310"/>
          <w:jc w:val="center"/>
        </w:trPr>
        <w:tc>
          <w:tcPr>
            <w:tcW w:w="5397"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65E40ECE" w14:textId="77777777" w:rsidR="00FF4199" w:rsidRPr="001542B6" w:rsidRDefault="00FF4199" w:rsidP="00FF4199">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Kompensējošie izdevumu pasākumi</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7918D03F"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-10,4</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47F9F1CE"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-89,4</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5ABE3B7C"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-83,3</w:t>
            </w:r>
          </w:p>
        </w:tc>
      </w:tr>
      <w:tr w:rsidR="00FF4199" w:rsidRPr="00FF4199" w14:paraId="4CDF5123" w14:textId="77777777" w:rsidTr="005725B2">
        <w:trPr>
          <w:trHeight w:val="310"/>
          <w:jc w:val="center"/>
        </w:trPr>
        <w:tc>
          <w:tcPr>
            <w:tcW w:w="5397" w:type="dxa"/>
            <w:tcBorders>
              <w:top w:val="nil"/>
              <w:left w:val="single" w:sz="4" w:space="0" w:color="auto"/>
              <w:bottom w:val="single" w:sz="4" w:space="0" w:color="auto"/>
              <w:right w:val="single" w:sz="4" w:space="0" w:color="auto"/>
            </w:tcBorders>
            <w:noWrap/>
            <w:vAlign w:val="center"/>
            <w:hideMark/>
          </w:tcPr>
          <w:p w14:paraId="5654B993"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74. resora korekcija</w:t>
            </w:r>
          </w:p>
        </w:tc>
        <w:tc>
          <w:tcPr>
            <w:tcW w:w="1036" w:type="dxa"/>
            <w:tcBorders>
              <w:top w:val="nil"/>
              <w:left w:val="nil"/>
              <w:bottom w:val="single" w:sz="4" w:space="0" w:color="auto"/>
              <w:right w:val="single" w:sz="4" w:space="0" w:color="auto"/>
            </w:tcBorders>
            <w:noWrap/>
            <w:vAlign w:val="center"/>
            <w:hideMark/>
          </w:tcPr>
          <w:p w14:paraId="0B602468"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15,1</w:t>
            </w:r>
          </w:p>
        </w:tc>
        <w:tc>
          <w:tcPr>
            <w:tcW w:w="1036" w:type="dxa"/>
            <w:tcBorders>
              <w:top w:val="nil"/>
              <w:left w:val="nil"/>
              <w:bottom w:val="single" w:sz="4" w:space="0" w:color="auto"/>
              <w:right w:val="single" w:sz="4" w:space="0" w:color="auto"/>
            </w:tcBorders>
            <w:noWrap/>
            <w:vAlign w:val="center"/>
            <w:hideMark/>
          </w:tcPr>
          <w:p w14:paraId="026161C2"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-16,0</w:t>
            </w:r>
          </w:p>
        </w:tc>
        <w:tc>
          <w:tcPr>
            <w:tcW w:w="1036" w:type="dxa"/>
            <w:tcBorders>
              <w:top w:val="nil"/>
              <w:left w:val="nil"/>
              <w:bottom w:val="single" w:sz="4" w:space="0" w:color="auto"/>
              <w:right w:val="single" w:sz="4" w:space="0" w:color="auto"/>
            </w:tcBorders>
            <w:noWrap/>
            <w:vAlign w:val="center"/>
            <w:hideMark/>
          </w:tcPr>
          <w:p w14:paraId="6CEFF6E3"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44,1</w:t>
            </w:r>
          </w:p>
        </w:tc>
      </w:tr>
      <w:tr w:rsidR="00FF4199" w:rsidRPr="00FF4199" w14:paraId="5542FF7D" w14:textId="77777777" w:rsidTr="005725B2">
        <w:trPr>
          <w:trHeight w:val="310"/>
          <w:jc w:val="center"/>
        </w:trPr>
        <w:tc>
          <w:tcPr>
            <w:tcW w:w="5397" w:type="dxa"/>
            <w:tcBorders>
              <w:top w:val="nil"/>
              <w:left w:val="single" w:sz="4" w:space="0" w:color="auto"/>
              <w:bottom w:val="single" w:sz="4" w:space="0" w:color="auto"/>
              <w:right w:val="single" w:sz="4" w:space="0" w:color="auto"/>
            </w:tcBorders>
            <w:noWrap/>
            <w:vAlign w:val="center"/>
            <w:hideMark/>
          </w:tcPr>
          <w:p w14:paraId="2E38810F" w14:textId="2D016B4C"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 xml:space="preserve">Iemaksas </w:t>
            </w:r>
            <w:r w:rsidR="00376254">
              <w:rPr>
                <w:rFonts w:eastAsia="Times New Roman" w:cs="Times New Roman"/>
                <w:color w:val="000000"/>
                <w:sz w:val="18"/>
                <w:szCs w:val="18"/>
              </w:rPr>
              <w:t>ES</w:t>
            </w:r>
            <w:r w:rsidRPr="001542B6">
              <w:rPr>
                <w:rFonts w:eastAsia="Times New Roman" w:cs="Times New Roman"/>
                <w:color w:val="000000"/>
                <w:sz w:val="18"/>
                <w:szCs w:val="18"/>
              </w:rPr>
              <w:t xml:space="preserve"> budžetā</w:t>
            </w:r>
          </w:p>
        </w:tc>
        <w:tc>
          <w:tcPr>
            <w:tcW w:w="1036" w:type="dxa"/>
            <w:tcBorders>
              <w:top w:val="nil"/>
              <w:left w:val="nil"/>
              <w:bottom w:val="single" w:sz="4" w:space="0" w:color="auto"/>
              <w:right w:val="single" w:sz="4" w:space="0" w:color="auto"/>
            </w:tcBorders>
            <w:noWrap/>
            <w:vAlign w:val="center"/>
            <w:hideMark/>
          </w:tcPr>
          <w:p w14:paraId="48BBF204" w14:textId="2463D1F7" w:rsidR="00FF4199" w:rsidRPr="001542B6" w:rsidRDefault="00FF4199" w:rsidP="00FF4199">
            <w:pPr>
              <w:spacing w:after="0"/>
              <w:ind w:firstLine="0"/>
              <w:jc w:val="center"/>
              <w:rPr>
                <w:rFonts w:eastAsia="Times New Roman" w:cs="Times New Roman"/>
                <w:color w:val="000000"/>
                <w:sz w:val="18"/>
                <w:szCs w:val="18"/>
              </w:rPr>
            </w:pPr>
          </w:p>
        </w:tc>
        <w:tc>
          <w:tcPr>
            <w:tcW w:w="1036" w:type="dxa"/>
            <w:tcBorders>
              <w:top w:val="nil"/>
              <w:left w:val="nil"/>
              <w:bottom w:val="single" w:sz="4" w:space="0" w:color="auto"/>
              <w:right w:val="single" w:sz="4" w:space="0" w:color="auto"/>
            </w:tcBorders>
            <w:noWrap/>
            <w:vAlign w:val="center"/>
            <w:hideMark/>
          </w:tcPr>
          <w:p w14:paraId="6D406DEC" w14:textId="247AA568" w:rsidR="00FF4199" w:rsidRPr="001542B6" w:rsidRDefault="00FF4199" w:rsidP="00FF4199">
            <w:pPr>
              <w:spacing w:after="0"/>
              <w:ind w:firstLine="0"/>
              <w:jc w:val="center"/>
              <w:rPr>
                <w:rFonts w:eastAsia="Times New Roman" w:cs="Times New Roman"/>
                <w:color w:val="000000"/>
                <w:sz w:val="18"/>
                <w:szCs w:val="18"/>
              </w:rPr>
            </w:pPr>
          </w:p>
        </w:tc>
        <w:tc>
          <w:tcPr>
            <w:tcW w:w="1036" w:type="dxa"/>
            <w:tcBorders>
              <w:top w:val="nil"/>
              <w:left w:val="nil"/>
              <w:bottom w:val="single" w:sz="4" w:space="0" w:color="auto"/>
              <w:right w:val="single" w:sz="4" w:space="0" w:color="auto"/>
            </w:tcBorders>
            <w:noWrap/>
            <w:vAlign w:val="center"/>
            <w:hideMark/>
          </w:tcPr>
          <w:p w14:paraId="5BC5FB35"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-56,6</w:t>
            </w:r>
          </w:p>
        </w:tc>
      </w:tr>
      <w:tr w:rsidR="00FF4199" w:rsidRPr="00FF4199" w14:paraId="6D19EE7D" w14:textId="77777777" w:rsidTr="005725B2">
        <w:trPr>
          <w:trHeight w:val="310"/>
          <w:jc w:val="center"/>
        </w:trPr>
        <w:tc>
          <w:tcPr>
            <w:tcW w:w="5397" w:type="dxa"/>
            <w:tcBorders>
              <w:top w:val="nil"/>
              <w:left w:val="single" w:sz="4" w:space="0" w:color="auto"/>
              <w:bottom w:val="single" w:sz="4" w:space="0" w:color="auto"/>
              <w:right w:val="single" w:sz="4" w:space="0" w:color="auto"/>
            </w:tcBorders>
            <w:noWrap/>
            <w:vAlign w:val="center"/>
            <w:hideMark/>
          </w:tcPr>
          <w:p w14:paraId="06503315"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Parāda vadības izdevumi</w:t>
            </w:r>
          </w:p>
        </w:tc>
        <w:tc>
          <w:tcPr>
            <w:tcW w:w="1036" w:type="dxa"/>
            <w:tcBorders>
              <w:top w:val="nil"/>
              <w:left w:val="nil"/>
              <w:bottom w:val="single" w:sz="4" w:space="0" w:color="auto"/>
              <w:right w:val="single" w:sz="4" w:space="0" w:color="auto"/>
            </w:tcBorders>
            <w:noWrap/>
            <w:vAlign w:val="center"/>
            <w:hideMark/>
          </w:tcPr>
          <w:p w14:paraId="4DC469D8"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-20,0</w:t>
            </w:r>
          </w:p>
        </w:tc>
        <w:tc>
          <w:tcPr>
            <w:tcW w:w="1036" w:type="dxa"/>
            <w:tcBorders>
              <w:top w:val="nil"/>
              <w:left w:val="nil"/>
              <w:bottom w:val="single" w:sz="4" w:space="0" w:color="auto"/>
              <w:right w:val="single" w:sz="4" w:space="0" w:color="auto"/>
            </w:tcBorders>
            <w:noWrap/>
            <w:vAlign w:val="center"/>
            <w:hideMark/>
          </w:tcPr>
          <w:p w14:paraId="031D6CAC"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-19,0</w:t>
            </w:r>
          </w:p>
        </w:tc>
        <w:tc>
          <w:tcPr>
            <w:tcW w:w="1036" w:type="dxa"/>
            <w:tcBorders>
              <w:top w:val="nil"/>
              <w:left w:val="nil"/>
              <w:bottom w:val="single" w:sz="4" w:space="0" w:color="auto"/>
              <w:right w:val="single" w:sz="4" w:space="0" w:color="auto"/>
            </w:tcBorders>
            <w:noWrap/>
            <w:vAlign w:val="center"/>
            <w:hideMark/>
          </w:tcPr>
          <w:p w14:paraId="1ADEB6DD"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-23,0</w:t>
            </w:r>
          </w:p>
        </w:tc>
      </w:tr>
      <w:tr w:rsidR="00FF4199" w:rsidRPr="00FF4199" w14:paraId="0813F569" w14:textId="77777777" w:rsidTr="005725B2">
        <w:trPr>
          <w:trHeight w:val="310"/>
          <w:jc w:val="center"/>
        </w:trPr>
        <w:tc>
          <w:tcPr>
            <w:tcW w:w="5397" w:type="dxa"/>
            <w:tcBorders>
              <w:top w:val="nil"/>
              <w:left w:val="single" w:sz="4" w:space="0" w:color="auto"/>
              <w:bottom w:val="single" w:sz="4" w:space="0" w:color="auto"/>
              <w:right w:val="single" w:sz="4" w:space="0" w:color="auto"/>
            </w:tcBorders>
            <w:noWrap/>
            <w:vAlign w:val="center"/>
            <w:hideMark/>
          </w:tcPr>
          <w:p w14:paraId="16DF16B7"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Izdevumu samazinājums ministrijām un citām centrālajām iestādēm (prēmijas par novērtēšanu atcelšana un citi)</w:t>
            </w:r>
          </w:p>
        </w:tc>
        <w:tc>
          <w:tcPr>
            <w:tcW w:w="1036" w:type="dxa"/>
            <w:tcBorders>
              <w:top w:val="nil"/>
              <w:left w:val="nil"/>
              <w:bottom w:val="single" w:sz="4" w:space="0" w:color="auto"/>
              <w:right w:val="single" w:sz="4" w:space="0" w:color="auto"/>
            </w:tcBorders>
            <w:noWrap/>
            <w:vAlign w:val="center"/>
            <w:hideMark/>
          </w:tcPr>
          <w:p w14:paraId="07773424" w14:textId="102854DC" w:rsidR="00FF4199" w:rsidRPr="001542B6" w:rsidRDefault="00FF4199" w:rsidP="00FF4199">
            <w:pPr>
              <w:spacing w:after="0"/>
              <w:ind w:firstLine="0"/>
              <w:jc w:val="center"/>
              <w:rPr>
                <w:rFonts w:eastAsia="Times New Roman" w:cs="Times New Roman"/>
                <w:color w:val="000000"/>
                <w:sz w:val="18"/>
                <w:szCs w:val="18"/>
              </w:rPr>
            </w:pPr>
          </w:p>
        </w:tc>
        <w:tc>
          <w:tcPr>
            <w:tcW w:w="1036" w:type="dxa"/>
            <w:tcBorders>
              <w:top w:val="nil"/>
              <w:left w:val="nil"/>
              <w:bottom w:val="single" w:sz="4" w:space="0" w:color="auto"/>
              <w:right w:val="single" w:sz="4" w:space="0" w:color="auto"/>
            </w:tcBorders>
            <w:noWrap/>
            <w:vAlign w:val="center"/>
            <w:hideMark/>
          </w:tcPr>
          <w:p w14:paraId="0317EB66"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-20,0</w:t>
            </w:r>
          </w:p>
        </w:tc>
        <w:tc>
          <w:tcPr>
            <w:tcW w:w="1036" w:type="dxa"/>
            <w:tcBorders>
              <w:top w:val="nil"/>
              <w:left w:val="nil"/>
              <w:bottom w:val="single" w:sz="4" w:space="0" w:color="auto"/>
              <w:right w:val="single" w:sz="4" w:space="0" w:color="auto"/>
            </w:tcBorders>
            <w:noWrap/>
            <w:vAlign w:val="center"/>
            <w:hideMark/>
          </w:tcPr>
          <w:p w14:paraId="47AE62E0"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-20,0</w:t>
            </w:r>
          </w:p>
        </w:tc>
      </w:tr>
      <w:tr w:rsidR="00FF4199" w:rsidRPr="00FF4199" w14:paraId="566D8A18" w14:textId="77777777" w:rsidTr="005725B2">
        <w:trPr>
          <w:trHeight w:val="310"/>
          <w:jc w:val="center"/>
        </w:trPr>
        <w:tc>
          <w:tcPr>
            <w:tcW w:w="5397" w:type="dxa"/>
            <w:tcBorders>
              <w:top w:val="nil"/>
              <w:left w:val="single" w:sz="4" w:space="0" w:color="auto"/>
              <w:bottom w:val="single" w:sz="4" w:space="0" w:color="auto"/>
              <w:right w:val="single" w:sz="4" w:space="0" w:color="auto"/>
            </w:tcBorders>
            <w:noWrap/>
            <w:vAlign w:val="center"/>
            <w:hideMark/>
          </w:tcPr>
          <w:p w14:paraId="00BA72F2"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Ilgstošo vakanču samazināšana valsts pārvaldē (ilgāk par 6 mēnešiem)</w:t>
            </w:r>
          </w:p>
        </w:tc>
        <w:tc>
          <w:tcPr>
            <w:tcW w:w="1036" w:type="dxa"/>
            <w:tcBorders>
              <w:top w:val="nil"/>
              <w:left w:val="nil"/>
              <w:bottom w:val="single" w:sz="4" w:space="0" w:color="auto"/>
              <w:right w:val="single" w:sz="4" w:space="0" w:color="auto"/>
            </w:tcBorders>
            <w:noWrap/>
            <w:vAlign w:val="center"/>
            <w:hideMark/>
          </w:tcPr>
          <w:p w14:paraId="0BD8716E" w14:textId="764C39BC" w:rsidR="00FF4199" w:rsidRPr="001542B6" w:rsidRDefault="00FF4199" w:rsidP="00FF4199">
            <w:pPr>
              <w:spacing w:after="0"/>
              <w:ind w:firstLine="0"/>
              <w:jc w:val="center"/>
              <w:rPr>
                <w:rFonts w:eastAsia="Times New Roman" w:cs="Times New Roman"/>
                <w:color w:val="000000"/>
                <w:sz w:val="18"/>
                <w:szCs w:val="18"/>
              </w:rPr>
            </w:pPr>
          </w:p>
        </w:tc>
        <w:tc>
          <w:tcPr>
            <w:tcW w:w="1036" w:type="dxa"/>
            <w:tcBorders>
              <w:top w:val="nil"/>
              <w:left w:val="nil"/>
              <w:bottom w:val="single" w:sz="4" w:space="0" w:color="auto"/>
              <w:right w:val="single" w:sz="4" w:space="0" w:color="auto"/>
            </w:tcBorders>
            <w:noWrap/>
            <w:vAlign w:val="center"/>
            <w:hideMark/>
          </w:tcPr>
          <w:p w14:paraId="09842F54"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-4,2</w:t>
            </w:r>
          </w:p>
        </w:tc>
        <w:tc>
          <w:tcPr>
            <w:tcW w:w="1036" w:type="dxa"/>
            <w:tcBorders>
              <w:top w:val="nil"/>
              <w:left w:val="nil"/>
              <w:bottom w:val="single" w:sz="4" w:space="0" w:color="auto"/>
              <w:right w:val="single" w:sz="4" w:space="0" w:color="auto"/>
            </w:tcBorders>
            <w:noWrap/>
            <w:vAlign w:val="center"/>
            <w:hideMark/>
          </w:tcPr>
          <w:p w14:paraId="2F18687F"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-4,2</w:t>
            </w:r>
          </w:p>
        </w:tc>
      </w:tr>
      <w:tr w:rsidR="00FF4199" w:rsidRPr="00FF4199" w14:paraId="574FDCDC" w14:textId="77777777" w:rsidTr="005725B2">
        <w:trPr>
          <w:trHeight w:val="310"/>
          <w:jc w:val="center"/>
        </w:trPr>
        <w:tc>
          <w:tcPr>
            <w:tcW w:w="5397" w:type="dxa"/>
            <w:tcBorders>
              <w:top w:val="nil"/>
              <w:left w:val="single" w:sz="4" w:space="0" w:color="auto"/>
              <w:bottom w:val="single" w:sz="4" w:space="0" w:color="auto"/>
              <w:right w:val="single" w:sz="4" w:space="0" w:color="auto"/>
            </w:tcBorders>
            <w:noWrap/>
            <w:vAlign w:val="center"/>
            <w:hideMark/>
          </w:tcPr>
          <w:p w14:paraId="43579485" w14:textId="77777777" w:rsidR="00FF4199" w:rsidRPr="001542B6" w:rsidRDefault="00FF4199" w:rsidP="001542B6">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 xml:space="preserve">Pieklasificēto kapitālsabiedrību ietekmes pārvērtēšana </w:t>
            </w:r>
          </w:p>
        </w:tc>
        <w:tc>
          <w:tcPr>
            <w:tcW w:w="1036" w:type="dxa"/>
            <w:tcBorders>
              <w:top w:val="nil"/>
              <w:left w:val="nil"/>
              <w:bottom w:val="single" w:sz="4" w:space="0" w:color="auto"/>
              <w:right w:val="single" w:sz="4" w:space="0" w:color="auto"/>
            </w:tcBorders>
            <w:noWrap/>
            <w:vAlign w:val="center"/>
            <w:hideMark/>
          </w:tcPr>
          <w:p w14:paraId="11E993BA"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-2,4</w:t>
            </w:r>
          </w:p>
        </w:tc>
        <w:tc>
          <w:tcPr>
            <w:tcW w:w="1036" w:type="dxa"/>
            <w:tcBorders>
              <w:top w:val="nil"/>
              <w:left w:val="nil"/>
              <w:bottom w:val="single" w:sz="4" w:space="0" w:color="auto"/>
              <w:right w:val="single" w:sz="4" w:space="0" w:color="auto"/>
            </w:tcBorders>
            <w:noWrap/>
            <w:vAlign w:val="center"/>
            <w:hideMark/>
          </w:tcPr>
          <w:p w14:paraId="48D4FF24"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-10,2</w:t>
            </w:r>
          </w:p>
        </w:tc>
        <w:tc>
          <w:tcPr>
            <w:tcW w:w="1036" w:type="dxa"/>
            <w:tcBorders>
              <w:top w:val="nil"/>
              <w:left w:val="nil"/>
              <w:bottom w:val="single" w:sz="4" w:space="0" w:color="auto"/>
              <w:right w:val="single" w:sz="4" w:space="0" w:color="auto"/>
            </w:tcBorders>
            <w:noWrap/>
            <w:vAlign w:val="center"/>
            <w:hideMark/>
          </w:tcPr>
          <w:p w14:paraId="2E4CE73D"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-3,1</w:t>
            </w:r>
          </w:p>
        </w:tc>
      </w:tr>
      <w:tr w:rsidR="00FF4199" w:rsidRPr="00FF4199" w14:paraId="6EC212FA" w14:textId="77777777" w:rsidTr="005725B2">
        <w:trPr>
          <w:trHeight w:val="310"/>
          <w:jc w:val="center"/>
        </w:trPr>
        <w:tc>
          <w:tcPr>
            <w:tcW w:w="5397" w:type="dxa"/>
            <w:tcBorders>
              <w:top w:val="nil"/>
              <w:left w:val="single" w:sz="4" w:space="0" w:color="auto"/>
              <w:bottom w:val="single" w:sz="4" w:space="0" w:color="auto"/>
              <w:right w:val="single" w:sz="4" w:space="0" w:color="auto"/>
            </w:tcBorders>
            <w:noWrap/>
            <w:vAlign w:val="center"/>
            <w:hideMark/>
          </w:tcPr>
          <w:p w14:paraId="2DD8CBA0"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Speciālā budžeta izdevumu pārskatīšana</w:t>
            </w:r>
          </w:p>
        </w:tc>
        <w:tc>
          <w:tcPr>
            <w:tcW w:w="1036" w:type="dxa"/>
            <w:tcBorders>
              <w:top w:val="nil"/>
              <w:left w:val="nil"/>
              <w:bottom w:val="single" w:sz="4" w:space="0" w:color="auto"/>
              <w:right w:val="single" w:sz="4" w:space="0" w:color="auto"/>
            </w:tcBorders>
            <w:noWrap/>
            <w:vAlign w:val="center"/>
            <w:hideMark/>
          </w:tcPr>
          <w:p w14:paraId="71087B95"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-3,2</w:t>
            </w:r>
          </w:p>
        </w:tc>
        <w:tc>
          <w:tcPr>
            <w:tcW w:w="1036" w:type="dxa"/>
            <w:tcBorders>
              <w:top w:val="nil"/>
              <w:left w:val="nil"/>
              <w:bottom w:val="single" w:sz="4" w:space="0" w:color="auto"/>
              <w:right w:val="single" w:sz="4" w:space="0" w:color="auto"/>
            </w:tcBorders>
            <w:noWrap/>
            <w:vAlign w:val="center"/>
            <w:hideMark/>
          </w:tcPr>
          <w:p w14:paraId="6D7A07C0"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-20,1</w:t>
            </w:r>
          </w:p>
        </w:tc>
        <w:tc>
          <w:tcPr>
            <w:tcW w:w="1036" w:type="dxa"/>
            <w:tcBorders>
              <w:top w:val="nil"/>
              <w:left w:val="nil"/>
              <w:bottom w:val="single" w:sz="4" w:space="0" w:color="auto"/>
              <w:right w:val="single" w:sz="4" w:space="0" w:color="auto"/>
            </w:tcBorders>
            <w:noWrap/>
            <w:vAlign w:val="center"/>
            <w:hideMark/>
          </w:tcPr>
          <w:p w14:paraId="7D883E11"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-20,5</w:t>
            </w:r>
          </w:p>
        </w:tc>
      </w:tr>
      <w:tr w:rsidR="00FF4199" w:rsidRPr="00FF4199" w14:paraId="589373A1" w14:textId="77777777" w:rsidTr="005725B2">
        <w:trPr>
          <w:trHeight w:val="300"/>
          <w:jc w:val="center"/>
        </w:trPr>
        <w:tc>
          <w:tcPr>
            <w:tcW w:w="5397" w:type="dxa"/>
            <w:tcBorders>
              <w:top w:val="nil"/>
              <w:left w:val="single" w:sz="4" w:space="0" w:color="auto"/>
              <w:bottom w:val="single" w:sz="4" w:space="0" w:color="auto"/>
              <w:right w:val="single" w:sz="4" w:space="0" w:color="auto"/>
            </w:tcBorders>
            <w:shd w:val="clear" w:color="000000" w:fill="DDEBF7"/>
            <w:vAlign w:val="center"/>
            <w:hideMark/>
          </w:tcPr>
          <w:p w14:paraId="265EE3F4" w14:textId="77777777" w:rsidR="00FF4199" w:rsidRPr="001542B6" w:rsidRDefault="00FF4199" w:rsidP="00FF4199">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Valdības prioritātes kopā</w:t>
            </w:r>
          </w:p>
        </w:tc>
        <w:tc>
          <w:tcPr>
            <w:tcW w:w="1036" w:type="dxa"/>
            <w:tcBorders>
              <w:top w:val="nil"/>
              <w:left w:val="nil"/>
              <w:bottom w:val="single" w:sz="4" w:space="0" w:color="auto"/>
              <w:right w:val="single" w:sz="4" w:space="0" w:color="auto"/>
            </w:tcBorders>
            <w:shd w:val="clear" w:color="000000" w:fill="DDEBF7"/>
            <w:noWrap/>
            <w:vAlign w:val="center"/>
            <w:hideMark/>
          </w:tcPr>
          <w:p w14:paraId="215BC71B"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234,9</w:t>
            </w:r>
          </w:p>
        </w:tc>
        <w:tc>
          <w:tcPr>
            <w:tcW w:w="1036" w:type="dxa"/>
            <w:tcBorders>
              <w:top w:val="nil"/>
              <w:left w:val="nil"/>
              <w:bottom w:val="single" w:sz="4" w:space="0" w:color="auto"/>
              <w:right w:val="single" w:sz="4" w:space="0" w:color="auto"/>
            </w:tcBorders>
            <w:shd w:val="clear" w:color="000000" w:fill="DDEBF7"/>
            <w:noWrap/>
            <w:vAlign w:val="center"/>
            <w:hideMark/>
          </w:tcPr>
          <w:p w14:paraId="58F22AE0"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115,1</w:t>
            </w:r>
          </w:p>
        </w:tc>
        <w:tc>
          <w:tcPr>
            <w:tcW w:w="1036" w:type="dxa"/>
            <w:tcBorders>
              <w:top w:val="nil"/>
              <w:left w:val="nil"/>
              <w:bottom w:val="single" w:sz="4" w:space="0" w:color="auto"/>
              <w:right w:val="single" w:sz="4" w:space="0" w:color="auto"/>
            </w:tcBorders>
            <w:shd w:val="clear" w:color="000000" w:fill="DDEBF7"/>
            <w:noWrap/>
            <w:vAlign w:val="center"/>
            <w:hideMark/>
          </w:tcPr>
          <w:p w14:paraId="5D63CBEF"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135,8</w:t>
            </w:r>
          </w:p>
        </w:tc>
      </w:tr>
      <w:tr w:rsidR="00FF4199" w:rsidRPr="00FF4199" w14:paraId="290008CF" w14:textId="77777777" w:rsidTr="005725B2">
        <w:trPr>
          <w:trHeight w:val="300"/>
          <w:jc w:val="center"/>
        </w:trPr>
        <w:tc>
          <w:tcPr>
            <w:tcW w:w="8505" w:type="dxa"/>
            <w:gridSpan w:val="4"/>
            <w:tcBorders>
              <w:top w:val="single" w:sz="4" w:space="0" w:color="auto"/>
              <w:left w:val="single" w:sz="4" w:space="0" w:color="auto"/>
              <w:bottom w:val="single" w:sz="4" w:space="0" w:color="auto"/>
              <w:right w:val="nil"/>
            </w:tcBorders>
            <w:shd w:val="clear" w:color="000000" w:fill="BDD7EE"/>
            <w:vAlign w:val="center"/>
            <w:hideMark/>
          </w:tcPr>
          <w:p w14:paraId="2BC7BF3B" w14:textId="77777777" w:rsidR="00FF4199" w:rsidRPr="001542B6" w:rsidRDefault="00FF4199" w:rsidP="00FF4199">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Citi pasākumi</w:t>
            </w:r>
          </w:p>
        </w:tc>
      </w:tr>
      <w:tr w:rsidR="00FF4199" w:rsidRPr="00FF4199" w14:paraId="2B81613D" w14:textId="77777777" w:rsidTr="005725B2">
        <w:trPr>
          <w:trHeight w:val="300"/>
          <w:jc w:val="center"/>
        </w:trPr>
        <w:tc>
          <w:tcPr>
            <w:tcW w:w="5397"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015EC6E4" w14:textId="77777777" w:rsidR="00FF4199" w:rsidRPr="001542B6" w:rsidRDefault="00FF4199" w:rsidP="001542B6">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Fiskāli neitrālie pasākumi</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2C00DC91"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12,9</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381A61F2"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20,7</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672C59E4" w14:textId="161C8498" w:rsidR="00FF4199" w:rsidRPr="001542B6" w:rsidRDefault="000B0C11" w:rsidP="00FF4199">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33,0</w:t>
            </w:r>
          </w:p>
        </w:tc>
      </w:tr>
      <w:tr w:rsidR="00FF4199" w:rsidRPr="00FF4199" w14:paraId="0F87F1DE" w14:textId="77777777" w:rsidTr="005725B2">
        <w:trPr>
          <w:trHeight w:val="310"/>
          <w:jc w:val="center"/>
        </w:trPr>
        <w:tc>
          <w:tcPr>
            <w:tcW w:w="5397" w:type="dxa"/>
            <w:tcBorders>
              <w:top w:val="nil"/>
              <w:left w:val="single" w:sz="4" w:space="0" w:color="auto"/>
              <w:bottom w:val="single" w:sz="4" w:space="0" w:color="auto"/>
              <w:right w:val="single" w:sz="4" w:space="0" w:color="auto"/>
            </w:tcBorders>
            <w:noWrap/>
            <w:vAlign w:val="center"/>
            <w:hideMark/>
          </w:tcPr>
          <w:p w14:paraId="1D7C19BC"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Izdevumus palielinošie pasākumi, kurus kompensē ar augstākiem ieņēmumiem</w:t>
            </w:r>
          </w:p>
        </w:tc>
        <w:tc>
          <w:tcPr>
            <w:tcW w:w="1036" w:type="dxa"/>
            <w:tcBorders>
              <w:top w:val="nil"/>
              <w:left w:val="nil"/>
              <w:bottom w:val="single" w:sz="4" w:space="0" w:color="auto"/>
              <w:right w:val="single" w:sz="4" w:space="0" w:color="auto"/>
            </w:tcBorders>
            <w:noWrap/>
            <w:vAlign w:val="center"/>
            <w:hideMark/>
          </w:tcPr>
          <w:p w14:paraId="3CF3FA18"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8,1</w:t>
            </w:r>
          </w:p>
        </w:tc>
        <w:tc>
          <w:tcPr>
            <w:tcW w:w="1036" w:type="dxa"/>
            <w:tcBorders>
              <w:top w:val="nil"/>
              <w:left w:val="nil"/>
              <w:bottom w:val="single" w:sz="4" w:space="0" w:color="auto"/>
              <w:right w:val="single" w:sz="4" w:space="0" w:color="auto"/>
            </w:tcBorders>
            <w:noWrap/>
            <w:vAlign w:val="center"/>
            <w:hideMark/>
          </w:tcPr>
          <w:p w14:paraId="76CE386B"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14,4</w:t>
            </w:r>
          </w:p>
        </w:tc>
        <w:tc>
          <w:tcPr>
            <w:tcW w:w="1036" w:type="dxa"/>
            <w:tcBorders>
              <w:top w:val="nil"/>
              <w:left w:val="nil"/>
              <w:bottom w:val="single" w:sz="4" w:space="0" w:color="auto"/>
              <w:right w:val="single" w:sz="4" w:space="0" w:color="auto"/>
            </w:tcBorders>
            <w:noWrap/>
            <w:vAlign w:val="center"/>
            <w:hideMark/>
          </w:tcPr>
          <w:p w14:paraId="60574892"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29,4</w:t>
            </w:r>
          </w:p>
        </w:tc>
      </w:tr>
      <w:tr w:rsidR="00FF4199" w:rsidRPr="00FF4199" w14:paraId="5CDEEA7C" w14:textId="77777777" w:rsidTr="005725B2">
        <w:trPr>
          <w:trHeight w:val="310"/>
          <w:jc w:val="center"/>
        </w:trPr>
        <w:tc>
          <w:tcPr>
            <w:tcW w:w="5397" w:type="dxa"/>
            <w:tcBorders>
              <w:top w:val="nil"/>
              <w:left w:val="single" w:sz="4" w:space="0" w:color="auto"/>
              <w:bottom w:val="single" w:sz="4" w:space="0" w:color="auto"/>
              <w:right w:val="single" w:sz="4" w:space="0" w:color="auto"/>
            </w:tcBorders>
            <w:noWrap/>
            <w:vAlign w:val="center"/>
            <w:hideMark/>
          </w:tcPr>
          <w:p w14:paraId="6D56898B" w14:textId="77777777" w:rsidR="00FF4199" w:rsidRPr="001542B6" w:rsidRDefault="00FF4199" w:rsidP="00FF4199">
            <w:pPr>
              <w:spacing w:after="0"/>
              <w:ind w:firstLine="0"/>
              <w:jc w:val="left"/>
              <w:rPr>
                <w:rFonts w:eastAsia="Times New Roman" w:cs="Times New Roman"/>
                <w:color w:val="000000"/>
                <w:sz w:val="18"/>
                <w:szCs w:val="18"/>
              </w:rPr>
            </w:pPr>
            <w:r w:rsidRPr="001542B6">
              <w:rPr>
                <w:rFonts w:eastAsia="Times New Roman" w:cs="Times New Roman"/>
                <w:color w:val="000000"/>
                <w:sz w:val="18"/>
                <w:szCs w:val="18"/>
              </w:rPr>
              <w:t>Citi fiskāli neitrālie pasākumi</w:t>
            </w:r>
          </w:p>
        </w:tc>
        <w:tc>
          <w:tcPr>
            <w:tcW w:w="1036" w:type="dxa"/>
            <w:tcBorders>
              <w:top w:val="nil"/>
              <w:left w:val="nil"/>
              <w:bottom w:val="single" w:sz="4" w:space="0" w:color="auto"/>
              <w:right w:val="single" w:sz="4" w:space="0" w:color="auto"/>
            </w:tcBorders>
            <w:noWrap/>
            <w:vAlign w:val="center"/>
            <w:hideMark/>
          </w:tcPr>
          <w:p w14:paraId="2BE786AB"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4,8</w:t>
            </w:r>
          </w:p>
        </w:tc>
        <w:tc>
          <w:tcPr>
            <w:tcW w:w="1036" w:type="dxa"/>
            <w:tcBorders>
              <w:top w:val="nil"/>
              <w:left w:val="nil"/>
              <w:bottom w:val="single" w:sz="4" w:space="0" w:color="auto"/>
              <w:right w:val="single" w:sz="4" w:space="0" w:color="auto"/>
            </w:tcBorders>
            <w:noWrap/>
            <w:vAlign w:val="center"/>
            <w:hideMark/>
          </w:tcPr>
          <w:p w14:paraId="6C261A9F" w14:textId="77777777" w:rsidR="00FF4199" w:rsidRPr="001542B6" w:rsidRDefault="00FF4199" w:rsidP="00FF4199">
            <w:pPr>
              <w:spacing w:after="0"/>
              <w:ind w:firstLine="0"/>
              <w:jc w:val="center"/>
              <w:rPr>
                <w:rFonts w:eastAsia="Times New Roman" w:cs="Times New Roman"/>
                <w:color w:val="000000"/>
                <w:sz w:val="18"/>
                <w:szCs w:val="18"/>
              </w:rPr>
            </w:pPr>
            <w:r w:rsidRPr="001542B6">
              <w:rPr>
                <w:rFonts w:eastAsia="Times New Roman" w:cs="Times New Roman"/>
                <w:color w:val="000000"/>
                <w:sz w:val="18"/>
                <w:szCs w:val="18"/>
              </w:rPr>
              <w:t>6,3</w:t>
            </w:r>
          </w:p>
        </w:tc>
        <w:tc>
          <w:tcPr>
            <w:tcW w:w="1036" w:type="dxa"/>
            <w:tcBorders>
              <w:top w:val="nil"/>
              <w:left w:val="nil"/>
              <w:bottom w:val="single" w:sz="4" w:space="0" w:color="auto"/>
              <w:right w:val="single" w:sz="4" w:space="0" w:color="auto"/>
            </w:tcBorders>
            <w:noWrap/>
            <w:vAlign w:val="center"/>
            <w:hideMark/>
          </w:tcPr>
          <w:p w14:paraId="0CD83110" w14:textId="7C68E4CC" w:rsidR="00FF4199" w:rsidRPr="001542B6" w:rsidRDefault="000B0C11" w:rsidP="00FF4199">
            <w:pPr>
              <w:spacing w:after="0"/>
              <w:ind w:firstLine="0"/>
              <w:jc w:val="center"/>
              <w:rPr>
                <w:rFonts w:eastAsia="Times New Roman" w:cs="Times New Roman"/>
                <w:color w:val="000000"/>
                <w:sz w:val="18"/>
                <w:szCs w:val="18"/>
              </w:rPr>
            </w:pPr>
            <w:r>
              <w:rPr>
                <w:rFonts w:eastAsia="Times New Roman" w:cs="Times New Roman"/>
                <w:color w:val="000000"/>
                <w:sz w:val="18"/>
                <w:szCs w:val="18"/>
              </w:rPr>
              <w:t>3,6</w:t>
            </w:r>
          </w:p>
        </w:tc>
      </w:tr>
      <w:tr w:rsidR="00FF4199" w:rsidRPr="00FF4199" w14:paraId="1DC68C2B" w14:textId="77777777" w:rsidTr="005725B2">
        <w:trPr>
          <w:trHeight w:val="300"/>
          <w:jc w:val="center"/>
        </w:trPr>
        <w:tc>
          <w:tcPr>
            <w:tcW w:w="5397"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6ED66F4F" w14:textId="77777777" w:rsidR="00FF4199" w:rsidRPr="001542B6" w:rsidRDefault="00FF4199" w:rsidP="001542B6">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Aizsardzības spēju stiprināšana (papildus izdevumi, izmantojot valsts izņēmuma klauzulu)</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337928DB"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101,5</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4A21167A"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61,5</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726813A5"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63,3</w:t>
            </w:r>
          </w:p>
        </w:tc>
      </w:tr>
      <w:tr w:rsidR="00FF4199" w:rsidRPr="00FF4199" w14:paraId="0F83F9D4" w14:textId="77777777" w:rsidTr="005725B2">
        <w:trPr>
          <w:trHeight w:val="300"/>
          <w:jc w:val="center"/>
        </w:trPr>
        <w:tc>
          <w:tcPr>
            <w:tcW w:w="5397"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64FBFE66" w14:textId="77777777" w:rsidR="00FF4199" w:rsidRPr="001542B6" w:rsidRDefault="00FF4199" w:rsidP="001542B6">
            <w:pPr>
              <w:spacing w:after="0"/>
              <w:ind w:firstLine="0"/>
              <w:jc w:val="left"/>
              <w:rPr>
                <w:rFonts w:eastAsia="Times New Roman" w:cs="Times New Roman"/>
                <w:b/>
                <w:bCs/>
                <w:color w:val="000000"/>
                <w:sz w:val="18"/>
                <w:szCs w:val="18"/>
              </w:rPr>
            </w:pPr>
            <w:r w:rsidRPr="001542B6">
              <w:rPr>
                <w:rFonts w:eastAsia="Times New Roman" w:cs="Times New Roman"/>
                <w:b/>
                <w:bCs/>
                <w:color w:val="000000"/>
                <w:sz w:val="18"/>
                <w:szCs w:val="18"/>
              </w:rPr>
              <w:t>Citi izdevumi, tostarp EKS korekcijas</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325B7269" w14:textId="14A93DB0" w:rsidR="00FF4199" w:rsidRPr="001542B6" w:rsidRDefault="00FF4199" w:rsidP="00FF4199">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0,0</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7940FA70" w14:textId="6B6CE82C" w:rsidR="00FF4199" w:rsidRPr="001542B6" w:rsidRDefault="00FF4199" w:rsidP="00FF4199">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0,0</w:t>
            </w:r>
          </w:p>
        </w:tc>
        <w:tc>
          <w:tcPr>
            <w:tcW w:w="1036" w:type="dxa"/>
            <w:tcBorders>
              <w:top w:val="nil"/>
              <w:left w:val="nil"/>
              <w:bottom w:val="single" w:sz="4" w:space="0" w:color="auto"/>
              <w:right w:val="single" w:sz="4" w:space="0" w:color="auto"/>
            </w:tcBorders>
            <w:shd w:val="clear" w:color="auto" w:fill="FFF2CC" w:themeFill="accent4" w:themeFillTint="33"/>
            <w:noWrap/>
            <w:vAlign w:val="center"/>
            <w:hideMark/>
          </w:tcPr>
          <w:p w14:paraId="4CD481CA" w14:textId="46132E4C" w:rsidR="00FF4199" w:rsidRPr="001542B6" w:rsidRDefault="00FF4199" w:rsidP="00FF4199">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0,0</w:t>
            </w:r>
          </w:p>
        </w:tc>
      </w:tr>
      <w:tr w:rsidR="00FF4199" w:rsidRPr="00FF4199" w14:paraId="02BBF4C6" w14:textId="77777777" w:rsidTr="005725B2">
        <w:trPr>
          <w:trHeight w:val="310"/>
          <w:jc w:val="center"/>
        </w:trPr>
        <w:tc>
          <w:tcPr>
            <w:tcW w:w="5397" w:type="dxa"/>
            <w:tcBorders>
              <w:top w:val="nil"/>
              <w:left w:val="single" w:sz="4" w:space="0" w:color="auto"/>
              <w:bottom w:val="single" w:sz="4" w:space="0" w:color="auto"/>
              <w:right w:val="single" w:sz="4" w:space="0" w:color="auto"/>
            </w:tcBorders>
            <w:shd w:val="clear" w:color="000000" w:fill="DDEBF7"/>
            <w:vAlign w:val="center"/>
            <w:hideMark/>
          </w:tcPr>
          <w:p w14:paraId="5513EC84" w14:textId="77777777" w:rsidR="00FF4199" w:rsidRPr="001542B6" w:rsidRDefault="00FF4199" w:rsidP="00FF4199">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Citi pasākumi kopā</w:t>
            </w:r>
          </w:p>
        </w:tc>
        <w:tc>
          <w:tcPr>
            <w:tcW w:w="1036" w:type="dxa"/>
            <w:tcBorders>
              <w:top w:val="nil"/>
              <w:left w:val="nil"/>
              <w:bottom w:val="single" w:sz="4" w:space="0" w:color="auto"/>
              <w:right w:val="single" w:sz="4" w:space="0" w:color="auto"/>
            </w:tcBorders>
            <w:shd w:val="clear" w:color="000000" w:fill="DDEBF7"/>
            <w:noWrap/>
            <w:vAlign w:val="center"/>
            <w:hideMark/>
          </w:tcPr>
          <w:p w14:paraId="78656E20"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114,4</w:t>
            </w:r>
          </w:p>
        </w:tc>
        <w:tc>
          <w:tcPr>
            <w:tcW w:w="1036" w:type="dxa"/>
            <w:tcBorders>
              <w:top w:val="nil"/>
              <w:left w:val="nil"/>
              <w:bottom w:val="single" w:sz="4" w:space="0" w:color="auto"/>
              <w:right w:val="single" w:sz="4" w:space="0" w:color="auto"/>
            </w:tcBorders>
            <w:shd w:val="clear" w:color="000000" w:fill="DDEBF7"/>
            <w:noWrap/>
            <w:vAlign w:val="center"/>
            <w:hideMark/>
          </w:tcPr>
          <w:p w14:paraId="663EAA39"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82,2</w:t>
            </w:r>
          </w:p>
        </w:tc>
        <w:tc>
          <w:tcPr>
            <w:tcW w:w="1036" w:type="dxa"/>
            <w:tcBorders>
              <w:top w:val="nil"/>
              <w:left w:val="nil"/>
              <w:bottom w:val="single" w:sz="4" w:space="0" w:color="auto"/>
              <w:right w:val="single" w:sz="4" w:space="0" w:color="auto"/>
            </w:tcBorders>
            <w:shd w:val="clear" w:color="000000" w:fill="DDEBF7"/>
            <w:noWrap/>
            <w:vAlign w:val="center"/>
            <w:hideMark/>
          </w:tcPr>
          <w:p w14:paraId="0D153C6E" w14:textId="2D984E40" w:rsidR="00FF4199" w:rsidRPr="001542B6" w:rsidRDefault="000B0C11" w:rsidP="00FF4199">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96,3</w:t>
            </w:r>
          </w:p>
        </w:tc>
      </w:tr>
      <w:tr w:rsidR="00FF4199" w:rsidRPr="00FF4199" w14:paraId="49541F58" w14:textId="77777777" w:rsidTr="005725B2">
        <w:trPr>
          <w:trHeight w:val="320"/>
          <w:jc w:val="center"/>
        </w:trPr>
        <w:tc>
          <w:tcPr>
            <w:tcW w:w="5397" w:type="dxa"/>
            <w:tcBorders>
              <w:top w:val="single" w:sz="8" w:space="0" w:color="auto"/>
              <w:left w:val="single" w:sz="8" w:space="0" w:color="auto"/>
              <w:bottom w:val="single" w:sz="8" w:space="0" w:color="auto"/>
              <w:right w:val="single" w:sz="4" w:space="0" w:color="auto"/>
            </w:tcBorders>
            <w:shd w:val="clear" w:color="000000" w:fill="9BC2E6"/>
            <w:noWrap/>
            <w:vAlign w:val="center"/>
            <w:hideMark/>
          </w:tcPr>
          <w:p w14:paraId="7FA9F4DE" w14:textId="77777777" w:rsidR="00FF4199" w:rsidRPr="001542B6" w:rsidRDefault="00FF4199" w:rsidP="001542B6">
            <w:pPr>
              <w:spacing w:after="0"/>
              <w:ind w:firstLine="0"/>
              <w:jc w:val="right"/>
              <w:rPr>
                <w:rFonts w:eastAsia="Times New Roman" w:cs="Times New Roman"/>
                <w:b/>
                <w:bCs/>
                <w:color w:val="000000"/>
                <w:sz w:val="18"/>
                <w:szCs w:val="18"/>
              </w:rPr>
            </w:pPr>
            <w:r w:rsidRPr="001542B6">
              <w:rPr>
                <w:rFonts w:eastAsia="Times New Roman" w:cs="Times New Roman"/>
                <w:b/>
                <w:bCs/>
                <w:color w:val="000000"/>
                <w:sz w:val="18"/>
                <w:szCs w:val="18"/>
              </w:rPr>
              <w:t>Izdevumu pasākumi kopā</w:t>
            </w:r>
          </w:p>
        </w:tc>
        <w:tc>
          <w:tcPr>
            <w:tcW w:w="1036" w:type="dxa"/>
            <w:tcBorders>
              <w:top w:val="single" w:sz="8" w:space="0" w:color="auto"/>
              <w:left w:val="nil"/>
              <w:bottom w:val="single" w:sz="8" w:space="0" w:color="auto"/>
              <w:right w:val="single" w:sz="4" w:space="0" w:color="auto"/>
            </w:tcBorders>
            <w:shd w:val="clear" w:color="000000" w:fill="9BC2E6"/>
            <w:noWrap/>
            <w:vAlign w:val="center"/>
            <w:hideMark/>
          </w:tcPr>
          <w:p w14:paraId="3623D78C" w14:textId="43C48E25" w:rsidR="00FF4199" w:rsidRPr="001542B6" w:rsidRDefault="000B0C11" w:rsidP="00FF4199">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217,9</w:t>
            </w:r>
          </w:p>
        </w:tc>
        <w:tc>
          <w:tcPr>
            <w:tcW w:w="1036" w:type="dxa"/>
            <w:tcBorders>
              <w:top w:val="single" w:sz="8" w:space="0" w:color="auto"/>
              <w:left w:val="nil"/>
              <w:bottom w:val="single" w:sz="8" w:space="0" w:color="auto"/>
              <w:right w:val="single" w:sz="4" w:space="0" w:color="auto"/>
            </w:tcBorders>
            <w:shd w:val="clear" w:color="000000" w:fill="9BC2E6"/>
            <w:noWrap/>
            <w:vAlign w:val="center"/>
            <w:hideMark/>
          </w:tcPr>
          <w:p w14:paraId="1810D9D2" w14:textId="77777777" w:rsidR="00FF4199" w:rsidRPr="001542B6" w:rsidRDefault="00FF4199" w:rsidP="00FF4199">
            <w:pPr>
              <w:spacing w:after="0"/>
              <w:ind w:firstLine="0"/>
              <w:jc w:val="center"/>
              <w:rPr>
                <w:rFonts w:eastAsia="Times New Roman" w:cs="Times New Roman"/>
                <w:b/>
                <w:bCs/>
                <w:color w:val="000000"/>
                <w:sz w:val="18"/>
                <w:szCs w:val="18"/>
              </w:rPr>
            </w:pPr>
            <w:r w:rsidRPr="001542B6">
              <w:rPr>
                <w:rFonts w:eastAsia="Times New Roman" w:cs="Times New Roman"/>
                <w:b/>
                <w:bCs/>
                <w:color w:val="000000"/>
                <w:sz w:val="18"/>
                <w:szCs w:val="18"/>
              </w:rPr>
              <w:t>42,1</w:t>
            </w:r>
          </w:p>
        </w:tc>
        <w:tc>
          <w:tcPr>
            <w:tcW w:w="1036" w:type="dxa"/>
            <w:tcBorders>
              <w:top w:val="single" w:sz="8" w:space="0" w:color="auto"/>
              <w:left w:val="nil"/>
              <w:bottom w:val="single" w:sz="8" w:space="0" w:color="auto"/>
              <w:right w:val="single" w:sz="4" w:space="0" w:color="auto"/>
            </w:tcBorders>
            <w:shd w:val="clear" w:color="000000" w:fill="9BC2E6"/>
            <w:noWrap/>
            <w:vAlign w:val="center"/>
            <w:hideMark/>
          </w:tcPr>
          <w:p w14:paraId="59811D76" w14:textId="5D270C76" w:rsidR="00FF4199" w:rsidRPr="001542B6" w:rsidRDefault="000B0C11" w:rsidP="00FF4199">
            <w:pPr>
              <w:spacing w:after="0"/>
              <w:ind w:firstLine="0"/>
              <w:jc w:val="center"/>
              <w:rPr>
                <w:rFonts w:eastAsia="Times New Roman" w:cs="Times New Roman"/>
                <w:b/>
                <w:bCs/>
                <w:color w:val="000000"/>
                <w:sz w:val="18"/>
                <w:szCs w:val="18"/>
              </w:rPr>
            </w:pPr>
            <w:r>
              <w:rPr>
                <w:rFonts w:eastAsia="Times New Roman" w:cs="Times New Roman"/>
                <w:b/>
                <w:bCs/>
                <w:color w:val="000000"/>
                <w:sz w:val="18"/>
                <w:szCs w:val="18"/>
              </w:rPr>
              <w:t>79,4</w:t>
            </w:r>
          </w:p>
        </w:tc>
      </w:tr>
    </w:tbl>
    <w:p w14:paraId="715991FD" w14:textId="77777777" w:rsidR="00583BD0" w:rsidRPr="00D8017D" w:rsidRDefault="00583BD0" w:rsidP="008349F0">
      <w:pPr>
        <w:widowControl w:val="0"/>
        <w:spacing w:after="0"/>
        <w:ind w:firstLine="0"/>
        <w:rPr>
          <w:rFonts w:eastAsia="Times New Roman" w:cs="Times New Roman"/>
          <w:b/>
          <w:color w:val="000000"/>
          <w:sz w:val="28"/>
          <w:highlight w:val="lightGray"/>
        </w:rPr>
      </w:pPr>
    </w:p>
    <w:p w14:paraId="039FD400" w14:textId="6CAD7DD5" w:rsidR="00CB7E29" w:rsidRPr="00BD28F4" w:rsidRDefault="00CB7E29" w:rsidP="008349F0">
      <w:pPr>
        <w:widowControl w:val="0"/>
        <w:spacing w:after="240"/>
        <w:jc w:val="center"/>
        <w:rPr>
          <w:rFonts w:eastAsia="Times New Roman" w:cs="Times New Roman"/>
          <w:b/>
          <w:color w:val="000000"/>
          <w:sz w:val="28"/>
        </w:rPr>
      </w:pPr>
      <w:r w:rsidRPr="00BD28F4">
        <w:rPr>
          <w:rFonts w:eastAsia="Times New Roman" w:cs="Times New Roman"/>
          <w:b/>
          <w:color w:val="000000"/>
          <w:sz w:val="28"/>
        </w:rPr>
        <w:t>Diskrecionāro politikas lēmumu ietekme uz publisko finanšu ilgtermiņa stabilitāti</w:t>
      </w:r>
    </w:p>
    <w:p w14:paraId="3396FCCD" w14:textId="5620D068" w:rsidR="00A32CF0" w:rsidRPr="00D8017D" w:rsidRDefault="00CB7E29" w:rsidP="001F5D07">
      <w:pPr>
        <w:widowControl w:val="0"/>
        <w:rPr>
          <w:rFonts w:eastAsia="Times New Roman" w:cs="Times New Roman"/>
          <w:color w:val="000000"/>
        </w:rPr>
      </w:pPr>
      <w:r w:rsidRPr="00D8017D">
        <w:rPr>
          <w:rFonts w:eastAsia="Times New Roman" w:cs="Times New Roman"/>
        </w:rPr>
        <w:t xml:space="preserve">Saskaņā ar FDL fiskālās politikas īstenošanā tiek ievērots ilgtspējīgas fiskālās politikas princips – fiskālās politikas mērķis ir nodrošināt, lai vispārējās valdības parāda apjoms neuzliek nesamērīgu slogu ekonomikai, bet veicina tās attīstību ilgtermiņā. Savukārt, saskaņā ar Direktīvas 2011/85/ES </w:t>
      </w:r>
      <w:r w:rsidRPr="00D8017D">
        <w:rPr>
          <w:rFonts w:eastAsia="Times New Roman" w:cs="Times New Roman"/>
          <w:color w:val="000000"/>
        </w:rPr>
        <w:t xml:space="preserve">9. panta otrā punkta d) apakšpunktu, dalībvalstīm ir jāveic </w:t>
      </w:r>
      <w:r w:rsidR="00A32CF0" w:rsidRPr="00D8017D">
        <w:rPr>
          <w:rFonts w:eastAsia="Times New Roman" w:cs="Times New Roman"/>
          <w:color w:val="000000"/>
        </w:rPr>
        <w:t>izvērtējums par to, kā paredzētā politika, ņemot vērā tās tiešu vidēja termiņa un ilgtermiņa ietekmi uz vispārējās valdības finansēm, varētu iespaidot publisko finanšu un ilgtspējīgas un iekļaujošas izaugsmes vidēja termiņa un ilgtermiņa stabilitāti. Ciktāl iespējams, novērtējumā ņem vērā klimata pārmaiņu radītos makrofiskālos riskus un to ietekmi uz vidi un distributīvo ietekmi.</w:t>
      </w:r>
    </w:p>
    <w:p w14:paraId="0397F08B" w14:textId="12DF4E48" w:rsidR="001F5D07" w:rsidRPr="00D8017D" w:rsidRDefault="00A32CF0" w:rsidP="001F5D07">
      <w:pPr>
        <w:spacing w:line="266" w:lineRule="auto"/>
        <w:ind w:right="1"/>
      </w:pPr>
      <w:r w:rsidRPr="00D8017D">
        <w:rPr>
          <w:rFonts w:eastAsia="Times New Roman" w:cs="Times New Roman"/>
          <w:color w:val="000000"/>
        </w:rPr>
        <w:t>Ņemot vērā likumprojektā “Grozījum</w:t>
      </w:r>
      <w:r w:rsidR="001F5D07" w:rsidRPr="00D8017D">
        <w:rPr>
          <w:rFonts w:eastAsia="Times New Roman" w:cs="Times New Roman"/>
          <w:color w:val="000000"/>
        </w:rPr>
        <w:t>i</w:t>
      </w:r>
      <w:r w:rsidRPr="00D8017D">
        <w:rPr>
          <w:rFonts w:eastAsia="Times New Roman" w:cs="Times New Roman"/>
          <w:color w:val="000000"/>
        </w:rPr>
        <w:t xml:space="preserve"> Fiskālās disciplīnas likumā” (25-TA-2059), kas tiek virzīti likumprojekta “</w:t>
      </w:r>
      <w:r w:rsidRPr="00D8017D">
        <w:t xml:space="preserve">Par valsts budžetu 2026. gadam un budžeta ietvaru 2026., 2027. un </w:t>
      </w:r>
      <w:r w:rsidRPr="00D8017D">
        <w:lastRenderedPageBreak/>
        <w:t>2028. gadam” paketē, iekļautos grozījumus 16. panta ceturtās daļas 7. punktā, iespēju robežās informāciju par iespējamām saistībām saistībā ar katastrofām un klimata pārmaiņām, pēc iespējas ņemot vērā informāciju par fiskālajām izmaksām, kas radušās katastrofu un ar klimatu saistītu satricinājumu dēļ, iekļauj Fiskālo risku deklarācijā</w:t>
      </w:r>
      <w:r w:rsidR="001F5D07" w:rsidRPr="00D8017D">
        <w:t xml:space="preserve">. Informatīvais ziņojums “Fiskālo risku deklarācija”, kas pievienojama likumprojektam </w:t>
      </w:r>
      <w:r w:rsidR="001F5D07" w:rsidRPr="00D8017D">
        <w:rPr>
          <w:rFonts w:eastAsia="Times New Roman" w:cs="Times New Roman"/>
          <w:color w:val="000000"/>
        </w:rPr>
        <w:t>“</w:t>
      </w:r>
      <w:r w:rsidR="001F5D07" w:rsidRPr="00D8017D">
        <w:t>Par valsts budžetu 2026. gadam un budžeta ietvaru 2026., 2027. un 2028. gadam”, ir izskatīts 2025. gada 19. augustā</w:t>
      </w:r>
      <w:r w:rsidR="001F5D07" w:rsidRPr="00D8017D">
        <w:rPr>
          <w:rStyle w:val="FootnoteReference"/>
        </w:rPr>
        <w:footnoteReference w:id="42"/>
      </w:r>
      <w:r w:rsidR="001F5D07" w:rsidRPr="00D8017D">
        <w:t xml:space="preserve"> un tās 5. sadaļa šogad ir paplašināta ar analīzi par klimata pārmaiņu ietekmi uz galvenajiem fiskālajiem rādītājiem. </w:t>
      </w:r>
    </w:p>
    <w:p w14:paraId="57BF58ED" w14:textId="6D918B3F" w:rsidR="00CB7E29" w:rsidRPr="00D8017D" w:rsidRDefault="001F5D07" w:rsidP="001F5D07">
      <w:pPr>
        <w:spacing w:line="266" w:lineRule="auto"/>
        <w:ind w:right="1"/>
        <w:rPr>
          <w:rFonts w:eastAsia="Times New Roman" w:cs="Times New Roman"/>
          <w:color w:val="000000"/>
        </w:rPr>
      </w:pPr>
      <w:r w:rsidRPr="00D8017D">
        <w:rPr>
          <w:rFonts w:eastAsia="Times New Roman" w:cs="Times New Roman"/>
          <w:color w:val="000000"/>
        </w:rPr>
        <w:t>Bez tam</w:t>
      </w:r>
      <w:r w:rsidR="005735FB" w:rsidRPr="00D8017D">
        <w:rPr>
          <w:rFonts w:eastAsia="Times New Roman" w:cs="Times New Roman"/>
          <w:color w:val="000000"/>
        </w:rPr>
        <w:t xml:space="preserve"> </w:t>
      </w:r>
      <w:r w:rsidR="00CB7E29" w:rsidRPr="00D8017D">
        <w:rPr>
          <w:rFonts w:eastAsia="Times New Roman" w:cs="Times New Roman"/>
          <w:color w:val="000000"/>
        </w:rPr>
        <w:t xml:space="preserve">šajā sadaļā tiek veikts ilgtspējas novērtējums </w:t>
      </w:r>
      <w:r w:rsidR="007C7CDE" w:rsidRPr="00D8017D">
        <w:rPr>
          <w:rFonts w:eastAsia="Times New Roman" w:cs="Times New Roman"/>
          <w:color w:val="000000"/>
        </w:rPr>
        <w:t>MK</w:t>
      </w:r>
      <w:r w:rsidR="00CB7E29" w:rsidRPr="00D8017D">
        <w:rPr>
          <w:rFonts w:eastAsia="Times New Roman" w:cs="Times New Roman"/>
          <w:color w:val="000000"/>
        </w:rPr>
        <w:t xml:space="preserve"> pieņemtajiem lēmumiem, analizējot vai jauno politikas pasākumu tiešā ietekme nerada riskus publisko finanšu ilgtermiņa stabilitātei. </w:t>
      </w:r>
    </w:p>
    <w:p w14:paraId="62C36FEF" w14:textId="0E2EC294" w:rsidR="00CB7E29" w:rsidRPr="00D8017D" w:rsidRDefault="00CB7E29" w:rsidP="001F5D07">
      <w:pPr>
        <w:widowControl w:val="0"/>
        <w:rPr>
          <w:rFonts w:eastAsia="Times New Roman" w:cs="Times New Roman"/>
          <w:color w:val="000000"/>
        </w:rPr>
      </w:pPr>
      <w:r w:rsidRPr="00D8017D">
        <w:rPr>
          <w:rFonts w:eastAsia="Times New Roman" w:cs="Times New Roman"/>
          <w:color w:val="000000"/>
        </w:rPr>
        <w:t xml:space="preserve">Analizēti tiek tikai tādi </w:t>
      </w:r>
      <w:r w:rsidR="007C7CDE" w:rsidRPr="00D8017D">
        <w:rPr>
          <w:rFonts w:eastAsia="Times New Roman" w:cs="Times New Roman"/>
          <w:color w:val="000000"/>
        </w:rPr>
        <w:t>MK</w:t>
      </w:r>
      <w:r w:rsidRPr="00D8017D">
        <w:rPr>
          <w:rFonts w:eastAsia="Times New Roman" w:cs="Times New Roman"/>
          <w:color w:val="000000"/>
        </w:rPr>
        <w:t xml:space="preserve"> pieņemtie politikas pasākumi, kam ir tieša negatīva ietekme uz vispārējās valdības budžeta bilanci, proti, ieņēmumus samazinoši pasākumi un izdevumus palielinoši pasākumi. Tāpat tiek pieņemts, ka ilgtermiņa ietekme ir tikai tādiem pasākumiem, kam ir bāzes efekts uz turpmākajiem gadiem. Ja politikas pasākums ir ar bāzes efektu, kam fiskālās ietekmes apmērs nominālā izteiksmē ir laikā nemainīgs, politikas pasākums nerada draudus ilgtermiņa publisko finanšu stabilitātei, jo pie augoša reālā iekšzemes kopprodukta un cenu līmeņa pieauguma, politikas pasākuma tiešā fiskālā ietekme procentos pret </w:t>
      </w:r>
      <w:r w:rsidR="007C7CDE" w:rsidRPr="00D8017D">
        <w:rPr>
          <w:rFonts w:eastAsia="Times New Roman" w:cs="Times New Roman"/>
          <w:color w:val="000000"/>
        </w:rPr>
        <w:t>IKP</w:t>
      </w:r>
      <w:r w:rsidRPr="00D8017D">
        <w:rPr>
          <w:rFonts w:eastAsia="Times New Roman" w:cs="Times New Roman"/>
          <w:color w:val="000000"/>
        </w:rPr>
        <w:t xml:space="preserve"> laikā samazinās. Attiecīgi kritērijs tam, vai jaunā politikas prioritāte rada riskus publisko finanšu ilgtspējai, ir pieņemtā politikas pasākuma fiskālās ietekmes pret </w:t>
      </w:r>
      <w:r w:rsidR="007C7CDE" w:rsidRPr="00D8017D">
        <w:rPr>
          <w:rFonts w:eastAsia="Times New Roman" w:cs="Times New Roman"/>
          <w:color w:val="000000"/>
        </w:rPr>
        <w:t>IKP</w:t>
      </w:r>
      <w:r w:rsidRPr="00D8017D">
        <w:rPr>
          <w:rFonts w:eastAsia="Times New Roman" w:cs="Times New Roman"/>
          <w:color w:val="000000"/>
        </w:rPr>
        <w:t xml:space="preserve"> dinamika.</w:t>
      </w:r>
    </w:p>
    <w:p w14:paraId="4A977E92" w14:textId="0C515198" w:rsidR="0004655C" w:rsidRPr="00D8017D" w:rsidRDefault="00CB7E29" w:rsidP="001F5D07">
      <w:pPr>
        <w:widowControl w:val="0"/>
        <w:rPr>
          <w:rFonts w:eastAsia="Times New Roman" w:cs="Times New Roman"/>
          <w:b/>
          <w:szCs w:val="28"/>
        </w:rPr>
      </w:pPr>
      <w:r w:rsidRPr="00D8017D">
        <w:rPr>
          <w:rFonts w:eastAsia="Times New Roman" w:cs="Times New Roman"/>
          <w:color w:val="000000"/>
        </w:rPr>
        <w:t xml:space="preserve">Izvērtējot šī vidēja termiņa budžeta ietvara izstrādes laikā pieņemtos </w:t>
      </w:r>
      <w:r w:rsidR="007C7CDE" w:rsidRPr="00D8017D">
        <w:rPr>
          <w:rFonts w:eastAsia="Times New Roman" w:cs="Times New Roman"/>
          <w:color w:val="000000"/>
        </w:rPr>
        <w:t>MK</w:t>
      </w:r>
      <w:r w:rsidRPr="00D8017D">
        <w:rPr>
          <w:rFonts w:eastAsia="Times New Roman" w:cs="Times New Roman"/>
          <w:color w:val="000000"/>
        </w:rPr>
        <w:t xml:space="preserve"> lēmumus, tika secināts, ka nav pieņemti tādi pasākumi, kuri rada risku publisko finanšu ilgtspējai, jo </w:t>
      </w:r>
      <w:r w:rsidR="007C7CDE" w:rsidRPr="00D8017D">
        <w:rPr>
          <w:rFonts w:eastAsia="Times New Roman" w:cs="Times New Roman"/>
          <w:color w:val="000000"/>
        </w:rPr>
        <w:t>MK</w:t>
      </w:r>
      <w:r w:rsidRPr="00D8017D">
        <w:rPr>
          <w:rFonts w:eastAsia="Times New Roman" w:cs="Times New Roman"/>
          <w:color w:val="000000"/>
        </w:rPr>
        <w:t xml:space="preserve"> pieņēma lēmumu </w:t>
      </w:r>
      <w:r w:rsidR="0051507C" w:rsidRPr="00D8017D">
        <w:rPr>
          <w:rFonts w:eastAsia="Times New Roman" w:cs="Times New Roman"/>
          <w:color w:val="000000"/>
        </w:rPr>
        <w:t>par pasākumiem ievērojot noteiktos fiskālos mērķus un pasākumu</w:t>
      </w:r>
      <w:r w:rsidRPr="00D8017D">
        <w:rPr>
          <w:rFonts w:eastAsia="Times New Roman" w:cs="Times New Roman"/>
          <w:color w:val="000000"/>
        </w:rPr>
        <w:t xml:space="preserve"> apmērs nominālā izteiksmē laikā ir nemainīgs.</w:t>
      </w:r>
      <w:r w:rsidRPr="00D8017D">
        <w:rPr>
          <w:rFonts w:eastAsia="Times New Roman" w:cs="Times New Roman"/>
          <w:b/>
          <w:szCs w:val="28"/>
        </w:rPr>
        <w:t xml:space="preserve"> </w:t>
      </w:r>
    </w:p>
    <w:p w14:paraId="433BEDE3" w14:textId="0CA3157B" w:rsidR="00DD0C61" w:rsidRPr="00E437A9" w:rsidRDefault="00DD0C61" w:rsidP="008349F0">
      <w:pPr>
        <w:pStyle w:val="Heading2"/>
        <w:rPr>
          <w:rFonts w:eastAsia="Times New Roman"/>
        </w:rPr>
      </w:pPr>
      <w:bookmarkStart w:id="79" w:name="_Toc210289895"/>
      <w:r w:rsidRPr="00E437A9">
        <w:rPr>
          <w:rFonts w:eastAsia="Times New Roman"/>
        </w:rPr>
        <w:t>2.4. Pašvaldību finanšu izlīdzināšana</w:t>
      </w:r>
      <w:bookmarkEnd w:id="79"/>
    </w:p>
    <w:p w14:paraId="3CA71A39" w14:textId="77777777" w:rsidR="00E437A9" w:rsidRPr="001D7920" w:rsidRDefault="00E437A9" w:rsidP="00E437A9">
      <w:pPr>
        <w:widowControl w:val="0"/>
        <w:autoSpaceDE w:val="0"/>
        <w:autoSpaceDN w:val="0"/>
        <w:spacing w:before="236" w:after="0"/>
        <w:rPr>
          <w:rFonts w:eastAsia="Times New Roman" w:cs="Times New Roman"/>
          <w:i/>
          <w:szCs w:val="24"/>
          <w:lang w:bidi="lv-LV"/>
        </w:rPr>
      </w:pPr>
      <w:bookmarkStart w:id="80" w:name="_Toc210289896"/>
      <w:r w:rsidRPr="001D7920">
        <w:rPr>
          <w:rFonts w:eastAsia="Times New Roman" w:cs="Times New Roman"/>
          <w:szCs w:val="24"/>
          <w:lang w:bidi="lv-LV"/>
        </w:rPr>
        <w:t>Valsts budžetā 202</w:t>
      </w:r>
      <w:r>
        <w:rPr>
          <w:rFonts w:eastAsia="Times New Roman" w:cs="Times New Roman"/>
          <w:szCs w:val="24"/>
          <w:lang w:bidi="lv-LV"/>
        </w:rPr>
        <w:t>6</w:t>
      </w:r>
      <w:r w:rsidRPr="001D7920">
        <w:rPr>
          <w:rFonts w:eastAsia="Times New Roman" w:cs="Times New Roman"/>
          <w:szCs w:val="24"/>
          <w:lang w:bidi="lv-LV"/>
        </w:rPr>
        <w:t>.</w:t>
      </w:r>
      <w:r>
        <w:rPr>
          <w:rFonts w:eastAsia="Times New Roman" w:cs="Times New Roman"/>
          <w:szCs w:val="24"/>
          <w:lang w:bidi="lv-LV"/>
        </w:rPr>
        <w:t xml:space="preserve"> </w:t>
      </w:r>
      <w:r w:rsidRPr="001D7920">
        <w:rPr>
          <w:rFonts w:eastAsia="Times New Roman" w:cs="Times New Roman"/>
          <w:szCs w:val="24"/>
          <w:lang w:bidi="lv-LV"/>
        </w:rPr>
        <w:t>gadam ir plānots finansējums pašvaldībām 106,</w:t>
      </w:r>
      <w:r>
        <w:rPr>
          <w:rFonts w:eastAsia="Times New Roman" w:cs="Times New Roman"/>
          <w:szCs w:val="24"/>
          <w:lang w:bidi="lv-LV"/>
        </w:rPr>
        <w:t>32</w:t>
      </w:r>
      <w:r w:rsidRPr="001D7920">
        <w:rPr>
          <w:rFonts w:eastAsia="Times New Roman" w:cs="Times New Roman"/>
          <w:szCs w:val="24"/>
          <w:lang w:bidi="lv-LV"/>
        </w:rPr>
        <w:t xml:space="preserve"> milj. </w:t>
      </w:r>
      <w:r w:rsidRPr="001D7920">
        <w:rPr>
          <w:rFonts w:eastAsia="Times New Roman" w:cs="Times New Roman"/>
          <w:i/>
          <w:szCs w:val="24"/>
          <w:lang w:bidi="lv-LV"/>
        </w:rPr>
        <w:t xml:space="preserve">euro </w:t>
      </w:r>
      <w:r w:rsidRPr="001D7920">
        <w:rPr>
          <w:rFonts w:eastAsia="Times New Roman" w:cs="Times New Roman"/>
          <w:szCs w:val="24"/>
          <w:lang w:bidi="lv-LV"/>
        </w:rPr>
        <w:t>apmērā, kas paredzēts Pašvaldību finanšu izlīdzināšanas likuma normu izpildei, t.sk.:</w:t>
      </w:r>
    </w:p>
    <w:p w14:paraId="71A5CF46" w14:textId="77777777" w:rsidR="00E437A9" w:rsidRPr="001D7920" w:rsidRDefault="00E437A9" w:rsidP="00E437A9">
      <w:pPr>
        <w:widowControl w:val="0"/>
        <w:numPr>
          <w:ilvl w:val="0"/>
          <w:numId w:val="14"/>
        </w:numPr>
        <w:tabs>
          <w:tab w:val="left" w:pos="1096"/>
        </w:tabs>
        <w:autoSpaceDE w:val="0"/>
        <w:autoSpaceDN w:val="0"/>
        <w:spacing w:before="120" w:after="0"/>
        <w:ind w:left="1071" w:hanging="357"/>
        <w:rPr>
          <w:rFonts w:eastAsia="Times New Roman" w:cs="Times New Roman"/>
          <w:szCs w:val="20"/>
          <w:lang w:eastAsia="en-US"/>
        </w:rPr>
      </w:pPr>
      <w:r w:rsidRPr="001D7920">
        <w:rPr>
          <w:rFonts w:eastAsia="Times New Roman" w:cs="Times New Roman"/>
          <w:szCs w:val="20"/>
          <w:lang w:eastAsia="en-US"/>
        </w:rPr>
        <w:t>dotācija pašvaldību finanšu izlīdzināšanas fondam 5</w:t>
      </w:r>
      <w:r>
        <w:rPr>
          <w:rFonts w:eastAsia="Times New Roman" w:cs="Times New Roman"/>
          <w:szCs w:val="20"/>
          <w:lang w:eastAsia="en-US"/>
        </w:rPr>
        <w:t>0</w:t>
      </w:r>
      <w:r w:rsidRPr="001D7920">
        <w:rPr>
          <w:rFonts w:eastAsia="Times New Roman" w:cs="Times New Roman"/>
          <w:szCs w:val="20"/>
          <w:lang w:eastAsia="en-US"/>
        </w:rPr>
        <w:t>,</w:t>
      </w:r>
      <w:r>
        <w:rPr>
          <w:rFonts w:eastAsia="Times New Roman" w:cs="Times New Roman"/>
          <w:szCs w:val="20"/>
          <w:lang w:eastAsia="en-US"/>
        </w:rPr>
        <w:t>92</w:t>
      </w:r>
      <w:r w:rsidRPr="001D7920">
        <w:rPr>
          <w:rFonts w:eastAsia="Times New Roman" w:cs="Times New Roman"/>
          <w:szCs w:val="20"/>
          <w:lang w:eastAsia="en-US"/>
        </w:rPr>
        <w:t xml:space="preserve"> milj. </w:t>
      </w:r>
      <w:r w:rsidRPr="001D7920">
        <w:rPr>
          <w:rFonts w:eastAsia="Times New Roman" w:cs="Times New Roman"/>
          <w:i/>
          <w:szCs w:val="20"/>
          <w:lang w:eastAsia="en-US"/>
        </w:rPr>
        <w:t>euro</w:t>
      </w:r>
      <w:r w:rsidRPr="001D7920">
        <w:rPr>
          <w:rFonts w:eastAsia="Times New Roman" w:cs="Times New Roman"/>
          <w:szCs w:val="20"/>
          <w:lang w:eastAsia="en-US"/>
        </w:rPr>
        <w:t xml:space="preserve"> apmērā;</w:t>
      </w:r>
    </w:p>
    <w:p w14:paraId="010DB714" w14:textId="77777777" w:rsidR="00E437A9" w:rsidRPr="001D7920" w:rsidRDefault="00E437A9" w:rsidP="00E437A9">
      <w:pPr>
        <w:widowControl w:val="0"/>
        <w:numPr>
          <w:ilvl w:val="0"/>
          <w:numId w:val="14"/>
        </w:numPr>
        <w:tabs>
          <w:tab w:val="left" w:pos="1096"/>
        </w:tabs>
        <w:autoSpaceDE w:val="0"/>
        <w:autoSpaceDN w:val="0"/>
        <w:spacing w:after="0"/>
        <w:ind w:hanging="357"/>
        <w:rPr>
          <w:rFonts w:eastAsia="Times New Roman" w:cs="Times New Roman"/>
          <w:szCs w:val="20"/>
          <w:lang w:eastAsia="en-US"/>
        </w:rPr>
      </w:pPr>
      <w:r w:rsidRPr="001D7920">
        <w:rPr>
          <w:rFonts w:eastAsia="Times New Roman" w:cs="Times New Roman"/>
          <w:szCs w:val="20"/>
          <w:lang w:eastAsia="en-US"/>
        </w:rPr>
        <w:t>budžeta dotācija 5</w:t>
      </w:r>
      <w:r>
        <w:rPr>
          <w:rFonts w:eastAsia="Times New Roman" w:cs="Times New Roman"/>
          <w:szCs w:val="20"/>
          <w:lang w:eastAsia="en-US"/>
        </w:rPr>
        <w:t>1</w:t>
      </w:r>
      <w:r w:rsidRPr="001D7920">
        <w:rPr>
          <w:rFonts w:eastAsia="Times New Roman" w:cs="Times New Roman"/>
          <w:szCs w:val="20"/>
          <w:lang w:eastAsia="en-US"/>
        </w:rPr>
        <w:t>,</w:t>
      </w:r>
      <w:r>
        <w:rPr>
          <w:rFonts w:eastAsia="Times New Roman" w:cs="Times New Roman"/>
          <w:szCs w:val="20"/>
          <w:lang w:eastAsia="en-US"/>
        </w:rPr>
        <w:t>80 </w:t>
      </w:r>
      <w:r w:rsidRPr="001D7920">
        <w:rPr>
          <w:rFonts w:eastAsia="Times New Roman" w:cs="Times New Roman"/>
          <w:szCs w:val="20"/>
          <w:lang w:eastAsia="en-US"/>
        </w:rPr>
        <w:t xml:space="preserve">milj. </w:t>
      </w:r>
      <w:r w:rsidRPr="001D7920">
        <w:rPr>
          <w:rFonts w:eastAsia="Times New Roman" w:cs="Times New Roman"/>
          <w:i/>
          <w:iCs/>
          <w:szCs w:val="20"/>
          <w:lang w:eastAsia="en-US"/>
        </w:rPr>
        <w:t>euro</w:t>
      </w:r>
      <w:r w:rsidRPr="001D7920">
        <w:rPr>
          <w:rFonts w:eastAsia="Times New Roman" w:cs="Times New Roman"/>
          <w:szCs w:val="20"/>
          <w:lang w:eastAsia="en-US"/>
        </w:rPr>
        <w:t xml:space="preserve"> apmērā, kura integrēta pašvaldību finanšu izlīdzināšanas sistēmā pēc iedzīvotāju ienākuma nodokļa sadales principiem;</w:t>
      </w:r>
    </w:p>
    <w:p w14:paraId="06353D7B" w14:textId="77777777" w:rsidR="00E437A9" w:rsidRPr="001D7920" w:rsidRDefault="00E437A9" w:rsidP="00E437A9">
      <w:pPr>
        <w:widowControl w:val="0"/>
        <w:numPr>
          <w:ilvl w:val="0"/>
          <w:numId w:val="14"/>
        </w:numPr>
        <w:autoSpaceDE w:val="0"/>
        <w:autoSpaceDN w:val="0"/>
        <w:spacing w:after="0"/>
        <w:ind w:hanging="357"/>
        <w:contextualSpacing/>
        <w:rPr>
          <w:rFonts w:eastAsia="Times New Roman" w:cs="Times New Roman"/>
          <w:szCs w:val="20"/>
          <w:lang w:eastAsia="en-US"/>
        </w:rPr>
      </w:pPr>
      <w:r w:rsidRPr="001D7920">
        <w:rPr>
          <w:rFonts w:eastAsia="Times New Roman" w:cs="Times New Roman"/>
          <w:szCs w:val="20"/>
          <w:lang w:eastAsia="en-US"/>
        </w:rPr>
        <w:t>dotācija pašvaldībām 0,60</w:t>
      </w:r>
      <w:r w:rsidRPr="001D7920">
        <w:rPr>
          <w:rFonts w:eastAsia="Times New Roman" w:cs="Times New Roman"/>
          <w:spacing w:val="-1"/>
          <w:szCs w:val="20"/>
          <w:lang w:eastAsia="en-US"/>
        </w:rPr>
        <w:t xml:space="preserve"> </w:t>
      </w:r>
      <w:r w:rsidRPr="001D7920">
        <w:rPr>
          <w:rFonts w:eastAsia="Times New Roman" w:cs="Times New Roman"/>
          <w:szCs w:val="20"/>
          <w:lang w:eastAsia="en-US"/>
        </w:rPr>
        <w:t xml:space="preserve">milj. </w:t>
      </w:r>
      <w:r w:rsidRPr="001D7920">
        <w:rPr>
          <w:rFonts w:eastAsia="Times New Roman" w:cs="Times New Roman"/>
          <w:i/>
          <w:szCs w:val="20"/>
          <w:lang w:eastAsia="en-US"/>
        </w:rPr>
        <w:t xml:space="preserve">euro </w:t>
      </w:r>
      <w:r w:rsidRPr="001D7920">
        <w:rPr>
          <w:rFonts w:eastAsia="Times New Roman" w:cs="Times New Roman"/>
          <w:szCs w:val="20"/>
          <w:lang w:eastAsia="en-US"/>
        </w:rPr>
        <w:t>apmērā par iemītniekiem veco ļaužu pansionātos un centros, kuri tajos ievietoti līdz 1998. gada 1. janvārim;</w:t>
      </w:r>
    </w:p>
    <w:p w14:paraId="4384488A" w14:textId="77777777" w:rsidR="00E437A9" w:rsidRPr="001D7920" w:rsidRDefault="00E437A9" w:rsidP="00E437A9">
      <w:pPr>
        <w:widowControl w:val="0"/>
        <w:numPr>
          <w:ilvl w:val="0"/>
          <w:numId w:val="14"/>
        </w:numPr>
        <w:autoSpaceDE w:val="0"/>
        <w:autoSpaceDN w:val="0"/>
        <w:spacing w:after="0"/>
        <w:ind w:hanging="357"/>
        <w:contextualSpacing/>
        <w:rPr>
          <w:rFonts w:eastAsia="Times New Roman" w:cs="Times New Roman"/>
          <w:szCs w:val="20"/>
          <w:lang w:eastAsia="en-US"/>
        </w:rPr>
      </w:pPr>
      <w:r w:rsidRPr="001D7920">
        <w:rPr>
          <w:rFonts w:eastAsia="Times New Roman" w:cs="Times New Roman"/>
          <w:szCs w:val="20"/>
          <w:lang w:eastAsia="en-US"/>
        </w:rPr>
        <w:t xml:space="preserve">dotācija </w:t>
      </w:r>
      <w:r>
        <w:rPr>
          <w:rFonts w:eastAsia="Times New Roman" w:cs="Times New Roman"/>
          <w:szCs w:val="20"/>
          <w:lang w:eastAsia="en-US"/>
        </w:rPr>
        <w:t>3</w:t>
      </w:r>
      <w:r w:rsidRPr="001D7920">
        <w:rPr>
          <w:rFonts w:eastAsia="Times New Roman" w:cs="Times New Roman"/>
          <w:szCs w:val="20"/>
          <w:lang w:eastAsia="en-US"/>
        </w:rPr>
        <w:t>,</w:t>
      </w:r>
      <w:r>
        <w:rPr>
          <w:rFonts w:eastAsia="Times New Roman" w:cs="Times New Roman"/>
          <w:szCs w:val="20"/>
          <w:lang w:eastAsia="en-US"/>
        </w:rPr>
        <w:t>0</w:t>
      </w:r>
      <w:r w:rsidRPr="001D7920">
        <w:rPr>
          <w:rFonts w:eastAsia="Times New Roman" w:cs="Times New Roman"/>
          <w:szCs w:val="20"/>
          <w:lang w:eastAsia="en-US"/>
        </w:rPr>
        <w:t xml:space="preserve"> milj. </w:t>
      </w:r>
      <w:r w:rsidRPr="001D7920">
        <w:rPr>
          <w:rFonts w:eastAsia="Times New Roman" w:cs="Times New Roman"/>
          <w:i/>
          <w:iCs/>
          <w:szCs w:val="20"/>
          <w:lang w:eastAsia="en-US"/>
        </w:rPr>
        <w:t>euro</w:t>
      </w:r>
      <w:r w:rsidRPr="001D7920">
        <w:rPr>
          <w:rFonts w:eastAsia="Times New Roman" w:cs="Times New Roman"/>
          <w:szCs w:val="20"/>
          <w:lang w:eastAsia="en-US"/>
        </w:rPr>
        <w:t xml:space="preserve"> apmērā ES ārējās robežas pašvaldībām drošības stiprināšanai.</w:t>
      </w:r>
    </w:p>
    <w:p w14:paraId="44DFA597" w14:textId="77777777" w:rsidR="00E437A9" w:rsidRPr="001D7920" w:rsidRDefault="00E437A9" w:rsidP="00E437A9">
      <w:pPr>
        <w:widowControl w:val="0"/>
        <w:autoSpaceDE w:val="0"/>
        <w:autoSpaceDN w:val="0"/>
        <w:spacing w:before="120" w:after="0"/>
        <w:rPr>
          <w:rFonts w:eastAsia="Times New Roman" w:cs="Times New Roman"/>
          <w:szCs w:val="24"/>
          <w:lang w:bidi="lv-LV"/>
        </w:rPr>
      </w:pPr>
      <w:r w:rsidRPr="001D7920">
        <w:rPr>
          <w:rFonts w:eastAsia="Times New Roman" w:cs="Times New Roman"/>
          <w:szCs w:val="24"/>
          <w:lang w:bidi="lv-LV"/>
        </w:rPr>
        <w:t>Pašvaldību finanšu izlīdzināšanas aprēķins tiek veikts atbilstoši Pašvaldību finanšu izlīdzināšanas likumam, kas nodrošina līdzvērtīgas iespējas pašvaldību autonomo funkciju realizācijai, kā arī, pārdomāti pārdalot līdzekļus, veicina pašvaldību ieinteresētību savas administratīvās teritorijas attīstībā. Visi pašvaldību finanšu izlīdzināšanas aprēķinā izmantojamie rādītāji ir publiski pieejami, attiecīgi ikviena pašvaldība var aprēķināt potenciālos pašvaldību finanšu izlīdzināšanas rezultātus, tādējādi prognozējot savus</w:t>
      </w:r>
      <w:r w:rsidRPr="001D7920">
        <w:rPr>
          <w:rFonts w:eastAsia="Times New Roman" w:cs="Times New Roman"/>
          <w:spacing w:val="1"/>
          <w:szCs w:val="24"/>
          <w:lang w:bidi="lv-LV"/>
        </w:rPr>
        <w:t xml:space="preserve"> </w:t>
      </w:r>
      <w:r w:rsidRPr="001D7920">
        <w:rPr>
          <w:rFonts w:eastAsia="Times New Roman" w:cs="Times New Roman"/>
          <w:szCs w:val="24"/>
          <w:lang w:bidi="lv-LV"/>
        </w:rPr>
        <w:t>ieņēmumus.</w:t>
      </w:r>
    </w:p>
    <w:p w14:paraId="52E06912" w14:textId="77777777" w:rsidR="00E437A9" w:rsidRPr="001D7920" w:rsidRDefault="00E437A9" w:rsidP="00E437A9">
      <w:pPr>
        <w:widowControl w:val="0"/>
        <w:autoSpaceDE w:val="0"/>
        <w:autoSpaceDN w:val="0"/>
        <w:spacing w:before="120" w:after="0"/>
        <w:ind w:left="102"/>
        <w:rPr>
          <w:rFonts w:eastAsia="Times New Roman" w:cs="Times New Roman"/>
          <w:szCs w:val="24"/>
          <w:lang w:bidi="lv-LV"/>
        </w:rPr>
      </w:pPr>
      <w:r w:rsidRPr="001D7920">
        <w:rPr>
          <w:rFonts w:eastAsia="Times New Roman" w:cs="Times New Roman"/>
          <w:szCs w:val="24"/>
          <w:lang w:bidi="lv-LV"/>
        </w:rPr>
        <w:t>202</w:t>
      </w:r>
      <w:r>
        <w:rPr>
          <w:rFonts w:eastAsia="Times New Roman" w:cs="Times New Roman"/>
          <w:szCs w:val="24"/>
          <w:lang w:bidi="lv-LV"/>
        </w:rPr>
        <w:t>6</w:t>
      </w:r>
      <w:r w:rsidRPr="001D7920">
        <w:rPr>
          <w:rFonts w:eastAsia="Times New Roman" w:cs="Times New Roman"/>
          <w:szCs w:val="24"/>
          <w:lang w:bidi="lv-LV"/>
        </w:rPr>
        <w:t>. gada pašvaldību finanšu izlīdzināšanas fonda ieņēmumi tiek plānoti 2</w:t>
      </w:r>
      <w:r>
        <w:rPr>
          <w:rFonts w:eastAsia="Times New Roman" w:cs="Times New Roman"/>
          <w:szCs w:val="24"/>
          <w:lang w:bidi="lv-LV"/>
        </w:rPr>
        <w:t>56</w:t>
      </w:r>
      <w:r w:rsidRPr="001D7920">
        <w:rPr>
          <w:rFonts w:eastAsia="Times New Roman" w:cs="Times New Roman"/>
          <w:szCs w:val="24"/>
          <w:lang w:bidi="lv-LV"/>
        </w:rPr>
        <w:t>,</w:t>
      </w:r>
      <w:r>
        <w:rPr>
          <w:rFonts w:eastAsia="Times New Roman" w:cs="Times New Roman"/>
          <w:szCs w:val="24"/>
          <w:lang w:bidi="lv-LV"/>
        </w:rPr>
        <w:t>22</w:t>
      </w:r>
      <w:r w:rsidRPr="001D7920">
        <w:rPr>
          <w:rFonts w:eastAsia="Times New Roman" w:cs="Times New Roman"/>
          <w:szCs w:val="24"/>
          <w:lang w:bidi="lv-LV"/>
        </w:rPr>
        <w:t> milj</w:t>
      </w:r>
      <w:r w:rsidRPr="001D7920">
        <w:rPr>
          <w:rFonts w:eastAsia="Times New Roman" w:cs="Times New Roman"/>
          <w:i/>
          <w:szCs w:val="24"/>
          <w:lang w:bidi="lv-LV"/>
        </w:rPr>
        <w:t>.</w:t>
      </w:r>
      <w:r w:rsidRPr="001D7920">
        <w:rPr>
          <w:rFonts w:eastAsia="Times New Roman" w:cs="Times New Roman"/>
          <w:szCs w:val="24"/>
          <w:lang w:bidi="lv-LV"/>
        </w:rPr>
        <w:t> </w:t>
      </w:r>
      <w:r w:rsidRPr="001D7920">
        <w:rPr>
          <w:rFonts w:eastAsia="Times New Roman" w:cs="Times New Roman"/>
          <w:i/>
          <w:szCs w:val="24"/>
          <w:lang w:bidi="lv-LV"/>
        </w:rPr>
        <w:t>euro</w:t>
      </w:r>
      <w:r w:rsidRPr="001D7920">
        <w:rPr>
          <w:rFonts w:eastAsia="Times New Roman" w:cs="Times New Roman"/>
          <w:szCs w:val="24"/>
          <w:lang w:bidi="lv-LV"/>
        </w:rPr>
        <w:t>. Tos veido valsts budžeta dotācija 50,</w:t>
      </w:r>
      <w:r>
        <w:rPr>
          <w:rFonts w:eastAsia="Times New Roman" w:cs="Times New Roman"/>
          <w:szCs w:val="24"/>
          <w:lang w:bidi="lv-LV"/>
        </w:rPr>
        <w:t>92</w:t>
      </w:r>
      <w:r w:rsidRPr="001D7920">
        <w:rPr>
          <w:rFonts w:eastAsia="Times New Roman" w:cs="Times New Roman"/>
          <w:szCs w:val="24"/>
          <w:lang w:bidi="lv-LV"/>
        </w:rPr>
        <w:t xml:space="preserve"> milj. </w:t>
      </w:r>
      <w:r w:rsidRPr="001D7920">
        <w:rPr>
          <w:rFonts w:eastAsia="Times New Roman" w:cs="Times New Roman"/>
          <w:i/>
          <w:szCs w:val="24"/>
          <w:lang w:bidi="lv-LV"/>
        </w:rPr>
        <w:t xml:space="preserve">euro </w:t>
      </w:r>
      <w:r w:rsidRPr="001D7920">
        <w:rPr>
          <w:rFonts w:eastAsia="Times New Roman" w:cs="Times New Roman"/>
          <w:szCs w:val="24"/>
          <w:lang w:bidi="lv-LV"/>
        </w:rPr>
        <w:t xml:space="preserve">un pašvaldību iemaksas </w:t>
      </w:r>
      <w:r w:rsidRPr="001D7920">
        <w:rPr>
          <w:rFonts w:eastAsia="Times New Roman" w:cs="Times New Roman"/>
          <w:szCs w:val="24"/>
          <w:lang w:bidi="lv-LV"/>
        </w:rPr>
        <w:lastRenderedPageBreak/>
        <w:t xml:space="preserve">– </w:t>
      </w:r>
      <w:r>
        <w:rPr>
          <w:rFonts w:eastAsia="Times New Roman" w:cs="Times New Roman"/>
          <w:szCs w:val="24"/>
          <w:lang w:bidi="lv-LV"/>
        </w:rPr>
        <w:t>205,30</w:t>
      </w:r>
      <w:r w:rsidRPr="001D7920">
        <w:rPr>
          <w:rFonts w:eastAsia="Times New Roman" w:cs="Times New Roman"/>
          <w:szCs w:val="24"/>
          <w:lang w:bidi="lv-LV"/>
        </w:rPr>
        <w:t xml:space="preserve"> milj. </w:t>
      </w:r>
      <w:r w:rsidRPr="001D7920">
        <w:rPr>
          <w:rFonts w:eastAsia="Times New Roman" w:cs="Times New Roman"/>
          <w:i/>
          <w:szCs w:val="24"/>
          <w:lang w:bidi="lv-LV"/>
        </w:rPr>
        <w:t>euro</w:t>
      </w:r>
      <w:r w:rsidRPr="001D7920">
        <w:rPr>
          <w:rFonts w:eastAsia="Times New Roman" w:cs="Times New Roman"/>
          <w:szCs w:val="24"/>
          <w:lang w:bidi="lv-LV"/>
        </w:rPr>
        <w:t xml:space="preserve">. </w:t>
      </w:r>
    </w:p>
    <w:p w14:paraId="062BC1DE" w14:textId="77777777" w:rsidR="00E437A9" w:rsidRPr="001D7920" w:rsidRDefault="00E437A9" w:rsidP="00E437A9">
      <w:pPr>
        <w:widowControl w:val="0"/>
        <w:autoSpaceDE w:val="0"/>
        <w:autoSpaceDN w:val="0"/>
        <w:spacing w:before="120" w:after="0"/>
        <w:ind w:left="102"/>
        <w:rPr>
          <w:rFonts w:eastAsia="Times New Roman" w:cs="Times New Roman"/>
          <w:szCs w:val="24"/>
          <w:lang w:bidi="lv-LV"/>
        </w:rPr>
      </w:pPr>
      <w:r w:rsidRPr="001D7920">
        <w:rPr>
          <w:rFonts w:eastAsia="Times New Roman" w:cs="Times New Roman"/>
          <w:szCs w:val="24"/>
          <w:lang w:bidi="lv-LV"/>
        </w:rPr>
        <w:t>Atbilstoši aprēķinam ir paredzēts, ka iemaksas pašvaldību finanšu izlīdzināšanas fondā veiks 9 pašvaldības, bet dotāciju saņems 3</w:t>
      </w:r>
      <w:r>
        <w:rPr>
          <w:rFonts w:eastAsia="Times New Roman" w:cs="Times New Roman"/>
          <w:szCs w:val="24"/>
          <w:lang w:bidi="lv-LV"/>
        </w:rPr>
        <w:t>3</w:t>
      </w:r>
      <w:r w:rsidRPr="001D7920">
        <w:rPr>
          <w:rFonts w:eastAsia="Times New Roman" w:cs="Times New Roman"/>
          <w:szCs w:val="24"/>
          <w:lang w:bidi="lv-LV"/>
        </w:rPr>
        <w:t xml:space="preserve"> pašvaldības. Lielākie iemaksu veicēji pašvaldību finanšu izlīdzināšanas fondā, rēķinot procentuāli no pašvaldību vērtētajiem ieņēmumiem, ir Mārupes novads – 23,</w:t>
      </w:r>
      <w:r>
        <w:rPr>
          <w:rFonts w:eastAsia="Times New Roman" w:cs="Times New Roman"/>
          <w:szCs w:val="24"/>
          <w:lang w:bidi="lv-LV"/>
        </w:rPr>
        <w:t>26</w:t>
      </w:r>
      <w:r w:rsidRPr="001D7920">
        <w:rPr>
          <w:rFonts w:eastAsia="Times New Roman" w:cs="Times New Roman"/>
          <w:szCs w:val="24"/>
          <w:lang w:bidi="lv-LV"/>
        </w:rPr>
        <w:t xml:space="preserve">%, </w:t>
      </w:r>
      <w:r>
        <w:rPr>
          <w:rFonts w:eastAsia="Times New Roman" w:cs="Times New Roman"/>
          <w:szCs w:val="24"/>
          <w:lang w:bidi="lv-LV"/>
        </w:rPr>
        <w:t xml:space="preserve">Saulkrastu novads – 18,95%, </w:t>
      </w:r>
      <w:r w:rsidRPr="001D7920">
        <w:rPr>
          <w:rFonts w:eastAsia="Times New Roman" w:cs="Times New Roman"/>
          <w:szCs w:val="24"/>
          <w:lang w:bidi="lv-LV"/>
        </w:rPr>
        <w:t>Ādažu novads – 16,</w:t>
      </w:r>
      <w:r>
        <w:rPr>
          <w:rFonts w:eastAsia="Times New Roman" w:cs="Times New Roman"/>
          <w:szCs w:val="24"/>
          <w:lang w:bidi="lv-LV"/>
        </w:rPr>
        <w:t>29</w:t>
      </w:r>
      <w:r w:rsidRPr="001D7920">
        <w:rPr>
          <w:rFonts w:eastAsia="Times New Roman" w:cs="Times New Roman"/>
          <w:szCs w:val="24"/>
          <w:lang w:bidi="lv-LV"/>
        </w:rPr>
        <w:t>%</w:t>
      </w:r>
      <w:r>
        <w:rPr>
          <w:rFonts w:eastAsia="Times New Roman" w:cs="Times New Roman"/>
          <w:szCs w:val="24"/>
          <w:lang w:bidi="lv-LV"/>
        </w:rPr>
        <w:t>.</w:t>
      </w:r>
      <w:r w:rsidRPr="001D7920">
        <w:rPr>
          <w:rFonts w:eastAsia="Times New Roman" w:cs="Times New Roman"/>
          <w:szCs w:val="24"/>
          <w:lang w:bidi="lv-LV"/>
        </w:rPr>
        <w:t xml:space="preserve"> Rīgas valstspilsētas iemaksas</w:t>
      </w:r>
      <w:r w:rsidRPr="001D7920">
        <w:rPr>
          <w:rFonts w:eastAsia="Times New Roman" w:cs="Times New Roman"/>
          <w:spacing w:val="-6"/>
          <w:szCs w:val="24"/>
          <w:lang w:bidi="lv-LV"/>
        </w:rPr>
        <w:t xml:space="preserve"> </w:t>
      </w:r>
      <w:r w:rsidRPr="001D7920">
        <w:rPr>
          <w:rFonts w:eastAsia="Times New Roman" w:cs="Times New Roman"/>
          <w:szCs w:val="24"/>
          <w:lang w:bidi="lv-LV"/>
        </w:rPr>
        <w:t>būs</w:t>
      </w:r>
      <w:r w:rsidRPr="001D7920">
        <w:rPr>
          <w:rFonts w:eastAsia="Times New Roman" w:cs="Times New Roman"/>
          <w:spacing w:val="-6"/>
          <w:szCs w:val="24"/>
          <w:lang w:bidi="lv-LV"/>
        </w:rPr>
        <w:t xml:space="preserve"> </w:t>
      </w:r>
      <w:r w:rsidRPr="001D7920">
        <w:rPr>
          <w:rFonts w:eastAsia="Times New Roman" w:cs="Times New Roman"/>
          <w:szCs w:val="24"/>
          <w:lang w:bidi="lv-LV"/>
        </w:rPr>
        <w:t>lielākās</w:t>
      </w:r>
      <w:r w:rsidRPr="001D7920">
        <w:rPr>
          <w:rFonts w:eastAsia="Times New Roman" w:cs="Times New Roman"/>
          <w:spacing w:val="-6"/>
          <w:szCs w:val="24"/>
          <w:lang w:bidi="lv-LV"/>
        </w:rPr>
        <w:t xml:space="preserve"> </w:t>
      </w:r>
      <w:r w:rsidRPr="001D7920">
        <w:rPr>
          <w:rFonts w:eastAsia="Times New Roman" w:cs="Times New Roman"/>
          <w:szCs w:val="24"/>
          <w:lang w:bidi="lv-LV"/>
        </w:rPr>
        <w:t>pēc</w:t>
      </w:r>
      <w:r w:rsidRPr="001D7920">
        <w:rPr>
          <w:rFonts w:eastAsia="Times New Roman" w:cs="Times New Roman"/>
          <w:spacing w:val="-6"/>
          <w:szCs w:val="24"/>
          <w:lang w:bidi="lv-LV"/>
        </w:rPr>
        <w:t xml:space="preserve"> </w:t>
      </w:r>
      <w:r w:rsidRPr="001D7920">
        <w:rPr>
          <w:rFonts w:eastAsia="Times New Roman" w:cs="Times New Roman"/>
          <w:szCs w:val="24"/>
          <w:lang w:bidi="lv-LV"/>
        </w:rPr>
        <w:t>kopējo</w:t>
      </w:r>
      <w:r w:rsidRPr="001D7920">
        <w:rPr>
          <w:rFonts w:eastAsia="Times New Roman" w:cs="Times New Roman"/>
          <w:spacing w:val="-6"/>
          <w:szCs w:val="24"/>
          <w:lang w:bidi="lv-LV"/>
        </w:rPr>
        <w:t xml:space="preserve"> </w:t>
      </w:r>
      <w:r w:rsidRPr="001D7920">
        <w:rPr>
          <w:rFonts w:eastAsia="Times New Roman" w:cs="Times New Roman"/>
          <w:szCs w:val="24"/>
          <w:lang w:bidi="lv-LV"/>
        </w:rPr>
        <w:t>iemaksu</w:t>
      </w:r>
      <w:r w:rsidRPr="001D7920">
        <w:rPr>
          <w:rFonts w:eastAsia="Times New Roman" w:cs="Times New Roman"/>
          <w:spacing w:val="-6"/>
          <w:szCs w:val="24"/>
          <w:lang w:bidi="lv-LV"/>
        </w:rPr>
        <w:t xml:space="preserve"> </w:t>
      </w:r>
      <w:r w:rsidRPr="001D7920">
        <w:rPr>
          <w:rFonts w:eastAsia="Times New Roman" w:cs="Times New Roman"/>
          <w:szCs w:val="24"/>
          <w:lang w:bidi="lv-LV"/>
        </w:rPr>
        <w:t>apjoma – 13</w:t>
      </w:r>
      <w:r>
        <w:rPr>
          <w:rFonts w:eastAsia="Times New Roman" w:cs="Times New Roman"/>
          <w:szCs w:val="24"/>
          <w:lang w:bidi="lv-LV"/>
        </w:rPr>
        <w:t>7</w:t>
      </w:r>
      <w:r w:rsidRPr="001D7920">
        <w:rPr>
          <w:rFonts w:eastAsia="Times New Roman" w:cs="Times New Roman"/>
          <w:szCs w:val="24"/>
          <w:lang w:bidi="lv-LV"/>
        </w:rPr>
        <w:t>,</w:t>
      </w:r>
      <w:r>
        <w:rPr>
          <w:rFonts w:eastAsia="Times New Roman" w:cs="Times New Roman"/>
          <w:szCs w:val="24"/>
          <w:lang w:bidi="lv-LV"/>
        </w:rPr>
        <w:t>34</w:t>
      </w:r>
      <w:r w:rsidRPr="001D7920">
        <w:rPr>
          <w:rFonts w:eastAsia="Times New Roman" w:cs="Times New Roman"/>
          <w:szCs w:val="24"/>
          <w:lang w:bidi="lv-LV"/>
        </w:rPr>
        <w:t xml:space="preserve"> milj. </w:t>
      </w:r>
      <w:r w:rsidRPr="001D7920">
        <w:rPr>
          <w:rFonts w:eastAsia="Times New Roman" w:cs="Times New Roman"/>
          <w:i/>
          <w:szCs w:val="24"/>
          <w:lang w:bidi="lv-LV"/>
        </w:rPr>
        <w:t>euro</w:t>
      </w:r>
      <w:r w:rsidRPr="001D7920">
        <w:rPr>
          <w:rFonts w:eastAsia="Times New Roman" w:cs="Times New Roman"/>
          <w:szCs w:val="24"/>
          <w:lang w:bidi="lv-LV"/>
        </w:rPr>
        <w:t>, kas procentuāli no Rīgas valstspilsētas pašvaldības vērtētajiem ieņēmumiem ir</w:t>
      </w:r>
      <w:r w:rsidRPr="001D7920">
        <w:rPr>
          <w:rFonts w:eastAsia="Times New Roman" w:cs="Times New Roman"/>
          <w:spacing w:val="1"/>
          <w:szCs w:val="24"/>
          <w:lang w:bidi="lv-LV"/>
        </w:rPr>
        <w:t xml:space="preserve"> </w:t>
      </w:r>
      <w:r w:rsidRPr="001D7920">
        <w:rPr>
          <w:rFonts w:eastAsia="Times New Roman" w:cs="Times New Roman"/>
          <w:szCs w:val="24"/>
          <w:lang w:bidi="lv-LV"/>
        </w:rPr>
        <w:t>1</w:t>
      </w:r>
      <w:r>
        <w:rPr>
          <w:rFonts w:eastAsia="Times New Roman" w:cs="Times New Roman"/>
          <w:szCs w:val="24"/>
          <w:lang w:bidi="lv-LV"/>
        </w:rPr>
        <w:t>3</w:t>
      </w:r>
      <w:r w:rsidRPr="001D7920">
        <w:rPr>
          <w:rFonts w:eastAsia="Times New Roman" w:cs="Times New Roman"/>
          <w:szCs w:val="24"/>
          <w:lang w:bidi="lv-LV"/>
        </w:rPr>
        <w:t>,</w:t>
      </w:r>
      <w:r>
        <w:rPr>
          <w:rFonts w:eastAsia="Times New Roman" w:cs="Times New Roman"/>
          <w:szCs w:val="24"/>
          <w:lang w:bidi="lv-LV"/>
        </w:rPr>
        <w:t>2</w:t>
      </w:r>
      <w:r w:rsidRPr="001D7920">
        <w:rPr>
          <w:rFonts w:eastAsia="Times New Roman" w:cs="Times New Roman"/>
          <w:szCs w:val="24"/>
          <w:lang w:bidi="lv-LV"/>
        </w:rPr>
        <w:t>0%.</w:t>
      </w:r>
    </w:p>
    <w:p w14:paraId="57B90B75" w14:textId="77777777" w:rsidR="00E437A9" w:rsidRPr="001D7920" w:rsidRDefault="00E437A9" w:rsidP="00171F89">
      <w:pPr>
        <w:widowControl w:val="0"/>
        <w:autoSpaceDE w:val="0"/>
        <w:autoSpaceDN w:val="0"/>
        <w:spacing w:before="120"/>
        <w:ind w:left="102"/>
        <w:rPr>
          <w:rFonts w:eastAsia="Times New Roman" w:cs="Times New Roman"/>
          <w:szCs w:val="24"/>
          <w:lang w:bidi="lv-LV"/>
        </w:rPr>
      </w:pPr>
      <w:r w:rsidRPr="001D7920">
        <w:rPr>
          <w:rFonts w:eastAsia="Times New Roman" w:cs="Times New Roman"/>
          <w:szCs w:val="24"/>
          <w:lang w:bidi="lv-LV"/>
        </w:rPr>
        <w:t xml:space="preserve">Valsts budžeta dotācija </w:t>
      </w:r>
      <w:r>
        <w:rPr>
          <w:rFonts w:eastAsia="Times New Roman" w:cs="Times New Roman"/>
          <w:szCs w:val="24"/>
          <w:lang w:bidi="lv-LV"/>
        </w:rPr>
        <w:t>3</w:t>
      </w:r>
      <w:r w:rsidRPr="001D7920">
        <w:rPr>
          <w:rFonts w:eastAsia="Times New Roman" w:cs="Times New Roman"/>
          <w:szCs w:val="24"/>
          <w:lang w:bidi="lv-LV"/>
        </w:rPr>
        <w:t>,</w:t>
      </w:r>
      <w:r>
        <w:rPr>
          <w:rFonts w:eastAsia="Times New Roman" w:cs="Times New Roman"/>
          <w:szCs w:val="24"/>
          <w:lang w:bidi="lv-LV"/>
        </w:rPr>
        <w:t>0</w:t>
      </w:r>
      <w:r w:rsidRPr="001D7920">
        <w:rPr>
          <w:rFonts w:eastAsia="Times New Roman" w:cs="Times New Roman"/>
          <w:szCs w:val="24"/>
          <w:lang w:bidi="lv-LV"/>
        </w:rPr>
        <w:t xml:space="preserve"> milj. </w:t>
      </w:r>
      <w:r w:rsidRPr="001D7920">
        <w:rPr>
          <w:rFonts w:eastAsia="Times New Roman" w:cs="Times New Roman"/>
          <w:i/>
          <w:iCs/>
          <w:szCs w:val="24"/>
          <w:lang w:bidi="lv-LV"/>
        </w:rPr>
        <w:t>euro</w:t>
      </w:r>
      <w:r w:rsidRPr="001D7920">
        <w:rPr>
          <w:rFonts w:eastAsia="Times New Roman" w:cs="Times New Roman"/>
          <w:szCs w:val="24"/>
          <w:lang w:bidi="lv-LV"/>
        </w:rPr>
        <w:t xml:space="preserve"> apmērā tiek piešķirta ES ārējās robežas piecām pašvaldībām drošības stiprināšanai. Finansējums tiek sadalīts proporcionāli katras pašvaldības ārējās robežas kilometru garumam, tai skaitā:</w:t>
      </w:r>
    </w:p>
    <w:p w14:paraId="70F96EFA" w14:textId="77777777" w:rsidR="00E437A9" w:rsidRPr="00C8255D" w:rsidRDefault="00E437A9" w:rsidP="00E437A9">
      <w:pPr>
        <w:pStyle w:val="ListParagraph"/>
        <w:numPr>
          <w:ilvl w:val="2"/>
          <w:numId w:val="13"/>
        </w:numPr>
        <w:spacing w:after="0"/>
        <w:jc w:val="left"/>
        <w:rPr>
          <w:rFonts w:eastAsiaTheme="minorHAnsi" w:cs="Times New Roman"/>
          <w:szCs w:val="24"/>
          <w:lang w:eastAsia="en-US"/>
        </w:rPr>
      </w:pPr>
      <w:r w:rsidRPr="00C8255D">
        <w:rPr>
          <w:rFonts w:eastAsiaTheme="minorHAnsi" w:cs="Times New Roman"/>
          <w:szCs w:val="24"/>
          <w:lang w:eastAsia="en-US"/>
        </w:rPr>
        <w:t>Alūksnes novadam – 3</w:t>
      </w:r>
      <w:r>
        <w:rPr>
          <w:rFonts w:eastAsiaTheme="minorHAnsi" w:cs="Times New Roman"/>
          <w:szCs w:val="24"/>
          <w:lang w:eastAsia="en-US"/>
        </w:rPr>
        <w:t>82 964</w:t>
      </w:r>
      <w:r w:rsidRPr="00C8255D">
        <w:rPr>
          <w:rFonts w:eastAsiaTheme="minorHAnsi" w:cs="Times New Roman"/>
          <w:szCs w:val="24"/>
          <w:lang w:eastAsia="en-US"/>
        </w:rPr>
        <w:t xml:space="preserve"> </w:t>
      </w:r>
      <w:r w:rsidRPr="00C8255D">
        <w:rPr>
          <w:rFonts w:eastAsiaTheme="minorHAnsi" w:cs="Times New Roman"/>
          <w:i/>
          <w:iCs/>
          <w:szCs w:val="24"/>
          <w:lang w:eastAsia="en-US"/>
        </w:rPr>
        <w:t>euro</w:t>
      </w:r>
      <w:r w:rsidRPr="00C8255D">
        <w:rPr>
          <w:rFonts w:eastAsiaTheme="minorHAnsi" w:cs="Times New Roman"/>
          <w:szCs w:val="24"/>
          <w:lang w:eastAsia="en-US"/>
        </w:rPr>
        <w:t>;</w:t>
      </w:r>
    </w:p>
    <w:p w14:paraId="2C23671B" w14:textId="77777777" w:rsidR="00E437A9" w:rsidRPr="00C8255D" w:rsidRDefault="00E437A9" w:rsidP="00E437A9">
      <w:pPr>
        <w:pStyle w:val="ListParagraph"/>
        <w:numPr>
          <w:ilvl w:val="2"/>
          <w:numId w:val="13"/>
        </w:numPr>
        <w:spacing w:after="0"/>
        <w:jc w:val="left"/>
        <w:rPr>
          <w:rFonts w:eastAsiaTheme="minorHAnsi" w:cs="Times New Roman"/>
          <w:szCs w:val="24"/>
          <w:lang w:eastAsia="en-US"/>
        </w:rPr>
      </w:pPr>
      <w:r w:rsidRPr="00C8255D">
        <w:rPr>
          <w:rFonts w:eastAsiaTheme="minorHAnsi" w:cs="Times New Roman"/>
          <w:szCs w:val="24"/>
          <w:lang w:eastAsia="en-US"/>
        </w:rPr>
        <w:t>Augšdaugavas novadam – 2</w:t>
      </w:r>
      <w:r>
        <w:rPr>
          <w:rFonts w:eastAsiaTheme="minorHAnsi" w:cs="Times New Roman"/>
          <w:szCs w:val="24"/>
          <w:lang w:eastAsia="en-US"/>
        </w:rPr>
        <w:t>64 644</w:t>
      </w:r>
      <w:r w:rsidRPr="00C8255D">
        <w:rPr>
          <w:rFonts w:eastAsiaTheme="minorHAnsi" w:cs="Times New Roman"/>
          <w:szCs w:val="24"/>
          <w:lang w:eastAsia="en-US"/>
        </w:rPr>
        <w:t xml:space="preserve"> </w:t>
      </w:r>
      <w:r w:rsidRPr="00C8255D">
        <w:rPr>
          <w:rFonts w:eastAsiaTheme="minorHAnsi" w:cs="Times New Roman"/>
          <w:i/>
          <w:iCs/>
          <w:szCs w:val="24"/>
          <w:lang w:eastAsia="en-US"/>
        </w:rPr>
        <w:t>euro</w:t>
      </w:r>
      <w:r w:rsidRPr="00C8255D">
        <w:rPr>
          <w:rFonts w:eastAsiaTheme="minorHAnsi" w:cs="Times New Roman"/>
          <w:szCs w:val="24"/>
          <w:lang w:eastAsia="en-US"/>
        </w:rPr>
        <w:t>;</w:t>
      </w:r>
    </w:p>
    <w:p w14:paraId="65373B11" w14:textId="77777777" w:rsidR="00E437A9" w:rsidRPr="00C8255D" w:rsidRDefault="00E437A9" w:rsidP="00E437A9">
      <w:pPr>
        <w:pStyle w:val="ListParagraph"/>
        <w:numPr>
          <w:ilvl w:val="2"/>
          <w:numId w:val="13"/>
        </w:numPr>
        <w:spacing w:after="0"/>
        <w:jc w:val="left"/>
        <w:rPr>
          <w:rFonts w:eastAsiaTheme="minorHAnsi" w:cs="Times New Roman"/>
          <w:szCs w:val="24"/>
          <w:lang w:eastAsia="en-US"/>
        </w:rPr>
      </w:pPr>
      <w:r w:rsidRPr="00C8255D">
        <w:rPr>
          <w:rFonts w:eastAsiaTheme="minorHAnsi" w:cs="Times New Roman"/>
          <w:szCs w:val="24"/>
          <w:lang w:eastAsia="en-US"/>
        </w:rPr>
        <w:t xml:space="preserve">Balvu novadam – </w:t>
      </w:r>
      <w:r>
        <w:rPr>
          <w:rFonts w:eastAsiaTheme="minorHAnsi" w:cs="Times New Roman"/>
          <w:szCs w:val="24"/>
          <w:lang w:eastAsia="en-US"/>
        </w:rPr>
        <w:t>581</w:t>
      </w:r>
      <w:r w:rsidRPr="00C8255D">
        <w:rPr>
          <w:rFonts w:eastAsiaTheme="minorHAnsi" w:cs="Times New Roman"/>
          <w:szCs w:val="24"/>
          <w:lang w:eastAsia="en-US"/>
        </w:rPr>
        <w:t> </w:t>
      </w:r>
      <w:r>
        <w:rPr>
          <w:rFonts w:eastAsiaTheme="minorHAnsi" w:cs="Times New Roman"/>
          <w:szCs w:val="24"/>
          <w:lang w:eastAsia="en-US"/>
        </w:rPr>
        <w:t>097</w:t>
      </w:r>
      <w:r w:rsidRPr="00C8255D">
        <w:rPr>
          <w:rFonts w:eastAsiaTheme="minorHAnsi" w:cs="Times New Roman"/>
          <w:szCs w:val="24"/>
          <w:lang w:eastAsia="en-US"/>
        </w:rPr>
        <w:t xml:space="preserve"> </w:t>
      </w:r>
      <w:r w:rsidRPr="00C8255D">
        <w:rPr>
          <w:rFonts w:eastAsiaTheme="minorHAnsi" w:cs="Times New Roman"/>
          <w:i/>
          <w:iCs/>
          <w:szCs w:val="24"/>
          <w:lang w:eastAsia="en-US"/>
        </w:rPr>
        <w:t>euro</w:t>
      </w:r>
      <w:r w:rsidRPr="00C8255D">
        <w:rPr>
          <w:rFonts w:eastAsiaTheme="minorHAnsi" w:cs="Times New Roman"/>
          <w:szCs w:val="24"/>
          <w:lang w:eastAsia="en-US"/>
        </w:rPr>
        <w:t>;</w:t>
      </w:r>
    </w:p>
    <w:p w14:paraId="12E1E73A" w14:textId="77777777" w:rsidR="00E437A9" w:rsidRDefault="00E437A9" w:rsidP="00E437A9">
      <w:pPr>
        <w:pStyle w:val="ListParagraph"/>
        <w:numPr>
          <w:ilvl w:val="2"/>
          <w:numId w:val="13"/>
        </w:numPr>
        <w:spacing w:after="0"/>
        <w:jc w:val="left"/>
        <w:rPr>
          <w:rFonts w:eastAsiaTheme="minorHAnsi" w:cs="Times New Roman"/>
          <w:szCs w:val="24"/>
          <w:lang w:eastAsia="en-US"/>
        </w:rPr>
      </w:pPr>
      <w:r w:rsidRPr="00C8255D">
        <w:rPr>
          <w:rFonts w:eastAsiaTheme="minorHAnsi" w:cs="Times New Roman"/>
          <w:szCs w:val="24"/>
          <w:lang w:eastAsia="en-US"/>
        </w:rPr>
        <w:t xml:space="preserve">Krāslavas novadam – </w:t>
      </w:r>
      <w:r>
        <w:rPr>
          <w:rFonts w:eastAsiaTheme="minorHAnsi" w:cs="Times New Roman"/>
          <w:szCs w:val="24"/>
          <w:lang w:eastAsia="en-US"/>
        </w:rPr>
        <w:t>784 131</w:t>
      </w:r>
      <w:r w:rsidRPr="00C8255D">
        <w:rPr>
          <w:rFonts w:eastAsiaTheme="minorHAnsi" w:cs="Times New Roman"/>
          <w:szCs w:val="24"/>
          <w:lang w:eastAsia="en-US"/>
        </w:rPr>
        <w:t xml:space="preserve"> </w:t>
      </w:r>
      <w:r w:rsidRPr="00C8255D">
        <w:rPr>
          <w:rFonts w:eastAsiaTheme="minorHAnsi" w:cs="Times New Roman"/>
          <w:i/>
          <w:iCs/>
          <w:szCs w:val="24"/>
          <w:lang w:eastAsia="en-US"/>
        </w:rPr>
        <w:t>euro</w:t>
      </w:r>
      <w:r w:rsidRPr="00C8255D">
        <w:rPr>
          <w:rFonts w:eastAsiaTheme="minorHAnsi" w:cs="Times New Roman"/>
          <w:szCs w:val="24"/>
          <w:lang w:eastAsia="en-US"/>
        </w:rPr>
        <w:t>;</w:t>
      </w:r>
    </w:p>
    <w:p w14:paraId="7F704CB2" w14:textId="77777777" w:rsidR="00E437A9" w:rsidRPr="00C8255D" w:rsidRDefault="00E437A9" w:rsidP="00E437A9">
      <w:pPr>
        <w:pStyle w:val="ListParagraph"/>
        <w:numPr>
          <w:ilvl w:val="2"/>
          <w:numId w:val="13"/>
        </w:numPr>
        <w:spacing w:after="0"/>
        <w:jc w:val="left"/>
        <w:rPr>
          <w:rFonts w:eastAsiaTheme="minorHAnsi" w:cs="Times New Roman"/>
          <w:szCs w:val="24"/>
          <w:lang w:eastAsia="en-US"/>
        </w:rPr>
      </w:pPr>
      <w:r w:rsidRPr="00C8255D">
        <w:rPr>
          <w:rFonts w:eastAsiaTheme="minorHAnsi" w:cs="Times New Roman"/>
          <w:szCs w:val="24"/>
          <w:lang w:eastAsia="en-US"/>
        </w:rPr>
        <w:t xml:space="preserve">Ludzas novadam – </w:t>
      </w:r>
      <w:r>
        <w:rPr>
          <w:rFonts w:eastAsiaTheme="minorHAnsi" w:cs="Times New Roman"/>
          <w:szCs w:val="24"/>
          <w:lang w:eastAsia="en-US"/>
        </w:rPr>
        <w:t>987 164</w:t>
      </w:r>
      <w:r w:rsidRPr="00C8255D">
        <w:rPr>
          <w:rFonts w:eastAsiaTheme="minorHAnsi" w:cs="Times New Roman"/>
          <w:szCs w:val="24"/>
          <w:lang w:eastAsia="en-US"/>
        </w:rPr>
        <w:t xml:space="preserve"> </w:t>
      </w:r>
      <w:r w:rsidRPr="00C8255D">
        <w:rPr>
          <w:rFonts w:eastAsiaTheme="minorHAnsi" w:cs="Times New Roman"/>
          <w:i/>
          <w:iCs/>
          <w:szCs w:val="24"/>
          <w:lang w:eastAsia="en-US"/>
        </w:rPr>
        <w:t>euro</w:t>
      </w:r>
      <w:r w:rsidRPr="00C8255D">
        <w:rPr>
          <w:rFonts w:eastAsiaTheme="minorHAnsi" w:cs="Times New Roman"/>
          <w:szCs w:val="24"/>
          <w:lang w:eastAsia="en-US"/>
        </w:rPr>
        <w:t>.</w:t>
      </w:r>
    </w:p>
    <w:p w14:paraId="1843850D" w14:textId="77777777" w:rsidR="00611242" w:rsidRPr="00882B17" w:rsidRDefault="00611242" w:rsidP="00611242">
      <w:pPr>
        <w:keepNext/>
        <w:keepLines/>
        <w:spacing w:before="240" w:after="240"/>
        <w:ind w:firstLine="0"/>
        <w:jc w:val="center"/>
        <w:outlineLvl w:val="1"/>
        <w:rPr>
          <w:b/>
          <w:bCs/>
          <w:color w:val="000000"/>
          <w:sz w:val="36"/>
          <w:szCs w:val="28"/>
        </w:rPr>
      </w:pPr>
      <w:bookmarkStart w:id="81" w:name="_Toc53058976"/>
      <w:bookmarkStart w:id="82" w:name="_Toc53075484"/>
      <w:bookmarkStart w:id="83" w:name="_Toc53153500"/>
      <w:bookmarkStart w:id="84" w:name="_Toc53153709"/>
      <w:bookmarkStart w:id="85" w:name="_Toc53153763"/>
      <w:bookmarkStart w:id="86" w:name="_Toc53154090"/>
      <w:bookmarkStart w:id="87" w:name="_Toc83978315"/>
      <w:bookmarkStart w:id="88" w:name="_Toc84756399"/>
      <w:bookmarkStart w:id="89" w:name="_Toc124435951"/>
      <w:bookmarkStart w:id="90" w:name="_Toc124509590"/>
      <w:bookmarkStart w:id="91" w:name="_Toc124509646"/>
      <w:bookmarkStart w:id="92" w:name="_Toc124509740"/>
      <w:bookmarkStart w:id="93" w:name="_Toc124854071"/>
      <w:bookmarkStart w:id="94" w:name="_Toc125030549"/>
      <w:bookmarkStart w:id="95" w:name="_Toc125032642"/>
      <w:bookmarkStart w:id="96" w:name="_Toc125036699"/>
      <w:bookmarkStart w:id="97" w:name="_Toc125818279"/>
      <w:bookmarkStart w:id="98" w:name="_Toc125994488"/>
      <w:bookmarkStart w:id="99" w:name="_Toc125994657"/>
      <w:bookmarkStart w:id="100" w:name="_Toc126011234"/>
      <w:bookmarkStart w:id="101" w:name="_Toc126044018"/>
      <w:bookmarkStart w:id="102" w:name="_Toc126236658"/>
      <w:bookmarkStart w:id="103" w:name="_Toc12623665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r w:rsidRPr="00882B17">
        <w:rPr>
          <w:b/>
          <w:bCs/>
          <w:color w:val="000000"/>
          <w:sz w:val="36"/>
          <w:szCs w:val="28"/>
        </w:rPr>
        <w:t>2.5. Informācija par ministriju padotībā esošām no valsts budžeta daļēji finansētām atvasinātām publiskām personām un budžeta nefinansētām iestādēm</w:t>
      </w:r>
      <w:bookmarkEnd w:id="102"/>
    </w:p>
    <w:p w14:paraId="7153FFF6" w14:textId="2432362A" w:rsidR="00611242" w:rsidRPr="00B57F87" w:rsidRDefault="00611242" w:rsidP="00611242">
      <w:r w:rsidRPr="00B57F87">
        <w:t>Tabulā Nr. 2.</w:t>
      </w:r>
      <w:r w:rsidR="00B57F87" w:rsidRPr="00B57F87">
        <w:t>27</w:t>
      </w:r>
      <w:r w:rsidRPr="00B57F87">
        <w:t>. apkopota ministriju iesniegtā informācija par to</w:t>
      </w:r>
      <w:r w:rsidRPr="00B57F87">
        <w:rPr>
          <w:szCs w:val="24"/>
        </w:rPr>
        <w:t xml:space="preserve"> padotībā esošām no valsts budžeta daļēji finansētām atvasinātām publiskām personām 2026. gadā un tabulā Nr. 2.</w:t>
      </w:r>
      <w:r w:rsidR="00B57F87" w:rsidRPr="00B57F87">
        <w:rPr>
          <w:szCs w:val="24"/>
        </w:rPr>
        <w:t>28</w:t>
      </w:r>
      <w:r w:rsidRPr="00B57F87">
        <w:rPr>
          <w:szCs w:val="24"/>
        </w:rPr>
        <w:t>. apkopota ministriju iesniegtā informācija par padotībā esošām budžeta nefinansētām iestādēm 2026. gadā.</w:t>
      </w:r>
    </w:p>
    <w:p w14:paraId="3E8F8212" w14:textId="7782CBA9" w:rsidR="00611242" w:rsidRPr="00882B17" w:rsidRDefault="00611242" w:rsidP="00611242">
      <w:pPr>
        <w:ind w:firstLine="0"/>
        <w:jc w:val="right"/>
        <w:rPr>
          <w:b/>
          <w:bCs/>
          <w:i/>
          <w:szCs w:val="24"/>
        </w:rPr>
      </w:pPr>
      <w:r w:rsidRPr="00B57F87">
        <w:rPr>
          <w:b/>
          <w:bCs/>
          <w:i/>
          <w:szCs w:val="24"/>
        </w:rPr>
        <w:t>2.</w:t>
      </w:r>
      <w:r w:rsidR="00B57F87" w:rsidRPr="00B57F87">
        <w:rPr>
          <w:b/>
          <w:bCs/>
          <w:i/>
          <w:szCs w:val="24"/>
        </w:rPr>
        <w:t>27</w:t>
      </w:r>
      <w:r w:rsidRPr="00B57F87">
        <w:rPr>
          <w:b/>
          <w:bCs/>
          <w:i/>
          <w:szCs w:val="24"/>
        </w:rPr>
        <w:t>.</w:t>
      </w:r>
      <w:r w:rsidRPr="00882B17">
        <w:rPr>
          <w:b/>
          <w:bCs/>
          <w:i/>
          <w:szCs w:val="24"/>
        </w:rPr>
        <w:t> tabula. 202</w:t>
      </w:r>
      <w:r>
        <w:rPr>
          <w:b/>
          <w:bCs/>
          <w:i/>
          <w:szCs w:val="24"/>
        </w:rPr>
        <w:t>6</w:t>
      </w:r>
      <w:r w:rsidRPr="00882B17">
        <w:rPr>
          <w:b/>
          <w:bCs/>
          <w:i/>
          <w:szCs w:val="24"/>
        </w:rPr>
        <w:t>.</w:t>
      </w:r>
      <w:r>
        <w:rPr>
          <w:b/>
          <w:bCs/>
          <w:i/>
          <w:szCs w:val="24"/>
        </w:rPr>
        <w:t> </w:t>
      </w:r>
      <w:r w:rsidRPr="00882B17">
        <w:rPr>
          <w:b/>
          <w:bCs/>
          <w:i/>
          <w:szCs w:val="24"/>
        </w:rPr>
        <w:t>gadā ministriju padotībā esošās valsts budžeta daļēji finansētās atvasinātās publiskās personas</w:t>
      </w:r>
    </w:p>
    <w:tbl>
      <w:tblPr>
        <w:tblStyle w:val="TableGrid6"/>
        <w:tblW w:w="0" w:type="auto"/>
        <w:tblLook w:val="04A0" w:firstRow="1" w:lastRow="0" w:firstColumn="1" w:lastColumn="0" w:noHBand="0" w:noVBand="1"/>
      </w:tblPr>
      <w:tblGrid>
        <w:gridCol w:w="790"/>
        <w:gridCol w:w="8271"/>
      </w:tblGrid>
      <w:tr w:rsidR="00611242" w:rsidRPr="00882B17" w14:paraId="2BFF7C66" w14:textId="77777777" w:rsidTr="00171F89">
        <w:trPr>
          <w:trHeight w:val="340"/>
          <w:tblHeader/>
        </w:trPr>
        <w:tc>
          <w:tcPr>
            <w:tcW w:w="0" w:type="auto"/>
            <w:shd w:val="clear" w:color="auto" w:fill="BDD6EE"/>
            <w:vAlign w:val="center"/>
            <w:hideMark/>
          </w:tcPr>
          <w:p w14:paraId="227DB034" w14:textId="77777777" w:rsidR="00611242" w:rsidRPr="00882B17" w:rsidRDefault="00611242" w:rsidP="00E03828">
            <w:pPr>
              <w:spacing w:after="0"/>
              <w:ind w:firstLine="0"/>
              <w:jc w:val="center"/>
              <w:rPr>
                <w:bCs/>
                <w:sz w:val="20"/>
              </w:rPr>
            </w:pPr>
            <w:r w:rsidRPr="00882B17">
              <w:rPr>
                <w:bCs/>
                <w:sz w:val="20"/>
              </w:rPr>
              <w:t>Nr.</w:t>
            </w:r>
            <w:r>
              <w:rPr>
                <w:bCs/>
                <w:sz w:val="20"/>
              </w:rPr>
              <w:t xml:space="preserve"> </w:t>
            </w:r>
            <w:r w:rsidRPr="00882B17">
              <w:rPr>
                <w:bCs/>
                <w:sz w:val="20"/>
              </w:rPr>
              <w:t>p.k.</w:t>
            </w:r>
          </w:p>
        </w:tc>
        <w:tc>
          <w:tcPr>
            <w:tcW w:w="0" w:type="auto"/>
            <w:shd w:val="clear" w:color="auto" w:fill="BDD6EE"/>
            <w:vAlign w:val="center"/>
            <w:hideMark/>
          </w:tcPr>
          <w:p w14:paraId="4ADD6F31" w14:textId="77777777" w:rsidR="00611242" w:rsidRPr="00882B17" w:rsidRDefault="00611242" w:rsidP="00E03828">
            <w:pPr>
              <w:spacing w:after="0"/>
              <w:ind w:firstLine="0"/>
              <w:jc w:val="left"/>
              <w:rPr>
                <w:bCs/>
                <w:sz w:val="20"/>
              </w:rPr>
            </w:pPr>
            <w:r w:rsidRPr="00882B17">
              <w:rPr>
                <w:bCs/>
                <w:sz w:val="20"/>
              </w:rPr>
              <w:t>Valsts budžeta daļēji finansētas atvasinātas publiskas personas nosaukums</w:t>
            </w:r>
          </w:p>
        </w:tc>
      </w:tr>
      <w:tr w:rsidR="00611242" w:rsidRPr="00882B17" w14:paraId="4E7B45AA" w14:textId="77777777" w:rsidTr="00171F89">
        <w:trPr>
          <w:trHeight w:val="340"/>
        </w:trPr>
        <w:tc>
          <w:tcPr>
            <w:tcW w:w="0" w:type="auto"/>
            <w:gridSpan w:val="2"/>
            <w:shd w:val="clear" w:color="auto" w:fill="DEEAF6"/>
            <w:vAlign w:val="center"/>
            <w:hideMark/>
          </w:tcPr>
          <w:p w14:paraId="0354277B" w14:textId="77777777" w:rsidR="00611242" w:rsidRPr="00882B17" w:rsidRDefault="00611242" w:rsidP="00E03828">
            <w:pPr>
              <w:spacing w:after="0"/>
              <w:ind w:firstLine="0"/>
              <w:jc w:val="center"/>
              <w:rPr>
                <w:b/>
                <w:bCs/>
                <w:sz w:val="20"/>
              </w:rPr>
            </w:pPr>
            <w:r w:rsidRPr="00882B17">
              <w:rPr>
                <w:b/>
                <w:bCs/>
                <w:sz w:val="20"/>
              </w:rPr>
              <w:t>Izglītības un zinātnes ministrija</w:t>
            </w:r>
          </w:p>
        </w:tc>
      </w:tr>
      <w:tr w:rsidR="00611242" w:rsidRPr="00882B17" w14:paraId="714BE96B" w14:textId="77777777" w:rsidTr="00171F89">
        <w:trPr>
          <w:trHeight w:val="340"/>
        </w:trPr>
        <w:tc>
          <w:tcPr>
            <w:tcW w:w="0" w:type="auto"/>
            <w:vAlign w:val="center"/>
            <w:hideMark/>
          </w:tcPr>
          <w:p w14:paraId="6A2C7C80" w14:textId="77777777" w:rsidR="00611242" w:rsidRPr="00882B17" w:rsidRDefault="00611242" w:rsidP="00E03828">
            <w:pPr>
              <w:spacing w:after="0"/>
              <w:ind w:firstLine="0"/>
              <w:jc w:val="center"/>
              <w:rPr>
                <w:bCs/>
                <w:sz w:val="20"/>
              </w:rPr>
            </w:pPr>
            <w:r w:rsidRPr="00882B17">
              <w:rPr>
                <w:bCs/>
                <w:sz w:val="20"/>
              </w:rPr>
              <w:t>1.</w:t>
            </w:r>
          </w:p>
        </w:tc>
        <w:tc>
          <w:tcPr>
            <w:tcW w:w="0" w:type="auto"/>
            <w:vAlign w:val="center"/>
            <w:hideMark/>
          </w:tcPr>
          <w:p w14:paraId="47B12100" w14:textId="77777777" w:rsidR="00611242" w:rsidRPr="00882B17" w:rsidRDefault="00611242" w:rsidP="00E03828">
            <w:pPr>
              <w:spacing w:after="0"/>
              <w:ind w:firstLine="0"/>
              <w:jc w:val="left"/>
              <w:rPr>
                <w:bCs/>
                <w:sz w:val="20"/>
              </w:rPr>
            </w:pPr>
            <w:r w:rsidRPr="00882B17">
              <w:rPr>
                <w:bCs/>
                <w:sz w:val="20"/>
              </w:rPr>
              <w:t>Augstākās izglītības padome</w:t>
            </w:r>
          </w:p>
        </w:tc>
      </w:tr>
      <w:tr w:rsidR="00611242" w:rsidRPr="00882B17" w14:paraId="25A8D7D4" w14:textId="77777777" w:rsidTr="00171F89">
        <w:trPr>
          <w:trHeight w:val="340"/>
        </w:trPr>
        <w:tc>
          <w:tcPr>
            <w:tcW w:w="0" w:type="auto"/>
            <w:vAlign w:val="center"/>
            <w:hideMark/>
          </w:tcPr>
          <w:p w14:paraId="0846A7B5" w14:textId="77777777" w:rsidR="00611242" w:rsidRPr="00882B17" w:rsidRDefault="00611242" w:rsidP="00E03828">
            <w:pPr>
              <w:spacing w:after="0"/>
              <w:ind w:firstLine="0"/>
              <w:jc w:val="center"/>
              <w:rPr>
                <w:bCs/>
                <w:sz w:val="20"/>
              </w:rPr>
            </w:pPr>
            <w:r>
              <w:rPr>
                <w:bCs/>
                <w:sz w:val="20"/>
              </w:rPr>
              <w:t>2</w:t>
            </w:r>
            <w:r w:rsidRPr="00882B17">
              <w:rPr>
                <w:bCs/>
                <w:sz w:val="20"/>
              </w:rPr>
              <w:t>.</w:t>
            </w:r>
          </w:p>
        </w:tc>
        <w:tc>
          <w:tcPr>
            <w:tcW w:w="0" w:type="auto"/>
            <w:vAlign w:val="center"/>
            <w:hideMark/>
          </w:tcPr>
          <w:p w14:paraId="199C8BB8" w14:textId="77777777" w:rsidR="00611242" w:rsidRPr="00882B17" w:rsidRDefault="00611242" w:rsidP="00E03828">
            <w:pPr>
              <w:spacing w:after="0"/>
              <w:ind w:firstLine="0"/>
              <w:jc w:val="left"/>
              <w:rPr>
                <w:bCs/>
                <w:sz w:val="20"/>
              </w:rPr>
            </w:pPr>
            <w:r w:rsidRPr="00882B17">
              <w:rPr>
                <w:bCs/>
                <w:sz w:val="20"/>
              </w:rPr>
              <w:t>Daugavpils Universitāte</w:t>
            </w:r>
          </w:p>
        </w:tc>
      </w:tr>
      <w:tr w:rsidR="00611242" w:rsidRPr="00882B17" w14:paraId="15D8884A" w14:textId="77777777" w:rsidTr="00171F89">
        <w:trPr>
          <w:trHeight w:val="340"/>
        </w:trPr>
        <w:tc>
          <w:tcPr>
            <w:tcW w:w="0" w:type="auto"/>
            <w:vAlign w:val="center"/>
            <w:hideMark/>
          </w:tcPr>
          <w:p w14:paraId="596CAC84" w14:textId="77777777" w:rsidR="00611242" w:rsidRPr="00882B17" w:rsidRDefault="00611242" w:rsidP="00E03828">
            <w:pPr>
              <w:spacing w:after="0"/>
              <w:ind w:firstLine="0"/>
              <w:jc w:val="center"/>
              <w:rPr>
                <w:bCs/>
                <w:sz w:val="20"/>
              </w:rPr>
            </w:pPr>
            <w:r>
              <w:rPr>
                <w:bCs/>
                <w:sz w:val="20"/>
              </w:rPr>
              <w:t>3</w:t>
            </w:r>
            <w:r w:rsidRPr="00882B17">
              <w:rPr>
                <w:bCs/>
                <w:sz w:val="20"/>
              </w:rPr>
              <w:t>.</w:t>
            </w:r>
          </w:p>
        </w:tc>
        <w:tc>
          <w:tcPr>
            <w:tcW w:w="0" w:type="auto"/>
            <w:vAlign w:val="center"/>
            <w:hideMark/>
          </w:tcPr>
          <w:p w14:paraId="39232F40" w14:textId="77777777" w:rsidR="00611242" w:rsidRPr="00882B17" w:rsidRDefault="00611242" w:rsidP="00E03828">
            <w:pPr>
              <w:spacing w:after="0"/>
              <w:ind w:firstLine="0"/>
              <w:jc w:val="left"/>
              <w:rPr>
                <w:bCs/>
                <w:sz w:val="20"/>
              </w:rPr>
            </w:pPr>
            <w:r w:rsidRPr="00882B17">
              <w:rPr>
                <w:bCs/>
                <w:sz w:val="20"/>
              </w:rPr>
              <w:t>Latvijas Universitāte</w:t>
            </w:r>
          </w:p>
        </w:tc>
      </w:tr>
      <w:tr w:rsidR="00611242" w:rsidRPr="00882B17" w14:paraId="16405368" w14:textId="77777777" w:rsidTr="00171F89">
        <w:trPr>
          <w:trHeight w:val="340"/>
        </w:trPr>
        <w:tc>
          <w:tcPr>
            <w:tcW w:w="0" w:type="auto"/>
            <w:vAlign w:val="center"/>
            <w:hideMark/>
          </w:tcPr>
          <w:p w14:paraId="2EF130C9" w14:textId="77777777" w:rsidR="00611242" w:rsidRPr="00882B17" w:rsidRDefault="00611242" w:rsidP="00E03828">
            <w:pPr>
              <w:spacing w:after="0"/>
              <w:ind w:firstLine="0"/>
              <w:jc w:val="center"/>
              <w:rPr>
                <w:bCs/>
                <w:sz w:val="20"/>
              </w:rPr>
            </w:pPr>
            <w:r>
              <w:rPr>
                <w:bCs/>
                <w:sz w:val="20"/>
              </w:rPr>
              <w:t>4</w:t>
            </w:r>
            <w:r w:rsidRPr="00882B17">
              <w:rPr>
                <w:bCs/>
                <w:sz w:val="20"/>
              </w:rPr>
              <w:t>.</w:t>
            </w:r>
          </w:p>
        </w:tc>
        <w:tc>
          <w:tcPr>
            <w:tcW w:w="0" w:type="auto"/>
            <w:vAlign w:val="center"/>
            <w:hideMark/>
          </w:tcPr>
          <w:p w14:paraId="75E967CE" w14:textId="77777777" w:rsidR="00611242" w:rsidRPr="00882B17" w:rsidRDefault="00611242" w:rsidP="00E03828">
            <w:pPr>
              <w:spacing w:after="0"/>
              <w:ind w:firstLine="0"/>
              <w:jc w:val="left"/>
              <w:rPr>
                <w:bCs/>
                <w:sz w:val="20"/>
              </w:rPr>
            </w:pPr>
            <w:r w:rsidRPr="00882B17">
              <w:rPr>
                <w:bCs/>
                <w:sz w:val="20"/>
              </w:rPr>
              <w:t>Rīgas Tehniskā universitāte</w:t>
            </w:r>
          </w:p>
        </w:tc>
      </w:tr>
      <w:tr w:rsidR="00611242" w:rsidRPr="00882B17" w14:paraId="19C7A725" w14:textId="77777777" w:rsidTr="00171F89">
        <w:trPr>
          <w:trHeight w:val="340"/>
        </w:trPr>
        <w:tc>
          <w:tcPr>
            <w:tcW w:w="0" w:type="auto"/>
            <w:vAlign w:val="center"/>
            <w:hideMark/>
          </w:tcPr>
          <w:p w14:paraId="3CCC8324" w14:textId="77777777" w:rsidR="00611242" w:rsidRPr="00882B17" w:rsidRDefault="00611242" w:rsidP="00E03828">
            <w:pPr>
              <w:spacing w:after="0"/>
              <w:ind w:firstLine="0"/>
              <w:jc w:val="center"/>
              <w:rPr>
                <w:bCs/>
                <w:sz w:val="20"/>
              </w:rPr>
            </w:pPr>
            <w:r>
              <w:rPr>
                <w:bCs/>
                <w:sz w:val="20"/>
              </w:rPr>
              <w:t>5</w:t>
            </w:r>
            <w:r w:rsidRPr="00882B17">
              <w:rPr>
                <w:bCs/>
                <w:sz w:val="20"/>
              </w:rPr>
              <w:t>.</w:t>
            </w:r>
          </w:p>
        </w:tc>
        <w:tc>
          <w:tcPr>
            <w:tcW w:w="0" w:type="auto"/>
            <w:vAlign w:val="center"/>
            <w:hideMark/>
          </w:tcPr>
          <w:p w14:paraId="0CCFC510" w14:textId="77777777" w:rsidR="00611242" w:rsidRPr="00882B17" w:rsidRDefault="00611242" w:rsidP="00E03828">
            <w:pPr>
              <w:spacing w:after="0"/>
              <w:ind w:firstLine="0"/>
              <w:jc w:val="left"/>
              <w:rPr>
                <w:bCs/>
                <w:sz w:val="20"/>
              </w:rPr>
            </w:pPr>
            <w:r w:rsidRPr="00882B17">
              <w:rPr>
                <w:bCs/>
                <w:sz w:val="20"/>
              </w:rPr>
              <w:t>Ventspils Augstskola</w:t>
            </w:r>
          </w:p>
        </w:tc>
      </w:tr>
      <w:tr w:rsidR="00611242" w:rsidRPr="00882B17" w14:paraId="1C963688" w14:textId="77777777" w:rsidTr="00171F89">
        <w:trPr>
          <w:trHeight w:val="340"/>
        </w:trPr>
        <w:tc>
          <w:tcPr>
            <w:tcW w:w="0" w:type="auto"/>
            <w:vAlign w:val="center"/>
            <w:hideMark/>
          </w:tcPr>
          <w:p w14:paraId="1B63EFFD" w14:textId="77777777" w:rsidR="00611242" w:rsidRPr="00882B17" w:rsidRDefault="00611242" w:rsidP="00E03828">
            <w:pPr>
              <w:spacing w:after="0"/>
              <w:ind w:firstLine="0"/>
              <w:jc w:val="center"/>
              <w:rPr>
                <w:bCs/>
                <w:sz w:val="20"/>
              </w:rPr>
            </w:pPr>
            <w:r>
              <w:rPr>
                <w:bCs/>
                <w:sz w:val="20"/>
              </w:rPr>
              <w:t>6</w:t>
            </w:r>
            <w:r w:rsidRPr="00882B17">
              <w:rPr>
                <w:bCs/>
                <w:sz w:val="20"/>
              </w:rPr>
              <w:t>.</w:t>
            </w:r>
          </w:p>
        </w:tc>
        <w:tc>
          <w:tcPr>
            <w:tcW w:w="0" w:type="auto"/>
            <w:vAlign w:val="center"/>
            <w:hideMark/>
          </w:tcPr>
          <w:p w14:paraId="63FA8391" w14:textId="77777777" w:rsidR="00611242" w:rsidRPr="00882B17" w:rsidRDefault="00611242" w:rsidP="00E03828">
            <w:pPr>
              <w:spacing w:after="0"/>
              <w:ind w:firstLine="0"/>
              <w:jc w:val="left"/>
              <w:rPr>
                <w:bCs/>
                <w:sz w:val="20"/>
              </w:rPr>
            </w:pPr>
            <w:r w:rsidRPr="00882B17">
              <w:rPr>
                <w:bCs/>
                <w:sz w:val="20"/>
              </w:rPr>
              <w:t>Vidzemes Augstskola</w:t>
            </w:r>
          </w:p>
        </w:tc>
      </w:tr>
      <w:tr w:rsidR="00611242" w:rsidRPr="00882B17" w14:paraId="29B942FD" w14:textId="77777777" w:rsidTr="00171F89">
        <w:trPr>
          <w:trHeight w:val="340"/>
        </w:trPr>
        <w:tc>
          <w:tcPr>
            <w:tcW w:w="0" w:type="auto"/>
            <w:vAlign w:val="center"/>
            <w:hideMark/>
          </w:tcPr>
          <w:p w14:paraId="49B6C59D" w14:textId="77777777" w:rsidR="00611242" w:rsidRPr="00882B17" w:rsidRDefault="00611242" w:rsidP="00E03828">
            <w:pPr>
              <w:spacing w:after="0"/>
              <w:ind w:firstLine="0"/>
              <w:jc w:val="center"/>
              <w:rPr>
                <w:bCs/>
                <w:sz w:val="20"/>
              </w:rPr>
            </w:pPr>
            <w:r>
              <w:rPr>
                <w:bCs/>
                <w:sz w:val="20"/>
              </w:rPr>
              <w:t>7</w:t>
            </w:r>
            <w:r w:rsidRPr="00882B17">
              <w:rPr>
                <w:bCs/>
                <w:sz w:val="20"/>
              </w:rPr>
              <w:t>.</w:t>
            </w:r>
          </w:p>
        </w:tc>
        <w:tc>
          <w:tcPr>
            <w:tcW w:w="0" w:type="auto"/>
            <w:vAlign w:val="center"/>
            <w:hideMark/>
          </w:tcPr>
          <w:p w14:paraId="03C7F972" w14:textId="77777777" w:rsidR="00611242" w:rsidRPr="00882B17" w:rsidRDefault="00611242" w:rsidP="00E03828">
            <w:pPr>
              <w:spacing w:after="0"/>
              <w:ind w:firstLine="0"/>
              <w:jc w:val="left"/>
              <w:rPr>
                <w:bCs/>
                <w:sz w:val="20"/>
              </w:rPr>
            </w:pPr>
            <w:r w:rsidRPr="00882B17">
              <w:rPr>
                <w:bCs/>
                <w:sz w:val="20"/>
              </w:rPr>
              <w:t>Latvijas Zinātņu akadēmija</w:t>
            </w:r>
          </w:p>
        </w:tc>
      </w:tr>
      <w:tr w:rsidR="00611242" w:rsidRPr="00882B17" w14:paraId="7256DED7" w14:textId="77777777" w:rsidTr="00171F89">
        <w:trPr>
          <w:trHeight w:val="340"/>
        </w:trPr>
        <w:tc>
          <w:tcPr>
            <w:tcW w:w="0" w:type="auto"/>
            <w:vAlign w:val="center"/>
            <w:hideMark/>
          </w:tcPr>
          <w:p w14:paraId="434B9CB5" w14:textId="77777777" w:rsidR="00611242" w:rsidRPr="00882B17" w:rsidRDefault="00611242" w:rsidP="00E03828">
            <w:pPr>
              <w:spacing w:after="0"/>
              <w:ind w:firstLine="0"/>
              <w:jc w:val="center"/>
              <w:rPr>
                <w:bCs/>
                <w:sz w:val="20"/>
              </w:rPr>
            </w:pPr>
            <w:r>
              <w:rPr>
                <w:bCs/>
                <w:sz w:val="20"/>
              </w:rPr>
              <w:t>8</w:t>
            </w:r>
            <w:r w:rsidRPr="00882B17">
              <w:rPr>
                <w:bCs/>
                <w:sz w:val="20"/>
              </w:rPr>
              <w:t>.</w:t>
            </w:r>
          </w:p>
        </w:tc>
        <w:tc>
          <w:tcPr>
            <w:tcW w:w="0" w:type="auto"/>
            <w:vAlign w:val="center"/>
            <w:hideMark/>
          </w:tcPr>
          <w:p w14:paraId="46C79974" w14:textId="77777777" w:rsidR="00611242" w:rsidRPr="00882B17" w:rsidRDefault="00611242" w:rsidP="00E03828">
            <w:pPr>
              <w:spacing w:after="0"/>
              <w:ind w:firstLine="0"/>
              <w:jc w:val="left"/>
              <w:rPr>
                <w:bCs/>
                <w:sz w:val="20"/>
              </w:rPr>
            </w:pPr>
            <w:r w:rsidRPr="00882B17">
              <w:rPr>
                <w:bCs/>
                <w:sz w:val="20"/>
              </w:rPr>
              <w:t>Latvijas Organiskās sintēzes institūts</w:t>
            </w:r>
          </w:p>
        </w:tc>
      </w:tr>
      <w:tr w:rsidR="00611242" w:rsidRPr="00882B17" w14:paraId="4A2D3DE2" w14:textId="77777777" w:rsidTr="00171F89">
        <w:trPr>
          <w:trHeight w:val="340"/>
        </w:trPr>
        <w:tc>
          <w:tcPr>
            <w:tcW w:w="0" w:type="auto"/>
            <w:vAlign w:val="center"/>
            <w:hideMark/>
          </w:tcPr>
          <w:p w14:paraId="09AFC6EF" w14:textId="77777777" w:rsidR="00611242" w:rsidRPr="00882B17" w:rsidRDefault="00611242" w:rsidP="00E03828">
            <w:pPr>
              <w:spacing w:after="0"/>
              <w:ind w:firstLine="0"/>
              <w:jc w:val="center"/>
              <w:rPr>
                <w:bCs/>
                <w:sz w:val="20"/>
              </w:rPr>
            </w:pPr>
            <w:r>
              <w:rPr>
                <w:bCs/>
                <w:sz w:val="20"/>
              </w:rPr>
              <w:t>9</w:t>
            </w:r>
            <w:r w:rsidRPr="00882B17">
              <w:rPr>
                <w:bCs/>
                <w:sz w:val="20"/>
              </w:rPr>
              <w:t>.</w:t>
            </w:r>
          </w:p>
        </w:tc>
        <w:tc>
          <w:tcPr>
            <w:tcW w:w="0" w:type="auto"/>
            <w:vAlign w:val="center"/>
            <w:hideMark/>
          </w:tcPr>
          <w:p w14:paraId="376F76CC" w14:textId="77777777" w:rsidR="00611242" w:rsidRPr="00882B17" w:rsidRDefault="00611242" w:rsidP="00E03828">
            <w:pPr>
              <w:spacing w:after="0"/>
              <w:ind w:firstLine="0"/>
              <w:jc w:val="left"/>
              <w:rPr>
                <w:bCs/>
                <w:sz w:val="20"/>
              </w:rPr>
            </w:pPr>
            <w:r w:rsidRPr="00882B17">
              <w:rPr>
                <w:bCs/>
                <w:sz w:val="20"/>
              </w:rPr>
              <w:t>Latvijas Valsts koksnes ķīmijas institūts</w:t>
            </w:r>
          </w:p>
        </w:tc>
      </w:tr>
      <w:tr w:rsidR="00611242" w:rsidRPr="00882B17" w14:paraId="6F2014B3" w14:textId="77777777" w:rsidTr="00171F89">
        <w:trPr>
          <w:trHeight w:val="340"/>
        </w:trPr>
        <w:tc>
          <w:tcPr>
            <w:tcW w:w="0" w:type="auto"/>
            <w:vAlign w:val="center"/>
            <w:hideMark/>
          </w:tcPr>
          <w:p w14:paraId="44ABF5C5" w14:textId="77777777" w:rsidR="00611242" w:rsidRPr="00882B17" w:rsidRDefault="00611242" w:rsidP="00E03828">
            <w:pPr>
              <w:spacing w:after="0"/>
              <w:ind w:firstLine="0"/>
              <w:jc w:val="center"/>
              <w:rPr>
                <w:bCs/>
                <w:sz w:val="20"/>
              </w:rPr>
            </w:pPr>
            <w:r w:rsidRPr="00882B17">
              <w:rPr>
                <w:bCs/>
                <w:sz w:val="20"/>
              </w:rPr>
              <w:t>1</w:t>
            </w:r>
            <w:r>
              <w:rPr>
                <w:bCs/>
                <w:sz w:val="20"/>
              </w:rPr>
              <w:t>0</w:t>
            </w:r>
            <w:r w:rsidRPr="00882B17">
              <w:rPr>
                <w:bCs/>
                <w:sz w:val="20"/>
              </w:rPr>
              <w:t>.</w:t>
            </w:r>
          </w:p>
        </w:tc>
        <w:tc>
          <w:tcPr>
            <w:tcW w:w="0" w:type="auto"/>
            <w:vAlign w:val="center"/>
            <w:hideMark/>
          </w:tcPr>
          <w:p w14:paraId="14006B46" w14:textId="77777777" w:rsidR="00611242" w:rsidRPr="00882B17" w:rsidRDefault="00611242" w:rsidP="00E03828">
            <w:pPr>
              <w:spacing w:after="0"/>
              <w:ind w:firstLine="0"/>
              <w:jc w:val="left"/>
              <w:rPr>
                <w:bCs/>
                <w:sz w:val="20"/>
              </w:rPr>
            </w:pPr>
            <w:r w:rsidRPr="00882B17">
              <w:rPr>
                <w:bCs/>
                <w:sz w:val="20"/>
              </w:rPr>
              <w:t>Fizikālās enerģētikas institūts</w:t>
            </w:r>
          </w:p>
        </w:tc>
      </w:tr>
      <w:tr w:rsidR="00611242" w:rsidRPr="00882B17" w14:paraId="5D8C97D9" w14:textId="77777777" w:rsidTr="00171F89">
        <w:trPr>
          <w:trHeight w:val="340"/>
        </w:trPr>
        <w:tc>
          <w:tcPr>
            <w:tcW w:w="0" w:type="auto"/>
            <w:vAlign w:val="center"/>
            <w:hideMark/>
          </w:tcPr>
          <w:p w14:paraId="3CC700AD" w14:textId="77777777" w:rsidR="00611242" w:rsidRPr="00882B17" w:rsidRDefault="00611242" w:rsidP="00E03828">
            <w:pPr>
              <w:spacing w:after="0"/>
              <w:ind w:firstLine="0"/>
              <w:jc w:val="center"/>
              <w:rPr>
                <w:bCs/>
                <w:sz w:val="20"/>
              </w:rPr>
            </w:pPr>
            <w:r w:rsidRPr="00882B17">
              <w:rPr>
                <w:bCs/>
                <w:sz w:val="20"/>
              </w:rPr>
              <w:t>1</w:t>
            </w:r>
            <w:r>
              <w:rPr>
                <w:bCs/>
                <w:sz w:val="20"/>
              </w:rPr>
              <w:t>1</w:t>
            </w:r>
            <w:r w:rsidRPr="00882B17">
              <w:rPr>
                <w:bCs/>
                <w:sz w:val="20"/>
              </w:rPr>
              <w:t>.</w:t>
            </w:r>
          </w:p>
        </w:tc>
        <w:tc>
          <w:tcPr>
            <w:tcW w:w="0" w:type="auto"/>
            <w:vAlign w:val="center"/>
            <w:hideMark/>
          </w:tcPr>
          <w:p w14:paraId="3971CB2F" w14:textId="77777777" w:rsidR="00611242" w:rsidRPr="00882B17" w:rsidRDefault="00611242" w:rsidP="00E03828">
            <w:pPr>
              <w:spacing w:after="0"/>
              <w:ind w:firstLine="0"/>
              <w:jc w:val="left"/>
              <w:rPr>
                <w:bCs/>
                <w:sz w:val="20"/>
              </w:rPr>
            </w:pPr>
            <w:r w:rsidRPr="00882B17">
              <w:rPr>
                <w:bCs/>
                <w:sz w:val="20"/>
              </w:rPr>
              <w:t>Latvijas Biomedicīnas pētījumu un studiju centrs</w:t>
            </w:r>
          </w:p>
        </w:tc>
      </w:tr>
      <w:tr w:rsidR="00611242" w:rsidRPr="00882B17" w14:paraId="08DACE87" w14:textId="77777777" w:rsidTr="00171F89">
        <w:trPr>
          <w:trHeight w:val="340"/>
        </w:trPr>
        <w:tc>
          <w:tcPr>
            <w:tcW w:w="0" w:type="auto"/>
            <w:tcBorders>
              <w:bottom w:val="single" w:sz="4" w:space="0" w:color="auto"/>
            </w:tcBorders>
            <w:vAlign w:val="center"/>
            <w:hideMark/>
          </w:tcPr>
          <w:p w14:paraId="75AA4E80" w14:textId="77777777" w:rsidR="00611242" w:rsidRPr="00882B17" w:rsidRDefault="00611242" w:rsidP="00E03828">
            <w:pPr>
              <w:spacing w:after="0"/>
              <w:ind w:firstLine="0"/>
              <w:jc w:val="center"/>
              <w:rPr>
                <w:bCs/>
                <w:sz w:val="20"/>
              </w:rPr>
            </w:pPr>
            <w:r w:rsidRPr="00882B17">
              <w:rPr>
                <w:bCs/>
                <w:sz w:val="20"/>
              </w:rPr>
              <w:t>1</w:t>
            </w:r>
            <w:r>
              <w:rPr>
                <w:bCs/>
                <w:sz w:val="20"/>
              </w:rPr>
              <w:t>2</w:t>
            </w:r>
            <w:r w:rsidRPr="00882B17">
              <w:rPr>
                <w:bCs/>
                <w:sz w:val="20"/>
              </w:rPr>
              <w:t>.</w:t>
            </w:r>
          </w:p>
        </w:tc>
        <w:tc>
          <w:tcPr>
            <w:tcW w:w="0" w:type="auto"/>
            <w:tcBorders>
              <w:bottom w:val="single" w:sz="4" w:space="0" w:color="auto"/>
            </w:tcBorders>
            <w:vAlign w:val="center"/>
            <w:hideMark/>
          </w:tcPr>
          <w:p w14:paraId="21926935" w14:textId="77777777" w:rsidR="00611242" w:rsidRPr="00882B17" w:rsidRDefault="00611242" w:rsidP="00E03828">
            <w:pPr>
              <w:spacing w:after="0"/>
              <w:ind w:firstLine="0"/>
              <w:jc w:val="left"/>
              <w:rPr>
                <w:bCs/>
                <w:sz w:val="20"/>
              </w:rPr>
            </w:pPr>
            <w:r w:rsidRPr="00882B17">
              <w:rPr>
                <w:bCs/>
                <w:sz w:val="20"/>
              </w:rPr>
              <w:t>Elektronikas un datorzinātņu institūts</w:t>
            </w:r>
          </w:p>
        </w:tc>
      </w:tr>
      <w:tr w:rsidR="00611242" w:rsidRPr="00882B17" w14:paraId="4C42513B" w14:textId="77777777" w:rsidTr="00171F89">
        <w:trPr>
          <w:trHeight w:val="340"/>
        </w:trPr>
        <w:tc>
          <w:tcPr>
            <w:tcW w:w="0" w:type="auto"/>
            <w:tcBorders>
              <w:top w:val="single" w:sz="4" w:space="0" w:color="auto"/>
              <w:left w:val="single" w:sz="4" w:space="0" w:color="auto"/>
              <w:bottom w:val="single" w:sz="4" w:space="0" w:color="auto"/>
              <w:right w:val="nil"/>
            </w:tcBorders>
            <w:shd w:val="clear" w:color="auto" w:fill="DEEAF6"/>
            <w:hideMark/>
          </w:tcPr>
          <w:p w14:paraId="4D31D454" w14:textId="77777777" w:rsidR="00611242" w:rsidRPr="00882B17" w:rsidRDefault="00611242" w:rsidP="00E03828">
            <w:pPr>
              <w:spacing w:after="0"/>
              <w:ind w:firstLine="0"/>
              <w:jc w:val="center"/>
              <w:rPr>
                <w:bCs/>
                <w:sz w:val="20"/>
              </w:rPr>
            </w:pPr>
          </w:p>
        </w:tc>
        <w:tc>
          <w:tcPr>
            <w:tcW w:w="0" w:type="auto"/>
            <w:tcBorders>
              <w:top w:val="single" w:sz="4" w:space="0" w:color="auto"/>
              <w:left w:val="nil"/>
              <w:bottom w:val="single" w:sz="4" w:space="0" w:color="auto"/>
              <w:right w:val="single" w:sz="4" w:space="0" w:color="auto"/>
            </w:tcBorders>
            <w:shd w:val="clear" w:color="auto" w:fill="DEEAF6"/>
            <w:vAlign w:val="center"/>
            <w:hideMark/>
          </w:tcPr>
          <w:p w14:paraId="0BAB78B4" w14:textId="77777777" w:rsidR="00611242" w:rsidRPr="00882B17" w:rsidRDefault="00611242" w:rsidP="00E03828">
            <w:pPr>
              <w:spacing w:after="0"/>
              <w:ind w:firstLine="2299"/>
              <w:jc w:val="left"/>
              <w:rPr>
                <w:b/>
                <w:bCs/>
                <w:sz w:val="20"/>
              </w:rPr>
            </w:pPr>
            <w:r w:rsidRPr="00882B17">
              <w:rPr>
                <w:b/>
                <w:bCs/>
                <w:sz w:val="20"/>
              </w:rPr>
              <w:t>Zemkopības ministrija</w:t>
            </w:r>
          </w:p>
        </w:tc>
      </w:tr>
      <w:tr w:rsidR="00611242" w:rsidRPr="00882B17" w14:paraId="646FB564" w14:textId="77777777" w:rsidTr="00171F89">
        <w:trPr>
          <w:trHeight w:val="340"/>
        </w:trPr>
        <w:tc>
          <w:tcPr>
            <w:tcW w:w="0" w:type="auto"/>
            <w:tcBorders>
              <w:top w:val="single" w:sz="4" w:space="0" w:color="auto"/>
            </w:tcBorders>
            <w:vAlign w:val="center"/>
            <w:hideMark/>
          </w:tcPr>
          <w:p w14:paraId="273314FC" w14:textId="77777777" w:rsidR="00611242" w:rsidRPr="00882B17" w:rsidRDefault="00611242" w:rsidP="00E03828">
            <w:pPr>
              <w:spacing w:after="0"/>
              <w:ind w:firstLine="0"/>
              <w:jc w:val="center"/>
              <w:rPr>
                <w:bCs/>
                <w:sz w:val="20"/>
              </w:rPr>
            </w:pPr>
            <w:r w:rsidRPr="00882B17">
              <w:rPr>
                <w:bCs/>
                <w:sz w:val="20"/>
              </w:rPr>
              <w:t>1</w:t>
            </w:r>
            <w:r>
              <w:rPr>
                <w:bCs/>
                <w:sz w:val="20"/>
              </w:rPr>
              <w:t>3</w:t>
            </w:r>
            <w:r w:rsidRPr="00882B17">
              <w:rPr>
                <w:bCs/>
                <w:sz w:val="20"/>
              </w:rPr>
              <w:t>.</w:t>
            </w:r>
          </w:p>
        </w:tc>
        <w:tc>
          <w:tcPr>
            <w:tcW w:w="0" w:type="auto"/>
            <w:tcBorders>
              <w:top w:val="single" w:sz="4" w:space="0" w:color="auto"/>
            </w:tcBorders>
            <w:vAlign w:val="center"/>
            <w:hideMark/>
          </w:tcPr>
          <w:p w14:paraId="6DB8C523" w14:textId="77777777" w:rsidR="00611242" w:rsidRPr="00882B17" w:rsidRDefault="00611242" w:rsidP="00E03828">
            <w:pPr>
              <w:spacing w:after="0"/>
              <w:ind w:firstLine="0"/>
              <w:jc w:val="left"/>
              <w:rPr>
                <w:bCs/>
                <w:sz w:val="20"/>
              </w:rPr>
            </w:pPr>
            <w:r w:rsidRPr="00882B17">
              <w:rPr>
                <w:bCs/>
                <w:sz w:val="20"/>
              </w:rPr>
              <w:t>L</w:t>
            </w:r>
            <w:r>
              <w:rPr>
                <w:bCs/>
                <w:sz w:val="20"/>
              </w:rPr>
              <w:t>BTU</w:t>
            </w:r>
            <w:r w:rsidRPr="00882B17">
              <w:rPr>
                <w:bCs/>
                <w:sz w:val="20"/>
              </w:rPr>
              <w:t xml:space="preserve"> Agroresursu un ekonomikas institūts</w:t>
            </w:r>
          </w:p>
        </w:tc>
      </w:tr>
      <w:tr w:rsidR="00611242" w:rsidRPr="00882B17" w14:paraId="683C654D" w14:textId="77777777" w:rsidTr="00171F89">
        <w:trPr>
          <w:trHeight w:val="340"/>
        </w:trPr>
        <w:tc>
          <w:tcPr>
            <w:tcW w:w="0" w:type="auto"/>
            <w:vAlign w:val="center"/>
            <w:hideMark/>
          </w:tcPr>
          <w:p w14:paraId="2C8EA9E7" w14:textId="77777777" w:rsidR="00611242" w:rsidRPr="00882B17" w:rsidRDefault="00611242" w:rsidP="00E03828">
            <w:pPr>
              <w:spacing w:after="0"/>
              <w:ind w:firstLine="0"/>
              <w:jc w:val="center"/>
              <w:rPr>
                <w:bCs/>
                <w:sz w:val="20"/>
              </w:rPr>
            </w:pPr>
            <w:r w:rsidRPr="00882B17">
              <w:rPr>
                <w:bCs/>
                <w:sz w:val="20"/>
              </w:rPr>
              <w:lastRenderedPageBreak/>
              <w:t>1</w:t>
            </w:r>
            <w:r>
              <w:rPr>
                <w:bCs/>
                <w:sz w:val="20"/>
              </w:rPr>
              <w:t>4</w:t>
            </w:r>
            <w:r w:rsidRPr="00882B17">
              <w:rPr>
                <w:bCs/>
                <w:sz w:val="20"/>
              </w:rPr>
              <w:t>.</w:t>
            </w:r>
          </w:p>
        </w:tc>
        <w:tc>
          <w:tcPr>
            <w:tcW w:w="0" w:type="auto"/>
            <w:vAlign w:val="center"/>
            <w:hideMark/>
          </w:tcPr>
          <w:p w14:paraId="7818BDF5" w14:textId="77777777" w:rsidR="00611242" w:rsidRPr="00882B17" w:rsidRDefault="00611242" w:rsidP="00E03828">
            <w:pPr>
              <w:spacing w:after="0"/>
              <w:ind w:firstLine="0"/>
              <w:jc w:val="left"/>
              <w:rPr>
                <w:bCs/>
                <w:sz w:val="20"/>
              </w:rPr>
            </w:pPr>
            <w:r w:rsidRPr="00882B17">
              <w:rPr>
                <w:bCs/>
                <w:sz w:val="20"/>
              </w:rPr>
              <w:t>Valsts zinātniskais institūts “Pārtikas drošības, dzīvnieku veselības un vides zinātniskais institūts BIOR”</w:t>
            </w:r>
          </w:p>
        </w:tc>
      </w:tr>
      <w:tr w:rsidR="00611242" w:rsidRPr="00882B17" w14:paraId="20BF3C77" w14:textId="77777777" w:rsidTr="00171F89">
        <w:trPr>
          <w:trHeight w:val="340"/>
        </w:trPr>
        <w:tc>
          <w:tcPr>
            <w:tcW w:w="0" w:type="auto"/>
            <w:vAlign w:val="center"/>
            <w:hideMark/>
          </w:tcPr>
          <w:p w14:paraId="70071A34" w14:textId="77777777" w:rsidR="00611242" w:rsidRPr="00882B17" w:rsidRDefault="00611242" w:rsidP="00E03828">
            <w:pPr>
              <w:spacing w:after="0"/>
              <w:ind w:firstLine="0"/>
              <w:jc w:val="center"/>
              <w:rPr>
                <w:bCs/>
                <w:sz w:val="20"/>
              </w:rPr>
            </w:pPr>
            <w:r w:rsidRPr="00882B17">
              <w:rPr>
                <w:bCs/>
                <w:sz w:val="20"/>
              </w:rPr>
              <w:t>1</w:t>
            </w:r>
            <w:r>
              <w:rPr>
                <w:bCs/>
                <w:sz w:val="20"/>
              </w:rPr>
              <w:t>5</w:t>
            </w:r>
            <w:r w:rsidRPr="00882B17">
              <w:rPr>
                <w:bCs/>
                <w:sz w:val="20"/>
              </w:rPr>
              <w:t>.</w:t>
            </w:r>
          </w:p>
        </w:tc>
        <w:tc>
          <w:tcPr>
            <w:tcW w:w="0" w:type="auto"/>
            <w:vAlign w:val="center"/>
            <w:hideMark/>
          </w:tcPr>
          <w:p w14:paraId="5B8537EC" w14:textId="77777777" w:rsidR="00611242" w:rsidRPr="00882B17" w:rsidRDefault="00611242" w:rsidP="00E03828">
            <w:pPr>
              <w:spacing w:after="0"/>
              <w:ind w:firstLine="0"/>
              <w:jc w:val="left"/>
              <w:rPr>
                <w:bCs/>
                <w:sz w:val="20"/>
              </w:rPr>
            </w:pPr>
            <w:r w:rsidRPr="00882B17">
              <w:rPr>
                <w:bCs/>
                <w:sz w:val="20"/>
              </w:rPr>
              <w:t>L</w:t>
            </w:r>
            <w:r>
              <w:rPr>
                <w:bCs/>
                <w:sz w:val="20"/>
              </w:rPr>
              <w:t>BTU</w:t>
            </w:r>
            <w:r w:rsidRPr="00882B17">
              <w:rPr>
                <w:bCs/>
                <w:sz w:val="20"/>
              </w:rPr>
              <w:t xml:space="preserve"> Dārzkopības institūts</w:t>
            </w:r>
          </w:p>
        </w:tc>
      </w:tr>
      <w:tr w:rsidR="00611242" w:rsidRPr="00882B17" w14:paraId="1FEE6B3D" w14:textId="77777777" w:rsidTr="00171F89">
        <w:trPr>
          <w:trHeight w:val="340"/>
        </w:trPr>
        <w:tc>
          <w:tcPr>
            <w:tcW w:w="0" w:type="auto"/>
            <w:vAlign w:val="center"/>
            <w:hideMark/>
          </w:tcPr>
          <w:p w14:paraId="637F7200" w14:textId="77777777" w:rsidR="00611242" w:rsidRPr="00882B17" w:rsidRDefault="00611242" w:rsidP="00E03828">
            <w:pPr>
              <w:spacing w:after="0"/>
              <w:ind w:firstLine="0"/>
              <w:jc w:val="center"/>
              <w:rPr>
                <w:bCs/>
                <w:sz w:val="20"/>
              </w:rPr>
            </w:pPr>
            <w:r>
              <w:rPr>
                <w:bCs/>
                <w:sz w:val="20"/>
              </w:rPr>
              <w:t>16</w:t>
            </w:r>
            <w:r w:rsidRPr="00882B17">
              <w:rPr>
                <w:bCs/>
                <w:sz w:val="20"/>
              </w:rPr>
              <w:t>.</w:t>
            </w:r>
          </w:p>
        </w:tc>
        <w:tc>
          <w:tcPr>
            <w:tcW w:w="0" w:type="auto"/>
            <w:vAlign w:val="center"/>
            <w:hideMark/>
          </w:tcPr>
          <w:p w14:paraId="2B4562DC" w14:textId="77777777" w:rsidR="00611242" w:rsidRPr="00882B17" w:rsidRDefault="00611242" w:rsidP="00E03828">
            <w:pPr>
              <w:spacing w:after="0"/>
              <w:ind w:firstLine="0"/>
              <w:jc w:val="left"/>
              <w:rPr>
                <w:bCs/>
                <w:sz w:val="20"/>
              </w:rPr>
            </w:pPr>
            <w:r w:rsidRPr="00882B17">
              <w:rPr>
                <w:bCs/>
                <w:sz w:val="20"/>
              </w:rPr>
              <w:t>Latvijas Biozinātņu un tehnoloģiju universitāte</w:t>
            </w:r>
          </w:p>
        </w:tc>
      </w:tr>
      <w:tr w:rsidR="00611242" w:rsidRPr="00882B17" w14:paraId="18A87CFE" w14:textId="77777777" w:rsidTr="00171F89">
        <w:trPr>
          <w:trHeight w:val="340"/>
        </w:trPr>
        <w:tc>
          <w:tcPr>
            <w:tcW w:w="0" w:type="auto"/>
            <w:vAlign w:val="center"/>
            <w:hideMark/>
          </w:tcPr>
          <w:p w14:paraId="1894CA6B" w14:textId="77777777" w:rsidR="00611242" w:rsidRPr="00882B17" w:rsidRDefault="00611242" w:rsidP="00E03828">
            <w:pPr>
              <w:spacing w:after="0"/>
              <w:ind w:firstLine="0"/>
              <w:jc w:val="center"/>
              <w:rPr>
                <w:bCs/>
                <w:sz w:val="20"/>
              </w:rPr>
            </w:pPr>
            <w:r>
              <w:rPr>
                <w:bCs/>
                <w:sz w:val="20"/>
              </w:rPr>
              <w:t>17</w:t>
            </w:r>
            <w:r w:rsidRPr="00882B17">
              <w:rPr>
                <w:bCs/>
                <w:sz w:val="20"/>
              </w:rPr>
              <w:t>.</w:t>
            </w:r>
          </w:p>
        </w:tc>
        <w:tc>
          <w:tcPr>
            <w:tcW w:w="0" w:type="auto"/>
            <w:vAlign w:val="center"/>
            <w:hideMark/>
          </w:tcPr>
          <w:p w14:paraId="1F263ABF" w14:textId="77777777" w:rsidR="00611242" w:rsidRPr="00882B17" w:rsidRDefault="00611242" w:rsidP="00E03828">
            <w:pPr>
              <w:spacing w:after="0"/>
              <w:ind w:firstLine="0"/>
              <w:jc w:val="left"/>
              <w:rPr>
                <w:bCs/>
                <w:sz w:val="20"/>
              </w:rPr>
            </w:pPr>
            <w:r w:rsidRPr="00882B17">
              <w:rPr>
                <w:bCs/>
                <w:sz w:val="20"/>
              </w:rPr>
              <w:t>Latvijas Valsts mežzinātnes institūts “Silava”</w:t>
            </w:r>
          </w:p>
        </w:tc>
      </w:tr>
      <w:tr w:rsidR="00611242" w:rsidRPr="00882B17" w14:paraId="0467BD36" w14:textId="77777777" w:rsidTr="00171F89">
        <w:trPr>
          <w:trHeight w:val="340"/>
        </w:trPr>
        <w:tc>
          <w:tcPr>
            <w:tcW w:w="0" w:type="auto"/>
            <w:vAlign w:val="center"/>
            <w:hideMark/>
          </w:tcPr>
          <w:p w14:paraId="12CFDA51" w14:textId="77777777" w:rsidR="00611242" w:rsidRPr="00882B17" w:rsidRDefault="00611242" w:rsidP="00E03828">
            <w:pPr>
              <w:spacing w:after="0"/>
              <w:ind w:firstLine="0"/>
              <w:jc w:val="center"/>
              <w:rPr>
                <w:bCs/>
                <w:sz w:val="20"/>
              </w:rPr>
            </w:pPr>
            <w:r>
              <w:rPr>
                <w:bCs/>
                <w:sz w:val="20"/>
              </w:rPr>
              <w:t>18</w:t>
            </w:r>
            <w:r w:rsidRPr="00882B17">
              <w:rPr>
                <w:bCs/>
                <w:sz w:val="20"/>
              </w:rPr>
              <w:t>.</w:t>
            </w:r>
          </w:p>
        </w:tc>
        <w:tc>
          <w:tcPr>
            <w:tcW w:w="0" w:type="auto"/>
            <w:vAlign w:val="center"/>
            <w:hideMark/>
          </w:tcPr>
          <w:p w14:paraId="4AF71830" w14:textId="77777777" w:rsidR="00611242" w:rsidRPr="00882B17" w:rsidRDefault="00611242" w:rsidP="00E03828">
            <w:pPr>
              <w:spacing w:after="0"/>
              <w:ind w:firstLine="0"/>
              <w:jc w:val="left"/>
              <w:rPr>
                <w:bCs/>
                <w:sz w:val="20"/>
              </w:rPr>
            </w:pPr>
            <w:r w:rsidRPr="00882B17">
              <w:rPr>
                <w:bCs/>
                <w:sz w:val="20"/>
              </w:rPr>
              <w:t xml:space="preserve">LVMI Silava un LBTU Valsts zinātniskās izpētes mežu apsaimniekošanas aģentūra </w:t>
            </w:r>
            <w:r>
              <w:rPr>
                <w:bCs/>
                <w:sz w:val="20"/>
              </w:rPr>
              <w:t>“</w:t>
            </w:r>
            <w:r w:rsidRPr="00882B17">
              <w:rPr>
                <w:bCs/>
                <w:sz w:val="20"/>
              </w:rPr>
              <w:t>Meža pētīšanas stacija</w:t>
            </w:r>
            <w:r>
              <w:rPr>
                <w:bCs/>
                <w:sz w:val="20"/>
              </w:rPr>
              <w:t>”</w:t>
            </w:r>
          </w:p>
        </w:tc>
      </w:tr>
      <w:tr w:rsidR="00611242" w:rsidRPr="00882B17" w14:paraId="1729C97B" w14:textId="77777777" w:rsidTr="00171F89">
        <w:trPr>
          <w:trHeight w:val="340"/>
        </w:trPr>
        <w:tc>
          <w:tcPr>
            <w:tcW w:w="0" w:type="auto"/>
            <w:gridSpan w:val="2"/>
            <w:shd w:val="clear" w:color="auto" w:fill="DEEAF6"/>
            <w:vAlign w:val="center"/>
            <w:hideMark/>
          </w:tcPr>
          <w:p w14:paraId="1AD276F1" w14:textId="77777777" w:rsidR="00611242" w:rsidRPr="00882B17" w:rsidRDefault="00611242" w:rsidP="00E03828">
            <w:pPr>
              <w:spacing w:after="0"/>
              <w:ind w:firstLine="0"/>
              <w:jc w:val="center"/>
              <w:rPr>
                <w:b/>
                <w:bCs/>
                <w:color w:val="FF0000"/>
                <w:sz w:val="20"/>
              </w:rPr>
            </w:pPr>
            <w:r w:rsidRPr="00882B17">
              <w:rPr>
                <w:b/>
                <w:bCs/>
                <w:sz w:val="20"/>
              </w:rPr>
              <w:t>Vides aizsardzības un reģionālās attīstības ministrija</w:t>
            </w:r>
          </w:p>
        </w:tc>
      </w:tr>
      <w:tr w:rsidR="00611242" w:rsidRPr="00882B17" w14:paraId="7DBAB64F" w14:textId="77777777" w:rsidTr="00171F89">
        <w:trPr>
          <w:trHeight w:val="340"/>
        </w:trPr>
        <w:tc>
          <w:tcPr>
            <w:tcW w:w="0" w:type="auto"/>
            <w:vAlign w:val="center"/>
            <w:hideMark/>
          </w:tcPr>
          <w:p w14:paraId="39232390" w14:textId="77777777" w:rsidR="00611242" w:rsidRPr="00882B17" w:rsidRDefault="00611242" w:rsidP="00E03828">
            <w:pPr>
              <w:spacing w:after="0"/>
              <w:ind w:firstLine="0"/>
              <w:jc w:val="center"/>
              <w:rPr>
                <w:bCs/>
                <w:sz w:val="20"/>
              </w:rPr>
            </w:pPr>
            <w:r>
              <w:rPr>
                <w:bCs/>
                <w:sz w:val="20"/>
              </w:rPr>
              <w:t>19</w:t>
            </w:r>
            <w:r w:rsidRPr="00882B17">
              <w:rPr>
                <w:bCs/>
                <w:sz w:val="20"/>
              </w:rPr>
              <w:t>.</w:t>
            </w:r>
          </w:p>
        </w:tc>
        <w:tc>
          <w:tcPr>
            <w:tcW w:w="0" w:type="auto"/>
            <w:vAlign w:val="center"/>
            <w:hideMark/>
          </w:tcPr>
          <w:p w14:paraId="141827C7" w14:textId="77777777" w:rsidR="00611242" w:rsidRPr="00882B17" w:rsidRDefault="00611242" w:rsidP="00E03828">
            <w:pPr>
              <w:spacing w:after="0"/>
              <w:ind w:firstLine="0"/>
              <w:jc w:val="left"/>
              <w:rPr>
                <w:bCs/>
                <w:sz w:val="20"/>
              </w:rPr>
            </w:pPr>
            <w:r w:rsidRPr="00882B17">
              <w:rPr>
                <w:bCs/>
                <w:sz w:val="20"/>
              </w:rPr>
              <w:t>Zemgales plānošanas reģions</w:t>
            </w:r>
          </w:p>
        </w:tc>
      </w:tr>
      <w:tr w:rsidR="00611242" w:rsidRPr="00882B17" w14:paraId="075AC688" w14:textId="77777777" w:rsidTr="00171F89">
        <w:trPr>
          <w:trHeight w:val="340"/>
        </w:trPr>
        <w:tc>
          <w:tcPr>
            <w:tcW w:w="0" w:type="auto"/>
            <w:vAlign w:val="center"/>
            <w:hideMark/>
          </w:tcPr>
          <w:p w14:paraId="7EF0FDAA" w14:textId="77777777" w:rsidR="00611242" w:rsidRPr="00882B17" w:rsidRDefault="00611242" w:rsidP="00E03828">
            <w:pPr>
              <w:spacing w:after="0"/>
              <w:ind w:firstLine="0"/>
              <w:jc w:val="center"/>
              <w:rPr>
                <w:bCs/>
                <w:sz w:val="20"/>
              </w:rPr>
            </w:pPr>
            <w:r w:rsidRPr="00882B17">
              <w:rPr>
                <w:bCs/>
                <w:sz w:val="20"/>
              </w:rPr>
              <w:t>2</w:t>
            </w:r>
            <w:r>
              <w:rPr>
                <w:bCs/>
                <w:sz w:val="20"/>
              </w:rPr>
              <w:t>0</w:t>
            </w:r>
            <w:r w:rsidRPr="00882B17">
              <w:rPr>
                <w:bCs/>
                <w:sz w:val="20"/>
              </w:rPr>
              <w:t>.</w:t>
            </w:r>
          </w:p>
        </w:tc>
        <w:tc>
          <w:tcPr>
            <w:tcW w:w="0" w:type="auto"/>
            <w:vAlign w:val="center"/>
            <w:hideMark/>
          </w:tcPr>
          <w:p w14:paraId="7E406475" w14:textId="77777777" w:rsidR="00611242" w:rsidRPr="00882B17" w:rsidRDefault="00611242" w:rsidP="00E03828">
            <w:pPr>
              <w:spacing w:after="0"/>
              <w:ind w:firstLine="0"/>
              <w:jc w:val="left"/>
              <w:rPr>
                <w:bCs/>
                <w:sz w:val="20"/>
              </w:rPr>
            </w:pPr>
            <w:r w:rsidRPr="00882B17">
              <w:rPr>
                <w:bCs/>
                <w:sz w:val="20"/>
              </w:rPr>
              <w:t>Vidzemes plānošanas reģions</w:t>
            </w:r>
          </w:p>
        </w:tc>
      </w:tr>
      <w:tr w:rsidR="00611242" w:rsidRPr="00882B17" w14:paraId="7A99A101" w14:textId="77777777" w:rsidTr="00171F89">
        <w:trPr>
          <w:trHeight w:val="340"/>
        </w:trPr>
        <w:tc>
          <w:tcPr>
            <w:tcW w:w="0" w:type="auto"/>
            <w:vAlign w:val="center"/>
            <w:hideMark/>
          </w:tcPr>
          <w:p w14:paraId="407F03C8" w14:textId="77777777" w:rsidR="00611242" w:rsidRPr="00882B17" w:rsidRDefault="00611242" w:rsidP="00E03828">
            <w:pPr>
              <w:spacing w:after="0"/>
              <w:ind w:firstLine="0"/>
              <w:jc w:val="center"/>
              <w:rPr>
                <w:bCs/>
                <w:sz w:val="20"/>
              </w:rPr>
            </w:pPr>
            <w:r w:rsidRPr="00882B17">
              <w:rPr>
                <w:bCs/>
                <w:sz w:val="20"/>
              </w:rPr>
              <w:t>2</w:t>
            </w:r>
            <w:r>
              <w:rPr>
                <w:bCs/>
                <w:sz w:val="20"/>
              </w:rPr>
              <w:t>1</w:t>
            </w:r>
            <w:r w:rsidRPr="00882B17">
              <w:rPr>
                <w:bCs/>
                <w:sz w:val="20"/>
              </w:rPr>
              <w:t>.</w:t>
            </w:r>
          </w:p>
        </w:tc>
        <w:tc>
          <w:tcPr>
            <w:tcW w:w="0" w:type="auto"/>
            <w:vAlign w:val="center"/>
            <w:hideMark/>
          </w:tcPr>
          <w:p w14:paraId="63C0E838" w14:textId="77777777" w:rsidR="00611242" w:rsidRPr="00882B17" w:rsidRDefault="00611242" w:rsidP="00E03828">
            <w:pPr>
              <w:spacing w:after="0"/>
              <w:ind w:firstLine="0"/>
              <w:jc w:val="left"/>
              <w:rPr>
                <w:bCs/>
                <w:sz w:val="20"/>
              </w:rPr>
            </w:pPr>
            <w:r w:rsidRPr="00882B17">
              <w:rPr>
                <w:bCs/>
                <w:sz w:val="20"/>
              </w:rPr>
              <w:t>Kurzemes plānošanas reģions</w:t>
            </w:r>
          </w:p>
        </w:tc>
      </w:tr>
      <w:tr w:rsidR="00611242" w:rsidRPr="00882B17" w14:paraId="1576BB30" w14:textId="77777777" w:rsidTr="00171F89">
        <w:trPr>
          <w:trHeight w:val="340"/>
        </w:trPr>
        <w:tc>
          <w:tcPr>
            <w:tcW w:w="0" w:type="auto"/>
            <w:vAlign w:val="center"/>
            <w:hideMark/>
          </w:tcPr>
          <w:p w14:paraId="72C29C72" w14:textId="77777777" w:rsidR="00611242" w:rsidRPr="00882B17" w:rsidRDefault="00611242" w:rsidP="00E03828">
            <w:pPr>
              <w:spacing w:after="0"/>
              <w:ind w:firstLine="0"/>
              <w:jc w:val="center"/>
              <w:rPr>
                <w:bCs/>
                <w:sz w:val="20"/>
              </w:rPr>
            </w:pPr>
            <w:r w:rsidRPr="00882B17">
              <w:rPr>
                <w:bCs/>
                <w:sz w:val="20"/>
              </w:rPr>
              <w:t>2</w:t>
            </w:r>
            <w:r>
              <w:rPr>
                <w:bCs/>
                <w:sz w:val="20"/>
              </w:rPr>
              <w:t>2</w:t>
            </w:r>
            <w:r w:rsidRPr="00882B17">
              <w:rPr>
                <w:bCs/>
                <w:sz w:val="20"/>
              </w:rPr>
              <w:t>.</w:t>
            </w:r>
          </w:p>
        </w:tc>
        <w:tc>
          <w:tcPr>
            <w:tcW w:w="0" w:type="auto"/>
            <w:vAlign w:val="center"/>
            <w:hideMark/>
          </w:tcPr>
          <w:p w14:paraId="2EF8AFA3" w14:textId="77777777" w:rsidR="00611242" w:rsidRPr="00882B17" w:rsidRDefault="00611242" w:rsidP="00E03828">
            <w:pPr>
              <w:spacing w:after="0"/>
              <w:ind w:firstLine="0"/>
              <w:jc w:val="left"/>
              <w:rPr>
                <w:bCs/>
                <w:sz w:val="20"/>
              </w:rPr>
            </w:pPr>
            <w:r w:rsidRPr="00882B17">
              <w:rPr>
                <w:bCs/>
                <w:sz w:val="20"/>
              </w:rPr>
              <w:t>Rīgas plānošanas reģions</w:t>
            </w:r>
          </w:p>
        </w:tc>
      </w:tr>
      <w:tr w:rsidR="00611242" w:rsidRPr="00882B17" w14:paraId="2E935A56" w14:textId="77777777" w:rsidTr="00171F89">
        <w:trPr>
          <w:trHeight w:val="340"/>
        </w:trPr>
        <w:tc>
          <w:tcPr>
            <w:tcW w:w="0" w:type="auto"/>
            <w:vAlign w:val="center"/>
            <w:hideMark/>
          </w:tcPr>
          <w:p w14:paraId="06F7D20B" w14:textId="77777777" w:rsidR="00611242" w:rsidRPr="00882B17" w:rsidRDefault="00611242" w:rsidP="00E03828">
            <w:pPr>
              <w:spacing w:after="0"/>
              <w:ind w:firstLine="0"/>
              <w:jc w:val="center"/>
              <w:rPr>
                <w:bCs/>
                <w:sz w:val="20"/>
              </w:rPr>
            </w:pPr>
            <w:r w:rsidRPr="00882B17">
              <w:rPr>
                <w:bCs/>
                <w:sz w:val="20"/>
              </w:rPr>
              <w:t>2</w:t>
            </w:r>
            <w:r>
              <w:rPr>
                <w:bCs/>
                <w:sz w:val="20"/>
              </w:rPr>
              <w:t>3</w:t>
            </w:r>
            <w:r w:rsidRPr="00882B17">
              <w:rPr>
                <w:bCs/>
                <w:sz w:val="20"/>
              </w:rPr>
              <w:t>.</w:t>
            </w:r>
          </w:p>
        </w:tc>
        <w:tc>
          <w:tcPr>
            <w:tcW w:w="0" w:type="auto"/>
            <w:vAlign w:val="center"/>
            <w:hideMark/>
          </w:tcPr>
          <w:p w14:paraId="6C41ACE9" w14:textId="77777777" w:rsidR="00611242" w:rsidRPr="00882B17" w:rsidRDefault="00611242" w:rsidP="00E03828">
            <w:pPr>
              <w:spacing w:after="0"/>
              <w:ind w:firstLine="0"/>
              <w:jc w:val="left"/>
              <w:rPr>
                <w:bCs/>
                <w:sz w:val="20"/>
              </w:rPr>
            </w:pPr>
            <w:r w:rsidRPr="00882B17">
              <w:rPr>
                <w:bCs/>
                <w:sz w:val="20"/>
              </w:rPr>
              <w:t>Latgales plānošanas reģions</w:t>
            </w:r>
          </w:p>
        </w:tc>
      </w:tr>
      <w:tr w:rsidR="00611242" w:rsidRPr="00882B17" w14:paraId="43766E83" w14:textId="77777777" w:rsidTr="00171F89">
        <w:trPr>
          <w:trHeight w:val="340"/>
        </w:trPr>
        <w:tc>
          <w:tcPr>
            <w:tcW w:w="0" w:type="auto"/>
            <w:gridSpan w:val="2"/>
            <w:shd w:val="clear" w:color="auto" w:fill="DEEAF6"/>
            <w:vAlign w:val="center"/>
            <w:hideMark/>
          </w:tcPr>
          <w:p w14:paraId="65FD5A19" w14:textId="77777777" w:rsidR="00611242" w:rsidRPr="00882B17" w:rsidRDefault="00611242" w:rsidP="00E03828">
            <w:pPr>
              <w:spacing w:after="0"/>
              <w:ind w:firstLine="0"/>
              <w:jc w:val="center"/>
              <w:rPr>
                <w:b/>
                <w:bCs/>
                <w:sz w:val="20"/>
              </w:rPr>
            </w:pPr>
            <w:r w:rsidRPr="00882B17">
              <w:rPr>
                <w:b/>
                <w:bCs/>
                <w:sz w:val="20"/>
              </w:rPr>
              <w:t>Kultūras ministrija</w:t>
            </w:r>
          </w:p>
        </w:tc>
      </w:tr>
      <w:tr w:rsidR="00611242" w:rsidRPr="00882B17" w14:paraId="0121E287" w14:textId="77777777" w:rsidTr="00171F89">
        <w:trPr>
          <w:trHeight w:val="340"/>
        </w:trPr>
        <w:tc>
          <w:tcPr>
            <w:tcW w:w="0" w:type="auto"/>
            <w:vAlign w:val="center"/>
            <w:hideMark/>
          </w:tcPr>
          <w:p w14:paraId="317A73FA" w14:textId="77777777" w:rsidR="00611242" w:rsidRPr="00882B17" w:rsidRDefault="00611242" w:rsidP="00E03828">
            <w:pPr>
              <w:spacing w:after="0"/>
              <w:ind w:firstLine="0"/>
              <w:jc w:val="center"/>
              <w:rPr>
                <w:bCs/>
                <w:sz w:val="20"/>
              </w:rPr>
            </w:pPr>
            <w:r w:rsidRPr="00882B17">
              <w:rPr>
                <w:bCs/>
                <w:sz w:val="20"/>
              </w:rPr>
              <w:t>2</w:t>
            </w:r>
            <w:r>
              <w:rPr>
                <w:bCs/>
                <w:sz w:val="20"/>
              </w:rPr>
              <w:t>4</w:t>
            </w:r>
            <w:r w:rsidRPr="00882B17">
              <w:rPr>
                <w:bCs/>
                <w:sz w:val="20"/>
              </w:rPr>
              <w:t>.</w:t>
            </w:r>
          </w:p>
        </w:tc>
        <w:tc>
          <w:tcPr>
            <w:tcW w:w="0" w:type="auto"/>
            <w:vAlign w:val="center"/>
            <w:hideMark/>
          </w:tcPr>
          <w:p w14:paraId="41C0163C" w14:textId="77777777" w:rsidR="00611242" w:rsidRPr="00882B17" w:rsidRDefault="00611242" w:rsidP="00E03828">
            <w:pPr>
              <w:spacing w:after="0"/>
              <w:ind w:firstLine="0"/>
              <w:jc w:val="left"/>
              <w:rPr>
                <w:bCs/>
                <w:sz w:val="20"/>
              </w:rPr>
            </w:pPr>
            <w:r w:rsidRPr="00882B17">
              <w:rPr>
                <w:bCs/>
                <w:sz w:val="20"/>
              </w:rPr>
              <w:t>Latvijas Mākslas akadēmija</w:t>
            </w:r>
          </w:p>
        </w:tc>
      </w:tr>
      <w:tr w:rsidR="00611242" w:rsidRPr="00882B17" w14:paraId="3B5CAE29" w14:textId="77777777" w:rsidTr="00171F89">
        <w:trPr>
          <w:trHeight w:val="340"/>
        </w:trPr>
        <w:tc>
          <w:tcPr>
            <w:tcW w:w="0" w:type="auto"/>
            <w:vAlign w:val="center"/>
            <w:hideMark/>
          </w:tcPr>
          <w:p w14:paraId="0BFC09A5" w14:textId="77777777" w:rsidR="00611242" w:rsidRPr="00882B17" w:rsidRDefault="00611242" w:rsidP="00E03828">
            <w:pPr>
              <w:spacing w:after="0"/>
              <w:ind w:firstLine="0"/>
              <w:jc w:val="center"/>
              <w:rPr>
                <w:bCs/>
                <w:sz w:val="20"/>
              </w:rPr>
            </w:pPr>
            <w:r>
              <w:rPr>
                <w:bCs/>
                <w:sz w:val="20"/>
              </w:rPr>
              <w:t>25</w:t>
            </w:r>
            <w:r w:rsidRPr="00882B17">
              <w:rPr>
                <w:bCs/>
                <w:sz w:val="20"/>
              </w:rPr>
              <w:t>.</w:t>
            </w:r>
          </w:p>
        </w:tc>
        <w:tc>
          <w:tcPr>
            <w:tcW w:w="0" w:type="auto"/>
            <w:vAlign w:val="center"/>
            <w:hideMark/>
          </w:tcPr>
          <w:p w14:paraId="5F0AC60C" w14:textId="77777777" w:rsidR="00611242" w:rsidRPr="00882B17" w:rsidRDefault="00611242" w:rsidP="00E03828">
            <w:pPr>
              <w:spacing w:after="0"/>
              <w:ind w:firstLine="0"/>
              <w:jc w:val="left"/>
              <w:rPr>
                <w:bCs/>
                <w:sz w:val="20"/>
              </w:rPr>
            </w:pPr>
            <w:r w:rsidRPr="00882B17">
              <w:rPr>
                <w:bCs/>
                <w:sz w:val="20"/>
              </w:rPr>
              <w:t>J.Vītola Latvijas Mūzikas akadēmija</w:t>
            </w:r>
          </w:p>
        </w:tc>
      </w:tr>
      <w:tr w:rsidR="00611242" w:rsidRPr="00882B17" w14:paraId="5C7451FC" w14:textId="77777777" w:rsidTr="00171F89">
        <w:trPr>
          <w:trHeight w:val="340"/>
        </w:trPr>
        <w:tc>
          <w:tcPr>
            <w:tcW w:w="0" w:type="auto"/>
            <w:vAlign w:val="center"/>
            <w:hideMark/>
          </w:tcPr>
          <w:p w14:paraId="6D923D59" w14:textId="77777777" w:rsidR="00611242" w:rsidRPr="00882B17" w:rsidRDefault="00611242" w:rsidP="00E03828">
            <w:pPr>
              <w:spacing w:after="0"/>
              <w:ind w:firstLine="0"/>
              <w:jc w:val="center"/>
              <w:rPr>
                <w:bCs/>
                <w:sz w:val="20"/>
              </w:rPr>
            </w:pPr>
            <w:r>
              <w:rPr>
                <w:bCs/>
                <w:sz w:val="20"/>
              </w:rPr>
              <w:t>26</w:t>
            </w:r>
            <w:r w:rsidRPr="00882B17">
              <w:rPr>
                <w:bCs/>
                <w:sz w:val="20"/>
              </w:rPr>
              <w:t>.</w:t>
            </w:r>
          </w:p>
        </w:tc>
        <w:tc>
          <w:tcPr>
            <w:tcW w:w="0" w:type="auto"/>
            <w:vAlign w:val="center"/>
            <w:hideMark/>
          </w:tcPr>
          <w:p w14:paraId="1E487319" w14:textId="77777777" w:rsidR="00611242" w:rsidRPr="00882B17" w:rsidRDefault="00611242" w:rsidP="00E03828">
            <w:pPr>
              <w:spacing w:after="0"/>
              <w:ind w:firstLine="0"/>
              <w:jc w:val="left"/>
              <w:rPr>
                <w:bCs/>
                <w:sz w:val="20"/>
              </w:rPr>
            </w:pPr>
            <w:r w:rsidRPr="00882B17">
              <w:rPr>
                <w:bCs/>
                <w:sz w:val="20"/>
              </w:rPr>
              <w:t>Latvijas Kultūras akadēmija</w:t>
            </w:r>
          </w:p>
        </w:tc>
      </w:tr>
      <w:tr w:rsidR="00611242" w:rsidRPr="00882B17" w14:paraId="49753592" w14:textId="77777777" w:rsidTr="00171F89">
        <w:trPr>
          <w:trHeight w:val="340"/>
        </w:trPr>
        <w:tc>
          <w:tcPr>
            <w:tcW w:w="0" w:type="auto"/>
            <w:vAlign w:val="center"/>
            <w:hideMark/>
          </w:tcPr>
          <w:p w14:paraId="757A0A75" w14:textId="77777777" w:rsidR="00611242" w:rsidRPr="00882B17" w:rsidRDefault="00611242" w:rsidP="00E03828">
            <w:pPr>
              <w:spacing w:after="0"/>
              <w:ind w:firstLine="0"/>
              <w:jc w:val="center"/>
              <w:rPr>
                <w:bCs/>
                <w:sz w:val="20"/>
              </w:rPr>
            </w:pPr>
            <w:r>
              <w:rPr>
                <w:bCs/>
                <w:sz w:val="20"/>
              </w:rPr>
              <w:t>27</w:t>
            </w:r>
            <w:r w:rsidRPr="00882B17">
              <w:rPr>
                <w:bCs/>
                <w:sz w:val="20"/>
              </w:rPr>
              <w:t>.</w:t>
            </w:r>
          </w:p>
        </w:tc>
        <w:tc>
          <w:tcPr>
            <w:tcW w:w="0" w:type="auto"/>
            <w:vAlign w:val="center"/>
            <w:hideMark/>
          </w:tcPr>
          <w:p w14:paraId="65F02981" w14:textId="77777777" w:rsidR="00611242" w:rsidRPr="00882B17" w:rsidRDefault="00611242" w:rsidP="00E03828">
            <w:pPr>
              <w:spacing w:after="0"/>
              <w:ind w:firstLine="0"/>
              <w:jc w:val="left"/>
              <w:rPr>
                <w:bCs/>
                <w:sz w:val="20"/>
              </w:rPr>
            </w:pPr>
            <w:r w:rsidRPr="00882B17">
              <w:rPr>
                <w:bCs/>
                <w:sz w:val="20"/>
              </w:rPr>
              <w:t>UNESCO Latvijas Nacionālā komisija</w:t>
            </w:r>
          </w:p>
        </w:tc>
      </w:tr>
      <w:tr w:rsidR="00611242" w:rsidRPr="00882B17" w14:paraId="3CF4D9C4" w14:textId="77777777" w:rsidTr="00171F89">
        <w:trPr>
          <w:trHeight w:val="340"/>
        </w:trPr>
        <w:tc>
          <w:tcPr>
            <w:tcW w:w="0" w:type="auto"/>
            <w:vAlign w:val="center"/>
          </w:tcPr>
          <w:p w14:paraId="3094F79C" w14:textId="77777777" w:rsidR="00611242" w:rsidRPr="00A32E85" w:rsidRDefault="00611242" w:rsidP="00E03828">
            <w:pPr>
              <w:spacing w:after="0"/>
              <w:ind w:firstLine="0"/>
              <w:jc w:val="center"/>
              <w:rPr>
                <w:bCs/>
                <w:sz w:val="20"/>
              </w:rPr>
            </w:pPr>
            <w:r w:rsidRPr="00A32E85">
              <w:rPr>
                <w:bCs/>
                <w:sz w:val="20"/>
              </w:rPr>
              <w:t>28.</w:t>
            </w:r>
          </w:p>
        </w:tc>
        <w:tc>
          <w:tcPr>
            <w:tcW w:w="0" w:type="auto"/>
            <w:vAlign w:val="center"/>
          </w:tcPr>
          <w:p w14:paraId="5DEBDFC8" w14:textId="77777777" w:rsidR="00611242" w:rsidRPr="00A32E85" w:rsidRDefault="00611242" w:rsidP="00E03828">
            <w:pPr>
              <w:spacing w:after="0"/>
              <w:ind w:firstLine="0"/>
              <w:jc w:val="left"/>
              <w:rPr>
                <w:bCs/>
                <w:sz w:val="20"/>
              </w:rPr>
            </w:pPr>
            <w:r w:rsidRPr="00A32E85">
              <w:rPr>
                <w:bCs/>
                <w:sz w:val="20"/>
              </w:rPr>
              <w:t>Rundāles pils muzejs</w:t>
            </w:r>
          </w:p>
        </w:tc>
      </w:tr>
      <w:tr w:rsidR="00611242" w:rsidRPr="00882B17" w14:paraId="461D845B" w14:textId="77777777" w:rsidTr="00171F89">
        <w:trPr>
          <w:trHeight w:val="340"/>
        </w:trPr>
        <w:tc>
          <w:tcPr>
            <w:tcW w:w="0" w:type="auto"/>
            <w:gridSpan w:val="2"/>
            <w:shd w:val="clear" w:color="auto" w:fill="DEEAF6"/>
            <w:vAlign w:val="center"/>
            <w:hideMark/>
          </w:tcPr>
          <w:p w14:paraId="18531371" w14:textId="77777777" w:rsidR="00611242" w:rsidRPr="00882B17" w:rsidRDefault="00611242" w:rsidP="00E03828">
            <w:pPr>
              <w:spacing w:after="0"/>
              <w:ind w:firstLine="0"/>
              <w:jc w:val="center"/>
              <w:rPr>
                <w:b/>
                <w:bCs/>
                <w:sz w:val="20"/>
              </w:rPr>
            </w:pPr>
            <w:r w:rsidRPr="00882B17">
              <w:rPr>
                <w:b/>
                <w:bCs/>
                <w:sz w:val="20"/>
              </w:rPr>
              <w:t>Veselības ministrija</w:t>
            </w:r>
          </w:p>
        </w:tc>
      </w:tr>
      <w:tr w:rsidR="00611242" w:rsidRPr="00882B17" w14:paraId="12E5C540" w14:textId="77777777" w:rsidTr="00171F89">
        <w:trPr>
          <w:trHeight w:val="340"/>
        </w:trPr>
        <w:tc>
          <w:tcPr>
            <w:tcW w:w="0" w:type="auto"/>
            <w:vAlign w:val="center"/>
            <w:hideMark/>
          </w:tcPr>
          <w:p w14:paraId="756B7AA3" w14:textId="77777777" w:rsidR="00611242" w:rsidRPr="00882B17" w:rsidRDefault="00611242" w:rsidP="00E03828">
            <w:pPr>
              <w:spacing w:after="0"/>
              <w:ind w:firstLine="0"/>
              <w:jc w:val="center"/>
              <w:rPr>
                <w:bCs/>
                <w:sz w:val="20"/>
              </w:rPr>
            </w:pPr>
            <w:r>
              <w:rPr>
                <w:bCs/>
                <w:sz w:val="20"/>
              </w:rPr>
              <w:t>29</w:t>
            </w:r>
            <w:r w:rsidRPr="00882B17">
              <w:rPr>
                <w:bCs/>
                <w:sz w:val="20"/>
              </w:rPr>
              <w:t>.</w:t>
            </w:r>
          </w:p>
        </w:tc>
        <w:tc>
          <w:tcPr>
            <w:tcW w:w="0" w:type="auto"/>
            <w:vAlign w:val="center"/>
            <w:hideMark/>
          </w:tcPr>
          <w:p w14:paraId="374CA86A" w14:textId="77777777" w:rsidR="00611242" w:rsidRPr="00882B17" w:rsidRDefault="00611242" w:rsidP="00E03828">
            <w:pPr>
              <w:spacing w:after="0"/>
              <w:ind w:firstLine="0"/>
              <w:jc w:val="left"/>
              <w:rPr>
                <w:bCs/>
                <w:sz w:val="20"/>
              </w:rPr>
            </w:pPr>
            <w:r w:rsidRPr="00882B17">
              <w:rPr>
                <w:bCs/>
                <w:sz w:val="20"/>
              </w:rPr>
              <w:t>Rīgas Stradiņa universitāte</w:t>
            </w:r>
          </w:p>
        </w:tc>
      </w:tr>
    </w:tbl>
    <w:p w14:paraId="13CCDA74" w14:textId="77777777" w:rsidR="00611242" w:rsidRPr="00882B17" w:rsidRDefault="00611242" w:rsidP="00611242">
      <w:pPr>
        <w:spacing w:before="120"/>
        <w:ind w:firstLine="0"/>
        <w:jc w:val="right"/>
        <w:rPr>
          <w:b/>
          <w:bCs/>
          <w:i/>
          <w:szCs w:val="24"/>
        </w:rPr>
      </w:pPr>
    </w:p>
    <w:p w14:paraId="34E56271" w14:textId="7FA7F287" w:rsidR="00611242" w:rsidRPr="00882B17" w:rsidRDefault="00611242" w:rsidP="00611242">
      <w:pPr>
        <w:spacing w:before="120"/>
        <w:ind w:firstLine="0"/>
        <w:jc w:val="right"/>
        <w:rPr>
          <w:b/>
          <w:bCs/>
          <w:i/>
          <w:szCs w:val="24"/>
        </w:rPr>
      </w:pPr>
      <w:r w:rsidRPr="00B57F87">
        <w:rPr>
          <w:b/>
          <w:bCs/>
          <w:i/>
          <w:szCs w:val="24"/>
        </w:rPr>
        <w:t>2.</w:t>
      </w:r>
      <w:r w:rsidR="00B57F87" w:rsidRPr="00B57F87">
        <w:rPr>
          <w:b/>
          <w:bCs/>
          <w:i/>
          <w:szCs w:val="24"/>
        </w:rPr>
        <w:t>28</w:t>
      </w:r>
      <w:r w:rsidRPr="00B57F87">
        <w:rPr>
          <w:b/>
          <w:bCs/>
          <w:i/>
          <w:szCs w:val="24"/>
        </w:rPr>
        <w:t>. tabula</w:t>
      </w:r>
      <w:r w:rsidRPr="00882B17">
        <w:rPr>
          <w:b/>
          <w:bCs/>
          <w:i/>
          <w:szCs w:val="24"/>
        </w:rPr>
        <w:t>. 202</w:t>
      </w:r>
      <w:r>
        <w:rPr>
          <w:b/>
          <w:bCs/>
          <w:i/>
          <w:szCs w:val="24"/>
        </w:rPr>
        <w:t>6</w:t>
      </w:r>
      <w:r w:rsidRPr="00882B17">
        <w:rPr>
          <w:b/>
          <w:bCs/>
          <w:i/>
          <w:szCs w:val="24"/>
        </w:rPr>
        <w:t>.</w:t>
      </w:r>
      <w:r>
        <w:rPr>
          <w:b/>
          <w:bCs/>
          <w:i/>
          <w:szCs w:val="24"/>
        </w:rPr>
        <w:t> </w:t>
      </w:r>
      <w:r w:rsidRPr="00882B17">
        <w:rPr>
          <w:b/>
          <w:bCs/>
          <w:i/>
          <w:szCs w:val="24"/>
        </w:rPr>
        <w:t>gadā ministriju padotībā esošās budžeta nefinansētās iestādes</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43"/>
        <w:gridCol w:w="8224"/>
      </w:tblGrid>
      <w:tr w:rsidR="00611242" w:rsidRPr="00882B17" w14:paraId="0A8D3A48" w14:textId="77777777" w:rsidTr="00171F89">
        <w:trPr>
          <w:trHeight w:val="20"/>
          <w:tblHeader/>
        </w:trPr>
        <w:tc>
          <w:tcPr>
            <w:tcW w:w="465" w:type="pct"/>
            <w:shd w:val="clear" w:color="auto" w:fill="BDD6EE"/>
            <w:tcMar>
              <w:top w:w="105" w:type="dxa"/>
              <w:left w:w="105" w:type="dxa"/>
              <w:bottom w:w="105" w:type="dxa"/>
              <w:right w:w="105" w:type="dxa"/>
            </w:tcMar>
            <w:vAlign w:val="center"/>
            <w:hideMark/>
          </w:tcPr>
          <w:p w14:paraId="5EFE5BC5" w14:textId="77777777" w:rsidR="00611242" w:rsidRPr="00882B17" w:rsidRDefault="00611242" w:rsidP="00E03828">
            <w:pPr>
              <w:spacing w:after="0"/>
              <w:ind w:firstLine="0"/>
              <w:rPr>
                <w:sz w:val="22"/>
                <w:lang w:val="ru-RU"/>
              </w:rPr>
            </w:pPr>
            <w:r w:rsidRPr="00882B17">
              <w:rPr>
                <w:sz w:val="22"/>
                <w:lang w:val="ru-RU"/>
              </w:rPr>
              <w:t>Nr.p.k.</w:t>
            </w:r>
          </w:p>
        </w:tc>
        <w:tc>
          <w:tcPr>
            <w:tcW w:w="4535" w:type="pct"/>
            <w:shd w:val="clear" w:color="auto" w:fill="BDD6EE"/>
            <w:tcMar>
              <w:top w:w="105" w:type="dxa"/>
              <w:left w:w="105" w:type="dxa"/>
              <w:bottom w:w="105" w:type="dxa"/>
              <w:right w:w="105" w:type="dxa"/>
            </w:tcMar>
            <w:hideMark/>
          </w:tcPr>
          <w:p w14:paraId="5F1382C9" w14:textId="77777777" w:rsidR="00611242" w:rsidRPr="00882B17" w:rsidRDefault="00611242" w:rsidP="00E03828">
            <w:pPr>
              <w:spacing w:after="0"/>
              <w:ind w:firstLine="0"/>
              <w:jc w:val="center"/>
              <w:rPr>
                <w:sz w:val="20"/>
                <w:lang w:val="ru-RU"/>
              </w:rPr>
            </w:pPr>
            <w:r w:rsidRPr="00882B17">
              <w:rPr>
                <w:sz w:val="20"/>
                <w:lang w:val="ru-RU"/>
              </w:rPr>
              <w:t>Budžeta nefinansētās iestādes nosaukums</w:t>
            </w:r>
          </w:p>
        </w:tc>
      </w:tr>
      <w:tr w:rsidR="00611242" w:rsidRPr="00882B17" w14:paraId="409CDAC9" w14:textId="77777777" w:rsidTr="00171F89">
        <w:trPr>
          <w:trHeight w:val="20"/>
        </w:trPr>
        <w:tc>
          <w:tcPr>
            <w:tcW w:w="5000" w:type="pct"/>
            <w:gridSpan w:val="2"/>
            <w:shd w:val="clear" w:color="auto" w:fill="DEEAF6"/>
            <w:tcMar>
              <w:top w:w="105" w:type="dxa"/>
              <w:left w:w="105" w:type="dxa"/>
              <w:bottom w:w="105" w:type="dxa"/>
              <w:right w:w="105" w:type="dxa"/>
            </w:tcMar>
          </w:tcPr>
          <w:p w14:paraId="670186CA" w14:textId="77777777" w:rsidR="00611242" w:rsidRPr="00882B17" w:rsidRDefault="00611242" w:rsidP="00E03828">
            <w:pPr>
              <w:spacing w:after="0"/>
              <w:ind w:firstLine="0"/>
              <w:jc w:val="center"/>
              <w:rPr>
                <w:b/>
                <w:sz w:val="20"/>
              </w:rPr>
            </w:pPr>
            <w:r w:rsidRPr="00882B17">
              <w:rPr>
                <w:b/>
                <w:sz w:val="20"/>
              </w:rPr>
              <w:t>Satiksmes ministrija</w:t>
            </w:r>
          </w:p>
        </w:tc>
      </w:tr>
      <w:tr w:rsidR="00611242" w:rsidRPr="00882B17" w14:paraId="40817A6A" w14:textId="77777777" w:rsidTr="00171F89">
        <w:trPr>
          <w:trHeight w:val="20"/>
        </w:trPr>
        <w:tc>
          <w:tcPr>
            <w:tcW w:w="465" w:type="pct"/>
            <w:tcMar>
              <w:top w:w="105" w:type="dxa"/>
              <w:left w:w="105" w:type="dxa"/>
              <w:bottom w:w="105" w:type="dxa"/>
              <w:right w:w="105" w:type="dxa"/>
            </w:tcMar>
            <w:hideMark/>
          </w:tcPr>
          <w:p w14:paraId="5C821DF8" w14:textId="77777777" w:rsidR="00611242" w:rsidRPr="00882B17" w:rsidRDefault="00611242" w:rsidP="00E03828">
            <w:pPr>
              <w:spacing w:after="0"/>
              <w:ind w:firstLine="0"/>
              <w:jc w:val="center"/>
              <w:rPr>
                <w:sz w:val="22"/>
                <w:lang w:val="ru-RU"/>
              </w:rPr>
            </w:pPr>
            <w:r w:rsidRPr="00882B17">
              <w:rPr>
                <w:sz w:val="22"/>
                <w:lang w:val="ru-RU"/>
              </w:rPr>
              <w:t>1.</w:t>
            </w:r>
          </w:p>
        </w:tc>
        <w:tc>
          <w:tcPr>
            <w:tcW w:w="4535" w:type="pct"/>
            <w:tcMar>
              <w:top w:w="105" w:type="dxa"/>
              <w:left w:w="105" w:type="dxa"/>
              <w:bottom w:w="105" w:type="dxa"/>
              <w:right w:w="105" w:type="dxa"/>
            </w:tcMar>
            <w:vAlign w:val="center"/>
            <w:hideMark/>
          </w:tcPr>
          <w:p w14:paraId="06C4A1D7" w14:textId="77777777" w:rsidR="00611242" w:rsidRPr="00882B17" w:rsidRDefault="00611242" w:rsidP="00E03828">
            <w:pPr>
              <w:spacing w:after="0"/>
              <w:ind w:firstLine="0"/>
              <w:jc w:val="left"/>
              <w:rPr>
                <w:sz w:val="20"/>
              </w:rPr>
            </w:pPr>
            <w:r w:rsidRPr="00882B17">
              <w:rPr>
                <w:sz w:val="20"/>
              </w:rPr>
              <w:t>Valsts dzelzceļa tehniskā inspekcija</w:t>
            </w:r>
          </w:p>
        </w:tc>
      </w:tr>
      <w:tr w:rsidR="00611242" w:rsidRPr="00882B17" w14:paraId="722A3EC4" w14:textId="77777777" w:rsidTr="00171F89">
        <w:trPr>
          <w:trHeight w:val="20"/>
        </w:trPr>
        <w:tc>
          <w:tcPr>
            <w:tcW w:w="465" w:type="pct"/>
            <w:tcMar>
              <w:top w:w="105" w:type="dxa"/>
              <w:left w:w="105" w:type="dxa"/>
              <w:bottom w:w="105" w:type="dxa"/>
              <w:right w:w="105" w:type="dxa"/>
            </w:tcMar>
            <w:hideMark/>
          </w:tcPr>
          <w:p w14:paraId="42420F05" w14:textId="77777777" w:rsidR="00611242" w:rsidRPr="00882B17" w:rsidRDefault="00611242" w:rsidP="00E03828">
            <w:pPr>
              <w:spacing w:after="0"/>
              <w:ind w:firstLine="0"/>
              <w:jc w:val="center"/>
              <w:rPr>
                <w:sz w:val="22"/>
                <w:lang w:val="ru-RU"/>
              </w:rPr>
            </w:pPr>
            <w:r w:rsidRPr="00882B17">
              <w:rPr>
                <w:sz w:val="22"/>
                <w:lang w:val="ru-RU"/>
              </w:rPr>
              <w:t>2.</w:t>
            </w:r>
          </w:p>
        </w:tc>
        <w:tc>
          <w:tcPr>
            <w:tcW w:w="4535" w:type="pct"/>
            <w:tcMar>
              <w:top w:w="105" w:type="dxa"/>
              <w:left w:w="105" w:type="dxa"/>
              <w:bottom w:w="105" w:type="dxa"/>
              <w:right w:w="105" w:type="dxa"/>
            </w:tcMar>
            <w:vAlign w:val="center"/>
            <w:hideMark/>
          </w:tcPr>
          <w:p w14:paraId="7B471CD6" w14:textId="77777777" w:rsidR="00611242" w:rsidRPr="00882B17" w:rsidRDefault="00611242" w:rsidP="00E03828">
            <w:pPr>
              <w:spacing w:after="0"/>
              <w:ind w:firstLine="0"/>
              <w:jc w:val="left"/>
              <w:rPr>
                <w:sz w:val="20"/>
              </w:rPr>
            </w:pPr>
            <w:r w:rsidRPr="00882B17">
              <w:rPr>
                <w:sz w:val="20"/>
              </w:rPr>
              <w:t>Valsts dzelzceļa administrācija</w:t>
            </w:r>
          </w:p>
        </w:tc>
      </w:tr>
      <w:tr w:rsidR="00611242" w:rsidRPr="00882B17" w14:paraId="78B2A735" w14:textId="77777777" w:rsidTr="00171F89">
        <w:trPr>
          <w:trHeight w:val="20"/>
        </w:trPr>
        <w:tc>
          <w:tcPr>
            <w:tcW w:w="465" w:type="pct"/>
            <w:tcMar>
              <w:top w:w="105" w:type="dxa"/>
              <w:left w:w="105" w:type="dxa"/>
              <w:bottom w:w="105" w:type="dxa"/>
              <w:right w:w="105" w:type="dxa"/>
            </w:tcMar>
            <w:hideMark/>
          </w:tcPr>
          <w:p w14:paraId="59B6DD50" w14:textId="77777777" w:rsidR="00611242" w:rsidRPr="00882B17" w:rsidRDefault="00611242" w:rsidP="00E03828">
            <w:pPr>
              <w:spacing w:after="0"/>
              <w:ind w:firstLine="0"/>
              <w:jc w:val="center"/>
              <w:rPr>
                <w:sz w:val="22"/>
                <w:lang w:val="ru-RU"/>
              </w:rPr>
            </w:pPr>
            <w:r w:rsidRPr="00882B17">
              <w:rPr>
                <w:sz w:val="22"/>
                <w:lang w:val="ru-RU"/>
              </w:rPr>
              <w:t>3.</w:t>
            </w:r>
          </w:p>
        </w:tc>
        <w:tc>
          <w:tcPr>
            <w:tcW w:w="4535" w:type="pct"/>
            <w:tcMar>
              <w:top w:w="105" w:type="dxa"/>
              <w:left w:w="105" w:type="dxa"/>
              <w:bottom w:w="105" w:type="dxa"/>
              <w:right w:w="105" w:type="dxa"/>
            </w:tcMar>
            <w:vAlign w:val="center"/>
            <w:hideMark/>
          </w:tcPr>
          <w:p w14:paraId="5755267E" w14:textId="77777777" w:rsidR="00611242" w:rsidRPr="00882B17" w:rsidRDefault="00611242" w:rsidP="00E03828">
            <w:pPr>
              <w:spacing w:after="0"/>
              <w:ind w:firstLine="0"/>
              <w:jc w:val="left"/>
              <w:rPr>
                <w:sz w:val="20"/>
              </w:rPr>
            </w:pPr>
            <w:r w:rsidRPr="00882B17">
              <w:rPr>
                <w:sz w:val="20"/>
              </w:rPr>
              <w:t>Transporta nelaimes gadījumu un incidentu izmeklēšanas birojs</w:t>
            </w:r>
          </w:p>
        </w:tc>
      </w:tr>
      <w:tr w:rsidR="00611242" w:rsidRPr="00882B17" w14:paraId="0C5633B5" w14:textId="77777777" w:rsidTr="00171F89">
        <w:trPr>
          <w:trHeight w:val="20"/>
        </w:trPr>
        <w:tc>
          <w:tcPr>
            <w:tcW w:w="465" w:type="pct"/>
            <w:tcMar>
              <w:top w:w="105" w:type="dxa"/>
              <w:left w:w="105" w:type="dxa"/>
              <w:bottom w:w="105" w:type="dxa"/>
              <w:right w:w="105" w:type="dxa"/>
            </w:tcMar>
            <w:hideMark/>
          </w:tcPr>
          <w:p w14:paraId="78C58A9F" w14:textId="77777777" w:rsidR="00611242" w:rsidRPr="00882B17" w:rsidRDefault="00611242" w:rsidP="00E03828">
            <w:pPr>
              <w:spacing w:after="0"/>
              <w:ind w:firstLine="0"/>
              <w:jc w:val="center"/>
              <w:rPr>
                <w:sz w:val="22"/>
              </w:rPr>
            </w:pPr>
            <w:r w:rsidRPr="00882B17">
              <w:rPr>
                <w:sz w:val="22"/>
              </w:rPr>
              <w:t>4.</w:t>
            </w:r>
          </w:p>
        </w:tc>
        <w:tc>
          <w:tcPr>
            <w:tcW w:w="4535" w:type="pct"/>
            <w:tcMar>
              <w:top w:w="105" w:type="dxa"/>
              <w:left w:w="105" w:type="dxa"/>
              <w:bottom w:w="105" w:type="dxa"/>
              <w:right w:w="105" w:type="dxa"/>
            </w:tcMar>
            <w:vAlign w:val="center"/>
            <w:hideMark/>
          </w:tcPr>
          <w:p w14:paraId="4D63E508" w14:textId="77777777" w:rsidR="00611242" w:rsidRPr="00882B17" w:rsidRDefault="00611242" w:rsidP="00E03828">
            <w:pPr>
              <w:spacing w:after="0"/>
              <w:ind w:firstLine="0"/>
              <w:jc w:val="left"/>
              <w:rPr>
                <w:sz w:val="20"/>
              </w:rPr>
            </w:pPr>
            <w:r w:rsidRPr="00882B17">
              <w:rPr>
                <w:sz w:val="20"/>
              </w:rPr>
              <w:t>Valsts aģentūra “Civilās aviācijas aģentūra”</w:t>
            </w:r>
          </w:p>
        </w:tc>
      </w:tr>
      <w:tr w:rsidR="00611242" w:rsidRPr="00882B17" w14:paraId="44C69D7D" w14:textId="77777777" w:rsidTr="00171F89">
        <w:tblPrEx>
          <w:jc w:val="center"/>
        </w:tblPrEx>
        <w:trPr>
          <w:trHeight w:val="20"/>
          <w:jc w:val="center"/>
        </w:trPr>
        <w:tc>
          <w:tcPr>
            <w:tcW w:w="5000" w:type="pct"/>
            <w:gridSpan w:val="2"/>
            <w:shd w:val="clear" w:color="auto" w:fill="DEEAF6"/>
            <w:tcMar>
              <w:top w:w="105" w:type="dxa"/>
              <w:left w:w="105" w:type="dxa"/>
              <w:bottom w:w="105" w:type="dxa"/>
              <w:right w:w="105" w:type="dxa"/>
            </w:tcMar>
          </w:tcPr>
          <w:p w14:paraId="620A6B63" w14:textId="77777777" w:rsidR="00611242" w:rsidRPr="00882B17" w:rsidRDefault="00611242" w:rsidP="00E03828">
            <w:pPr>
              <w:spacing w:after="0"/>
              <w:ind w:firstLine="0"/>
              <w:jc w:val="center"/>
              <w:rPr>
                <w:b/>
                <w:sz w:val="20"/>
              </w:rPr>
            </w:pPr>
            <w:r w:rsidRPr="00882B17">
              <w:rPr>
                <w:b/>
                <w:sz w:val="20"/>
              </w:rPr>
              <w:t>Tieslietu ministrija</w:t>
            </w:r>
          </w:p>
        </w:tc>
      </w:tr>
      <w:tr w:rsidR="00611242" w:rsidRPr="00882B17" w14:paraId="2FD65D5E" w14:textId="77777777" w:rsidTr="00171F89">
        <w:tblPrEx>
          <w:jc w:val="center"/>
        </w:tblPrEx>
        <w:trPr>
          <w:trHeight w:val="20"/>
          <w:jc w:val="center"/>
        </w:trPr>
        <w:tc>
          <w:tcPr>
            <w:tcW w:w="465" w:type="pct"/>
            <w:tcMar>
              <w:top w:w="105" w:type="dxa"/>
              <w:left w:w="105" w:type="dxa"/>
              <w:bottom w:w="105" w:type="dxa"/>
              <w:right w:w="105" w:type="dxa"/>
            </w:tcMar>
          </w:tcPr>
          <w:p w14:paraId="1294AD2A" w14:textId="77777777" w:rsidR="00611242" w:rsidRPr="00882B17" w:rsidRDefault="00611242" w:rsidP="00E03828">
            <w:pPr>
              <w:spacing w:after="0"/>
              <w:ind w:firstLine="0"/>
              <w:jc w:val="center"/>
              <w:rPr>
                <w:sz w:val="22"/>
              </w:rPr>
            </w:pPr>
            <w:r w:rsidRPr="00882B17">
              <w:rPr>
                <w:sz w:val="22"/>
              </w:rPr>
              <w:t>5.</w:t>
            </w:r>
          </w:p>
        </w:tc>
        <w:tc>
          <w:tcPr>
            <w:tcW w:w="4535" w:type="pct"/>
          </w:tcPr>
          <w:p w14:paraId="6CC3D52F" w14:textId="77777777" w:rsidR="00611242" w:rsidRPr="00882B17" w:rsidRDefault="00611242" w:rsidP="00E03828">
            <w:pPr>
              <w:spacing w:after="0"/>
              <w:ind w:firstLine="0"/>
              <w:jc w:val="left"/>
              <w:rPr>
                <w:b/>
                <w:sz w:val="20"/>
              </w:rPr>
            </w:pPr>
            <w:r w:rsidRPr="00882B17">
              <w:rPr>
                <w:sz w:val="20"/>
              </w:rPr>
              <w:t xml:space="preserve">  Latvijas Republikas Patentu valde</w:t>
            </w:r>
          </w:p>
        </w:tc>
      </w:tr>
      <w:tr w:rsidR="00611242" w:rsidRPr="00882B17" w14:paraId="265CAB61" w14:textId="77777777" w:rsidTr="00171F89">
        <w:tblPrEx>
          <w:jc w:val="center"/>
        </w:tblPrEx>
        <w:trPr>
          <w:trHeight w:val="20"/>
          <w:jc w:val="center"/>
        </w:trPr>
        <w:tc>
          <w:tcPr>
            <w:tcW w:w="5000" w:type="pct"/>
            <w:gridSpan w:val="2"/>
            <w:shd w:val="clear" w:color="auto" w:fill="DEEAF6"/>
            <w:tcMar>
              <w:top w:w="105" w:type="dxa"/>
              <w:left w:w="105" w:type="dxa"/>
              <w:bottom w:w="105" w:type="dxa"/>
              <w:right w:w="105" w:type="dxa"/>
            </w:tcMar>
          </w:tcPr>
          <w:p w14:paraId="4DC8AB33" w14:textId="77777777" w:rsidR="00611242" w:rsidRPr="00882B17" w:rsidRDefault="00611242" w:rsidP="00E03828">
            <w:pPr>
              <w:spacing w:after="0"/>
              <w:ind w:firstLine="0"/>
              <w:jc w:val="center"/>
              <w:rPr>
                <w:sz w:val="20"/>
              </w:rPr>
            </w:pPr>
            <w:r w:rsidRPr="00882B17">
              <w:rPr>
                <w:b/>
                <w:sz w:val="20"/>
              </w:rPr>
              <w:t>Veselības ministrija</w:t>
            </w:r>
          </w:p>
        </w:tc>
      </w:tr>
      <w:tr w:rsidR="00611242" w:rsidRPr="00882B17" w14:paraId="7626545A" w14:textId="77777777" w:rsidTr="00171F89">
        <w:tblPrEx>
          <w:jc w:val="center"/>
        </w:tblPrEx>
        <w:trPr>
          <w:trHeight w:val="20"/>
          <w:jc w:val="center"/>
        </w:trPr>
        <w:tc>
          <w:tcPr>
            <w:tcW w:w="465" w:type="pct"/>
            <w:tcMar>
              <w:top w:w="105" w:type="dxa"/>
              <w:left w:w="105" w:type="dxa"/>
              <w:bottom w:w="105" w:type="dxa"/>
              <w:right w:w="105" w:type="dxa"/>
            </w:tcMar>
          </w:tcPr>
          <w:p w14:paraId="4C2778A3" w14:textId="77777777" w:rsidR="00611242" w:rsidRPr="00882B17" w:rsidRDefault="00611242" w:rsidP="00E03828">
            <w:pPr>
              <w:spacing w:after="0"/>
              <w:ind w:firstLine="0"/>
              <w:jc w:val="center"/>
              <w:rPr>
                <w:sz w:val="22"/>
              </w:rPr>
            </w:pPr>
            <w:r w:rsidRPr="00882B17">
              <w:rPr>
                <w:sz w:val="22"/>
              </w:rPr>
              <w:t>6.</w:t>
            </w:r>
          </w:p>
        </w:tc>
        <w:tc>
          <w:tcPr>
            <w:tcW w:w="4535" w:type="pct"/>
            <w:tcMar>
              <w:top w:w="105" w:type="dxa"/>
              <w:left w:w="105" w:type="dxa"/>
              <w:bottom w:w="105" w:type="dxa"/>
              <w:right w:w="105" w:type="dxa"/>
            </w:tcMar>
            <w:vAlign w:val="center"/>
          </w:tcPr>
          <w:p w14:paraId="214BDB3C" w14:textId="77777777" w:rsidR="00611242" w:rsidRPr="00882B17" w:rsidRDefault="00611242" w:rsidP="00E03828">
            <w:pPr>
              <w:spacing w:after="0"/>
              <w:ind w:firstLine="0"/>
              <w:rPr>
                <w:sz w:val="20"/>
              </w:rPr>
            </w:pPr>
            <w:r w:rsidRPr="00882B17">
              <w:rPr>
                <w:sz w:val="20"/>
              </w:rPr>
              <w:t>Zāļu valsts aģentūra</w:t>
            </w:r>
          </w:p>
        </w:tc>
      </w:tr>
    </w:tbl>
    <w:p w14:paraId="1046C128" w14:textId="77777777" w:rsidR="00611242" w:rsidRDefault="00611242">
      <w:pPr>
        <w:spacing w:after="0"/>
        <w:ind w:firstLine="0"/>
        <w:jc w:val="left"/>
        <w:rPr>
          <w:rFonts w:eastAsia="Times New Roman" w:cs="Times New Roman"/>
          <w:b/>
          <w:bCs/>
          <w:color w:val="000000" w:themeColor="text1"/>
          <w:sz w:val="40"/>
          <w:szCs w:val="36"/>
        </w:rPr>
      </w:pPr>
      <w:r>
        <w:rPr>
          <w:rFonts w:eastAsia="Times New Roman" w:cs="Times New Roman"/>
          <w:b/>
          <w:bCs/>
          <w:color w:val="000000" w:themeColor="text1"/>
          <w:sz w:val="40"/>
          <w:szCs w:val="36"/>
        </w:rPr>
        <w:br w:type="page"/>
      </w:r>
    </w:p>
    <w:p w14:paraId="4EA894B8" w14:textId="35FB99C4" w:rsidR="008B0630" w:rsidRPr="008B0630" w:rsidRDefault="008B0630" w:rsidP="00611242">
      <w:pPr>
        <w:keepNext/>
        <w:keepLines/>
        <w:spacing w:before="240" w:after="240"/>
        <w:ind w:firstLine="0"/>
        <w:jc w:val="center"/>
        <w:outlineLvl w:val="0"/>
        <w:rPr>
          <w:rFonts w:eastAsia="Times New Roman" w:cs="Times New Roman"/>
          <w:b/>
          <w:bCs/>
          <w:color w:val="000000" w:themeColor="text1"/>
          <w:sz w:val="40"/>
          <w:szCs w:val="36"/>
        </w:rPr>
      </w:pPr>
      <w:r w:rsidRPr="008B0630">
        <w:rPr>
          <w:rFonts w:eastAsia="Times New Roman" w:cs="Times New Roman"/>
          <w:b/>
          <w:bCs/>
          <w:color w:val="000000" w:themeColor="text1"/>
          <w:sz w:val="40"/>
          <w:szCs w:val="36"/>
        </w:rPr>
        <w:lastRenderedPageBreak/>
        <w:t>3. Ieņēmumu, nodokļu atvieglojumu (atlaižu) un nodokļu parādu summas analīze</w:t>
      </w:r>
      <w:bookmarkEnd w:id="103"/>
    </w:p>
    <w:p w14:paraId="345E3122" w14:textId="77777777" w:rsidR="008B0630" w:rsidRPr="008B0630" w:rsidRDefault="008B0630" w:rsidP="008B0630">
      <w:pPr>
        <w:keepNext/>
        <w:keepLines/>
        <w:spacing w:before="240" w:after="240"/>
        <w:ind w:firstLine="0"/>
        <w:jc w:val="center"/>
        <w:outlineLvl w:val="1"/>
        <w:rPr>
          <w:rFonts w:eastAsia="Times New Roman" w:cs="Times New Roman"/>
          <w:b/>
          <w:bCs/>
          <w:color w:val="000000" w:themeColor="text1"/>
          <w:sz w:val="36"/>
          <w:szCs w:val="28"/>
        </w:rPr>
      </w:pPr>
      <w:bookmarkStart w:id="104" w:name="_Toc126236660"/>
      <w:r w:rsidRPr="008B0630">
        <w:rPr>
          <w:rFonts w:eastAsia="Times New Roman" w:cs="Times New Roman"/>
          <w:b/>
          <w:bCs/>
          <w:color w:val="000000" w:themeColor="text1"/>
          <w:sz w:val="36"/>
          <w:szCs w:val="28"/>
        </w:rPr>
        <w:t>3.1. Nodokļu politikas aktualitātes</w:t>
      </w:r>
      <w:bookmarkEnd w:id="104"/>
    </w:p>
    <w:p w14:paraId="1C8FBA79" w14:textId="77777777" w:rsidR="008B0630" w:rsidRPr="008B0630" w:rsidRDefault="008B0630" w:rsidP="008B0630">
      <w:pPr>
        <w:rPr>
          <w:rFonts w:eastAsiaTheme="minorHAnsi" w:cs="Times New Roman"/>
        </w:rPr>
      </w:pPr>
      <w:r w:rsidRPr="008B0630">
        <w:rPr>
          <w:rFonts w:cs="Times New Roman"/>
        </w:rPr>
        <w:t>Lai nodrošinātu papildu finansējumu prioritārajiem pasākumiem, tika rastas iespējas palielināt valsts budžeta ieņēmumus, taču svarīgi uzsvērt, ka papildu ieņēmumi plānoti, nepalielinot nodokļu slogu.</w:t>
      </w:r>
    </w:p>
    <w:p w14:paraId="50F1749F" w14:textId="77777777" w:rsidR="008B0630" w:rsidRPr="008B0630" w:rsidRDefault="008B0630" w:rsidP="008B0630">
      <w:pPr>
        <w:rPr>
          <w:rFonts w:eastAsiaTheme="minorHAnsi" w:cs="Times New Roman"/>
        </w:rPr>
      </w:pPr>
      <w:r w:rsidRPr="008B0630">
        <w:rPr>
          <w:rFonts w:eastAsiaTheme="minorHAnsi" w:cs="Times New Roman"/>
        </w:rPr>
        <w:t>Būtiskākie papildu ieņēmumi plānoti no valsts kapitālsabiedrību dividendēm, palielinot valstij dividendēs izmaksājamās daļu līdz 90 %, nosakot atsevišķus priekšlikumus dividenžu apmēra noteikšanai attiecībā uz atsevišķām lielajām valsts kapitālsabiedrībām.</w:t>
      </w:r>
    </w:p>
    <w:p w14:paraId="5A13C83C" w14:textId="7534DAB4" w:rsidR="008B0630" w:rsidRPr="008B0630" w:rsidRDefault="008B0630" w:rsidP="008B0630">
      <w:pPr>
        <w:rPr>
          <w:rFonts w:eastAsiaTheme="minorHAnsi" w:cs="Times New Roman"/>
        </w:rPr>
      </w:pPr>
      <w:r w:rsidRPr="008B0630">
        <w:t xml:space="preserve">Savukārt, lai </w:t>
      </w:r>
      <w:r w:rsidRPr="008B0630">
        <w:rPr>
          <w:rFonts w:eastAsiaTheme="minorHAnsi" w:cs="Times New Roman"/>
        </w:rPr>
        <w:t xml:space="preserve">veicinātu dabas resursu ekonomiski efektīvu izmantošanu un ierobežotu vides piesārņošanu, plānota jaunu </w:t>
      </w:r>
      <w:r w:rsidR="003F5E29">
        <w:rPr>
          <w:rFonts w:eastAsiaTheme="minorHAnsi" w:cs="Times New Roman"/>
        </w:rPr>
        <w:t>DRN</w:t>
      </w:r>
      <w:r w:rsidRPr="008B0630">
        <w:rPr>
          <w:rFonts w:eastAsiaTheme="minorHAnsi" w:cs="Times New Roman"/>
        </w:rPr>
        <w:t xml:space="preserve"> objektu ieviešana – kūdra un apaļkoku eksports, kā arī likmju paaugstināšana smiltij un grantij.</w:t>
      </w:r>
    </w:p>
    <w:p w14:paraId="43F582C8" w14:textId="1FF1FE63" w:rsidR="008B0630" w:rsidRPr="008B0630" w:rsidRDefault="008B0630" w:rsidP="008B0630">
      <w:pPr>
        <w:rPr>
          <w:rFonts w:eastAsiaTheme="minorHAnsi" w:cs="Times New Roman"/>
        </w:rPr>
      </w:pPr>
      <w:r w:rsidRPr="008B0630">
        <w:rPr>
          <w:rFonts w:eastAsiaTheme="minorHAnsi" w:cs="Times New Roman"/>
        </w:rPr>
        <w:t xml:space="preserve">Lai ierobežotu kaitīgo preču patēriņu, plānots ar 2026. gadu straujāk palielināt </w:t>
      </w:r>
      <w:r w:rsidR="003F5E29">
        <w:rPr>
          <w:rFonts w:eastAsiaTheme="minorHAnsi" w:cs="Times New Roman"/>
        </w:rPr>
        <w:t>AN</w:t>
      </w:r>
      <w:r w:rsidRPr="008B0630">
        <w:rPr>
          <w:rFonts w:eastAsiaTheme="minorHAnsi" w:cs="Times New Roman"/>
        </w:rPr>
        <w:t xml:space="preserve"> alkoholam un tabakai, kā arī turpmāka to paaugstināšana no 2028. gada. Tāpat plānotas izmaiņas UIN, lai līdzsvarotu nodokļu slogu investoriem, sekmētu uzņēmumu piekļuvi alternatīviem finansējuma avotiem un samazinātu finansējuma izmaksas.</w:t>
      </w:r>
    </w:p>
    <w:p w14:paraId="3CA71C75" w14:textId="1EB391D7" w:rsidR="008B0630" w:rsidRPr="008B0630" w:rsidRDefault="008B0630" w:rsidP="008B0630">
      <w:pPr>
        <w:rPr>
          <w:rFonts w:eastAsiaTheme="minorHAnsi" w:cs="Times New Roman"/>
        </w:rPr>
      </w:pPr>
      <w:r w:rsidRPr="008B0630">
        <w:rPr>
          <w:rFonts w:eastAsiaTheme="minorHAnsi" w:cs="Times New Roman"/>
        </w:rPr>
        <w:t xml:space="preserve">No 2026. gada 1. jūlija uz vienu gadu kā pilotprojekts plānots samazināt pievienotās vērtības nodokļa likmi līdz 12% būtiskākajiem pārtikas produktiem – </w:t>
      </w:r>
      <w:r w:rsidR="00F62CC7" w:rsidRPr="00F62CC7">
        <w:rPr>
          <w:rFonts w:eastAsiaTheme="minorHAnsi" w:cs="Times New Roman"/>
        </w:rPr>
        <w:t>maizes, svaiga, sterilizēta vai pasterizēta piena, mājputnu svaigu olu (čaumalās) un svaigas atdzesētas mājputnu gaļas piegādēm.</w:t>
      </w:r>
    </w:p>
    <w:p w14:paraId="71FB7A42" w14:textId="0A2557B0" w:rsidR="008B0630" w:rsidRPr="008B0630" w:rsidRDefault="008B0630" w:rsidP="008B0630">
      <w:pPr>
        <w:rPr>
          <w:rFonts w:eastAsiaTheme="minorHAnsi" w:cs="Times New Roman"/>
        </w:rPr>
      </w:pPr>
      <w:r w:rsidRPr="008B0630">
        <w:rPr>
          <w:rFonts w:eastAsiaTheme="minorHAnsi" w:cs="Times New Roman"/>
        </w:rPr>
        <w:t>Lēmums par atbalstāmajiem pasākumiem pieņemts MK 2025. gada 22. septembra</w:t>
      </w:r>
      <w:r w:rsidRPr="008B0630">
        <w:t xml:space="preserve"> </w:t>
      </w:r>
      <w:r w:rsidRPr="008B0630">
        <w:rPr>
          <w:rFonts w:eastAsiaTheme="minorHAnsi" w:cs="Times New Roman"/>
        </w:rPr>
        <w:t>ārkārtas sēdē, skatot informatīvo ziņojumu “Par valsts budžeta likumprojektā iekļaujamiem prioritārajiem pasākumiem 2026., 2027. un 2028. gadam” (protokols Nr. 38 1.</w:t>
      </w:r>
      <w:r w:rsidR="001C5607">
        <w:rPr>
          <w:rFonts w:eastAsiaTheme="minorHAnsi" w:cs="Times New Roman"/>
        </w:rPr>
        <w:t xml:space="preserve"> </w:t>
      </w:r>
      <w:r w:rsidRPr="008B0630">
        <w:rPr>
          <w:rFonts w:eastAsiaTheme="minorHAnsi" w:cs="Times New Roman"/>
        </w:rPr>
        <w:t xml:space="preserve">§). Papildus minētajā ziņojumā noteiktajiem pasākumiem tiek paredzēta arī ieņēmumu palielināšana no naudas sodiem, ko uzliek Valsts policija par pārkāpumiem ceļu satiksmē, kas fiksēti ar komersanta tehniskajiem līdzekļiem. Detalizētāk izmaiņas atspoguļotas 3.1. tabulā. </w:t>
      </w:r>
    </w:p>
    <w:p w14:paraId="578E3A4C" w14:textId="77777777" w:rsidR="008B0630" w:rsidRPr="008B0630" w:rsidRDefault="008B0630" w:rsidP="008B0630">
      <w:pPr>
        <w:jc w:val="right"/>
        <w:rPr>
          <w:rFonts w:eastAsia="Calibri" w:cs="Times New Roman"/>
          <w:b/>
          <w:i/>
          <w:szCs w:val="24"/>
        </w:rPr>
      </w:pPr>
      <w:r w:rsidRPr="008B0630">
        <w:rPr>
          <w:rFonts w:eastAsia="Calibri" w:cs="Times New Roman"/>
          <w:b/>
          <w:i/>
          <w:szCs w:val="24"/>
        </w:rPr>
        <w:t>3.1. tabula. Pasākumi, kas ietekmē nodokļu un valsts pamatbudžeta nenodokļu ieņēmumus no 2026. gada, milj. euro (pēc naudas plūsmas)</w:t>
      </w:r>
    </w:p>
    <w:tbl>
      <w:tblPr>
        <w:tblW w:w="5008" w:type="pct"/>
        <w:tblInd w:w="-5" w:type="dxa"/>
        <w:tblLayout w:type="fixed"/>
        <w:tblLook w:val="04A0" w:firstRow="1" w:lastRow="0" w:firstColumn="1" w:lastColumn="0" w:noHBand="0" w:noVBand="1"/>
      </w:tblPr>
      <w:tblGrid>
        <w:gridCol w:w="3399"/>
        <w:gridCol w:w="1561"/>
        <w:gridCol w:w="1419"/>
        <w:gridCol w:w="1427"/>
        <w:gridCol w:w="1269"/>
      </w:tblGrid>
      <w:tr w:rsidR="008B0630" w:rsidRPr="008B0630" w14:paraId="14E38120" w14:textId="77777777" w:rsidTr="00E03828">
        <w:trPr>
          <w:trHeight w:hRule="exact" w:val="576"/>
          <w:tblHeader/>
        </w:trPr>
        <w:tc>
          <w:tcPr>
            <w:tcW w:w="1873"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65F6D6C" w14:textId="77777777" w:rsidR="008B0630" w:rsidRPr="008B0630" w:rsidRDefault="008B0630" w:rsidP="008B0630">
            <w:pPr>
              <w:keepNext/>
              <w:keepLines/>
              <w:spacing w:after="0"/>
              <w:ind w:firstLine="0"/>
              <w:jc w:val="center"/>
              <w:rPr>
                <w:rFonts w:eastAsia="Times New Roman" w:cs="Times New Roman"/>
                <w:b/>
                <w:bCs/>
                <w:sz w:val="20"/>
                <w:szCs w:val="20"/>
              </w:rPr>
            </w:pPr>
            <w:r w:rsidRPr="008B0630">
              <w:rPr>
                <w:rFonts w:eastAsia="Times New Roman" w:cs="Times New Roman"/>
                <w:b/>
                <w:bCs/>
                <w:sz w:val="20"/>
                <w:szCs w:val="20"/>
              </w:rPr>
              <w:t>Pasākums</w:t>
            </w:r>
          </w:p>
        </w:tc>
        <w:tc>
          <w:tcPr>
            <w:tcW w:w="860"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5F58CB9" w14:textId="77777777" w:rsidR="008B0630" w:rsidRPr="008B0630" w:rsidRDefault="008B0630" w:rsidP="008B0630">
            <w:pPr>
              <w:keepNext/>
              <w:keepLines/>
              <w:spacing w:after="0"/>
              <w:ind w:firstLine="0"/>
              <w:jc w:val="center"/>
              <w:rPr>
                <w:rFonts w:eastAsia="Times New Roman" w:cs="Times New Roman"/>
                <w:b/>
                <w:bCs/>
                <w:sz w:val="20"/>
                <w:szCs w:val="20"/>
              </w:rPr>
            </w:pPr>
            <w:r w:rsidRPr="008B0630">
              <w:rPr>
                <w:rFonts w:eastAsia="Times New Roman" w:cs="Times New Roman"/>
                <w:b/>
                <w:bCs/>
                <w:sz w:val="20"/>
                <w:szCs w:val="20"/>
              </w:rPr>
              <w:t>Ieņēmumu veids</w:t>
            </w:r>
          </w:p>
        </w:tc>
        <w:tc>
          <w:tcPr>
            <w:tcW w:w="782"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8244970" w14:textId="77777777" w:rsidR="008B0630" w:rsidRPr="008B0630" w:rsidRDefault="008B0630" w:rsidP="008B0630">
            <w:pPr>
              <w:keepNext/>
              <w:keepLines/>
              <w:spacing w:after="0"/>
              <w:ind w:firstLine="0"/>
              <w:jc w:val="center"/>
              <w:rPr>
                <w:rFonts w:eastAsia="Times New Roman" w:cs="Times New Roman"/>
                <w:b/>
                <w:bCs/>
                <w:sz w:val="20"/>
                <w:szCs w:val="20"/>
              </w:rPr>
            </w:pPr>
            <w:r w:rsidRPr="008B0630">
              <w:rPr>
                <w:rFonts w:eastAsia="Times New Roman" w:cs="Times New Roman"/>
                <w:b/>
                <w:bCs/>
                <w:sz w:val="20"/>
                <w:szCs w:val="20"/>
              </w:rPr>
              <w:t>2026</w:t>
            </w:r>
          </w:p>
        </w:tc>
        <w:tc>
          <w:tcPr>
            <w:tcW w:w="786"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321F1F3" w14:textId="77777777" w:rsidR="008B0630" w:rsidRPr="008B0630" w:rsidRDefault="008B0630" w:rsidP="008B0630">
            <w:pPr>
              <w:keepNext/>
              <w:keepLines/>
              <w:spacing w:after="0"/>
              <w:ind w:firstLine="0"/>
              <w:jc w:val="center"/>
              <w:rPr>
                <w:rFonts w:eastAsia="Times New Roman" w:cs="Times New Roman"/>
                <w:b/>
                <w:bCs/>
                <w:sz w:val="20"/>
                <w:szCs w:val="20"/>
              </w:rPr>
            </w:pPr>
            <w:r w:rsidRPr="008B0630">
              <w:rPr>
                <w:rFonts w:eastAsia="Times New Roman" w:cs="Times New Roman"/>
                <w:b/>
                <w:bCs/>
                <w:sz w:val="20"/>
                <w:szCs w:val="20"/>
              </w:rPr>
              <w:t>2027</w:t>
            </w:r>
          </w:p>
        </w:tc>
        <w:tc>
          <w:tcPr>
            <w:tcW w:w="699"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84BF42E" w14:textId="77777777" w:rsidR="008B0630" w:rsidRPr="008B0630" w:rsidRDefault="008B0630" w:rsidP="008B0630">
            <w:pPr>
              <w:keepNext/>
              <w:keepLines/>
              <w:spacing w:after="0"/>
              <w:ind w:firstLine="0"/>
              <w:jc w:val="center"/>
              <w:rPr>
                <w:rFonts w:eastAsia="Times New Roman" w:cs="Times New Roman"/>
                <w:b/>
                <w:bCs/>
                <w:sz w:val="20"/>
                <w:szCs w:val="20"/>
              </w:rPr>
            </w:pPr>
            <w:r w:rsidRPr="008B0630">
              <w:rPr>
                <w:rFonts w:eastAsia="Times New Roman" w:cs="Times New Roman"/>
                <w:b/>
                <w:bCs/>
                <w:sz w:val="20"/>
                <w:szCs w:val="20"/>
              </w:rPr>
              <w:t>2028</w:t>
            </w:r>
          </w:p>
        </w:tc>
      </w:tr>
      <w:tr w:rsidR="008B0630" w:rsidRPr="008B0630" w14:paraId="7D6C5A58" w14:textId="77777777" w:rsidTr="00E03828">
        <w:trPr>
          <w:trHeight w:val="333"/>
        </w:trPr>
        <w:tc>
          <w:tcPr>
            <w:tcW w:w="1873" w:type="pct"/>
            <w:vMerge w:val="restart"/>
            <w:tcBorders>
              <w:top w:val="single" w:sz="4" w:space="0" w:color="auto"/>
              <w:left w:val="single" w:sz="4" w:space="0" w:color="auto"/>
              <w:bottom w:val="single" w:sz="4" w:space="0" w:color="000000"/>
              <w:right w:val="single" w:sz="4" w:space="0" w:color="auto"/>
            </w:tcBorders>
            <w:vAlign w:val="center"/>
            <w:hideMark/>
          </w:tcPr>
          <w:p w14:paraId="76DD5834" w14:textId="6C859995" w:rsidR="008B0630" w:rsidRPr="008B0630" w:rsidRDefault="003F5E29" w:rsidP="008B0630">
            <w:pPr>
              <w:spacing w:after="0"/>
              <w:ind w:firstLine="0"/>
              <w:jc w:val="left"/>
              <w:rPr>
                <w:rFonts w:eastAsia="Times New Roman" w:cs="Times New Roman"/>
                <w:color w:val="000000"/>
                <w:sz w:val="18"/>
                <w:szCs w:val="18"/>
              </w:rPr>
            </w:pPr>
            <w:r>
              <w:rPr>
                <w:rFonts w:eastAsia="Times New Roman" w:cs="Times New Roman"/>
                <w:color w:val="000000"/>
                <w:sz w:val="18"/>
                <w:szCs w:val="18"/>
              </w:rPr>
              <w:t>AN</w:t>
            </w:r>
            <w:r w:rsidR="008B0630" w:rsidRPr="008B0630">
              <w:rPr>
                <w:rFonts w:eastAsia="Times New Roman" w:cs="Times New Roman"/>
                <w:color w:val="000000"/>
                <w:sz w:val="18"/>
                <w:szCs w:val="18"/>
              </w:rPr>
              <w:t xml:space="preserve"> likmju paaugstināšana alkoholam, tabakai, bezalkoholiskajiem dzērieniem un likmju izlīdzināšana brīvostās un speciālajās ekonomiskajās zonās</w:t>
            </w:r>
          </w:p>
        </w:tc>
        <w:tc>
          <w:tcPr>
            <w:tcW w:w="860" w:type="pct"/>
            <w:tcBorders>
              <w:top w:val="single" w:sz="4" w:space="0" w:color="auto"/>
              <w:left w:val="nil"/>
              <w:bottom w:val="single" w:sz="4" w:space="0" w:color="auto"/>
              <w:right w:val="single" w:sz="4" w:space="0" w:color="auto"/>
            </w:tcBorders>
            <w:vAlign w:val="center"/>
            <w:hideMark/>
          </w:tcPr>
          <w:p w14:paraId="248DA9D8" w14:textId="77777777" w:rsidR="008B0630" w:rsidRPr="008B0630" w:rsidRDefault="008B0630" w:rsidP="008B0630">
            <w:pPr>
              <w:spacing w:after="0"/>
              <w:ind w:firstLine="0"/>
              <w:jc w:val="left"/>
              <w:rPr>
                <w:rFonts w:eastAsia="Times New Roman" w:cs="Times New Roman"/>
                <w:color w:val="000000"/>
                <w:sz w:val="18"/>
                <w:szCs w:val="18"/>
              </w:rPr>
            </w:pPr>
            <w:r w:rsidRPr="008B0630">
              <w:rPr>
                <w:rFonts w:eastAsia="Times New Roman" w:cs="Times New Roman"/>
                <w:color w:val="000000"/>
                <w:sz w:val="18"/>
                <w:szCs w:val="18"/>
              </w:rPr>
              <w:t>Kopā, t.sk.:</w:t>
            </w:r>
          </w:p>
        </w:tc>
        <w:tc>
          <w:tcPr>
            <w:tcW w:w="782" w:type="pct"/>
            <w:tcBorders>
              <w:top w:val="single" w:sz="4" w:space="0" w:color="auto"/>
              <w:left w:val="nil"/>
              <w:bottom w:val="single" w:sz="4" w:space="0" w:color="auto"/>
              <w:right w:val="single" w:sz="4" w:space="0" w:color="auto"/>
            </w:tcBorders>
            <w:vAlign w:val="center"/>
            <w:hideMark/>
          </w:tcPr>
          <w:p w14:paraId="69B98D1F" w14:textId="77777777" w:rsidR="008B0630" w:rsidRPr="008B0630" w:rsidRDefault="008B0630" w:rsidP="008B0630">
            <w:pPr>
              <w:spacing w:after="0"/>
              <w:ind w:firstLine="0"/>
              <w:jc w:val="right"/>
              <w:rPr>
                <w:rFonts w:eastAsia="Times New Roman" w:cs="Times New Roman"/>
                <w:color w:val="000000"/>
                <w:sz w:val="18"/>
                <w:szCs w:val="18"/>
              </w:rPr>
            </w:pPr>
            <w:r w:rsidRPr="008B0630">
              <w:rPr>
                <w:rFonts w:eastAsia="Times New Roman" w:cs="Times New Roman"/>
                <w:color w:val="000000"/>
                <w:sz w:val="18"/>
                <w:szCs w:val="18"/>
              </w:rPr>
              <w:t>7,5</w:t>
            </w:r>
          </w:p>
        </w:tc>
        <w:tc>
          <w:tcPr>
            <w:tcW w:w="786" w:type="pct"/>
            <w:tcBorders>
              <w:top w:val="single" w:sz="4" w:space="0" w:color="auto"/>
              <w:left w:val="nil"/>
              <w:bottom w:val="single" w:sz="4" w:space="0" w:color="auto"/>
              <w:right w:val="single" w:sz="4" w:space="0" w:color="auto"/>
            </w:tcBorders>
            <w:vAlign w:val="center"/>
            <w:hideMark/>
          </w:tcPr>
          <w:p w14:paraId="0E67CD4F" w14:textId="77777777" w:rsidR="008B0630" w:rsidRPr="008B0630" w:rsidRDefault="008B0630" w:rsidP="008B0630">
            <w:pPr>
              <w:spacing w:after="0"/>
              <w:ind w:firstLine="0"/>
              <w:jc w:val="right"/>
              <w:rPr>
                <w:rFonts w:eastAsia="Times New Roman" w:cs="Times New Roman"/>
                <w:color w:val="000000"/>
                <w:sz w:val="18"/>
                <w:szCs w:val="18"/>
              </w:rPr>
            </w:pPr>
            <w:r w:rsidRPr="008B0630">
              <w:rPr>
                <w:rFonts w:eastAsia="Times New Roman" w:cs="Times New Roman"/>
                <w:color w:val="000000"/>
                <w:sz w:val="18"/>
                <w:szCs w:val="18"/>
              </w:rPr>
              <w:t>12,0</w:t>
            </w:r>
          </w:p>
        </w:tc>
        <w:tc>
          <w:tcPr>
            <w:tcW w:w="699" w:type="pct"/>
            <w:tcBorders>
              <w:top w:val="single" w:sz="4" w:space="0" w:color="auto"/>
              <w:left w:val="nil"/>
              <w:bottom w:val="single" w:sz="4" w:space="0" w:color="auto"/>
              <w:right w:val="single" w:sz="4" w:space="0" w:color="auto"/>
            </w:tcBorders>
            <w:vAlign w:val="center"/>
            <w:hideMark/>
          </w:tcPr>
          <w:p w14:paraId="3F3C0A85"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30,5</w:t>
            </w:r>
          </w:p>
        </w:tc>
      </w:tr>
      <w:tr w:rsidR="008B0630" w:rsidRPr="008B0630" w14:paraId="798530B5" w14:textId="77777777" w:rsidTr="00E03828">
        <w:trPr>
          <w:trHeight w:val="422"/>
        </w:trPr>
        <w:tc>
          <w:tcPr>
            <w:tcW w:w="1873" w:type="pct"/>
            <w:vMerge/>
            <w:tcBorders>
              <w:top w:val="single" w:sz="4" w:space="0" w:color="auto"/>
              <w:left w:val="single" w:sz="4" w:space="0" w:color="auto"/>
              <w:bottom w:val="single" w:sz="4" w:space="0" w:color="000000"/>
              <w:right w:val="single" w:sz="4" w:space="0" w:color="auto"/>
            </w:tcBorders>
            <w:vAlign w:val="center"/>
            <w:hideMark/>
          </w:tcPr>
          <w:p w14:paraId="40D2CD7E" w14:textId="77777777" w:rsidR="008B0630" w:rsidRPr="008B0630" w:rsidRDefault="008B0630" w:rsidP="008B0630">
            <w:pPr>
              <w:spacing w:after="0"/>
              <w:ind w:firstLine="0"/>
              <w:jc w:val="left"/>
              <w:rPr>
                <w:rFonts w:eastAsia="Times New Roman" w:cs="Times New Roman"/>
                <w:color w:val="000000"/>
                <w:sz w:val="18"/>
                <w:szCs w:val="18"/>
              </w:rPr>
            </w:pPr>
          </w:p>
        </w:tc>
        <w:tc>
          <w:tcPr>
            <w:tcW w:w="860" w:type="pct"/>
            <w:tcBorders>
              <w:top w:val="nil"/>
              <w:left w:val="nil"/>
              <w:bottom w:val="single" w:sz="4" w:space="0" w:color="auto"/>
              <w:right w:val="single" w:sz="4" w:space="0" w:color="auto"/>
            </w:tcBorders>
            <w:vAlign w:val="center"/>
            <w:hideMark/>
          </w:tcPr>
          <w:p w14:paraId="7222276C" w14:textId="0B943C59" w:rsidR="008B0630" w:rsidRPr="008B0630" w:rsidRDefault="003F5E29" w:rsidP="008B0630">
            <w:pPr>
              <w:spacing w:after="0"/>
              <w:ind w:firstLine="0"/>
              <w:jc w:val="left"/>
              <w:rPr>
                <w:rFonts w:eastAsia="Times New Roman" w:cs="Times New Roman"/>
                <w:i/>
                <w:iCs/>
                <w:color w:val="000000"/>
                <w:sz w:val="18"/>
                <w:szCs w:val="18"/>
              </w:rPr>
            </w:pPr>
            <w:r>
              <w:rPr>
                <w:rFonts w:eastAsia="Times New Roman" w:cs="Times New Roman"/>
                <w:i/>
                <w:iCs/>
                <w:color w:val="000000"/>
                <w:sz w:val="18"/>
                <w:szCs w:val="18"/>
              </w:rPr>
              <w:t>AN</w:t>
            </w:r>
          </w:p>
        </w:tc>
        <w:tc>
          <w:tcPr>
            <w:tcW w:w="782" w:type="pct"/>
            <w:tcBorders>
              <w:top w:val="nil"/>
              <w:left w:val="nil"/>
              <w:bottom w:val="single" w:sz="4" w:space="0" w:color="auto"/>
              <w:right w:val="single" w:sz="4" w:space="0" w:color="auto"/>
            </w:tcBorders>
            <w:vAlign w:val="center"/>
            <w:hideMark/>
          </w:tcPr>
          <w:p w14:paraId="234F5378"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6,2</w:t>
            </w:r>
          </w:p>
        </w:tc>
        <w:tc>
          <w:tcPr>
            <w:tcW w:w="786" w:type="pct"/>
            <w:tcBorders>
              <w:top w:val="nil"/>
              <w:left w:val="nil"/>
              <w:bottom w:val="single" w:sz="4" w:space="0" w:color="auto"/>
              <w:right w:val="single" w:sz="4" w:space="0" w:color="auto"/>
            </w:tcBorders>
            <w:vAlign w:val="center"/>
            <w:hideMark/>
          </w:tcPr>
          <w:p w14:paraId="3541F88A"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9,9</w:t>
            </w:r>
          </w:p>
        </w:tc>
        <w:tc>
          <w:tcPr>
            <w:tcW w:w="699" w:type="pct"/>
            <w:tcBorders>
              <w:top w:val="nil"/>
              <w:left w:val="nil"/>
              <w:bottom w:val="single" w:sz="4" w:space="0" w:color="auto"/>
              <w:right w:val="single" w:sz="4" w:space="0" w:color="auto"/>
            </w:tcBorders>
            <w:vAlign w:val="center"/>
            <w:hideMark/>
          </w:tcPr>
          <w:p w14:paraId="3EE886B9"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25,2</w:t>
            </w:r>
          </w:p>
        </w:tc>
      </w:tr>
      <w:tr w:rsidR="008B0630" w:rsidRPr="008B0630" w14:paraId="36CD5487" w14:textId="77777777" w:rsidTr="00E03828">
        <w:trPr>
          <w:trHeight w:val="315"/>
        </w:trPr>
        <w:tc>
          <w:tcPr>
            <w:tcW w:w="1873" w:type="pct"/>
            <w:vMerge/>
            <w:tcBorders>
              <w:top w:val="single" w:sz="4" w:space="0" w:color="auto"/>
              <w:left w:val="single" w:sz="4" w:space="0" w:color="auto"/>
              <w:bottom w:val="single" w:sz="4" w:space="0" w:color="000000"/>
              <w:right w:val="single" w:sz="4" w:space="0" w:color="auto"/>
            </w:tcBorders>
            <w:vAlign w:val="center"/>
            <w:hideMark/>
          </w:tcPr>
          <w:p w14:paraId="05AA973A" w14:textId="77777777" w:rsidR="008B0630" w:rsidRPr="008B0630" w:rsidRDefault="008B0630" w:rsidP="008B0630">
            <w:pPr>
              <w:spacing w:after="0"/>
              <w:ind w:firstLine="0"/>
              <w:jc w:val="left"/>
              <w:rPr>
                <w:rFonts w:eastAsia="Times New Roman" w:cs="Times New Roman"/>
                <w:color w:val="000000"/>
                <w:sz w:val="18"/>
                <w:szCs w:val="18"/>
              </w:rPr>
            </w:pPr>
          </w:p>
        </w:tc>
        <w:tc>
          <w:tcPr>
            <w:tcW w:w="860" w:type="pct"/>
            <w:tcBorders>
              <w:top w:val="nil"/>
              <w:left w:val="nil"/>
              <w:bottom w:val="single" w:sz="4" w:space="0" w:color="auto"/>
              <w:right w:val="single" w:sz="4" w:space="0" w:color="auto"/>
            </w:tcBorders>
            <w:vAlign w:val="center"/>
            <w:hideMark/>
          </w:tcPr>
          <w:p w14:paraId="7C784F21" w14:textId="77777777" w:rsidR="008B0630" w:rsidRPr="008B0630" w:rsidRDefault="008B0630" w:rsidP="008B0630">
            <w:pPr>
              <w:spacing w:after="0"/>
              <w:ind w:firstLine="0"/>
              <w:jc w:val="left"/>
              <w:rPr>
                <w:rFonts w:eastAsia="Times New Roman" w:cs="Times New Roman"/>
                <w:i/>
                <w:iCs/>
                <w:color w:val="000000"/>
                <w:sz w:val="18"/>
                <w:szCs w:val="18"/>
              </w:rPr>
            </w:pPr>
            <w:r w:rsidRPr="008B0630">
              <w:rPr>
                <w:rFonts w:eastAsia="Times New Roman" w:cs="Times New Roman"/>
                <w:i/>
                <w:iCs/>
                <w:color w:val="000000"/>
                <w:sz w:val="18"/>
                <w:szCs w:val="18"/>
              </w:rPr>
              <w:t>PVN</w:t>
            </w:r>
          </w:p>
        </w:tc>
        <w:tc>
          <w:tcPr>
            <w:tcW w:w="782" w:type="pct"/>
            <w:tcBorders>
              <w:top w:val="nil"/>
              <w:left w:val="nil"/>
              <w:bottom w:val="single" w:sz="4" w:space="0" w:color="auto"/>
              <w:right w:val="single" w:sz="4" w:space="0" w:color="auto"/>
            </w:tcBorders>
            <w:vAlign w:val="center"/>
            <w:hideMark/>
          </w:tcPr>
          <w:p w14:paraId="2E8094A2"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1,3</w:t>
            </w:r>
          </w:p>
        </w:tc>
        <w:tc>
          <w:tcPr>
            <w:tcW w:w="786" w:type="pct"/>
            <w:tcBorders>
              <w:top w:val="nil"/>
              <w:left w:val="nil"/>
              <w:bottom w:val="single" w:sz="4" w:space="0" w:color="auto"/>
              <w:right w:val="single" w:sz="4" w:space="0" w:color="auto"/>
            </w:tcBorders>
            <w:vAlign w:val="center"/>
            <w:hideMark/>
          </w:tcPr>
          <w:p w14:paraId="15D2D735"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2,1</w:t>
            </w:r>
          </w:p>
        </w:tc>
        <w:tc>
          <w:tcPr>
            <w:tcW w:w="699" w:type="pct"/>
            <w:tcBorders>
              <w:top w:val="nil"/>
              <w:left w:val="nil"/>
              <w:bottom w:val="single" w:sz="4" w:space="0" w:color="auto"/>
              <w:right w:val="single" w:sz="4" w:space="0" w:color="auto"/>
            </w:tcBorders>
            <w:vAlign w:val="center"/>
            <w:hideMark/>
          </w:tcPr>
          <w:p w14:paraId="5496C340"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5,3</w:t>
            </w:r>
          </w:p>
        </w:tc>
      </w:tr>
      <w:tr w:rsidR="008B0630" w:rsidRPr="008B0630" w14:paraId="6B2B6C26" w14:textId="77777777" w:rsidTr="00E03828">
        <w:trPr>
          <w:trHeight w:val="315"/>
        </w:trPr>
        <w:tc>
          <w:tcPr>
            <w:tcW w:w="1873" w:type="pct"/>
            <w:vMerge w:val="restart"/>
            <w:tcBorders>
              <w:top w:val="single" w:sz="4" w:space="0" w:color="auto"/>
              <w:left w:val="single" w:sz="4" w:space="0" w:color="auto"/>
              <w:right w:val="single" w:sz="4" w:space="0" w:color="auto"/>
            </w:tcBorders>
            <w:vAlign w:val="center"/>
          </w:tcPr>
          <w:p w14:paraId="7E30968E" w14:textId="77777777" w:rsidR="008B0630" w:rsidRPr="008B0630" w:rsidRDefault="008B0630" w:rsidP="008B0630">
            <w:pPr>
              <w:spacing w:after="0"/>
              <w:ind w:firstLine="0"/>
              <w:jc w:val="left"/>
              <w:rPr>
                <w:rFonts w:eastAsia="Times New Roman" w:cs="Times New Roman"/>
                <w:color w:val="000000"/>
                <w:sz w:val="18"/>
                <w:szCs w:val="18"/>
              </w:rPr>
            </w:pPr>
            <w:r w:rsidRPr="008B0630">
              <w:rPr>
                <w:rFonts w:eastAsia="Times New Roman" w:cs="Times New Roman"/>
                <w:color w:val="000000"/>
                <w:sz w:val="18"/>
                <w:szCs w:val="18"/>
              </w:rPr>
              <w:t>Nodokļu sloga līdzsvarošana investoriem – fiziskām personām</w:t>
            </w:r>
          </w:p>
        </w:tc>
        <w:tc>
          <w:tcPr>
            <w:tcW w:w="860" w:type="pct"/>
            <w:tcBorders>
              <w:top w:val="nil"/>
              <w:left w:val="nil"/>
              <w:bottom w:val="single" w:sz="4" w:space="0" w:color="auto"/>
              <w:right w:val="single" w:sz="4" w:space="0" w:color="auto"/>
            </w:tcBorders>
            <w:vAlign w:val="center"/>
          </w:tcPr>
          <w:p w14:paraId="290CCBC9" w14:textId="77777777" w:rsidR="008B0630" w:rsidRPr="008B0630" w:rsidRDefault="008B0630" w:rsidP="008B0630">
            <w:pPr>
              <w:spacing w:after="0"/>
              <w:ind w:firstLine="0"/>
              <w:jc w:val="left"/>
              <w:rPr>
                <w:rFonts w:eastAsia="Times New Roman" w:cs="Times New Roman"/>
                <w:i/>
                <w:iCs/>
                <w:color w:val="000000"/>
                <w:sz w:val="18"/>
                <w:szCs w:val="18"/>
              </w:rPr>
            </w:pPr>
            <w:r w:rsidRPr="008B0630">
              <w:rPr>
                <w:rFonts w:eastAsia="Times New Roman" w:cs="Times New Roman"/>
                <w:color w:val="000000"/>
                <w:sz w:val="18"/>
                <w:szCs w:val="18"/>
              </w:rPr>
              <w:t>Kopā, t.sk.:</w:t>
            </w:r>
          </w:p>
        </w:tc>
        <w:tc>
          <w:tcPr>
            <w:tcW w:w="782" w:type="pct"/>
            <w:tcBorders>
              <w:top w:val="nil"/>
              <w:left w:val="nil"/>
              <w:bottom w:val="single" w:sz="4" w:space="0" w:color="auto"/>
              <w:right w:val="single" w:sz="4" w:space="0" w:color="auto"/>
            </w:tcBorders>
            <w:vAlign w:val="center"/>
          </w:tcPr>
          <w:p w14:paraId="6AF29DC8" w14:textId="77777777" w:rsidR="008B0630" w:rsidRPr="008B0630" w:rsidRDefault="008B0630" w:rsidP="008B0630">
            <w:pPr>
              <w:spacing w:after="0"/>
              <w:ind w:firstLine="0"/>
              <w:jc w:val="right"/>
              <w:rPr>
                <w:rFonts w:eastAsia="Times New Roman" w:cs="Times New Roman"/>
                <w:color w:val="000000"/>
                <w:sz w:val="18"/>
                <w:szCs w:val="18"/>
              </w:rPr>
            </w:pPr>
            <w:r w:rsidRPr="008B0630">
              <w:rPr>
                <w:rFonts w:eastAsia="Times New Roman" w:cs="Times New Roman"/>
                <w:color w:val="000000"/>
                <w:sz w:val="18"/>
                <w:szCs w:val="18"/>
              </w:rPr>
              <w:t>0,01</w:t>
            </w:r>
          </w:p>
        </w:tc>
        <w:tc>
          <w:tcPr>
            <w:tcW w:w="786" w:type="pct"/>
            <w:tcBorders>
              <w:top w:val="nil"/>
              <w:left w:val="nil"/>
              <w:bottom w:val="single" w:sz="4" w:space="0" w:color="auto"/>
              <w:right w:val="single" w:sz="4" w:space="0" w:color="auto"/>
            </w:tcBorders>
            <w:vAlign w:val="center"/>
          </w:tcPr>
          <w:p w14:paraId="789BF199" w14:textId="77777777" w:rsidR="008B0630" w:rsidRPr="008B0630" w:rsidRDefault="008B0630" w:rsidP="008B0630">
            <w:pPr>
              <w:spacing w:after="0"/>
              <w:ind w:firstLine="0"/>
              <w:jc w:val="right"/>
              <w:rPr>
                <w:rFonts w:eastAsia="Times New Roman" w:cs="Times New Roman"/>
                <w:color w:val="000000"/>
                <w:sz w:val="18"/>
                <w:szCs w:val="18"/>
              </w:rPr>
            </w:pPr>
            <w:r w:rsidRPr="008B0630">
              <w:rPr>
                <w:rFonts w:eastAsia="Times New Roman" w:cs="Times New Roman"/>
                <w:color w:val="000000"/>
                <w:sz w:val="18"/>
                <w:szCs w:val="18"/>
              </w:rPr>
              <w:t>0,01</w:t>
            </w:r>
          </w:p>
        </w:tc>
        <w:tc>
          <w:tcPr>
            <w:tcW w:w="699" w:type="pct"/>
            <w:tcBorders>
              <w:top w:val="nil"/>
              <w:left w:val="nil"/>
              <w:bottom w:val="single" w:sz="4" w:space="0" w:color="auto"/>
              <w:right w:val="single" w:sz="4" w:space="0" w:color="auto"/>
            </w:tcBorders>
            <w:vAlign w:val="center"/>
          </w:tcPr>
          <w:p w14:paraId="119062CF" w14:textId="77777777" w:rsidR="008B0630" w:rsidRPr="008B0630" w:rsidRDefault="008B0630" w:rsidP="008B0630">
            <w:pPr>
              <w:spacing w:after="0"/>
              <w:ind w:firstLine="0"/>
              <w:jc w:val="right"/>
              <w:rPr>
                <w:rFonts w:eastAsia="Times New Roman" w:cs="Times New Roman"/>
                <w:color w:val="000000"/>
                <w:sz w:val="18"/>
                <w:szCs w:val="18"/>
              </w:rPr>
            </w:pPr>
            <w:r w:rsidRPr="008B0630">
              <w:rPr>
                <w:rFonts w:eastAsia="Times New Roman" w:cs="Times New Roman"/>
                <w:color w:val="000000"/>
                <w:sz w:val="18"/>
                <w:szCs w:val="18"/>
              </w:rPr>
              <w:t>0,01</w:t>
            </w:r>
          </w:p>
        </w:tc>
      </w:tr>
      <w:tr w:rsidR="008B0630" w:rsidRPr="008B0630" w14:paraId="1C7F487D" w14:textId="77777777" w:rsidTr="00E03828">
        <w:trPr>
          <w:trHeight w:val="315"/>
        </w:trPr>
        <w:tc>
          <w:tcPr>
            <w:tcW w:w="1873" w:type="pct"/>
            <w:vMerge/>
            <w:tcBorders>
              <w:left w:val="single" w:sz="4" w:space="0" w:color="auto"/>
              <w:right w:val="single" w:sz="4" w:space="0" w:color="auto"/>
            </w:tcBorders>
            <w:vAlign w:val="center"/>
          </w:tcPr>
          <w:p w14:paraId="7BE0DC8C" w14:textId="77777777" w:rsidR="008B0630" w:rsidRPr="008B0630" w:rsidRDefault="008B0630" w:rsidP="008B0630">
            <w:pPr>
              <w:spacing w:after="0"/>
              <w:ind w:firstLine="0"/>
              <w:jc w:val="left"/>
              <w:rPr>
                <w:rFonts w:eastAsia="Times New Roman" w:cs="Times New Roman"/>
                <w:color w:val="000000"/>
                <w:sz w:val="18"/>
                <w:szCs w:val="18"/>
              </w:rPr>
            </w:pPr>
          </w:p>
        </w:tc>
        <w:tc>
          <w:tcPr>
            <w:tcW w:w="860" w:type="pct"/>
            <w:tcBorders>
              <w:top w:val="nil"/>
              <w:left w:val="nil"/>
              <w:bottom w:val="single" w:sz="4" w:space="0" w:color="auto"/>
              <w:right w:val="single" w:sz="4" w:space="0" w:color="auto"/>
            </w:tcBorders>
            <w:vAlign w:val="center"/>
          </w:tcPr>
          <w:p w14:paraId="7C79D2AE" w14:textId="77777777" w:rsidR="008B0630" w:rsidRPr="008B0630" w:rsidRDefault="008B0630" w:rsidP="008B0630">
            <w:pPr>
              <w:spacing w:after="0"/>
              <w:ind w:firstLine="0"/>
              <w:jc w:val="left"/>
              <w:rPr>
                <w:rFonts w:eastAsia="Times New Roman" w:cs="Times New Roman"/>
                <w:i/>
                <w:iCs/>
                <w:color w:val="000000"/>
                <w:sz w:val="18"/>
                <w:szCs w:val="18"/>
              </w:rPr>
            </w:pPr>
            <w:r w:rsidRPr="008B0630">
              <w:rPr>
                <w:rFonts w:eastAsia="Times New Roman" w:cs="Times New Roman"/>
                <w:i/>
                <w:iCs/>
                <w:color w:val="000000"/>
                <w:sz w:val="18"/>
                <w:szCs w:val="18"/>
              </w:rPr>
              <w:t>IIN</w:t>
            </w:r>
          </w:p>
        </w:tc>
        <w:tc>
          <w:tcPr>
            <w:tcW w:w="782" w:type="pct"/>
            <w:tcBorders>
              <w:top w:val="nil"/>
              <w:left w:val="nil"/>
              <w:bottom w:val="single" w:sz="4" w:space="0" w:color="auto"/>
              <w:right w:val="single" w:sz="4" w:space="0" w:color="auto"/>
            </w:tcBorders>
            <w:vAlign w:val="center"/>
          </w:tcPr>
          <w:p w14:paraId="689445BC"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0,41</w:t>
            </w:r>
          </w:p>
        </w:tc>
        <w:tc>
          <w:tcPr>
            <w:tcW w:w="786" w:type="pct"/>
            <w:tcBorders>
              <w:top w:val="nil"/>
              <w:left w:val="nil"/>
              <w:bottom w:val="single" w:sz="4" w:space="0" w:color="auto"/>
              <w:right w:val="single" w:sz="4" w:space="0" w:color="auto"/>
            </w:tcBorders>
            <w:vAlign w:val="center"/>
          </w:tcPr>
          <w:p w14:paraId="1B442620"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0,41</w:t>
            </w:r>
          </w:p>
        </w:tc>
        <w:tc>
          <w:tcPr>
            <w:tcW w:w="699" w:type="pct"/>
            <w:tcBorders>
              <w:top w:val="nil"/>
              <w:left w:val="nil"/>
              <w:bottom w:val="single" w:sz="4" w:space="0" w:color="auto"/>
              <w:right w:val="single" w:sz="4" w:space="0" w:color="auto"/>
            </w:tcBorders>
            <w:vAlign w:val="center"/>
          </w:tcPr>
          <w:p w14:paraId="20775186"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0,41</w:t>
            </w:r>
          </w:p>
        </w:tc>
      </w:tr>
      <w:tr w:rsidR="008B0630" w:rsidRPr="008B0630" w14:paraId="58216100" w14:textId="77777777" w:rsidTr="00E03828">
        <w:trPr>
          <w:trHeight w:val="315"/>
        </w:trPr>
        <w:tc>
          <w:tcPr>
            <w:tcW w:w="1873" w:type="pct"/>
            <w:vMerge/>
            <w:tcBorders>
              <w:left w:val="single" w:sz="4" w:space="0" w:color="auto"/>
              <w:bottom w:val="single" w:sz="4" w:space="0" w:color="000000"/>
              <w:right w:val="single" w:sz="4" w:space="0" w:color="auto"/>
            </w:tcBorders>
            <w:vAlign w:val="center"/>
          </w:tcPr>
          <w:p w14:paraId="5A0CAFD6" w14:textId="77777777" w:rsidR="008B0630" w:rsidRPr="008B0630" w:rsidRDefault="008B0630" w:rsidP="008B0630">
            <w:pPr>
              <w:spacing w:after="0"/>
              <w:ind w:firstLine="0"/>
              <w:jc w:val="left"/>
              <w:rPr>
                <w:rFonts w:eastAsia="Times New Roman" w:cs="Times New Roman"/>
                <w:color w:val="000000"/>
                <w:sz w:val="18"/>
                <w:szCs w:val="18"/>
              </w:rPr>
            </w:pPr>
          </w:p>
        </w:tc>
        <w:tc>
          <w:tcPr>
            <w:tcW w:w="860" w:type="pct"/>
            <w:tcBorders>
              <w:top w:val="nil"/>
              <w:left w:val="nil"/>
              <w:bottom w:val="single" w:sz="4" w:space="0" w:color="auto"/>
              <w:right w:val="single" w:sz="4" w:space="0" w:color="auto"/>
            </w:tcBorders>
            <w:vAlign w:val="center"/>
          </w:tcPr>
          <w:p w14:paraId="33C28912" w14:textId="77777777" w:rsidR="008B0630" w:rsidRPr="008B0630" w:rsidRDefault="008B0630" w:rsidP="008B0630">
            <w:pPr>
              <w:spacing w:after="0"/>
              <w:ind w:firstLine="0"/>
              <w:jc w:val="left"/>
              <w:rPr>
                <w:rFonts w:eastAsia="Times New Roman" w:cs="Times New Roman"/>
                <w:i/>
                <w:iCs/>
                <w:color w:val="000000"/>
                <w:sz w:val="18"/>
                <w:szCs w:val="18"/>
              </w:rPr>
            </w:pPr>
            <w:r w:rsidRPr="008B0630">
              <w:rPr>
                <w:rFonts w:eastAsia="Times New Roman" w:cs="Times New Roman"/>
                <w:i/>
                <w:iCs/>
                <w:color w:val="000000"/>
                <w:sz w:val="18"/>
                <w:szCs w:val="18"/>
              </w:rPr>
              <w:t>UIN</w:t>
            </w:r>
          </w:p>
        </w:tc>
        <w:tc>
          <w:tcPr>
            <w:tcW w:w="782" w:type="pct"/>
            <w:tcBorders>
              <w:top w:val="nil"/>
              <w:left w:val="nil"/>
              <w:bottom w:val="single" w:sz="4" w:space="0" w:color="auto"/>
              <w:right w:val="single" w:sz="4" w:space="0" w:color="auto"/>
            </w:tcBorders>
            <w:vAlign w:val="center"/>
          </w:tcPr>
          <w:p w14:paraId="491159B2"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-0,40</w:t>
            </w:r>
          </w:p>
        </w:tc>
        <w:tc>
          <w:tcPr>
            <w:tcW w:w="786" w:type="pct"/>
            <w:tcBorders>
              <w:top w:val="nil"/>
              <w:left w:val="nil"/>
              <w:bottom w:val="single" w:sz="4" w:space="0" w:color="auto"/>
              <w:right w:val="single" w:sz="4" w:space="0" w:color="auto"/>
            </w:tcBorders>
            <w:vAlign w:val="center"/>
          </w:tcPr>
          <w:p w14:paraId="39AAD98E"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-0,40</w:t>
            </w:r>
          </w:p>
        </w:tc>
        <w:tc>
          <w:tcPr>
            <w:tcW w:w="699" w:type="pct"/>
            <w:tcBorders>
              <w:top w:val="nil"/>
              <w:left w:val="nil"/>
              <w:bottom w:val="single" w:sz="4" w:space="0" w:color="auto"/>
              <w:right w:val="single" w:sz="4" w:space="0" w:color="auto"/>
            </w:tcBorders>
            <w:vAlign w:val="center"/>
          </w:tcPr>
          <w:p w14:paraId="6A68F8E5" w14:textId="77777777" w:rsidR="008B0630" w:rsidRPr="008B0630" w:rsidRDefault="008B0630" w:rsidP="008B0630">
            <w:pPr>
              <w:spacing w:after="0"/>
              <w:ind w:firstLine="0"/>
              <w:jc w:val="right"/>
              <w:rPr>
                <w:rFonts w:eastAsia="Times New Roman" w:cs="Times New Roman"/>
                <w:i/>
                <w:iCs/>
                <w:color w:val="000000"/>
                <w:sz w:val="18"/>
                <w:szCs w:val="18"/>
              </w:rPr>
            </w:pPr>
            <w:r w:rsidRPr="008B0630">
              <w:rPr>
                <w:rFonts w:eastAsia="Times New Roman" w:cs="Times New Roman"/>
                <w:i/>
                <w:iCs/>
                <w:color w:val="000000"/>
                <w:sz w:val="18"/>
                <w:szCs w:val="18"/>
              </w:rPr>
              <w:t>-0,40</w:t>
            </w:r>
          </w:p>
        </w:tc>
      </w:tr>
      <w:tr w:rsidR="008B0630" w:rsidRPr="008B0630" w14:paraId="511D51F5" w14:textId="77777777" w:rsidTr="00E03828">
        <w:trPr>
          <w:trHeight w:val="300"/>
        </w:trPr>
        <w:tc>
          <w:tcPr>
            <w:tcW w:w="1873" w:type="pct"/>
            <w:tcBorders>
              <w:top w:val="nil"/>
              <w:left w:val="single" w:sz="4" w:space="0" w:color="auto"/>
              <w:bottom w:val="single" w:sz="4" w:space="0" w:color="auto"/>
              <w:right w:val="single" w:sz="4" w:space="0" w:color="auto"/>
            </w:tcBorders>
            <w:vAlign w:val="center"/>
            <w:hideMark/>
          </w:tcPr>
          <w:p w14:paraId="139327DA" w14:textId="77777777" w:rsidR="008B0630" w:rsidRPr="008B0630" w:rsidRDefault="008B0630" w:rsidP="008B0630">
            <w:pPr>
              <w:ind w:firstLine="0"/>
              <w:jc w:val="left"/>
              <w:rPr>
                <w:rFonts w:cs="Times New Roman"/>
                <w:color w:val="000000"/>
                <w:sz w:val="18"/>
                <w:szCs w:val="18"/>
              </w:rPr>
            </w:pPr>
            <w:r w:rsidRPr="008B0630">
              <w:rPr>
                <w:rFonts w:cs="Times New Roman"/>
                <w:color w:val="000000"/>
                <w:sz w:val="18"/>
                <w:szCs w:val="18"/>
              </w:rPr>
              <w:t xml:space="preserve">Azartspēļu nodokļa likmju ātrāka paaugstināšana ar 2026. gada 1. janvāri </w:t>
            </w:r>
          </w:p>
        </w:tc>
        <w:tc>
          <w:tcPr>
            <w:tcW w:w="860" w:type="pct"/>
            <w:tcBorders>
              <w:top w:val="nil"/>
              <w:left w:val="nil"/>
              <w:bottom w:val="single" w:sz="4" w:space="0" w:color="auto"/>
              <w:right w:val="single" w:sz="4" w:space="0" w:color="auto"/>
            </w:tcBorders>
            <w:vAlign w:val="center"/>
            <w:hideMark/>
          </w:tcPr>
          <w:p w14:paraId="0F6C8A6C" w14:textId="77777777" w:rsidR="008B0630" w:rsidRPr="008B0630" w:rsidRDefault="008B0630" w:rsidP="008B0630">
            <w:pPr>
              <w:ind w:firstLine="0"/>
              <w:rPr>
                <w:rFonts w:cs="Times New Roman"/>
                <w:i/>
                <w:iCs/>
                <w:color w:val="000000"/>
                <w:sz w:val="18"/>
                <w:szCs w:val="18"/>
              </w:rPr>
            </w:pPr>
            <w:r w:rsidRPr="008B0630">
              <w:rPr>
                <w:rFonts w:cs="Times New Roman"/>
                <w:i/>
                <w:iCs/>
                <w:color w:val="000000"/>
                <w:sz w:val="18"/>
                <w:szCs w:val="18"/>
              </w:rPr>
              <w:t>IAN</w:t>
            </w:r>
          </w:p>
        </w:tc>
        <w:tc>
          <w:tcPr>
            <w:tcW w:w="782" w:type="pct"/>
            <w:tcBorders>
              <w:top w:val="nil"/>
              <w:left w:val="nil"/>
              <w:bottom w:val="single" w:sz="4" w:space="0" w:color="auto"/>
              <w:right w:val="single" w:sz="4" w:space="0" w:color="auto"/>
            </w:tcBorders>
            <w:vAlign w:val="center"/>
            <w:hideMark/>
          </w:tcPr>
          <w:p w14:paraId="52071BDD" w14:textId="77777777" w:rsidR="008B0630" w:rsidRPr="008B0630" w:rsidRDefault="008B0630" w:rsidP="008B0630">
            <w:pPr>
              <w:jc w:val="right"/>
              <w:rPr>
                <w:rFonts w:cs="Times New Roman"/>
                <w:color w:val="000000"/>
                <w:sz w:val="18"/>
                <w:szCs w:val="18"/>
              </w:rPr>
            </w:pPr>
            <w:r w:rsidRPr="008B0630">
              <w:rPr>
                <w:rFonts w:cs="Times New Roman"/>
                <w:color w:val="000000"/>
                <w:sz w:val="18"/>
                <w:szCs w:val="18"/>
              </w:rPr>
              <w:t>9,2</w:t>
            </w:r>
          </w:p>
        </w:tc>
        <w:tc>
          <w:tcPr>
            <w:tcW w:w="786" w:type="pct"/>
            <w:tcBorders>
              <w:top w:val="nil"/>
              <w:left w:val="nil"/>
              <w:bottom w:val="single" w:sz="4" w:space="0" w:color="auto"/>
              <w:right w:val="single" w:sz="4" w:space="0" w:color="auto"/>
            </w:tcBorders>
            <w:vAlign w:val="center"/>
          </w:tcPr>
          <w:p w14:paraId="75C4C3D3" w14:textId="77777777" w:rsidR="008B0630" w:rsidRPr="008B0630" w:rsidRDefault="008B0630" w:rsidP="008B0630">
            <w:pPr>
              <w:ind w:firstLine="552"/>
              <w:jc w:val="right"/>
              <w:rPr>
                <w:rFonts w:cs="Times New Roman"/>
                <w:color w:val="000000"/>
                <w:sz w:val="18"/>
                <w:szCs w:val="18"/>
              </w:rPr>
            </w:pPr>
          </w:p>
        </w:tc>
        <w:tc>
          <w:tcPr>
            <w:tcW w:w="699" w:type="pct"/>
            <w:tcBorders>
              <w:top w:val="nil"/>
              <w:left w:val="nil"/>
              <w:bottom w:val="single" w:sz="4" w:space="0" w:color="auto"/>
              <w:right w:val="single" w:sz="4" w:space="0" w:color="auto"/>
            </w:tcBorders>
            <w:vAlign w:val="center"/>
          </w:tcPr>
          <w:p w14:paraId="18996DFD" w14:textId="77777777" w:rsidR="008B0630" w:rsidRPr="008B0630" w:rsidRDefault="008B0630" w:rsidP="008B0630">
            <w:pPr>
              <w:ind w:firstLine="595"/>
              <w:jc w:val="right"/>
              <w:rPr>
                <w:rFonts w:cs="Times New Roman"/>
                <w:color w:val="000000"/>
                <w:sz w:val="18"/>
                <w:szCs w:val="18"/>
              </w:rPr>
            </w:pPr>
          </w:p>
        </w:tc>
      </w:tr>
      <w:tr w:rsidR="008B0630" w:rsidRPr="008B0630" w14:paraId="6A6D50F4" w14:textId="77777777" w:rsidTr="00E03828">
        <w:trPr>
          <w:trHeight w:val="300"/>
        </w:trPr>
        <w:tc>
          <w:tcPr>
            <w:tcW w:w="1873" w:type="pct"/>
            <w:tcBorders>
              <w:top w:val="nil"/>
              <w:left w:val="single" w:sz="4" w:space="0" w:color="auto"/>
              <w:bottom w:val="single" w:sz="4" w:space="0" w:color="auto"/>
              <w:right w:val="single" w:sz="4" w:space="0" w:color="auto"/>
            </w:tcBorders>
            <w:vAlign w:val="center"/>
            <w:hideMark/>
          </w:tcPr>
          <w:p w14:paraId="6CDE160B" w14:textId="77777777" w:rsidR="008B0630" w:rsidRPr="008B0630" w:rsidRDefault="008B0630" w:rsidP="008B0630">
            <w:pPr>
              <w:ind w:firstLine="0"/>
              <w:jc w:val="left"/>
              <w:rPr>
                <w:rFonts w:cs="Times New Roman"/>
                <w:color w:val="000000"/>
                <w:sz w:val="18"/>
                <w:szCs w:val="18"/>
              </w:rPr>
            </w:pPr>
            <w:r w:rsidRPr="008B0630">
              <w:rPr>
                <w:rFonts w:cs="Times New Roman"/>
                <w:color w:val="000000"/>
                <w:sz w:val="18"/>
                <w:szCs w:val="18"/>
              </w:rPr>
              <w:t>DRN likmju izmaiņas (smilts-grants) un jaunu objektu ieviešana (kūdra, apaļkoku eksports)</w:t>
            </w:r>
          </w:p>
        </w:tc>
        <w:tc>
          <w:tcPr>
            <w:tcW w:w="860" w:type="pct"/>
            <w:tcBorders>
              <w:top w:val="nil"/>
              <w:left w:val="nil"/>
              <w:bottom w:val="single" w:sz="4" w:space="0" w:color="auto"/>
              <w:right w:val="single" w:sz="4" w:space="0" w:color="auto"/>
            </w:tcBorders>
            <w:vAlign w:val="center"/>
            <w:hideMark/>
          </w:tcPr>
          <w:p w14:paraId="1F008F5F" w14:textId="77777777" w:rsidR="008B0630" w:rsidRPr="008B0630" w:rsidRDefault="008B0630" w:rsidP="008B0630">
            <w:pPr>
              <w:ind w:firstLine="0"/>
              <w:rPr>
                <w:rFonts w:cs="Times New Roman"/>
                <w:color w:val="000000"/>
                <w:sz w:val="18"/>
                <w:szCs w:val="18"/>
              </w:rPr>
            </w:pPr>
            <w:r w:rsidRPr="008B0630">
              <w:rPr>
                <w:rFonts w:cs="Times New Roman"/>
                <w:color w:val="000000"/>
                <w:sz w:val="18"/>
                <w:szCs w:val="18"/>
              </w:rPr>
              <w:t>DRN</w:t>
            </w:r>
          </w:p>
        </w:tc>
        <w:tc>
          <w:tcPr>
            <w:tcW w:w="782" w:type="pct"/>
            <w:tcBorders>
              <w:top w:val="nil"/>
              <w:left w:val="nil"/>
              <w:bottom w:val="single" w:sz="4" w:space="0" w:color="auto"/>
              <w:right w:val="single" w:sz="4" w:space="0" w:color="auto"/>
            </w:tcBorders>
            <w:vAlign w:val="center"/>
            <w:hideMark/>
          </w:tcPr>
          <w:p w14:paraId="7388EE39" w14:textId="77777777" w:rsidR="008B0630" w:rsidRPr="008B0630" w:rsidRDefault="008B0630" w:rsidP="008B0630">
            <w:pPr>
              <w:jc w:val="right"/>
              <w:rPr>
                <w:rFonts w:cs="Times New Roman"/>
                <w:color w:val="000000"/>
                <w:sz w:val="18"/>
                <w:szCs w:val="18"/>
              </w:rPr>
            </w:pPr>
            <w:r w:rsidRPr="008B0630">
              <w:rPr>
                <w:rFonts w:cs="Times New Roman"/>
                <w:color w:val="000000"/>
                <w:sz w:val="18"/>
                <w:szCs w:val="18"/>
              </w:rPr>
              <w:t>0,5</w:t>
            </w:r>
          </w:p>
        </w:tc>
        <w:tc>
          <w:tcPr>
            <w:tcW w:w="786" w:type="pct"/>
            <w:tcBorders>
              <w:top w:val="nil"/>
              <w:left w:val="nil"/>
              <w:bottom w:val="single" w:sz="4" w:space="0" w:color="auto"/>
              <w:right w:val="single" w:sz="4" w:space="0" w:color="auto"/>
            </w:tcBorders>
            <w:vAlign w:val="center"/>
            <w:hideMark/>
          </w:tcPr>
          <w:p w14:paraId="6728022E" w14:textId="77777777" w:rsidR="008B0630" w:rsidRPr="008B0630" w:rsidRDefault="008B0630" w:rsidP="008B0630">
            <w:pPr>
              <w:jc w:val="right"/>
              <w:rPr>
                <w:rFonts w:cs="Times New Roman"/>
                <w:color w:val="000000"/>
                <w:sz w:val="18"/>
                <w:szCs w:val="18"/>
              </w:rPr>
            </w:pPr>
            <w:r w:rsidRPr="008B0630">
              <w:rPr>
                <w:rFonts w:cs="Times New Roman"/>
                <w:color w:val="000000"/>
                <w:sz w:val="18"/>
                <w:szCs w:val="18"/>
              </w:rPr>
              <w:t>20,5</w:t>
            </w:r>
          </w:p>
        </w:tc>
        <w:tc>
          <w:tcPr>
            <w:tcW w:w="699" w:type="pct"/>
            <w:tcBorders>
              <w:top w:val="nil"/>
              <w:left w:val="nil"/>
              <w:bottom w:val="single" w:sz="4" w:space="0" w:color="auto"/>
              <w:right w:val="single" w:sz="4" w:space="0" w:color="auto"/>
            </w:tcBorders>
            <w:vAlign w:val="center"/>
            <w:hideMark/>
          </w:tcPr>
          <w:p w14:paraId="04E89A1F" w14:textId="77777777" w:rsidR="008B0630" w:rsidRPr="008B0630" w:rsidRDefault="008B0630" w:rsidP="008B0630">
            <w:pPr>
              <w:ind w:firstLine="0"/>
              <w:jc w:val="right"/>
              <w:rPr>
                <w:rFonts w:cs="Times New Roman"/>
                <w:color w:val="000000"/>
                <w:sz w:val="18"/>
                <w:szCs w:val="18"/>
              </w:rPr>
            </w:pPr>
            <w:r w:rsidRPr="008B0630">
              <w:rPr>
                <w:rFonts w:cs="Times New Roman"/>
                <w:color w:val="000000"/>
                <w:sz w:val="18"/>
                <w:szCs w:val="18"/>
              </w:rPr>
              <w:t>35,6</w:t>
            </w:r>
          </w:p>
        </w:tc>
      </w:tr>
      <w:tr w:rsidR="008B0630" w:rsidRPr="008B0630" w14:paraId="35243186" w14:textId="77777777" w:rsidTr="00E03828">
        <w:trPr>
          <w:trHeight w:val="300"/>
        </w:trPr>
        <w:tc>
          <w:tcPr>
            <w:tcW w:w="1873" w:type="pct"/>
            <w:tcBorders>
              <w:top w:val="nil"/>
              <w:left w:val="single" w:sz="4" w:space="0" w:color="auto"/>
              <w:bottom w:val="single" w:sz="4" w:space="0" w:color="auto"/>
              <w:right w:val="single" w:sz="4" w:space="0" w:color="auto"/>
            </w:tcBorders>
            <w:vAlign w:val="center"/>
            <w:hideMark/>
          </w:tcPr>
          <w:p w14:paraId="7EC79B98" w14:textId="207E45C4" w:rsidR="008B0630" w:rsidRPr="008B0630" w:rsidRDefault="008B0630" w:rsidP="008B0630">
            <w:pPr>
              <w:ind w:firstLine="0"/>
              <w:jc w:val="left"/>
              <w:rPr>
                <w:rFonts w:cs="Times New Roman"/>
                <w:color w:val="000000"/>
                <w:sz w:val="18"/>
                <w:szCs w:val="18"/>
              </w:rPr>
            </w:pPr>
            <w:r w:rsidRPr="008B0630">
              <w:rPr>
                <w:rFonts w:cs="Times New Roman"/>
                <w:color w:val="000000"/>
                <w:sz w:val="18"/>
                <w:szCs w:val="18"/>
              </w:rPr>
              <w:t>UIN ierobežojumu samazināšana attiecībā uz procentu maksājumiem no 2028.</w:t>
            </w:r>
            <w:r w:rsidR="00376254">
              <w:rPr>
                <w:rFonts w:cs="Times New Roman"/>
                <w:color w:val="000000"/>
                <w:sz w:val="18"/>
                <w:szCs w:val="18"/>
              </w:rPr>
              <w:t xml:space="preserve"> </w:t>
            </w:r>
            <w:r w:rsidRPr="008B0630">
              <w:rPr>
                <w:rFonts w:cs="Times New Roman"/>
                <w:color w:val="000000"/>
                <w:sz w:val="18"/>
                <w:szCs w:val="18"/>
              </w:rPr>
              <w:t>gada</w:t>
            </w:r>
          </w:p>
        </w:tc>
        <w:tc>
          <w:tcPr>
            <w:tcW w:w="860" w:type="pct"/>
            <w:tcBorders>
              <w:top w:val="nil"/>
              <w:left w:val="nil"/>
              <w:bottom w:val="single" w:sz="4" w:space="0" w:color="auto"/>
              <w:right w:val="single" w:sz="4" w:space="0" w:color="auto"/>
            </w:tcBorders>
            <w:vAlign w:val="center"/>
            <w:hideMark/>
          </w:tcPr>
          <w:p w14:paraId="4AA91931" w14:textId="77777777" w:rsidR="008B0630" w:rsidRPr="008B0630" w:rsidRDefault="008B0630" w:rsidP="008B0630">
            <w:pPr>
              <w:ind w:firstLine="0"/>
              <w:rPr>
                <w:rFonts w:cs="Times New Roman"/>
                <w:color w:val="000000"/>
                <w:sz w:val="18"/>
                <w:szCs w:val="18"/>
              </w:rPr>
            </w:pPr>
            <w:r w:rsidRPr="008B0630">
              <w:rPr>
                <w:rFonts w:cs="Times New Roman"/>
                <w:color w:val="000000"/>
                <w:sz w:val="18"/>
                <w:szCs w:val="18"/>
              </w:rPr>
              <w:t>UIN</w:t>
            </w:r>
          </w:p>
        </w:tc>
        <w:tc>
          <w:tcPr>
            <w:tcW w:w="782" w:type="pct"/>
            <w:tcBorders>
              <w:top w:val="nil"/>
              <w:left w:val="nil"/>
              <w:bottom w:val="single" w:sz="4" w:space="0" w:color="auto"/>
              <w:right w:val="single" w:sz="4" w:space="0" w:color="auto"/>
            </w:tcBorders>
            <w:vAlign w:val="center"/>
          </w:tcPr>
          <w:p w14:paraId="54385A1F" w14:textId="77777777" w:rsidR="008B0630" w:rsidRPr="008B0630" w:rsidRDefault="008B0630" w:rsidP="008B0630">
            <w:pPr>
              <w:jc w:val="right"/>
              <w:rPr>
                <w:rFonts w:cs="Times New Roman"/>
                <w:color w:val="000000"/>
                <w:sz w:val="18"/>
                <w:szCs w:val="18"/>
              </w:rPr>
            </w:pPr>
          </w:p>
        </w:tc>
        <w:tc>
          <w:tcPr>
            <w:tcW w:w="786" w:type="pct"/>
            <w:tcBorders>
              <w:top w:val="nil"/>
              <w:left w:val="nil"/>
              <w:bottom w:val="single" w:sz="4" w:space="0" w:color="auto"/>
              <w:right w:val="single" w:sz="4" w:space="0" w:color="auto"/>
            </w:tcBorders>
            <w:vAlign w:val="center"/>
          </w:tcPr>
          <w:p w14:paraId="10E631A1" w14:textId="77777777" w:rsidR="008B0630" w:rsidRPr="008B0630" w:rsidRDefault="008B0630" w:rsidP="008B0630">
            <w:pPr>
              <w:jc w:val="right"/>
              <w:rPr>
                <w:rFonts w:cs="Times New Roman"/>
                <w:color w:val="000000"/>
                <w:sz w:val="18"/>
                <w:szCs w:val="18"/>
              </w:rPr>
            </w:pPr>
          </w:p>
        </w:tc>
        <w:tc>
          <w:tcPr>
            <w:tcW w:w="699" w:type="pct"/>
            <w:tcBorders>
              <w:top w:val="nil"/>
              <w:left w:val="nil"/>
              <w:bottom w:val="single" w:sz="4" w:space="0" w:color="auto"/>
              <w:right w:val="single" w:sz="4" w:space="0" w:color="auto"/>
            </w:tcBorders>
            <w:vAlign w:val="center"/>
            <w:hideMark/>
          </w:tcPr>
          <w:p w14:paraId="6A0AA336" w14:textId="77777777" w:rsidR="008B0630" w:rsidRPr="008B0630" w:rsidRDefault="008B0630" w:rsidP="008B0630">
            <w:pPr>
              <w:jc w:val="right"/>
              <w:rPr>
                <w:rFonts w:cs="Times New Roman"/>
                <w:color w:val="000000"/>
                <w:sz w:val="18"/>
                <w:szCs w:val="18"/>
              </w:rPr>
            </w:pPr>
            <w:r w:rsidRPr="008B0630">
              <w:rPr>
                <w:rFonts w:cs="Times New Roman"/>
                <w:color w:val="000000"/>
                <w:sz w:val="18"/>
                <w:szCs w:val="18"/>
              </w:rPr>
              <w:t>-2,9</w:t>
            </w:r>
          </w:p>
        </w:tc>
      </w:tr>
      <w:tr w:rsidR="008B0630" w:rsidRPr="008B0630" w14:paraId="2AD1F55E" w14:textId="77777777" w:rsidTr="00E03828">
        <w:trPr>
          <w:trHeight w:val="300"/>
        </w:trPr>
        <w:tc>
          <w:tcPr>
            <w:tcW w:w="1873" w:type="pct"/>
            <w:tcBorders>
              <w:top w:val="nil"/>
              <w:left w:val="single" w:sz="4" w:space="0" w:color="auto"/>
              <w:bottom w:val="single" w:sz="4" w:space="0" w:color="auto"/>
              <w:right w:val="single" w:sz="4" w:space="0" w:color="auto"/>
            </w:tcBorders>
            <w:vAlign w:val="center"/>
          </w:tcPr>
          <w:p w14:paraId="488CB287" w14:textId="77777777" w:rsidR="008B0630" w:rsidRPr="008B0630" w:rsidRDefault="008B0630" w:rsidP="008B0630">
            <w:pPr>
              <w:ind w:firstLine="0"/>
              <w:jc w:val="left"/>
              <w:rPr>
                <w:rFonts w:cs="Times New Roman"/>
                <w:color w:val="000000"/>
                <w:sz w:val="18"/>
                <w:szCs w:val="18"/>
              </w:rPr>
            </w:pPr>
            <w:r w:rsidRPr="008B0630">
              <w:rPr>
                <w:rFonts w:cs="Times New Roman"/>
                <w:color w:val="000000"/>
                <w:sz w:val="18"/>
                <w:szCs w:val="18"/>
              </w:rPr>
              <w:lastRenderedPageBreak/>
              <w:t xml:space="preserve">PVN palielināšana presei un grāmatām, kas nav izdotas ES un OECD dalībvalstu vai kandidātvalstu oficiālajās valodās </w:t>
            </w:r>
          </w:p>
        </w:tc>
        <w:tc>
          <w:tcPr>
            <w:tcW w:w="860" w:type="pct"/>
            <w:tcBorders>
              <w:top w:val="nil"/>
              <w:left w:val="nil"/>
              <w:bottom w:val="single" w:sz="4" w:space="0" w:color="auto"/>
              <w:right w:val="single" w:sz="4" w:space="0" w:color="auto"/>
            </w:tcBorders>
            <w:vAlign w:val="center"/>
          </w:tcPr>
          <w:p w14:paraId="58A9BE82" w14:textId="77777777" w:rsidR="008B0630" w:rsidRPr="008B0630" w:rsidRDefault="008B0630" w:rsidP="008B0630">
            <w:pPr>
              <w:ind w:firstLine="0"/>
              <w:rPr>
                <w:rFonts w:cs="Times New Roman"/>
                <w:color w:val="000000"/>
                <w:sz w:val="18"/>
                <w:szCs w:val="18"/>
              </w:rPr>
            </w:pPr>
            <w:r w:rsidRPr="008B0630">
              <w:rPr>
                <w:rFonts w:cs="Times New Roman"/>
                <w:color w:val="000000"/>
                <w:sz w:val="18"/>
                <w:szCs w:val="18"/>
              </w:rPr>
              <w:t>PVN</w:t>
            </w:r>
          </w:p>
        </w:tc>
        <w:tc>
          <w:tcPr>
            <w:tcW w:w="782" w:type="pct"/>
            <w:tcBorders>
              <w:top w:val="nil"/>
              <w:left w:val="nil"/>
              <w:bottom w:val="single" w:sz="4" w:space="0" w:color="auto"/>
              <w:right w:val="single" w:sz="4" w:space="0" w:color="auto"/>
            </w:tcBorders>
            <w:vAlign w:val="center"/>
          </w:tcPr>
          <w:p w14:paraId="02FE566D" w14:textId="77777777" w:rsidR="008B0630" w:rsidRPr="008B0630" w:rsidRDefault="008B0630" w:rsidP="008B0630">
            <w:pPr>
              <w:jc w:val="right"/>
              <w:rPr>
                <w:rFonts w:cs="Times New Roman"/>
                <w:color w:val="000000"/>
                <w:sz w:val="18"/>
                <w:szCs w:val="18"/>
              </w:rPr>
            </w:pPr>
            <w:r w:rsidRPr="008B0630">
              <w:rPr>
                <w:rFonts w:cs="Times New Roman"/>
                <w:color w:val="000000"/>
                <w:sz w:val="18"/>
                <w:szCs w:val="18"/>
              </w:rPr>
              <w:t>1,0</w:t>
            </w:r>
          </w:p>
        </w:tc>
        <w:tc>
          <w:tcPr>
            <w:tcW w:w="786" w:type="pct"/>
            <w:tcBorders>
              <w:top w:val="nil"/>
              <w:left w:val="nil"/>
              <w:bottom w:val="single" w:sz="4" w:space="0" w:color="auto"/>
              <w:right w:val="single" w:sz="4" w:space="0" w:color="auto"/>
            </w:tcBorders>
            <w:vAlign w:val="center"/>
          </w:tcPr>
          <w:p w14:paraId="724634DD" w14:textId="77777777" w:rsidR="008B0630" w:rsidRPr="008B0630" w:rsidRDefault="008B0630" w:rsidP="008B0630">
            <w:pPr>
              <w:jc w:val="right"/>
              <w:rPr>
                <w:rFonts w:cs="Times New Roman"/>
                <w:color w:val="000000"/>
                <w:sz w:val="18"/>
                <w:szCs w:val="18"/>
              </w:rPr>
            </w:pPr>
            <w:r w:rsidRPr="008B0630">
              <w:rPr>
                <w:rFonts w:cs="Times New Roman"/>
                <w:color w:val="000000"/>
                <w:sz w:val="18"/>
                <w:szCs w:val="18"/>
              </w:rPr>
              <w:t>1,0</w:t>
            </w:r>
          </w:p>
        </w:tc>
        <w:tc>
          <w:tcPr>
            <w:tcW w:w="699" w:type="pct"/>
            <w:tcBorders>
              <w:top w:val="nil"/>
              <w:left w:val="nil"/>
              <w:bottom w:val="single" w:sz="4" w:space="0" w:color="auto"/>
              <w:right w:val="single" w:sz="4" w:space="0" w:color="auto"/>
            </w:tcBorders>
            <w:vAlign w:val="center"/>
          </w:tcPr>
          <w:p w14:paraId="0A66F502" w14:textId="77777777" w:rsidR="008B0630" w:rsidRPr="008B0630" w:rsidRDefault="008B0630" w:rsidP="008B0630">
            <w:pPr>
              <w:jc w:val="right"/>
              <w:rPr>
                <w:rFonts w:cs="Times New Roman"/>
                <w:color w:val="000000"/>
                <w:sz w:val="18"/>
                <w:szCs w:val="18"/>
              </w:rPr>
            </w:pPr>
            <w:r w:rsidRPr="008B0630">
              <w:rPr>
                <w:rFonts w:cs="Times New Roman"/>
                <w:color w:val="000000"/>
                <w:sz w:val="18"/>
                <w:szCs w:val="18"/>
              </w:rPr>
              <w:t>1,0</w:t>
            </w:r>
          </w:p>
        </w:tc>
      </w:tr>
      <w:tr w:rsidR="008B0630" w:rsidRPr="008B0630" w14:paraId="1484CDEC" w14:textId="77777777" w:rsidTr="00E03828">
        <w:trPr>
          <w:trHeight w:val="300"/>
        </w:trPr>
        <w:tc>
          <w:tcPr>
            <w:tcW w:w="1873" w:type="pct"/>
            <w:tcBorders>
              <w:top w:val="nil"/>
              <w:left w:val="single" w:sz="4" w:space="0" w:color="auto"/>
              <w:bottom w:val="single" w:sz="4" w:space="0" w:color="auto"/>
              <w:right w:val="single" w:sz="4" w:space="0" w:color="auto"/>
            </w:tcBorders>
            <w:vAlign w:val="center"/>
          </w:tcPr>
          <w:p w14:paraId="53BECDFF" w14:textId="77777777" w:rsidR="008B0630" w:rsidRPr="008B0630" w:rsidRDefault="008B0630" w:rsidP="008B0630">
            <w:pPr>
              <w:ind w:firstLine="0"/>
              <w:jc w:val="left"/>
              <w:rPr>
                <w:rFonts w:cs="Times New Roman"/>
                <w:color w:val="000000"/>
                <w:sz w:val="18"/>
                <w:szCs w:val="18"/>
              </w:rPr>
            </w:pPr>
            <w:r w:rsidRPr="008B0630">
              <w:rPr>
                <w:rFonts w:cs="Times New Roman"/>
                <w:color w:val="000000"/>
                <w:sz w:val="18"/>
                <w:szCs w:val="18"/>
              </w:rPr>
              <w:t>Ar 2026. gada 1. jūliju līdz 2027. gada 30. jūnijam PVN samazinātās likmes 12% apmērā piemērošana maizes, piena, mājputnu gaļas un olu piegādēm</w:t>
            </w:r>
          </w:p>
        </w:tc>
        <w:tc>
          <w:tcPr>
            <w:tcW w:w="860" w:type="pct"/>
            <w:tcBorders>
              <w:top w:val="nil"/>
              <w:left w:val="nil"/>
              <w:bottom w:val="single" w:sz="4" w:space="0" w:color="auto"/>
              <w:right w:val="single" w:sz="4" w:space="0" w:color="auto"/>
            </w:tcBorders>
            <w:vAlign w:val="center"/>
          </w:tcPr>
          <w:p w14:paraId="59F187FA" w14:textId="77777777" w:rsidR="008B0630" w:rsidRPr="008B0630" w:rsidRDefault="008B0630" w:rsidP="008B0630">
            <w:pPr>
              <w:ind w:firstLine="0"/>
              <w:rPr>
                <w:rFonts w:cs="Times New Roman"/>
                <w:color w:val="000000"/>
                <w:sz w:val="18"/>
                <w:szCs w:val="18"/>
              </w:rPr>
            </w:pPr>
            <w:r w:rsidRPr="008B0630">
              <w:rPr>
                <w:rFonts w:cs="Times New Roman"/>
                <w:color w:val="000000"/>
                <w:sz w:val="18"/>
                <w:szCs w:val="18"/>
              </w:rPr>
              <w:t>PVN</w:t>
            </w:r>
          </w:p>
        </w:tc>
        <w:tc>
          <w:tcPr>
            <w:tcW w:w="782" w:type="pct"/>
            <w:tcBorders>
              <w:top w:val="nil"/>
              <w:left w:val="nil"/>
              <w:bottom w:val="single" w:sz="4" w:space="0" w:color="auto"/>
              <w:right w:val="single" w:sz="4" w:space="0" w:color="auto"/>
            </w:tcBorders>
            <w:vAlign w:val="center"/>
          </w:tcPr>
          <w:p w14:paraId="21FA6195" w14:textId="77777777" w:rsidR="008B0630" w:rsidRPr="008B0630" w:rsidRDefault="008B0630" w:rsidP="008B0630">
            <w:pPr>
              <w:jc w:val="right"/>
              <w:rPr>
                <w:rFonts w:cs="Times New Roman"/>
                <w:color w:val="000000"/>
                <w:sz w:val="18"/>
                <w:szCs w:val="18"/>
              </w:rPr>
            </w:pPr>
            <w:r w:rsidRPr="008B0630">
              <w:rPr>
                <w:rFonts w:cs="Times New Roman"/>
                <w:color w:val="000000"/>
                <w:sz w:val="18"/>
                <w:szCs w:val="18"/>
              </w:rPr>
              <w:t>-15,0</w:t>
            </w:r>
          </w:p>
        </w:tc>
        <w:tc>
          <w:tcPr>
            <w:tcW w:w="786" w:type="pct"/>
            <w:tcBorders>
              <w:top w:val="nil"/>
              <w:left w:val="nil"/>
              <w:bottom w:val="single" w:sz="4" w:space="0" w:color="auto"/>
              <w:right w:val="single" w:sz="4" w:space="0" w:color="auto"/>
            </w:tcBorders>
            <w:vAlign w:val="center"/>
          </w:tcPr>
          <w:p w14:paraId="1D7E49DA" w14:textId="77777777" w:rsidR="008B0630" w:rsidRPr="008B0630" w:rsidRDefault="008B0630" w:rsidP="008B0630">
            <w:pPr>
              <w:jc w:val="right"/>
              <w:rPr>
                <w:rFonts w:cs="Times New Roman"/>
                <w:i/>
                <w:iCs/>
                <w:color w:val="000000"/>
                <w:sz w:val="18"/>
                <w:szCs w:val="18"/>
              </w:rPr>
            </w:pPr>
            <w:r w:rsidRPr="008B0630">
              <w:rPr>
                <w:rFonts w:cs="Times New Roman"/>
                <w:color w:val="000000"/>
                <w:sz w:val="18"/>
                <w:szCs w:val="18"/>
              </w:rPr>
              <w:t>-16,4</w:t>
            </w:r>
          </w:p>
        </w:tc>
        <w:tc>
          <w:tcPr>
            <w:tcW w:w="699" w:type="pct"/>
            <w:tcBorders>
              <w:top w:val="nil"/>
              <w:left w:val="nil"/>
              <w:bottom w:val="single" w:sz="4" w:space="0" w:color="auto"/>
              <w:right w:val="single" w:sz="4" w:space="0" w:color="auto"/>
            </w:tcBorders>
            <w:vAlign w:val="center"/>
          </w:tcPr>
          <w:p w14:paraId="10E3F6EE" w14:textId="77777777" w:rsidR="008B0630" w:rsidRPr="008B0630" w:rsidRDefault="008B0630" w:rsidP="008B0630">
            <w:pPr>
              <w:jc w:val="right"/>
              <w:rPr>
                <w:rFonts w:cs="Times New Roman"/>
                <w:color w:val="000000"/>
                <w:sz w:val="18"/>
                <w:szCs w:val="18"/>
              </w:rPr>
            </w:pPr>
          </w:p>
        </w:tc>
      </w:tr>
      <w:tr w:rsidR="008B0630" w:rsidRPr="008B0630" w14:paraId="4CA087E7" w14:textId="77777777" w:rsidTr="00E03828">
        <w:trPr>
          <w:trHeight w:val="300"/>
        </w:trPr>
        <w:tc>
          <w:tcPr>
            <w:tcW w:w="1873" w:type="pct"/>
            <w:vMerge w:val="restart"/>
            <w:tcBorders>
              <w:top w:val="nil"/>
              <w:left w:val="single" w:sz="4" w:space="0" w:color="auto"/>
              <w:right w:val="single" w:sz="4" w:space="0" w:color="auto"/>
            </w:tcBorders>
            <w:vAlign w:val="center"/>
            <w:hideMark/>
          </w:tcPr>
          <w:p w14:paraId="45DC98D2" w14:textId="77777777" w:rsidR="008B0630" w:rsidRPr="008B0630" w:rsidRDefault="008B0630" w:rsidP="008B0630">
            <w:pPr>
              <w:ind w:firstLine="0"/>
              <w:jc w:val="left"/>
              <w:rPr>
                <w:rFonts w:cs="Times New Roman"/>
                <w:color w:val="000000"/>
                <w:sz w:val="18"/>
                <w:szCs w:val="18"/>
              </w:rPr>
            </w:pPr>
            <w:r w:rsidRPr="008B0630">
              <w:rPr>
                <w:rFonts w:cs="Times New Roman"/>
                <w:color w:val="000000"/>
                <w:sz w:val="18"/>
                <w:szCs w:val="18"/>
              </w:rPr>
              <w:t>Valstij dividendēs izmaksājamās daļas palielināšana līdz 90% (atsevišķi lēmumi attiecībā uz lielākajām valsts kapitālsabiedrībām)</w:t>
            </w:r>
          </w:p>
        </w:tc>
        <w:tc>
          <w:tcPr>
            <w:tcW w:w="860" w:type="pct"/>
            <w:tcBorders>
              <w:top w:val="nil"/>
              <w:left w:val="nil"/>
              <w:bottom w:val="single" w:sz="4" w:space="0" w:color="auto"/>
              <w:right w:val="single" w:sz="4" w:space="0" w:color="auto"/>
            </w:tcBorders>
            <w:vAlign w:val="center"/>
            <w:hideMark/>
          </w:tcPr>
          <w:p w14:paraId="3ADF9212" w14:textId="77777777" w:rsidR="008B0630" w:rsidRPr="008B0630" w:rsidRDefault="008B0630" w:rsidP="008B0630">
            <w:pPr>
              <w:ind w:firstLine="0"/>
              <w:rPr>
                <w:rFonts w:cs="Times New Roman"/>
                <w:color w:val="000000"/>
                <w:sz w:val="18"/>
                <w:szCs w:val="18"/>
              </w:rPr>
            </w:pPr>
            <w:r w:rsidRPr="008B0630">
              <w:rPr>
                <w:rFonts w:eastAsia="Times New Roman" w:cs="Times New Roman"/>
                <w:color w:val="000000"/>
                <w:sz w:val="18"/>
                <w:szCs w:val="18"/>
              </w:rPr>
              <w:t>Kopā, t.sk.:</w:t>
            </w:r>
          </w:p>
        </w:tc>
        <w:tc>
          <w:tcPr>
            <w:tcW w:w="782" w:type="pct"/>
            <w:tcBorders>
              <w:top w:val="nil"/>
              <w:left w:val="nil"/>
              <w:bottom w:val="single" w:sz="4" w:space="0" w:color="auto"/>
              <w:right w:val="single" w:sz="4" w:space="0" w:color="auto"/>
            </w:tcBorders>
            <w:vAlign w:val="center"/>
            <w:hideMark/>
          </w:tcPr>
          <w:p w14:paraId="2DF397F4" w14:textId="77777777" w:rsidR="008B0630" w:rsidRPr="008B0630" w:rsidRDefault="008B0630" w:rsidP="008B0630">
            <w:pPr>
              <w:jc w:val="right"/>
              <w:rPr>
                <w:rFonts w:cs="Times New Roman"/>
                <w:color w:val="000000"/>
                <w:sz w:val="18"/>
                <w:szCs w:val="18"/>
              </w:rPr>
            </w:pPr>
            <w:r w:rsidRPr="008B0630">
              <w:rPr>
                <w:rFonts w:eastAsia="Times New Roman" w:cs="Times New Roman"/>
                <w:color w:val="000000"/>
                <w:sz w:val="18"/>
                <w:szCs w:val="18"/>
              </w:rPr>
              <w:t>62,0</w:t>
            </w:r>
          </w:p>
        </w:tc>
        <w:tc>
          <w:tcPr>
            <w:tcW w:w="786" w:type="pct"/>
            <w:tcBorders>
              <w:top w:val="nil"/>
              <w:left w:val="nil"/>
              <w:bottom w:val="single" w:sz="4" w:space="0" w:color="auto"/>
              <w:right w:val="single" w:sz="4" w:space="0" w:color="auto"/>
            </w:tcBorders>
            <w:vAlign w:val="center"/>
            <w:hideMark/>
          </w:tcPr>
          <w:p w14:paraId="75193631" w14:textId="77777777" w:rsidR="008B0630" w:rsidRPr="008B0630" w:rsidRDefault="008B0630" w:rsidP="008B0630">
            <w:pPr>
              <w:jc w:val="right"/>
              <w:rPr>
                <w:rFonts w:cs="Times New Roman"/>
                <w:color w:val="000000"/>
                <w:sz w:val="18"/>
                <w:szCs w:val="18"/>
              </w:rPr>
            </w:pPr>
            <w:r w:rsidRPr="008B0630">
              <w:rPr>
                <w:rFonts w:eastAsia="Times New Roman" w:cs="Times New Roman"/>
                <w:color w:val="000000"/>
                <w:sz w:val="18"/>
                <w:szCs w:val="18"/>
              </w:rPr>
              <w:t>85,5</w:t>
            </w:r>
          </w:p>
        </w:tc>
        <w:tc>
          <w:tcPr>
            <w:tcW w:w="699" w:type="pct"/>
            <w:tcBorders>
              <w:top w:val="nil"/>
              <w:left w:val="nil"/>
              <w:bottom w:val="single" w:sz="4" w:space="0" w:color="auto"/>
              <w:right w:val="single" w:sz="4" w:space="0" w:color="auto"/>
            </w:tcBorders>
            <w:vAlign w:val="center"/>
            <w:hideMark/>
          </w:tcPr>
          <w:p w14:paraId="6340EBBC" w14:textId="77777777" w:rsidR="008B0630" w:rsidRPr="008B0630" w:rsidRDefault="008B0630" w:rsidP="008B0630">
            <w:pPr>
              <w:ind w:firstLine="0"/>
              <w:jc w:val="right"/>
              <w:rPr>
                <w:rFonts w:cs="Times New Roman"/>
                <w:i/>
                <w:iCs/>
                <w:color w:val="000000"/>
                <w:sz w:val="18"/>
                <w:szCs w:val="18"/>
              </w:rPr>
            </w:pPr>
            <w:r w:rsidRPr="008B0630">
              <w:rPr>
                <w:rFonts w:eastAsia="Times New Roman" w:cs="Times New Roman"/>
                <w:i/>
                <w:iCs/>
                <w:color w:val="000000"/>
                <w:sz w:val="18"/>
                <w:szCs w:val="18"/>
              </w:rPr>
              <w:t>81,4</w:t>
            </w:r>
          </w:p>
        </w:tc>
      </w:tr>
      <w:tr w:rsidR="008B0630" w:rsidRPr="008B0630" w14:paraId="7E74A054" w14:textId="77777777" w:rsidTr="00E03828">
        <w:trPr>
          <w:trHeight w:val="300"/>
        </w:trPr>
        <w:tc>
          <w:tcPr>
            <w:tcW w:w="1873" w:type="pct"/>
            <w:vMerge/>
            <w:tcBorders>
              <w:left w:val="single" w:sz="4" w:space="0" w:color="auto"/>
              <w:right w:val="single" w:sz="4" w:space="0" w:color="auto"/>
            </w:tcBorders>
            <w:vAlign w:val="center"/>
          </w:tcPr>
          <w:p w14:paraId="458A8561" w14:textId="77777777" w:rsidR="008B0630" w:rsidRPr="008B0630" w:rsidRDefault="008B0630" w:rsidP="008B0630">
            <w:pPr>
              <w:ind w:firstLine="0"/>
              <w:jc w:val="left"/>
              <w:rPr>
                <w:rFonts w:cs="Times New Roman"/>
                <w:color w:val="000000"/>
                <w:sz w:val="18"/>
                <w:szCs w:val="18"/>
              </w:rPr>
            </w:pPr>
          </w:p>
        </w:tc>
        <w:tc>
          <w:tcPr>
            <w:tcW w:w="860" w:type="pct"/>
            <w:tcBorders>
              <w:top w:val="nil"/>
              <w:left w:val="nil"/>
              <w:bottom w:val="single" w:sz="4" w:space="0" w:color="auto"/>
              <w:right w:val="single" w:sz="4" w:space="0" w:color="auto"/>
            </w:tcBorders>
            <w:vAlign w:val="center"/>
          </w:tcPr>
          <w:p w14:paraId="6E2BB99F" w14:textId="77777777" w:rsidR="008B0630" w:rsidRPr="008B0630" w:rsidRDefault="008B0630" w:rsidP="008B0630">
            <w:pPr>
              <w:ind w:firstLine="0"/>
              <w:rPr>
                <w:rFonts w:cs="Times New Roman"/>
                <w:i/>
                <w:iCs/>
                <w:color w:val="000000"/>
                <w:sz w:val="18"/>
                <w:szCs w:val="18"/>
              </w:rPr>
            </w:pPr>
            <w:r w:rsidRPr="008B0630">
              <w:rPr>
                <w:rFonts w:cs="Times New Roman"/>
                <w:i/>
                <w:iCs/>
                <w:color w:val="000000"/>
                <w:sz w:val="18"/>
                <w:szCs w:val="18"/>
              </w:rPr>
              <w:t>Nenodokļi</w:t>
            </w:r>
          </w:p>
        </w:tc>
        <w:tc>
          <w:tcPr>
            <w:tcW w:w="782" w:type="pct"/>
            <w:tcBorders>
              <w:top w:val="nil"/>
              <w:left w:val="nil"/>
              <w:bottom w:val="single" w:sz="4" w:space="0" w:color="auto"/>
              <w:right w:val="single" w:sz="4" w:space="0" w:color="auto"/>
            </w:tcBorders>
            <w:vAlign w:val="center"/>
          </w:tcPr>
          <w:p w14:paraId="1E7CEB5F" w14:textId="77777777" w:rsidR="008B0630" w:rsidRPr="008B0630" w:rsidRDefault="008B0630" w:rsidP="008B0630">
            <w:pPr>
              <w:jc w:val="right"/>
              <w:rPr>
                <w:rFonts w:cs="Times New Roman"/>
                <w:i/>
                <w:iCs/>
                <w:color w:val="000000"/>
                <w:sz w:val="18"/>
                <w:szCs w:val="18"/>
              </w:rPr>
            </w:pPr>
            <w:r w:rsidRPr="008B0630">
              <w:rPr>
                <w:rFonts w:eastAsia="Times New Roman" w:cs="Times New Roman"/>
                <w:i/>
                <w:iCs/>
                <w:color w:val="000000"/>
                <w:sz w:val="18"/>
                <w:szCs w:val="18"/>
              </w:rPr>
              <w:t>49,6</w:t>
            </w:r>
          </w:p>
        </w:tc>
        <w:tc>
          <w:tcPr>
            <w:tcW w:w="786" w:type="pct"/>
            <w:tcBorders>
              <w:top w:val="nil"/>
              <w:left w:val="nil"/>
              <w:bottom w:val="single" w:sz="4" w:space="0" w:color="auto"/>
              <w:right w:val="single" w:sz="4" w:space="0" w:color="auto"/>
            </w:tcBorders>
            <w:vAlign w:val="center"/>
          </w:tcPr>
          <w:p w14:paraId="395E507D" w14:textId="77777777" w:rsidR="008B0630" w:rsidRPr="008B0630" w:rsidRDefault="008B0630" w:rsidP="008B0630">
            <w:pPr>
              <w:jc w:val="right"/>
              <w:rPr>
                <w:rFonts w:cs="Times New Roman"/>
                <w:i/>
                <w:iCs/>
                <w:color w:val="000000"/>
                <w:sz w:val="18"/>
                <w:szCs w:val="18"/>
              </w:rPr>
            </w:pPr>
            <w:r w:rsidRPr="008B0630">
              <w:rPr>
                <w:rFonts w:eastAsia="Times New Roman" w:cs="Times New Roman"/>
                <w:i/>
                <w:iCs/>
                <w:color w:val="000000"/>
                <w:sz w:val="18"/>
                <w:szCs w:val="18"/>
              </w:rPr>
              <w:t>68,4</w:t>
            </w:r>
          </w:p>
        </w:tc>
        <w:tc>
          <w:tcPr>
            <w:tcW w:w="699" w:type="pct"/>
            <w:tcBorders>
              <w:top w:val="nil"/>
              <w:left w:val="nil"/>
              <w:bottom w:val="single" w:sz="4" w:space="0" w:color="auto"/>
              <w:right w:val="single" w:sz="4" w:space="0" w:color="auto"/>
            </w:tcBorders>
            <w:vAlign w:val="center"/>
          </w:tcPr>
          <w:p w14:paraId="72428EFE" w14:textId="77777777" w:rsidR="008B0630" w:rsidRPr="008B0630" w:rsidRDefault="008B0630" w:rsidP="008B0630">
            <w:pPr>
              <w:ind w:firstLine="0"/>
              <w:jc w:val="right"/>
              <w:rPr>
                <w:rFonts w:cs="Times New Roman"/>
                <w:i/>
                <w:iCs/>
                <w:color w:val="000000"/>
                <w:sz w:val="18"/>
                <w:szCs w:val="18"/>
              </w:rPr>
            </w:pPr>
            <w:r w:rsidRPr="008B0630">
              <w:rPr>
                <w:rFonts w:eastAsia="Times New Roman" w:cs="Times New Roman"/>
                <w:i/>
                <w:iCs/>
                <w:color w:val="000000"/>
                <w:sz w:val="18"/>
                <w:szCs w:val="18"/>
              </w:rPr>
              <w:t>65,1</w:t>
            </w:r>
          </w:p>
        </w:tc>
      </w:tr>
      <w:tr w:rsidR="008B0630" w:rsidRPr="008B0630" w14:paraId="67B07010" w14:textId="77777777" w:rsidTr="00E03828">
        <w:trPr>
          <w:trHeight w:val="300"/>
        </w:trPr>
        <w:tc>
          <w:tcPr>
            <w:tcW w:w="1873" w:type="pct"/>
            <w:vMerge/>
            <w:tcBorders>
              <w:left w:val="single" w:sz="4" w:space="0" w:color="auto"/>
              <w:bottom w:val="single" w:sz="4" w:space="0" w:color="auto"/>
              <w:right w:val="single" w:sz="4" w:space="0" w:color="auto"/>
            </w:tcBorders>
            <w:vAlign w:val="center"/>
          </w:tcPr>
          <w:p w14:paraId="5B37B2AC" w14:textId="77777777" w:rsidR="008B0630" w:rsidRPr="008B0630" w:rsidRDefault="008B0630" w:rsidP="008B0630">
            <w:pPr>
              <w:ind w:firstLine="0"/>
              <w:jc w:val="left"/>
              <w:rPr>
                <w:rFonts w:cs="Times New Roman"/>
                <w:color w:val="000000"/>
                <w:sz w:val="18"/>
                <w:szCs w:val="18"/>
              </w:rPr>
            </w:pPr>
          </w:p>
        </w:tc>
        <w:tc>
          <w:tcPr>
            <w:tcW w:w="860" w:type="pct"/>
            <w:tcBorders>
              <w:top w:val="nil"/>
              <w:left w:val="nil"/>
              <w:bottom w:val="single" w:sz="4" w:space="0" w:color="auto"/>
              <w:right w:val="single" w:sz="4" w:space="0" w:color="auto"/>
            </w:tcBorders>
            <w:vAlign w:val="center"/>
          </w:tcPr>
          <w:p w14:paraId="02CE4994" w14:textId="77777777" w:rsidR="008B0630" w:rsidRPr="008B0630" w:rsidRDefault="008B0630" w:rsidP="008B0630">
            <w:pPr>
              <w:ind w:firstLine="0"/>
              <w:rPr>
                <w:rFonts w:cs="Times New Roman"/>
                <w:i/>
                <w:iCs/>
                <w:color w:val="000000"/>
                <w:sz w:val="18"/>
                <w:szCs w:val="18"/>
              </w:rPr>
            </w:pPr>
            <w:r w:rsidRPr="008B0630">
              <w:rPr>
                <w:rFonts w:eastAsia="Times New Roman" w:cs="Times New Roman"/>
                <w:i/>
                <w:iCs/>
                <w:color w:val="000000"/>
                <w:sz w:val="18"/>
                <w:szCs w:val="18"/>
              </w:rPr>
              <w:t>UIN</w:t>
            </w:r>
          </w:p>
        </w:tc>
        <w:tc>
          <w:tcPr>
            <w:tcW w:w="782" w:type="pct"/>
            <w:tcBorders>
              <w:top w:val="nil"/>
              <w:left w:val="nil"/>
              <w:bottom w:val="single" w:sz="4" w:space="0" w:color="auto"/>
              <w:right w:val="single" w:sz="4" w:space="0" w:color="auto"/>
            </w:tcBorders>
            <w:vAlign w:val="center"/>
          </w:tcPr>
          <w:p w14:paraId="3EE9651E" w14:textId="77777777" w:rsidR="008B0630" w:rsidRPr="008B0630" w:rsidRDefault="008B0630" w:rsidP="008B0630">
            <w:pPr>
              <w:jc w:val="right"/>
              <w:rPr>
                <w:rFonts w:cs="Times New Roman"/>
                <w:i/>
                <w:iCs/>
                <w:color w:val="000000"/>
                <w:sz w:val="18"/>
                <w:szCs w:val="18"/>
              </w:rPr>
            </w:pPr>
            <w:r w:rsidRPr="008B0630">
              <w:rPr>
                <w:rFonts w:eastAsia="Times New Roman" w:cs="Times New Roman"/>
                <w:i/>
                <w:iCs/>
                <w:color w:val="000000"/>
                <w:sz w:val="18"/>
                <w:szCs w:val="18"/>
              </w:rPr>
              <w:t>12,4</w:t>
            </w:r>
          </w:p>
        </w:tc>
        <w:tc>
          <w:tcPr>
            <w:tcW w:w="786" w:type="pct"/>
            <w:tcBorders>
              <w:top w:val="nil"/>
              <w:left w:val="nil"/>
              <w:bottom w:val="single" w:sz="4" w:space="0" w:color="auto"/>
              <w:right w:val="single" w:sz="4" w:space="0" w:color="auto"/>
            </w:tcBorders>
            <w:vAlign w:val="center"/>
          </w:tcPr>
          <w:p w14:paraId="1AD90C24" w14:textId="77777777" w:rsidR="008B0630" w:rsidRPr="008B0630" w:rsidRDefault="008B0630" w:rsidP="008B0630">
            <w:pPr>
              <w:jc w:val="right"/>
              <w:rPr>
                <w:rFonts w:cs="Times New Roman"/>
                <w:i/>
                <w:iCs/>
                <w:color w:val="000000"/>
                <w:sz w:val="18"/>
                <w:szCs w:val="18"/>
              </w:rPr>
            </w:pPr>
            <w:r w:rsidRPr="008B0630">
              <w:rPr>
                <w:rFonts w:eastAsia="Times New Roman" w:cs="Times New Roman"/>
                <w:i/>
                <w:iCs/>
                <w:color w:val="000000"/>
                <w:sz w:val="18"/>
                <w:szCs w:val="18"/>
              </w:rPr>
              <w:t>17,1</w:t>
            </w:r>
          </w:p>
        </w:tc>
        <w:tc>
          <w:tcPr>
            <w:tcW w:w="699" w:type="pct"/>
            <w:tcBorders>
              <w:top w:val="nil"/>
              <w:left w:val="nil"/>
              <w:bottom w:val="single" w:sz="4" w:space="0" w:color="auto"/>
              <w:right w:val="single" w:sz="4" w:space="0" w:color="auto"/>
            </w:tcBorders>
            <w:vAlign w:val="center"/>
          </w:tcPr>
          <w:p w14:paraId="13B37C33" w14:textId="77777777" w:rsidR="008B0630" w:rsidRPr="008B0630" w:rsidRDefault="008B0630" w:rsidP="008B0630">
            <w:pPr>
              <w:ind w:firstLine="0"/>
              <w:jc w:val="right"/>
              <w:rPr>
                <w:rFonts w:cs="Times New Roman"/>
                <w:i/>
                <w:iCs/>
                <w:color w:val="000000"/>
                <w:sz w:val="18"/>
                <w:szCs w:val="18"/>
              </w:rPr>
            </w:pPr>
            <w:r w:rsidRPr="008B0630">
              <w:rPr>
                <w:rFonts w:eastAsia="Times New Roman" w:cs="Times New Roman"/>
                <w:i/>
                <w:iCs/>
                <w:color w:val="000000"/>
                <w:sz w:val="18"/>
                <w:szCs w:val="18"/>
              </w:rPr>
              <w:t>16,3</w:t>
            </w:r>
          </w:p>
        </w:tc>
      </w:tr>
      <w:tr w:rsidR="008B0630" w:rsidRPr="008B0630" w14:paraId="3ABE7F82" w14:textId="77777777" w:rsidTr="00E03828">
        <w:trPr>
          <w:trHeight w:val="327"/>
        </w:trPr>
        <w:tc>
          <w:tcPr>
            <w:tcW w:w="1873" w:type="pct"/>
            <w:tcBorders>
              <w:top w:val="nil"/>
              <w:left w:val="single" w:sz="4" w:space="0" w:color="auto"/>
              <w:bottom w:val="single" w:sz="4" w:space="0" w:color="auto"/>
              <w:right w:val="single" w:sz="4" w:space="0" w:color="auto"/>
            </w:tcBorders>
            <w:vAlign w:val="center"/>
          </w:tcPr>
          <w:p w14:paraId="76C81736" w14:textId="1F7223B8" w:rsidR="008B0630" w:rsidRPr="008B0630" w:rsidRDefault="008B0630" w:rsidP="008B0630">
            <w:pPr>
              <w:ind w:firstLine="0"/>
              <w:jc w:val="left"/>
              <w:rPr>
                <w:rFonts w:cs="Times New Roman"/>
                <w:color w:val="000000"/>
                <w:sz w:val="18"/>
                <w:szCs w:val="18"/>
              </w:rPr>
            </w:pPr>
            <w:r w:rsidRPr="008B0630">
              <w:rPr>
                <w:rFonts w:cs="Times New Roman"/>
                <w:color w:val="000000"/>
                <w:sz w:val="18"/>
                <w:szCs w:val="18"/>
              </w:rPr>
              <w:t xml:space="preserve">Papildu ieņēmumi no </w:t>
            </w:r>
            <w:r w:rsidR="00D02386">
              <w:rPr>
                <w:rFonts w:cs="Times New Roman"/>
                <w:color w:val="000000"/>
                <w:sz w:val="18"/>
                <w:szCs w:val="18"/>
              </w:rPr>
              <w:t xml:space="preserve">AS </w:t>
            </w:r>
            <w:r w:rsidRPr="00571465">
              <w:rPr>
                <w:rFonts w:cs="Times New Roman"/>
                <w:color w:val="000000"/>
                <w:sz w:val="18"/>
                <w:szCs w:val="18"/>
              </w:rPr>
              <w:t>LVM</w:t>
            </w:r>
            <w:r w:rsidRPr="008B0630">
              <w:rPr>
                <w:rFonts w:cs="Times New Roman"/>
                <w:color w:val="000000"/>
                <w:sz w:val="18"/>
                <w:szCs w:val="18"/>
              </w:rPr>
              <w:t xml:space="preserve"> atsavinātajiem kokiem (aizsardzības infrastruktūras projektu īstenošanas rezultātā)</w:t>
            </w:r>
          </w:p>
        </w:tc>
        <w:tc>
          <w:tcPr>
            <w:tcW w:w="860" w:type="pct"/>
            <w:tcBorders>
              <w:top w:val="nil"/>
              <w:left w:val="nil"/>
              <w:bottom w:val="single" w:sz="4" w:space="0" w:color="auto"/>
              <w:right w:val="single" w:sz="4" w:space="0" w:color="auto"/>
            </w:tcBorders>
            <w:vAlign w:val="center"/>
          </w:tcPr>
          <w:p w14:paraId="752F670E" w14:textId="77777777" w:rsidR="008B0630" w:rsidRPr="008B0630" w:rsidRDefault="008B0630" w:rsidP="008B0630">
            <w:pPr>
              <w:ind w:firstLine="0"/>
              <w:rPr>
                <w:rFonts w:cs="Times New Roman"/>
                <w:color w:val="000000"/>
                <w:sz w:val="18"/>
                <w:szCs w:val="18"/>
              </w:rPr>
            </w:pPr>
            <w:r w:rsidRPr="008B0630">
              <w:rPr>
                <w:rFonts w:cs="Times New Roman"/>
                <w:color w:val="000000"/>
                <w:sz w:val="18"/>
                <w:szCs w:val="18"/>
              </w:rPr>
              <w:t>Nenodokļi</w:t>
            </w:r>
          </w:p>
        </w:tc>
        <w:tc>
          <w:tcPr>
            <w:tcW w:w="782" w:type="pct"/>
            <w:tcBorders>
              <w:top w:val="nil"/>
              <w:left w:val="nil"/>
              <w:bottom w:val="single" w:sz="4" w:space="0" w:color="auto"/>
              <w:right w:val="single" w:sz="4" w:space="0" w:color="auto"/>
            </w:tcBorders>
            <w:vAlign w:val="center"/>
          </w:tcPr>
          <w:p w14:paraId="3691686A" w14:textId="77777777" w:rsidR="008B0630" w:rsidRPr="008B0630" w:rsidRDefault="008B0630" w:rsidP="008B0630">
            <w:pPr>
              <w:jc w:val="center"/>
              <w:rPr>
                <w:rFonts w:cs="Times New Roman"/>
                <w:color w:val="000000"/>
                <w:sz w:val="18"/>
                <w:szCs w:val="18"/>
              </w:rPr>
            </w:pPr>
            <w:r w:rsidRPr="008B0630">
              <w:rPr>
                <w:rFonts w:cs="Times New Roman"/>
                <w:color w:val="000000"/>
                <w:sz w:val="18"/>
                <w:szCs w:val="18"/>
              </w:rPr>
              <w:t>2,7</w:t>
            </w:r>
          </w:p>
        </w:tc>
        <w:tc>
          <w:tcPr>
            <w:tcW w:w="786" w:type="pct"/>
            <w:tcBorders>
              <w:top w:val="nil"/>
              <w:left w:val="nil"/>
              <w:bottom w:val="single" w:sz="4" w:space="0" w:color="auto"/>
              <w:right w:val="single" w:sz="4" w:space="0" w:color="auto"/>
            </w:tcBorders>
            <w:vAlign w:val="center"/>
          </w:tcPr>
          <w:p w14:paraId="035F8CBE" w14:textId="77777777" w:rsidR="008B0630" w:rsidRPr="008B0630" w:rsidRDefault="008B0630" w:rsidP="008B0630">
            <w:pPr>
              <w:jc w:val="center"/>
              <w:rPr>
                <w:rFonts w:cs="Times New Roman"/>
                <w:color w:val="000000"/>
                <w:sz w:val="18"/>
                <w:szCs w:val="18"/>
              </w:rPr>
            </w:pPr>
            <w:r w:rsidRPr="008B0630">
              <w:rPr>
                <w:rFonts w:cs="Times New Roman"/>
                <w:color w:val="000000"/>
                <w:sz w:val="18"/>
                <w:szCs w:val="18"/>
              </w:rPr>
              <w:t>2,7</w:t>
            </w:r>
          </w:p>
        </w:tc>
        <w:tc>
          <w:tcPr>
            <w:tcW w:w="699" w:type="pct"/>
            <w:tcBorders>
              <w:top w:val="nil"/>
              <w:left w:val="nil"/>
              <w:bottom w:val="single" w:sz="4" w:space="0" w:color="auto"/>
              <w:right w:val="single" w:sz="4" w:space="0" w:color="auto"/>
            </w:tcBorders>
            <w:vAlign w:val="center"/>
          </w:tcPr>
          <w:p w14:paraId="03A70D86" w14:textId="77777777" w:rsidR="008B0630" w:rsidRPr="008B0630" w:rsidRDefault="008B0630" w:rsidP="008B0630">
            <w:pPr>
              <w:jc w:val="right"/>
              <w:rPr>
                <w:rFonts w:cs="Times New Roman"/>
                <w:color w:val="000000"/>
                <w:sz w:val="18"/>
                <w:szCs w:val="18"/>
              </w:rPr>
            </w:pPr>
            <w:r w:rsidRPr="008B0630">
              <w:rPr>
                <w:rFonts w:cs="Times New Roman"/>
                <w:color w:val="000000"/>
                <w:sz w:val="18"/>
                <w:szCs w:val="18"/>
              </w:rPr>
              <w:t>2,7</w:t>
            </w:r>
          </w:p>
        </w:tc>
      </w:tr>
      <w:tr w:rsidR="008B0630" w:rsidRPr="008B0630" w14:paraId="175DA1C2" w14:textId="77777777" w:rsidTr="00E03828">
        <w:trPr>
          <w:trHeight w:val="327"/>
        </w:trPr>
        <w:tc>
          <w:tcPr>
            <w:tcW w:w="1873" w:type="pct"/>
            <w:tcBorders>
              <w:top w:val="nil"/>
              <w:left w:val="single" w:sz="4" w:space="0" w:color="auto"/>
              <w:bottom w:val="single" w:sz="4" w:space="0" w:color="auto"/>
              <w:right w:val="single" w:sz="4" w:space="0" w:color="auto"/>
            </w:tcBorders>
            <w:vAlign w:val="center"/>
          </w:tcPr>
          <w:p w14:paraId="392E700D" w14:textId="77777777" w:rsidR="008B0630" w:rsidRPr="008B0630" w:rsidRDefault="008B0630" w:rsidP="008B0630">
            <w:pPr>
              <w:ind w:firstLine="0"/>
              <w:jc w:val="left"/>
              <w:rPr>
                <w:rFonts w:cs="Times New Roman"/>
                <w:color w:val="000000"/>
                <w:sz w:val="18"/>
                <w:szCs w:val="18"/>
              </w:rPr>
            </w:pPr>
            <w:r w:rsidRPr="008B0630">
              <w:rPr>
                <w:rFonts w:cs="Times New Roman"/>
                <w:color w:val="000000"/>
                <w:sz w:val="18"/>
                <w:szCs w:val="18"/>
              </w:rPr>
              <w:t>Valsts pamatbudžeta ieņēmumu palielināšana no naudas sodiem, ko uzliek Valsts robežsardze</w:t>
            </w:r>
          </w:p>
        </w:tc>
        <w:tc>
          <w:tcPr>
            <w:tcW w:w="860" w:type="pct"/>
            <w:tcBorders>
              <w:top w:val="nil"/>
              <w:left w:val="nil"/>
              <w:bottom w:val="single" w:sz="4" w:space="0" w:color="auto"/>
              <w:right w:val="single" w:sz="4" w:space="0" w:color="auto"/>
            </w:tcBorders>
            <w:vAlign w:val="center"/>
          </w:tcPr>
          <w:p w14:paraId="458D63AF" w14:textId="77777777" w:rsidR="008B0630" w:rsidRPr="008B0630" w:rsidRDefault="008B0630" w:rsidP="008B0630">
            <w:pPr>
              <w:ind w:firstLine="0"/>
              <w:rPr>
                <w:rFonts w:cs="Times New Roman"/>
                <w:color w:val="000000"/>
                <w:sz w:val="18"/>
                <w:szCs w:val="18"/>
              </w:rPr>
            </w:pPr>
            <w:r w:rsidRPr="008B0630">
              <w:rPr>
                <w:rFonts w:cs="Times New Roman"/>
                <w:color w:val="000000"/>
                <w:sz w:val="18"/>
                <w:szCs w:val="18"/>
              </w:rPr>
              <w:t>Nenodokļi</w:t>
            </w:r>
          </w:p>
        </w:tc>
        <w:tc>
          <w:tcPr>
            <w:tcW w:w="782" w:type="pct"/>
            <w:tcBorders>
              <w:top w:val="nil"/>
              <w:left w:val="nil"/>
              <w:bottom w:val="single" w:sz="4" w:space="0" w:color="auto"/>
              <w:right w:val="single" w:sz="4" w:space="0" w:color="auto"/>
            </w:tcBorders>
            <w:vAlign w:val="center"/>
          </w:tcPr>
          <w:p w14:paraId="5C361CEB" w14:textId="77777777" w:rsidR="008B0630" w:rsidRPr="008B0630" w:rsidRDefault="008B0630" w:rsidP="008B0630">
            <w:pPr>
              <w:jc w:val="center"/>
              <w:rPr>
                <w:rFonts w:cs="Times New Roman"/>
                <w:color w:val="000000"/>
                <w:sz w:val="18"/>
                <w:szCs w:val="18"/>
              </w:rPr>
            </w:pPr>
            <w:r w:rsidRPr="008B0630">
              <w:rPr>
                <w:rFonts w:cs="Times New Roman"/>
                <w:color w:val="000000"/>
                <w:sz w:val="18"/>
                <w:szCs w:val="18"/>
              </w:rPr>
              <w:t>0,05</w:t>
            </w:r>
          </w:p>
        </w:tc>
        <w:tc>
          <w:tcPr>
            <w:tcW w:w="786" w:type="pct"/>
            <w:tcBorders>
              <w:top w:val="nil"/>
              <w:left w:val="nil"/>
              <w:bottom w:val="single" w:sz="4" w:space="0" w:color="auto"/>
              <w:right w:val="single" w:sz="4" w:space="0" w:color="auto"/>
            </w:tcBorders>
            <w:vAlign w:val="center"/>
          </w:tcPr>
          <w:p w14:paraId="2300563D" w14:textId="77777777" w:rsidR="008B0630" w:rsidRPr="008B0630" w:rsidRDefault="008B0630" w:rsidP="008B0630">
            <w:pPr>
              <w:jc w:val="center"/>
              <w:rPr>
                <w:rFonts w:cs="Times New Roman"/>
                <w:color w:val="000000"/>
                <w:sz w:val="18"/>
                <w:szCs w:val="18"/>
              </w:rPr>
            </w:pPr>
            <w:r w:rsidRPr="008B0630">
              <w:rPr>
                <w:rFonts w:cs="Times New Roman"/>
                <w:color w:val="000000"/>
                <w:sz w:val="18"/>
                <w:szCs w:val="18"/>
              </w:rPr>
              <w:t>0,05</w:t>
            </w:r>
          </w:p>
        </w:tc>
        <w:tc>
          <w:tcPr>
            <w:tcW w:w="699" w:type="pct"/>
            <w:tcBorders>
              <w:top w:val="nil"/>
              <w:left w:val="nil"/>
              <w:bottom w:val="single" w:sz="4" w:space="0" w:color="auto"/>
              <w:right w:val="single" w:sz="4" w:space="0" w:color="auto"/>
            </w:tcBorders>
            <w:vAlign w:val="center"/>
          </w:tcPr>
          <w:p w14:paraId="5EF92718" w14:textId="77777777" w:rsidR="008B0630" w:rsidRPr="008B0630" w:rsidRDefault="008B0630" w:rsidP="008B0630">
            <w:pPr>
              <w:ind w:firstLine="0"/>
              <w:jc w:val="right"/>
              <w:rPr>
                <w:rFonts w:cs="Times New Roman"/>
                <w:color w:val="000000"/>
                <w:sz w:val="18"/>
                <w:szCs w:val="18"/>
              </w:rPr>
            </w:pPr>
            <w:r w:rsidRPr="008B0630">
              <w:rPr>
                <w:rFonts w:cs="Times New Roman"/>
                <w:color w:val="000000"/>
                <w:sz w:val="18"/>
                <w:szCs w:val="18"/>
              </w:rPr>
              <w:t>0,05</w:t>
            </w:r>
          </w:p>
        </w:tc>
      </w:tr>
      <w:tr w:rsidR="008B0630" w:rsidRPr="008B0630" w14:paraId="431CF410" w14:textId="77777777" w:rsidTr="00E03828">
        <w:trPr>
          <w:trHeight w:val="327"/>
        </w:trPr>
        <w:tc>
          <w:tcPr>
            <w:tcW w:w="1873" w:type="pct"/>
            <w:tcBorders>
              <w:top w:val="nil"/>
              <w:left w:val="single" w:sz="4" w:space="0" w:color="auto"/>
              <w:bottom w:val="single" w:sz="4" w:space="0" w:color="auto"/>
              <w:right w:val="single" w:sz="4" w:space="0" w:color="auto"/>
            </w:tcBorders>
            <w:vAlign w:val="center"/>
          </w:tcPr>
          <w:p w14:paraId="7E134160" w14:textId="77777777" w:rsidR="008B0630" w:rsidRPr="008B0630" w:rsidRDefault="008B0630" w:rsidP="008B0630">
            <w:pPr>
              <w:ind w:firstLine="0"/>
              <w:jc w:val="left"/>
              <w:rPr>
                <w:rFonts w:cs="Times New Roman"/>
                <w:color w:val="000000"/>
                <w:sz w:val="18"/>
                <w:szCs w:val="18"/>
              </w:rPr>
            </w:pPr>
            <w:r w:rsidRPr="008B0630">
              <w:rPr>
                <w:rFonts w:cs="Times New Roman"/>
                <w:color w:val="000000"/>
                <w:sz w:val="18"/>
                <w:szCs w:val="18"/>
              </w:rPr>
              <w:t>Citu ieņēmumu palielināšana no valstij piekritīgās mantas realizācijas</w:t>
            </w:r>
          </w:p>
        </w:tc>
        <w:tc>
          <w:tcPr>
            <w:tcW w:w="860" w:type="pct"/>
            <w:tcBorders>
              <w:top w:val="nil"/>
              <w:left w:val="nil"/>
              <w:bottom w:val="single" w:sz="4" w:space="0" w:color="auto"/>
              <w:right w:val="single" w:sz="4" w:space="0" w:color="auto"/>
            </w:tcBorders>
            <w:vAlign w:val="center"/>
          </w:tcPr>
          <w:p w14:paraId="43BFFF07" w14:textId="77777777" w:rsidR="008B0630" w:rsidRPr="008B0630" w:rsidRDefault="008B0630" w:rsidP="008B0630">
            <w:pPr>
              <w:ind w:firstLine="0"/>
              <w:rPr>
                <w:rFonts w:cs="Times New Roman"/>
                <w:color w:val="000000"/>
                <w:sz w:val="18"/>
                <w:szCs w:val="18"/>
              </w:rPr>
            </w:pPr>
            <w:r w:rsidRPr="008B0630">
              <w:rPr>
                <w:rFonts w:cs="Times New Roman"/>
                <w:color w:val="000000"/>
                <w:sz w:val="18"/>
                <w:szCs w:val="18"/>
              </w:rPr>
              <w:t>Nenodokļi</w:t>
            </w:r>
          </w:p>
        </w:tc>
        <w:tc>
          <w:tcPr>
            <w:tcW w:w="782" w:type="pct"/>
            <w:tcBorders>
              <w:top w:val="nil"/>
              <w:left w:val="nil"/>
              <w:bottom w:val="single" w:sz="4" w:space="0" w:color="auto"/>
              <w:right w:val="single" w:sz="4" w:space="0" w:color="auto"/>
            </w:tcBorders>
            <w:vAlign w:val="center"/>
          </w:tcPr>
          <w:p w14:paraId="37A792D3" w14:textId="77777777" w:rsidR="008B0630" w:rsidRPr="008B0630" w:rsidRDefault="008B0630" w:rsidP="008B0630">
            <w:pPr>
              <w:jc w:val="center"/>
              <w:rPr>
                <w:rFonts w:cs="Times New Roman"/>
                <w:color w:val="000000"/>
                <w:sz w:val="18"/>
                <w:szCs w:val="18"/>
              </w:rPr>
            </w:pPr>
            <w:r w:rsidRPr="008B0630">
              <w:rPr>
                <w:rFonts w:cs="Times New Roman"/>
                <w:color w:val="000000"/>
                <w:sz w:val="18"/>
                <w:szCs w:val="18"/>
              </w:rPr>
              <w:t>0,1</w:t>
            </w:r>
          </w:p>
        </w:tc>
        <w:tc>
          <w:tcPr>
            <w:tcW w:w="786" w:type="pct"/>
            <w:tcBorders>
              <w:top w:val="nil"/>
              <w:left w:val="nil"/>
              <w:bottom w:val="single" w:sz="4" w:space="0" w:color="auto"/>
              <w:right w:val="single" w:sz="4" w:space="0" w:color="auto"/>
            </w:tcBorders>
            <w:vAlign w:val="center"/>
          </w:tcPr>
          <w:p w14:paraId="32B875FB" w14:textId="77777777" w:rsidR="008B0630" w:rsidRPr="008B0630" w:rsidRDefault="008B0630" w:rsidP="008B0630">
            <w:pPr>
              <w:jc w:val="center"/>
              <w:rPr>
                <w:rFonts w:cs="Times New Roman"/>
                <w:color w:val="000000"/>
                <w:sz w:val="18"/>
                <w:szCs w:val="18"/>
              </w:rPr>
            </w:pPr>
            <w:r w:rsidRPr="008B0630">
              <w:rPr>
                <w:rFonts w:cs="Times New Roman"/>
                <w:color w:val="000000"/>
                <w:sz w:val="18"/>
                <w:szCs w:val="18"/>
              </w:rPr>
              <w:t>0,1</w:t>
            </w:r>
          </w:p>
        </w:tc>
        <w:tc>
          <w:tcPr>
            <w:tcW w:w="699" w:type="pct"/>
            <w:tcBorders>
              <w:top w:val="nil"/>
              <w:left w:val="nil"/>
              <w:bottom w:val="single" w:sz="4" w:space="0" w:color="auto"/>
              <w:right w:val="single" w:sz="4" w:space="0" w:color="auto"/>
            </w:tcBorders>
            <w:vAlign w:val="center"/>
          </w:tcPr>
          <w:p w14:paraId="6992E30A" w14:textId="77777777" w:rsidR="008B0630" w:rsidRPr="008B0630" w:rsidRDefault="008B0630" w:rsidP="008B0630">
            <w:pPr>
              <w:jc w:val="center"/>
              <w:rPr>
                <w:rFonts w:cs="Times New Roman"/>
                <w:color w:val="000000"/>
                <w:sz w:val="18"/>
                <w:szCs w:val="18"/>
              </w:rPr>
            </w:pPr>
            <w:r w:rsidRPr="008B0630">
              <w:rPr>
                <w:rFonts w:cs="Times New Roman"/>
                <w:color w:val="000000"/>
                <w:sz w:val="18"/>
                <w:szCs w:val="18"/>
              </w:rPr>
              <w:t>0,1</w:t>
            </w:r>
          </w:p>
        </w:tc>
      </w:tr>
      <w:tr w:rsidR="008B0630" w:rsidRPr="008B0630" w14:paraId="3D633D81" w14:textId="77777777" w:rsidTr="00E03828">
        <w:trPr>
          <w:trHeight w:val="327"/>
        </w:trPr>
        <w:tc>
          <w:tcPr>
            <w:tcW w:w="1873" w:type="pct"/>
            <w:tcBorders>
              <w:top w:val="nil"/>
              <w:left w:val="single" w:sz="4" w:space="0" w:color="auto"/>
              <w:bottom w:val="single" w:sz="4" w:space="0" w:color="auto"/>
              <w:right w:val="single" w:sz="4" w:space="0" w:color="auto"/>
            </w:tcBorders>
            <w:vAlign w:val="center"/>
            <w:hideMark/>
          </w:tcPr>
          <w:p w14:paraId="48CBE633" w14:textId="77777777" w:rsidR="008B0630" w:rsidRPr="008B0630" w:rsidRDefault="008B0630" w:rsidP="008B0630">
            <w:pPr>
              <w:ind w:firstLine="0"/>
              <w:jc w:val="left"/>
              <w:rPr>
                <w:rFonts w:cs="Times New Roman"/>
                <w:color w:val="000000"/>
                <w:sz w:val="18"/>
                <w:szCs w:val="18"/>
              </w:rPr>
            </w:pPr>
            <w:r w:rsidRPr="008B0630">
              <w:rPr>
                <w:rFonts w:cs="Times New Roman"/>
                <w:color w:val="000000"/>
                <w:sz w:val="18"/>
                <w:szCs w:val="18"/>
              </w:rPr>
              <w:t xml:space="preserve">Ieņēmumu palielināšana no naudas sodiem, ko uzliek Valsts policija par pārkāpumiem ceļu satiksmē, kas fiksēti ar komersanta tehniskajiem līdzekļiem </w:t>
            </w:r>
          </w:p>
        </w:tc>
        <w:tc>
          <w:tcPr>
            <w:tcW w:w="860" w:type="pct"/>
            <w:tcBorders>
              <w:top w:val="nil"/>
              <w:left w:val="nil"/>
              <w:bottom w:val="single" w:sz="4" w:space="0" w:color="auto"/>
              <w:right w:val="single" w:sz="4" w:space="0" w:color="auto"/>
            </w:tcBorders>
            <w:vAlign w:val="center"/>
            <w:hideMark/>
          </w:tcPr>
          <w:p w14:paraId="514B0AF1" w14:textId="77777777" w:rsidR="008B0630" w:rsidRPr="008B0630" w:rsidRDefault="008B0630" w:rsidP="008B0630">
            <w:pPr>
              <w:ind w:firstLine="0"/>
              <w:rPr>
                <w:rFonts w:cs="Times New Roman"/>
                <w:color w:val="000000"/>
                <w:sz w:val="18"/>
                <w:szCs w:val="18"/>
              </w:rPr>
            </w:pPr>
            <w:r w:rsidRPr="008B0630">
              <w:rPr>
                <w:rFonts w:cs="Times New Roman"/>
                <w:color w:val="000000"/>
                <w:sz w:val="18"/>
                <w:szCs w:val="18"/>
              </w:rPr>
              <w:t>Nenodokļi</w:t>
            </w:r>
          </w:p>
        </w:tc>
        <w:tc>
          <w:tcPr>
            <w:tcW w:w="782" w:type="pct"/>
            <w:tcBorders>
              <w:top w:val="nil"/>
              <w:left w:val="nil"/>
              <w:bottom w:val="single" w:sz="4" w:space="0" w:color="auto"/>
              <w:right w:val="single" w:sz="4" w:space="0" w:color="auto"/>
            </w:tcBorders>
            <w:vAlign w:val="center"/>
            <w:hideMark/>
          </w:tcPr>
          <w:p w14:paraId="46EFA647" w14:textId="77777777" w:rsidR="008B0630" w:rsidRPr="008B0630" w:rsidRDefault="008B0630" w:rsidP="008B0630">
            <w:pPr>
              <w:jc w:val="center"/>
              <w:rPr>
                <w:rFonts w:cs="Times New Roman"/>
                <w:color w:val="000000"/>
                <w:sz w:val="18"/>
                <w:szCs w:val="18"/>
              </w:rPr>
            </w:pPr>
            <w:r w:rsidRPr="008B0630">
              <w:rPr>
                <w:rFonts w:cs="Times New Roman"/>
                <w:color w:val="000000"/>
                <w:sz w:val="18"/>
                <w:szCs w:val="18"/>
              </w:rPr>
              <w:t>3,8</w:t>
            </w:r>
          </w:p>
        </w:tc>
        <w:tc>
          <w:tcPr>
            <w:tcW w:w="786" w:type="pct"/>
            <w:tcBorders>
              <w:top w:val="nil"/>
              <w:left w:val="nil"/>
              <w:bottom w:val="single" w:sz="4" w:space="0" w:color="auto"/>
              <w:right w:val="single" w:sz="4" w:space="0" w:color="auto"/>
            </w:tcBorders>
            <w:vAlign w:val="center"/>
            <w:hideMark/>
          </w:tcPr>
          <w:p w14:paraId="72CACCC1" w14:textId="77777777" w:rsidR="008B0630" w:rsidRPr="008B0630" w:rsidRDefault="008B0630" w:rsidP="008B0630">
            <w:pPr>
              <w:jc w:val="center"/>
              <w:rPr>
                <w:rFonts w:cs="Times New Roman"/>
                <w:color w:val="000000"/>
                <w:sz w:val="18"/>
                <w:szCs w:val="18"/>
              </w:rPr>
            </w:pPr>
            <w:r w:rsidRPr="008B0630">
              <w:rPr>
                <w:rFonts w:cs="Times New Roman"/>
                <w:color w:val="000000"/>
                <w:sz w:val="18"/>
                <w:szCs w:val="18"/>
              </w:rPr>
              <w:t>6,4</w:t>
            </w:r>
          </w:p>
        </w:tc>
        <w:tc>
          <w:tcPr>
            <w:tcW w:w="699" w:type="pct"/>
            <w:tcBorders>
              <w:top w:val="nil"/>
              <w:left w:val="nil"/>
              <w:bottom w:val="single" w:sz="4" w:space="0" w:color="auto"/>
              <w:right w:val="single" w:sz="4" w:space="0" w:color="auto"/>
            </w:tcBorders>
            <w:vAlign w:val="center"/>
            <w:hideMark/>
          </w:tcPr>
          <w:p w14:paraId="691DF595" w14:textId="77777777" w:rsidR="008B0630" w:rsidRPr="008B0630" w:rsidRDefault="008B0630" w:rsidP="008B0630">
            <w:pPr>
              <w:jc w:val="center"/>
              <w:rPr>
                <w:rFonts w:cs="Times New Roman"/>
                <w:color w:val="000000"/>
                <w:sz w:val="18"/>
                <w:szCs w:val="18"/>
              </w:rPr>
            </w:pPr>
            <w:r w:rsidRPr="008B0630">
              <w:rPr>
                <w:rFonts w:cs="Times New Roman"/>
                <w:color w:val="000000"/>
                <w:sz w:val="18"/>
                <w:szCs w:val="18"/>
              </w:rPr>
              <w:t>6,4</w:t>
            </w:r>
          </w:p>
        </w:tc>
      </w:tr>
      <w:tr w:rsidR="008B0630" w:rsidRPr="008B0630" w14:paraId="4ABB4473" w14:textId="77777777" w:rsidTr="00E0382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0"/>
        </w:trPr>
        <w:tc>
          <w:tcPr>
            <w:tcW w:w="2733" w:type="pct"/>
            <w:gridSpan w:val="2"/>
            <w:shd w:val="clear" w:color="auto" w:fill="DEEAF6" w:themeFill="accent1" w:themeFillTint="33"/>
            <w:vAlign w:val="center"/>
          </w:tcPr>
          <w:p w14:paraId="233B58AE" w14:textId="77777777" w:rsidR="008B0630" w:rsidRPr="008B0630" w:rsidRDefault="008B0630" w:rsidP="008B0630">
            <w:pPr>
              <w:keepLines/>
              <w:spacing w:after="0"/>
              <w:ind w:firstLine="0"/>
              <w:contextualSpacing/>
              <w:jc w:val="left"/>
              <w:rPr>
                <w:rFonts w:eastAsia="Times New Roman" w:cs="Times New Roman"/>
                <w:sz w:val="18"/>
                <w:szCs w:val="18"/>
              </w:rPr>
            </w:pPr>
            <w:r w:rsidRPr="008B0630">
              <w:rPr>
                <w:rFonts w:eastAsia="Times New Roman" w:cs="Times New Roman"/>
                <w:b/>
                <w:bCs/>
                <w:sz w:val="18"/>
                <w:szCs w:val="18"/>
              </w:rPr>
              <w:t>Kopā:</w:t>
            </w:r>
          </w:p>
        </w:tc>
        <w:tc>
          <w:tcPr>
            <w:tcW w:w="782" w:type="pct"/>
            <w:shd w:val="clear" w:color="auto" w:fill="DEEAF6" w:themeFill="accent1" w:themeFillTint="33"/>
          </w:tcPr>
          <w:p w14:paraId="36C5C462" w14:textId="77777777" w:rsidR="008B0630" w:rsidRPr="008B0630" w:rsidRDefault="008B0630" w:rsidP="008B0630">
            <w:pPr>
              <w:spacing w:after="0"/>
              <w:contextualSpacing/>
              <w:jc w:val="right"/>
              <w:rPr>
                <w:rFonts w:eastAsia="Times New Roman" w:cs="Times New Roman"/>
                <w:b/>
                <w:bCs/>
                <w:sz w:val="18"/>
                <w:szCs w:val="18"/>
              </w:rPr>
            </w:pPr>
            <w:r w:rsidRPr="008B0630">
              <w:rPr>
                <w:rFonts w:cs="Times New Roman"/>
                <w:b/>
                <w:bCs/>
                <w:sz w:val="18"/>
                <w:szCs w:val="18"/>
              </w:rPr>
              <w:t>72,0</w:t>
            </w:r>
          </w:p>
        </w:tc>
        <w:tc>
          <w:tcPr>
            <w:tcW w:w="786" w:type="pct"/>
            <w:shd w:val="clear" w:color="auto" w:fill="DEEAF6" w:themeFill="accent1" w:themeFillTint="33"/>
          </w:tcPr>
          <w:p w14:paraId="5C0BADC7" w14:textId="77777777" w:rsidR="008B0630" w:rsidRPr="008B0630" w:rsidRDefault="008B0630" w:rsidP="008B0630">
            <w:pPr>
              <w:spacing w:after="0"/>
              <w:contextualSpacing/>
              <w:jc w:val="right"/>
              <w:rPr>
                <w:rFonts w:eastAsia="Times New Roman" w:cs="Times New Roman"/>
                <w:b/>
                <w:bCs/>
                <w:sz w:val="18"/>
                <w:szCs w:val="18"/>
              </w:rPr>
            </w:pPr>
            <w:r w:rsidRPr="008B0630">
              <w:rPr>
                <w:rFonts w:cs="Times New Roman"/>
                <w:b/>
                <w:bCs/>
                <w:sz w:val="18"/>
                <w:szCs w:val="18"/>
              </w:rPr>
              <w:t>111,8</w:t>
            </w:r>
          </w:p>
        </w:tc>
        <w:tc>
          <w:tcPr>
            <w:tcW w:w="699" w:type="pct"/>
            <w:shd w:val="clear" w:color="auto" w:fill="DEEAF6" w:themeFill="accent1" w:themeFillTint="33"/>
          </w:tcPr>
          <w:p w14:paraId="4716A4C0" w14:textId="77777777" w:rsidR="008B0630" w:rsidRPr="008B0630" w:rsidRDefault="008B0630" w:rsidP="008B0630">
            <w:pPr>
              <w:spacing w:after="0"/>
              <w:ind w:firstLine="599"/>
              <w:contextualSpacing/>
              <w:jc w:val="right"/>
              <w:rPr>
                <w:rFonts w:eastAsia="Times New Roman" w:cs="Times New Roman"/>
                <w:b/>
                <w:bCs/>
                <w:sz w:val="18"/>
                <w:szCs w:val="18"/>
              </w:rPr>
            </w:pPr>
            <w:r w:rsidRPr="008B0630">
              <w:rPr>
                <w:rFonts w:cs="Times New Roman"/>
                <w:b/>
                <w:bCs/>
                <w:sz w:val="18"/>
                <w:szCs w:val="18"/>
              </w:rPr>
              <w:t>154,8</w:t>
            </w:r>
          </w:p>
        </w:tc>
      </w:tr>
    </w:tbl>
    <w:p w14:paraId="0D3DBC6F" w14:textId="77777777" w:rsidR="008B0630" w:rsidRPr="008B0630" w:rsidRDefault="008B0630" w:rsidP="008B0630">
      <w:pPr>
        <w:ind w:firstLine="0"/>
        <w:rPr>
          <w:rFonts w:eastAsia="Calibri" w:cs="Times New Roman"/>
          <w:sz w:val="18"/>
          <w:szCs w:val="18"/>
          <w:highlight w:val="yellow"/>
          <w:lang w:eastAsia="en-US"/>
        </w:rPr>
      </w:pPr>
    </w:p>
    <w:p w14:paraId="14729AD6" w14:textId="77777777" w:rsidR="008B0630" w:rsidRPr="008B0630" w:rsidRDefault="008B0630" w:rsidP="008B0630">
      <w:pPr>
        <w:keepNext/>
        <w:keepLines/>
        <w:spacing w:before="240" w:after="240"/>
        <w:ind w:firstLine="0"/>
        <w:jc w:val="center"/>
        <w:outlineLvl w:val="1"/>
        <w:rPr>
          <w:rFonts w:eastAsia="Times New Roman" w:cs="Times New Roman"/>
          <w:b/>
          <w:bCs/>
          <w:color w:val="000000" w:themeColor="text1"/>
          <w:sz w:val="36"/>
          <w:szCs w:val="28"/>
        </w:rPr>
      </w:pPr>
      <w:bookmarkStart w:id="105" w:name="_Toc126236661"/>
      <w:r w:rsidRPr="008B0630">
        <w:rPr>
          <w:rFonts w:eastAsia="Times New Roman" w:cs="Times New Roman"/>
          <w:b/>
          <w:bCs/>
          <w:color w:val="000000" w:themeColor="text1"/>
          <w:sz w:val="36"/>
          <w:szCs w:val="28"/>
        </w:rPr>
        <w:t>3.2. Kopbudžeta nodokļu ieņēmumi</w:t>
      </w:r>
      <w:bookmarkEnd w:id="105"/>
    </w:p>
    <w:p w14:paraId="0BAAB32D" w14:textId="222BC8BE" w:rsidR="008B0630" w:rsidRPr="008B0630" w:rsidRDefault="008B0630" w:rsidP="008B0630">
      <w:pPr>
        <w:rPr>
          <w:rFonts w:eastAsia="Times New Roman" w:cs="Times New Roman"/>
          <w:color w:val="000000"/>
          <w:szCs w:val="24"/>
        </w:rPr>
      </w:pPr>
      <w:r w:rsidRPr="008B0630">
        <w:rPr>
          <w:rFonts w:eastAsia="Calibri" w:cs="Times New Roman"/>
          <w:szCs w:val="24"/>
        </w:rPr>
        <w:t xml:space="preserve">2025. gada 1. pusgadā </w:t>
      </w:r>
      <w:r w:rsidRPr="008B0630">
        <w:rPr>
          <w:rFonts w:eastAsia="Times New Roman" w:cs="Times New Roman"/>
          <w:color w:val="000000"/>
          <w:szCs w:val="24"/>
        </w:rPr>
        <w:t>kopbudžeta nodokļu ieņēmumi bija 6 997,6 milj. </w:t>
      </w:r>
      <w:r w:rsidRPr="008B0630">
        <w:rPr>
          <w:rFonts w:eastAsia="Times New Roman" w:cs="Times New Roman"/>
          <w:i/>
          <w:iCs/>
          <w:color w:val="000000"/>
          <w:szCs w:val="24"/>
        </w:rPr>
        <w:t>euro</w:t>
      </w:r>
      <w:r w:rsidRPr="008B0630">
        <w:rPr>
          <w:rFonts w:eastAsia="Times New Roman" w:cs="Times New Roman"/>
          <w:color w:val="000000"/>
          <w:szCs w:val="24"/>
        </w:rPr>
        <w:t>, kas, salīdzinot ar likumā “Par valsts budžetu 2025. gadam un budžeta ietvaru 2025., 2026. un 2027. gadam” noteikto plānu, ir par 6,4 milj. </w:t>
      </w:r>
      <w:r w:rsidRPr="008B0630">
        <w:rPr>
          <w:rFonts w:eastAsia="Times New Roman" w:cs="Times New Roman"/>
          <w:i/>
          <w:iCs/>
          <w:color w:val="000000"/>
          <w:szCs w:val="24"/>
        </w:rPr>
        <w:t>euro</w:t>
      </w:r>
      <w:r w:rsidRPr="008B0630">
        <w:rPr>
          <w:rFonts w:eastAsia="Times New Roman" w:cs="Times New Roman"/>
          <w:color w:val="000000"/>
          <w:szCs w:val="24"/>
        </w:rPr>
        <w:t xml:space="preserve"> jeb 0,1 % mazāk. To galvenokārt ietekmēja neizpilde PVN jomā, kas saistās ar salīdzinoši zemu iekšzemes pieprasījuma attīstību. Tāpat plānotos apmērus nesasniedza </w:t>
      </w:r>
      <w:r w:rsidR="003F5E29">
        <w:rPr>
          <w:rFonts w:eastAsia="Times New Roman" w:cs="Times New Roman"/>
          <w:color w:val="000000"/>
          <w:szCs w:val="24"/>
        </w:rPr>
        <w:t>AN</w:t>
      </w:r>
      <w:r w:rsidRPr="008B0630">
        <w:rPr>
          <w:rFonts w:eastAsia="Times New Roman" w:cs="Times New Roman"/>
          <w:color w:val="000000"/>
          <w:szCs w:val="24"/>
        </w:rPr>
        <w:t xml:space="preserve"> – pieprasījuma krituma rezultātā praktiski visās produktu kategorijās un VSAOI, zemāku par prognozēto darba samaksas fonda pieauguma tempu rezultātā. Savukārt IIN un UIN pārsniedza plānotos apmērus.</w:t>
      </w:r>
    </w:p>
    <w:p w14:paraId="2EA87800" w14:textId="4DD64F57" w:rsidR="008B0630" w:rsidRPr="008B0630" w:rsidRDefault="008B0630" w:rsidP="008B0630">
      <w:pPr>
        <w:rPr>
          <w:rFonts w:eastAsia="Times New Roman" w:cs="Times New Roman"/>
          <w:color w:val="000000"/>
          <w:szCs w:val="24"/>
        </w:rPr>
      </w:pPr>
      <w:r w:rsidRPr="008B0630">
        <w:rPr>
          <w:rFonts w:eastAsiaTheme="minorHAnsi" w:cs="Times New Roman"/>
          <w:szCs w:val="24"/>
        </w:rPr>
        <w:t>Salīdzinot ar 2024. gada 1. pusgadu, kopbudžeta nodokļu ieņēmumi tika iekasēti par 382,1 milj. </w:t>
      </w:r>
      <w:r w:rsidRPr="008B0630">
        <w:rPr>
          <w:rFonts w:eastAsiaTheme="minorHAnsi" w:cs="Times New Roman"/>
          <w:i/>
          <w:iCs/>
          <w:szCs w:val="24"/>
        </w:rPr>
        <w:t>euro</w:t>
      </w:r>
      <w:r w:rsidRPr="008B0630">
        <w:rPr>
          <w:rFonts w:eastAsiaTheme="minorHAnsi" w:cs="Times New Roman"/>
          <w:szCs w:val="24"/>
        </w:rPr>
        <w:t xml:space="preserve"> jeb 5,8 % vairāk, nodokļu ieņēmumiem pieaugot visās kategorijās, izņemot </w:t>
      </w:r>
      <w:r w:rsidR="003F5E29">
        <w:rPr>
          <w:rFonts w:eastAsiaTheme="minorHAnsi" w:cs="Times New Roman"/>
          <w:szCs w:val="24"/>
        </w:rPr>
        <w:t>DRN</w:t>
      </w:r>
      <w:r w:rsidRPr="008B0630">
        <w:rPr>
          <w:rFonts w:eastAsiaTheme="minorHAnsi" w:cs="Times New Roman"/>
          <w:szCs w:val="24"/>
        </w:rPr>
        <w:t xml:space="preserve">. Būtiskāko pieaugumu veidoja VSAOI, darba samaksai turpinoties pieaugt, kā arī PVN, ko veicināja vairāk cenu nevis reālā iekšzemes pieprasījuma pieaugums. Savukārt UIN ieņēmumu pieaugums saistāms ar </w:t>
      </w:r>
      <w:bookmarkStart w:id="106" w:name="_Hlk210052924"/>
      <w:r w:rsidRPr="008B0630">
        <w:rPr>
          <w:rFonts w:eastAsiaTheme="minorHAnsi" w:cs="Times New Roman"/>
          <w:szCs w:val="24"/>
        </w:rPr>
        <w:t xml:space="preserve">2024. gada nogalē izmaksāto dividenžu augsto apmēru fiziskām personām, jo no 2025. gada ienākumu pārsniegumam virs 200 tūkst. </w:t>
      </w:r>
      <w:r w:rsidRPr="008B0630">
        <w:rPr>
          <w:rFonts w:eastAsia="Times New Roman" w:cs="Times New Roman"/>
          <w:i/>
          <w:iCs/>
          <w:szCs w:val="24"/>
        </w:rPr>
        <w:t>euro</w:t>
      </w:r>
      <w:r w:rsidRPr="008B0630">
        <w:rPr>
          <w:rFonts w:eastAsiaTheme="minorHAnsi" w:cs="Times New Roman"/>
          <w:szCs w:val="24"/>
        </w:rPr>
        <w:t xml:space="preserve"> tiek piemērota IIN papildlikme 3 % apmērā</w:t>
      </w:r>
      <w:bookmarkEnd w:id="106"/>
      <w:r w:rsidRPr="008B0630">
        <w:rPr>
          <w:rFonts w:eastAsia="Times New Roman" w:cs="Times New Roman"/>
          <w:color w:val="000000"/>
          <w:szCs w:val="24"/>
        </w:rPr>
        <w:t>.</w:t>
      </w:r>
    </w:p>
    <w:p w14:paraId="101069C0" w14:textId="77777777" w:rsidR="008B0630" w:rsidRPr="008B0630" w:rsidRDefault="008B0630" w:rsidP="008B0630">
      <w:pPr>
        <w:rPr>
          <w:rFonts w:eastAsiaTheme="minorHAnsi" w:cs="Times New Roman"/>
          <w:szCs w:val="24"/>
        </w:rPr>
      </w:pPr>
      <w:r w:rsidRPr="008B0630">
        <w:rPr>
          <w:rFonts w:eastAsiaTheme="minorHAnsi" w:cs="Times New Roman"/>
          <w:szCs w:val="24"/>
        </w:rPr>
        <w:t xml:space="preserve">Nodokļu ieņēmumu prognozes ir sagatavotas, pamatojoties uz vidēja termiņa makroekonomisko rādītāju prognozēm, kā arī, ņemot vērā 2025. gada pirmā pusgada izpildi, iepriekš pieņemtās izmaiņas normatīvajos aktos un likumprojekta “Par valsts budžetu 2026. gadam un budžeta ietvaru 2026., 2027. un 2028. gadam” izstrādes gaitā pieņemtos pasākumus. </w:t>
      </w:r>
    </w:p>
    <w:p w14:paraId="60B5A4BE" w14:textId="77777777" w:rsidR="008B0630" w:rsidRPr="008B0630" w:rsidRDefault="008B0630" w:rsidP="00116188">
      <w:pPr>
        <w:spacing w:after="0"/>
        <w:rPr>
          <w:rFonts w:eastAsia="Times New Roman" w:cs="Times New Roman"/>
          <w:color w:val="000000"/>
          <w:szCs w:val="24"/>
        </w:rPr>
      </w:pPr>
      <w:r w:rsidRPr="008B0630">
        <w:rPr>
          <w:rFonts w:eastAsia="Times New Roman" w:cs="Times New Roman"/>
          <w:color w:val="000000"/>
          <w:szCs w:val="24"/>
        </w:rPr>
        <w:t xml:space="preserve">Saskaņā ar </w:t>
      </w:r>
      <w:r w:rsidRPr="008B0630">
        <w:rPr>
          <w:rFonts w:eastAsia="Calibri" w:cs="Times New Roman"/>
          <w:szCs w:val="24"/>
        </w:rPr>
        <w:t>likumprojektu</w:t>
      </w:r>
      <w:r w:rsidRPr="008B0630">
        <w:rPr>
          <w:rFonts w:eastAsia="Times New Roman" w:cs="Times New Roman"/>
          <w:color w:val="000000"/>
          <w:szCs w:val="24"/>
        </w:rPr>
        <w:t xml:space="preserve"> “Par valsts budžetu 2026. gadam un budžeta ietvaru 2026., 2027. un 2028. gadam” 2026. gadā kopbudžeta nodokļu ieņēmumi tiek plānoti </w:t>
      </w:r>
      <w:r w:rsidRPr="008B0630">
        <w:rPr>
          <w:rFonts w:eastAsia="Times New Roman" w:cs="Times New Roman"/>
          <w:color w:val="000000"/>
          <w:szCs w:val="24"/>
        </w:rPr>
        <w:lastRenderedPageBreak/>
        <w:t>15 219,8 milj. </w:t>
      </w:r>
      <w:r w:rsidRPr="008B0630">
        <w:rPr>
          <w:rFonts w:eastAsia="Times New Roman" w:cs="Times New Roman"/>
          <w:i/>
          <w:iCs/>
          <w:color w:val="000000"/>
          <w:szCs w:val="24"/>
        </w:rPr>
        <w:t>euro</w:t>
      </w:r>
      <w:r w:rsidRPr="008B0630">
        <w:rPr>
          <w:rFonts w:eastAsia="Times New Roman" w:cs="Times New Roman"/>
          <w:color w:val="000000"/>
          <w:szCs w:val="24"/>
        </w:rPr>
        <w:t>, 2027. gadā 15 919,3 milj. </w:t>
      </w:r>
      <w:r w:rsidRPr="008B0630">
        <w:rPr>
          <w:rFonts w:eastAsia="Times New Roman" w:cs="Times New Roman"/>
          <w:i/>
          <w:iCs/>
          <w:color w:val="000000"/>
          <w:szCs w:val="24"/>
        </w:rPr>
        <w:t>euro</w:t>
      </w:r>
      <w:r w:rsidRPr="008B0630">
        <w:rPr>
          <w:rFonts w:eastAsia="Times New Roman" w:cs="Times New Roman"/>
          <w:color w:val="000000"/>
          <w:szCs w:val="24"/>
        </w:rPr>
        <w:t xml:space="preserve"> un 2028. gadā 16 605,3 milj. </w:t>
      </w:r>
      <w:r w:rsidRPr="008B0630">
        <w:rPr>
          <w:rFonts w:eastAsia="Times New Roman" w:cs="Times New Roman"/>
          <w:i/>
          <w:iCs/>
          <w:color w:val="000000"/>
          <w:szCs w:val="24"/>
        </w:rPr>
        <w:t>euro</w:t>
      </w:r>
      <w:r w:rsidRPr="008B0630">
        <w:rPr>
          <w:rFonts w:eastAsia="Times New Roman" w:cs="Times New Roman"/>
          <w:color w:val="000000"/>
          <w:szCs w:val="24"/>
        </w:rPr>
        <w:t xml:space="preserve"> apmērā (skat. 3.2. tabulu).</w:t>
      </w:r>
    </w:p>
    <w:p w14:paraId="337DFD7E"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3.2. tabula. Kopbudžeta nodokļu ieņēmumi</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59"/>
        <w:gridCol w:w="990"/>
        <w:gridCol w:w="1147"/>
        <w:gridCol w:w="1147"/>
        <w:gridCol w:w="892"/>
      </w:tblGrid>
      <w:tr w:rsidR="008B0630" w:rsidRPr="008B0630" w14:paraId="3DFDD279" w14:textId="77777777" w:rsidTr="00E03828">
        <w:trPr>
          <w:cantSplit/>
          <w:trHeight w:val="20"/>
          <w:jc w:val="center"/>
        </w:trPr>
        <w:tc>
          <w:tcPr>
            <w:tcW w:w="2714" w:type="pct"/>
            <w:shd w:val="clear" w:color="auto" w:fill="9CC2E5" w:themeFill="accent1" w:themeFillTint="99"/>
            <w:vAlign w:val="center"/>
          </w:tcPr>
          <w:p w14:paraId="037296E8"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p>
        </w:tc>
        <w:tc>
          <w:tcPr>
            <w:tcW w:w="542" w:type="pct"/>
            <w:shd w:val="clear" w:color="auto" w:fill="9CC2E5" w:themeFill="accent1" w:themeFillTint="99"/>
            <w:vAlign w:val="center"/>
          </w:tcPr>
          <w:p w14:paraId="5E13E45F" w14:textId="77777777" w:rsidR="008B0630" w:rsidRPr="008B0630" w:rsidRDefault="008B0630" w:rsidP="008B0630">
            <w:pPr>
              <w:keepNext/>
              <w:keepLines/>
              <w:spacing w:after="0"/>
              <w:ind w:firstLine="0"/>
              <w:contextualSpacing/>
              <w:jc w:val="center"/>
              <w:rPr>
                <w:rFonts w:eastAsia="Times New Roman" w:cs="Times New Roman"/>
                <w:b/>
                <w:bCs/>
                <w:sz w:val="20"/>
                <w:szCs w:val="24"/>
                <w:vertAlign w:val="superscript"/>
              </w:rPr>
            </w:pPr>
            <w:r w:rsidRPr="008B0630">
              <w:rPr>
                <w:rFonts w:eastAsia="Times New Roman" w:cs="Times New Roman"/>
                <w:b/>
                <w:bCs/>
                <w:sz w:val="20"/>
                <w:szCs w:val="24"/>
              </w:rPr>
              <w:t>2025</w:t>
            </w:r>
          </w:p>
        </w:tc>
        <w:tc>
          <w:tcPr>
            <w:tcW w:w="628" w:type="pct"/>
            <w:tcBorders>
              <w:bottom w:val="single" w:sz="4" w:space="0" w:color="auto"/>
            </w:tcBorders>
            <w:shd w:val="clear" w:color="auto" w:fill="9CC2E5" w:themeFill="accent1" w:themeFillTint="99"/>
            <w:vAlign w:val="center"/>
          </w:tcPr>
          <w:p w14:paraId="3C2D0327"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r w:rsidRPr="008B0630">
              <w:rPr>
                <w:rFonts w:eastAsia="Times New Roman" w:cs="Times New Roman"/>
                <w:b/>
                <w:bCs/>
                <w:sz w:val="20"/>
                <w:szCs w:val="24"/>
              </w:rPr>
              <w:t>2026</w:t>
            </w:r>
          </w:p>
        </w:tc>
        <w:tc>
          <w:tcPr>
            <w:tcW w:w="628" w:type="pct"/>
            <w:tcBorders>
              <w:bottom w:val="single" w:sz="4" w:space="0" w:color="auto"/>
            </w:tcBorders>
            <w:shd w:val="clear" w:color="auto" w:fill="9CC2E5" w:themeFill="accent1" w:themeFillTint="99"/>
            <w:vAlign w:val="center"/>
          </w:tcPr>
          <w:p w14:paraId="25DEC590"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r w:rsidRPr="008B0630">
              <w:rPr>
                <w:rFonts w:eastAsia="Times New Roman" w:cs="Times New Roman"/>
                <w:b/>
                <w:bCs/>
                <w:sz w:val="20"/>
                <w:szCs w:val="24"/>
              </w:rPr>
              <w:t>2027</w:t>
            </w:r>
          </w:p>
        </w:tc>
        <w:tc>
          <w:tcPr>
            <w:tcW w:w="488" w:type="pct"/>
            <w:tcBorders>
              <w:bottom w:val="single" w:sz="4" w:space="0" w:color="auto"/>
            </w:tcBorders>
            <w:shd w:val="clear" w:color="auto" w:fill="9CC2E5" w:themeFill="accent1" w:themeFillTint="99"/>
            <w:vAlign w:val="center"/>
          </w:tcPr>
          <w:p w14:paraId="6E4DE958"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r w:rsidRPr="008B0630">
              <w:rPr>
                <w:rFonts w:eastAsia="Times New Roman" w:cs="Times New Roman"/>
                <w:b/>
                <w:bCs/>
                <w:sz w:val="20"/>
                <w:szCs w:val="24"/>
              </w:rPr>
              <w:t>2028</w:t>
            </w:r>
          </w:p>
        </w:tc>
      </w:tr>
      <w:tr w:rsidR="008B0630" w:rsidRPr="008B0630" w14:paraId="4027D6E4" w14:textId="77777777" w:rsidTr="00E03828">
        <w:trPr>
          <w:cantSplit/>
          <w:trHeight w:val="20"/>
          <w:jc w:val="center"/>
        </w:trPr>
        <w:tc>
          <w:tcPr>
            <w:tcW w:w="2714" w:type="pct"/>
            <w:vAlign w:val="center"/>
          </w:tcPr>
          <w:p w14:paraId="4D804F63" w14:textId="77777777" w:rsidR="008B0630" w:rsidRPr="008B0630" w:rsidRDefault="008B0630" w:rsidP="008B0630">
            <w:pPr>
              <w:keepNext/>
              <w:keepLines/>
              <w:spacing w:after="0"/>
              <w:ind w:firstLine="0"/>
              <w:jc w:val="left"/>
              <w:rPr>
                <w:rFonts w:cs="Times New Roman"/>
                <w:i/>
                <w:noProof/>
                <w:sz w:val="18"/>
                <w:szCs w:val="24"/>
              </w:rPr>
            </w:pPr>
            <w:r w:rsidRPr="008B0630">
              <w:rPr>
                <w:rFonts w:cs="Times New Roman"/>
                <w:noProof/>
                <w:sz w:val="18"/>
                <w:szCs w:val="24"/>
              </w:rPr>
              <w:t>Saskaņā ar likumprojektu “Par valsts budžetu 2026. gadam un budžeta ietvaru 2026., 2027. un 2028. gadam”, milj.</w:t>
            </w:r>
            <w:r w:rsidRPr="008B0630">
              <w:rPr>
                <w:rFonts w:cs="Times New Roman"/>
                <w:i/>
                <w:noProof/>
                <w:sz w:val="18"/>
                <w:szCs w:val="24"/>
              </w:rPr>
              <w:t> euro</w:t>
            </w:r>
          </w:p>
        </w:tc>
        <w:tc>
          <w:tcPr>
            <w:tcW w:w="542" w:type="pct"/>
            <w:tcBorders>
              <w:bottom w:val="single" w:sz="4" w:space="0" w:color="auto"/>
            </w:tcBorders>
          </w:tcPr>
          <w:p w14:paraId="4E72643A" w14:textId="77777777" w:rsidR="008B0630" w:rsidRPr="008B0630" w:rsidRDefault="008B0630" w:rsidP="008B0630">
            <w:pPr>
              <w:keepNext/>
              <w:keepLines/>
              <w:spacing w:after="0"/>
              <w:ind w:firstLine="0"/>
              <w:jc w:val="center"/>
              <w:rPr>
                <w:rFonts w:cs="Times New Roman"/>
                <w:noProof/>
                <w:sz w:val="18"/>
                <w:szCs w:val="18"/>
                <w:vertAlign w:val="superscript"/>
              </w:rPr>
            </w:pPr>
            <w:r w:rsidRPr="008B0630">
              <w:rPr>
                <w:rFonts w:cs="Times New Roman"/>
                <w:noProof/>
                <w:sz w:val="18"/>
                <w:szCs w:val="18"/>
              </w:rPr>
              <w:t>14 440,8</w:t>
            </w:r>
            <w:r w:rsidRPr="008B0630">
              <w:rPr>
                <w:rFonts w:cs="Times New Roman"/>
                <w:noProof/>
                <w:sz w:val="18"/>
                <w:szCs w:val="18"/>
                <w:vertAlign w:val="superscript"/>
              </w:rPr>
              <w:t>1</w:t>
            </w:r>
          </w:p>
        </w:tc>
        <w:tc>
          <w:tcPr>
            <w:tcW w:w="628" w:type="pct"/>
            <w:tcBorders>
              <w:top w:val="single" w:sz="4" w:space="0" w:color="auto"/>
              <w:left w:val="nil"/>
              <w:bottom w:val="single" w:sz="4" w:space="0" w:color="auto"/>
              <w:right w:val="single" w:sz="4" w:space="0" w:color="auto"/>
            </w:tcBorders>
          </w:tcPr>
          <w:p w14:paraId="157BE80E"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18"/>
              </w:rPr>
              <w:t>15 219,8</w:t>
            </w:r>
          </w:p>
        </w:tc>
        <w:tc>
          <w:tcPr>
            <w:tcW w:w="628" w:type="pct"/>
            <w:tcBorders>
              <w:top w:val="single" w:sz="4" w:space="0" w:color="auto"/>
              <w:left w:val="single" w:sz="4" w:space="0" w:color="auto"/>
              <w:bottom w:val="single" w:sz="4" w:space="0" w:color="auto"/>
              <w:right w:val="single" w:sz="4" w:space="0" w:color="auto"/>
            </w:tcBorders>
          </w:tcPr>
          <w:p w14:paraId="4D82128A"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18"/>
              </w:rPr>
              <w:t>15 919,3</w:t>
            </w:r>
          </w:p>
        </w:tc>
        <w:tc>
          <w:tcPr>
            <w:tcW w:w="488" w:type="pct"/>
            <w:tcBorders>
              <w:top w:val="single" w:sz="4" w:space="0" w:color="auto"/>
              <w:left w:val="single" w:sz="4" w:space="0" w:color="auto"/>
              <w:bottom w:val="single" w:sz="4" w:space="0" w:color="auto"/>
              <w:right w:val="single" w:sz="4" w:space="0" w:color="auto"/>
            </w:tcBorders>
          </w:tcPr>
          <w:p w14:paraId="120E0D7B"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18"/>
              </w:rPr>
              <w:t>16 605,3</w:t>
            </w:r>
          </w:p>
        </w:tc>
      </w:tr>
      <w:tr w:rsidR="008B0630" w:rsidRPr="008B0630" w14:paraId="7276F671" w14:textId="77777777" w:rsidTr="00E03828">
        <w:trPr>
          <w:cantSplit/>
          <w:trHeight w:val="227"/>
          <w:jc w:val="center"/>
        </w:trPr>
        <w:tc>
          <w:tcPr>
            <w:tcW w:w="2714" w:type="pct"/>
            <w:vAlign w:val="center"/>
          </w:tcPr>
          <w:p w14:paraId="536BACF0" w14:textId="77777777" w:rsidR="008B0630" w:rsidRPr="008B0630" w:rsidRDefault="008B0630" w:rsidP="008B0630">
            <w:pPr>
              <w:keepNext/>
              <w:keepLines/>
              <w:spacing w:after="0"/>
              <w:ind w:left="391" w:firstLine="0"/>
              <w:rPr>
                <w:rFonts w:cs="Times New Roman"/>
                <w:i/>
                <w:iCs/>
                <w:noProof/>
                <w:sz w:val="18"/>
                <w:szCs w:val="18"/>
              </w:rPr>
            </w:pPr>
            <w:r w:rsidRPr="008B0630">
              <w:rPr>
                <w:rFonts w:cs="Times New Roman"/>
                <w:i/>
                <w:iCs/>
                <w:noProof/>
                <w:sz w:val="18"/>
                <w:szCs w:val="18"/>
              </w:rPr>
              <w:t>pret IKP, %</w:t>
            </w:r>
          </w:p>
        </w:tc>
        <w:tc>
          <w:tcPr>
            <w:tcW w:w="542" w:type="pct"/>
            <w:tcBorders>
              <w:top w:val="single" w:sz="4" w:space="0" w:color="auto"/>
              <w:left w:val="single" w:sz="4" w:space="0" w:color="auto"/>
              <w:bottom w:val="single" w:sz="4" w:space="0" w:color="auto"/>
              <w:right w:val="single" w:sz="4" w:space="0" w:color="auto"/>
            </w:tcBorders>
          </w:tcPr>
          <w:p w14:paraId="64D6514C" w14:textId="77777777" w:rsidR="008B0630" w:rsidRPr="008B0630" w:rsidRDefault="008B0630" w:rsidP="008B0630">
            <w:pPr>
              <w:keepNext/>
              <w:keepLines/>
              <w:spacing w:after="0"/>
              <w:ind w:firstLine="0"/>
              <w:jc w:val="right"/>
              <w:rPr>
                <w:rFonts w:cs="Times New Roman"/>
                <w:i/>
                <w:iCs/>
                <w:noProof/>
                <w:color w:val="000000"/>
                <w:sz w:val="18"/>
                <w:szCs w:val="18"/>
              </w:rPr>
            </w:pPr>
            <w:r w:rsidRPr="008B0630">
              <w:rPr>
                <w:rFonts w:cs="Times New Roman"/>
                <w:i/>
                <w:iCs/>
                <w:noProof/>
                <w:sz w:val="18"/>
                <w:szCs w:val="18"/>
              </w:rPr>
              <w:t>34,4%</w:t>
            </w:r>
          </w:p>
        </w:tc>
        <w:tc>
          <w:tcPr>
            <w:tcW w:w="628" w:type="pct"/>
            <w:tcBorders>
              <w:top w:val="single" w:sz="4" w:space="0" w:color="auto"/>
              <w:left w:val="nil"/>
              <w:bottom w:val="single" w:sz="4" w:space="0" w:color="auto"/>
              <w:right w:val="single" w:sz="4" w:space="0" w:color="auto"/>
            </w:tcBorders>
          </w:tcPr>
          <w:p w14:paraId="0CF9AFD9"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34,6%</w:t>
            </w:r>
          </w:p>
        </w:tc>
        <w:tc>
          <w:tcPr>
            <w:tcW w:w="628" w:type="pct"/>
            <w:tcBorders>
              <w:top w:val="single" w:sz="4" w:space="0" w:color="auto"/>
              <w:left w:val="nil"/>
              <w:bottom w:val="single" w:sz="4" w:space="0" w:color="auto"/>
              <w:right w:val="single" w:sz="4" w:space="0" w:color="auto"/>
            </w:tcBorders>
          </w:tcPr>
          <w:p w14:paraId="61DBC623"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34,6%</w:t>
            </w:r>
          </w:p>
        </w:tc>
        <w:tc>
          <w:tcPr>
            <w:tcW w:w="488" w:type="pct"/>
            <w:tcBorders>
              <w:top w:val="single" w:sz="4" w:space="0" w:color="auto"/>
              <w:left w:val="nil"/>
              <w:bottom w:val="single" w:sz="4" w:space="0" w:color="auto"/>
              <w:right w:val="single" w:sz="4" w:space="0" w:color="auto"/>
            </w:tcBorders>
          </w:tcPr>
          <w:p w14:paraId="474D104B"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34,5%</w:t>
            </w:r>
          </w:p>
        </w:tc>
      </w:tr>
      <w:tr w:rsidR="008B0630" w:rsidRPr="008B0630" w14:paraId="21DE306E" w14:textId="77777777" w:rsidTr="00E03828">
        <w:trPr>
          <w:cantSplit/>
          <w:trHeight w:val="20"/>
          <w:jc w:val="center"/>
        </w:trPr>
        <w:tc>
          <w:tcPr>
            <w:tcW w:w="2714" w:type="pct"/>
            <w:vAlign w:val="center"/>
          </w:tcPr>
          <w:p w14:paraId="58D94E27" w14:textId="77777777" w:rsidR="008B0630" w:rsidRPr="008B0630" w:rsidRDefault="008B0630" w:rsidP="008B0630">
            <w:pPr>
              <w:keepNext/>
              <w:keepLines/>
              <w:spacing w:after="0"/>
              <w:ind w:firstLine="0"/>
              <w:rPr>
                <w:rFonts w:cs="Times New Roman"/>
                <w:noProof/>
                <w:sz w:val="18"/>
                <w:szCs w:val="18"/>
              </w:rPr>
            </w:pPr>
            <w:r w:rsidRPr="008B0630">
              <w:rPr>
                <w:rFonts w:cs="Times New Roman"/>
                <w:noProof/>
                <w:sz w:val="18"/>
                <w:szCs w:val="18"/>
              </w:rPr>
              <w:t>Salīdzinājumā ar likumu “Par valsts budžetu 2025. gadam un budžeta ietvaru 2025., 2026. un 2027. gadam”, milj. </w:t>
            </w:r>
            <w:r w:rsidRPr="008B0630">
              <w:rPr>
                <w:rFonts w:cs="Times New Roman"/>
                <w:i/>
                <w:iCs/>
                <w:noProof/>
                <w:sz w:val="18"/>
                <w:szCs w:val="18"/>
              </w:rPr>
              <w:t>euro</w:t>
            </w:r>
          </w:p>
        </w:tc>
        <w:tc>
          <w:tcPr>
            <w:tcW w:w="542" w:type="pct"/>
            <w:tcBorders>
              <w:top w:val="single" w:sz="4" w:space="0" w:color="auto"/>
              <w:left w:val="nil"/>
              <w:bottom w:val="single" w:sz="4" w:space="0" w:color="auto"/>
              <w:right w:val="single" w:sz="4" w:space="0" w:color="auto"/>
            </w:tcBorders>
          </w:tcPr>
          <w:p w14:paraId="239806CF"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-111,9</w:t>
            </w:r>
          </w:p>
        </w:tc>
        <w:tc>
          <w:tcPr>
            <w:tcW w:w="628" w:type="pct"/>
            <w:tcBorders>
              <w:top w:val="single" w:sz="4" w:space="0" w:color="auto"/>
              <w:left w:val="single" w:sz="4" w:space="0" w:color="auto"/>
              <w:bottom w:val="single" w:sz="4" w:space="0" w:color="auto"/>
              <w:right w:val="single" w:sz="4" w:space="0" w:color="auto"/>
            </w:tcBorders>
          </w:tcPr>
          <w:p w14:paraId="1A4A0878"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-134,0</w:t>
            </w:r>
          </w:p>
        </w:tc>
        <w:tc>
          <w:tcPr>
            <w:tcW w:w="628" w:type="pct"/>
            <w:tcBorders>
              <w:top w:val="single" w:sz="4" w:space="0" w:color="auto"/>
              <w:left w:val="single" w:sz="4" w:space="0" w:color="auto"/>
              <w:bottom w:val="single" w:sz="4" w:space="0" w:color="auto"/>
              <w:right w:val="single" w:sz="4" w:space="0" w:color="auto"/>
            </w:tcBorders>
          </w:tcPr>
          <w:p w14:paraId="2533B232"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-80,4</w:t>
            </w:r>
          </w:p>
        </w:tc>
        <w:tc>
          <w:tcPr>
            <w:tcW w:w="488" w:type="pct"/>
            <w:tcBorders>
              <w:top w:val="single" w:sz="4" w:space="0" w:color="auto"/>
              <w:left w:val="single" w:sz="4" w:space="0" w:color="auto"/>
              <w:bottom w:val="single" w:sz="4" w:space="0" w:color="auto"/>
              <w:right w:val="single" w:sz="4" w:space="0" w:color="auto"/>
            </w:tcBorders>
          </w:tcPr>
          <w:p w14:paraId="4B47F065"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w:t>
            </w:r>
          </w:p>
        </w:tc>
      </w:tr>
      <w:tr w:rsidR="008B0630" w:rsidRPr="008B0630" w14:paraId="0192E990" w14:textId="77777777" w:rsidTr="00E03828">
        <w:trPr>
          <w:cantSplit/>
          <w:trHeight w:val="20"/>
          <w:jc w:val="center"/>
        </w:trPr>
        <w:tc>
          <w:tcPr>
            <w:tcW w:w="2714" w:type="pct"/>
            <w:vAlign w:val="center"/>
          </w:tcPr>
          <w:p w14:paraId="63F4A85A" w14:textId="77777777" w:rsidR="008B0630" w:rsidRPr="008B0630" w:rsidRDefault="008B0630" w:rsidP="008B0630">
            <w:pPr>
              <w:keepNext/>
              <w:keepLines/>
              <w:spacing w:after="0"/>
              <w:ind w:firstLine="0"/>
              <w:rPr>
                <w:rFonts w:cs="Times New Roman"/>
                <w:noProof/>
                <w:sz w:val="18"/>
                <w:szCs w:val="18"/>
              </w:rPr>
            </w:pPr>
            <w:r w:rsidRPr="008B0630">
              <w:rPr>
                <w:rFonts w:cs="Times New Roman"/>
                <w:noProof/>
                <w:sz w:val="18"/>
                <w:szCs w:val="18"/>
              </w:rPr>
              <w:t>Salīdzinājumā ar likumu “Par valsts budžetu 2025. gadam un budžeta ietvaru 2025., 2026. un 2027. gadam”, %</w:t>
            </w:r>
          </w:p>
        </w:tc>
        <w:tc>
          <w:tcPr>
            <w:tcW w:w="542" w:type="pct"/>
            <w:tcBorders>
              <w:top w:val="single" w:sz="4" w:space="0" w:color="auto"/>
              <w:left w:val="nil"/>
              <w:bottom w:val="single" w:sz="4" w:space="0" w:color="auto"/>
              <w:right w:val="single" w:sz="4" w:space="0" w:color="auto"/>
            </w:tcBorders>
          </w:tcPr>
          <w:p w14:paraId="3BEB6DF8"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-0,8</w:t>
            </w:r>
          </w:p>
        </w:tc>
        <w:tc>
          <w:tcPr>
            <w:tcW w:w="628" w:type="pct"/>
            <w:tcBorders>
              <w:top w:val="single" w:sz="4" w:space="0" w:color="auto"/>
              <w:left w:val="single" w:sz="4" w:space="0" w:color="auto"/>
              <w:bottom w:val="single" w:sz="4" w:space="0" w:color="auto"/>
              <w:right w:val="single" w:sz="4" w:space="0" w:color="auto"/>
            </w:tcBorders>
          </w:tcPr>
          <w:p w14:paraId="51E6A4CD"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-0,9</w:t>
            </w:r>
          </w:p>
        </w:tc>
        <w:tc>
          <w:tcPr>
            <w:tcW w:w="628" w:type="pct"/>
            <w:tcBorders>
              <w:top w:val="single" w:sz="4" w:space="0" w:color="auto"/>
              <w:left w:val="single" w:sz="4" w:space="0" w:color="auto"/>
              <w:bottom w:val="single" w:sz="4" w:space="0" w:color="auto"/>
              <w:right w:val="single" w:sz="4" w:space="0" w:color="auto"/>
            </w:tcBorders>
          </w:tcPr>
          <w:p w14:paraId="184D20EB"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-0,5</w:t>
            </w:r>
          </w:p>
        </w:tc>
        <w:tc>
          <w:tcPr>
            <w:tcW w:w="488" w:type="pct"/>
            <w:tcBorders>
              <w:top w:val="single" w:sz="4" w:space="0" w:color="auto"/>
              <w:left w:val="single" w:sz="4" w:space="0" w:color="auto"/>
              <w:bottom w:val="single" w:sz="4" w:space="0" w:color="auto"/>
              <w:right w:val="single" w:sz="4" w:space="0" w:color="auto"/>
            </w:tcBorders>
          </w:tcPr>
          <w:p w14:paraId="61F4A60B"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w:t>
            </w:r>
          </w:p>
        </w:tc>
      </w:tr>
    </w:tbl>
    <w:p w14:paraId="7C16EC8F"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167E3372" w14:textId="77777777" w:rsidR="008B0630" w:rsidRPr="008B0630" w:rsidRDefault="008B0630" w:rsidP="00116188">
      <w:pPr>
        <w:widowControl w:val="0"/>
        <w:spacing w:after="0"/>
        <w:ind w:firstLine="0"/>
        <w:rPr>
          <w:rFonts w:eastAsia="Times New Roman" w:cs="Times New Roman"/>
          <w:color w:val="000000"/>
          <w:highlight w:val="yellow"/>
        </w:rPr>
      </w:pPr>
    </w:p>
    <w:p w14:paraId="0288676C"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Informācija par kopbudžeta nodokļu ieņēmumiem sadalījumā pa veidiem laika periodā no 2025. līdz 2028. gadam ir sniegta 3.3. tabulā.</w:t>
      </w:r>
    </w:p>
    <w:p w14:paraId="45F446E4" w14:textId="77777777" w:rsidR="008B0630" w:rsidRPr="008B0630" w:rsidRDefault="008B0630" w:rsidP="008B0630">
      <w:pPr>
        <w:widowControl w:val="0"/>
        <w:jc w:val="right"/>
        <w:rPr>
          <w:rFonts w:eastAsia="Times New Roman" w:cs="Times New Roman"/>
          <w:b/>
          <w:i/>
          <w:color w:val="000000"/>
        </w:rPr>
      </w:pPr>
      <w:r w:rsidRPr="008B0630">
        <w:rPr>
          <w:rFonts w:eastAsia="Times New Roman" w:cs="Times New Roman"/>
          <w:b/>
          <w:i/>
          <w:color w:val="000000"/>
        </w:rPr>
        <w:t>3.3. tabula. Kopbudžeta nodokļu ieņēmumi, milj. euro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7"/>
        <w:gridCol w:w="906"/>
        <w:gridCol w:w="906"/>
        <w:gridCol w:w="906"/>
        <w:gridCol w:w="906"/>
      </w:tblGrid>
      <w:tr w:rsidR="008B0630" w:rsidRPr="008B0630" w14:paraId="19E5571E" w14:textId="77777777" w:rsidTr="00E03828">
        <w:trPr>
          <w:cantSplit/>
          <w:trHeight w:val="20"/>
        </w:trPr>
        <w:tc>
          <w:tcPr>
            <w:tcW w:w="3000" w:type="pct"/>
            <w:shd w:val="clear" w:color="auto" w:fill="9CC2E5" w:themeFill="accent1" w:themeFillTint="99"/>
            <w:vAlign w:val="center"/>
            <w:hideMark/>
          </w:tcPr>
          <w:p w14:paraId="47507C8F" w14:textId="77777777" w:rsidR="008B0630" w:rsidRPr="008B0630" w:rsidRDefault="008B0630" w:rsidP="008B0630">
            <w:pPr>
              <w:keepNext/>
              <w:keepLines/>
              <w:spacing w:before="100" w:beforeAutospacing="1" w:after="100" w:afterAutospacing="1"/>
              <w:ind w:firstLine="0"/>
              <w:contextualSpacing/>
              <w:jc w:val="center"/>
              <w:rPr>
                <w:rFonts w:eastAsia="Times New Roman" w:cs="Times New Roman"/>
                <w:b/>
                <w:bCs/>
                <w:sz w:val="18"/>
                <w:szCs w:val="24"/>
              </w:rPr>
            </w:pPr>
          </w:p>
        </w:tc>
        <w:tc>
          <w:tcPr>
            <w:tcW w:w="500" w:type="pct"/>
            <w:shd w:val="clear" w:color="auto" w:fill="9CC2E5" w:themeFill="accent1" w:themeFillTint="99"/>
            <w:vAlign w:val="center"/>
            <w:hideMark/>
          </w:tcPr>
          <w:p w14:paraId="75C761B9" w14:textId="77777777" w:rsidR="008B0630" w:rsidRPr="008B0630" w:rsidRDefault="008B0630" w:rsidP="008B0630">
            <w:pPr>
              <w:keepNext/>
              <w:keepLines/>
              <w:spacing w:before="100" w:beforeAutospacing="1" w:after="100" w:afterAutospacing="1"/>
              <w:ind w:firstLine="0"/>
              <w:contextualSpacing/>
              <w:jc w:val="center"/>
              <w:rPr>
                <w:rFonts w:eastAsia="Times New Roman" w:cs="Times New Roman"/>
                <w:b/>
                <w:bCs/>
                <w:sz w:val="20"/>
                <w:szCs w:val="28"/>
              </w:rPr>
            </w:pPr>
            <w:r w:rsidRPr="008B0630">
              <w:rPr>
                <w:rFonts w:eastAsia="Times New Roman" w:cs="Times New Roman"/>
                <w:b/>
                <w:bCs/>
                <w:sz w:val="20"/>
                <w:szCs w:val="28"/>
              </w:rPr>
              <w:t>2025</w:t>
            </w:r>
            <w:r w:rsidRPr="008B0630">
              <w:rPr>
                <w:rFonts w:eastAsia="Times New Roman" w:cs="Times New Roman"/>
                <w:b/>
                <w:bCs/>
                <w:sz w:val="20"/>
                <w:szCs w:val="28"/>
                <w:vertAlign w:val="superscript"/>
              </w:rPr>
              <w:t>1</w:t>
            </w:r>
          </w:p>
        </w:tc>
        <w:tc>
          <w:tcPr>
            <w:tcW w:w="500" w:type="pct"/>
            <w:shd w:val="clear" w:color="auto" w:fill="9CC2E5" w:themeFill="accent1" w:themeFillTint="99"/>
            <w:vAlign w:val="center"/>
            <w:hideMark/>
          </w:tcPr>
          <w:p w14:paraId="7CFCE5FF" w14:textId="77777777" w:rsidR="008B0630" w:rsidRPr="008B0630" w:rsidRDefault="008B0630" w:rsidP="008B0630">
            <w:pPr>
              <w:keepNext/>
              <w:keepLines/>
              <w:spacing w:before="100" w:beforeAutospacing="1" w:after="100" w:afterAutospacing="1"/>
              <w:ind w:firstLine="0"/>
              <w:contextualSpacing/>
              <w:jc w:val="center"/>
              <w:rPr>
                <w:rFonts w:eastAsia="Times New Roman" w:cs="Times New Roman"/>
                <w:b/>
                <w:bCs/>
                <w:sz w:val="20"/>
                <w:szCs w:val="28"/>
              </w:rPr>
            </w:pPr>
            <w:r w:rsidRPr="008B0630">
              <w:rPr>
                <w:rFonts w:eastAsia="Times New Roman" w:cs="Times New Roman"/>
                <w:b/>
                <w:bCs/>
                <w:sz w:val="20"/>
                <w:szCs w:val="28"/>
              </w:rPr>
              <w:t>2026</w:t>
            </w:r>
          </w:p>
        </w:tc>
        <w:tc>
          <w:tcPr>
            <w:tcW w:w="500" w:type="pct"/>
            <w:shd w:val="clear" w:color="auto" w:fill="9CC2E5" w:themeFill="accent1" w:themeFillTint="99"/>
            <w:vAlign w:val="center"/>
            <w:hideMark/>
          </w:tcPr>
          <w:p w14:paraId="0D106824" w14:textId="77777777" w:rsidR="008B0630" w:rsidRPr="008B0630" w:rsidRDefault="008B0630" w:rsidP="008B0630">
            <w:pPr>
              <w:keepNext/>
              <w:keepLines/>
              <w:spacing w:before="100" w:beforeAutospacing="1" w:after="100" w:afterAutospacing="1"/>
              <w:ind w:firstLine="0"/>
              <w:contextualSpacing/>
              <w:jc w:val="center"/>
              <w:rPr>
                <w:rFonts w:eastAsia="Times New Roman" w:cs="Times New Roman"/>
                <w:b/>
                <w:bCs/>
                <w:sz w:val="20"/>
                <w:szCs w:val="28"/>
              </w:rPr>
            </w:pPr>
            <w:r w:rsidRPr="008B0630">
              <w:rPr>
                <w:rFonts w:eastAsia="Times New Roman" w:cs="Times New Roman"/>
                <w:b/>
                <w:bCs/>
                <w:sz w:val="20"/>
                <w:szCs w:val="28"/>
              </w:rPr>
              <w:t>2027</w:t>
            </w:r>
          </w:p>
        </w:tc>
        <w:tc>
          <w:tcPr>
            <w:tcW w:w="500" w:type="pct"/>
            <w:shd w:val="clear" w:color="auto" w:fill="9CC2E5" w:themeFill="accent1" w:themeFillTint="99"/>
            <w:noWrap/>
            <w:vAlign w:val="center"/>
            <w:hideMark/>
          </w:tcPr>
          <w:p w14:paraId="4977F456" w14:textId="77777777" w:rsidR="008B0630" w:rsidRPr="008B0630" w:rsidRDefault="008B0630" w:rsidP="008B0630">
            <w:pPr>
              <w:keepNext/>
              <w:keepLines/>
              <w:spacing w:before="100" w:beforeAutospacing="1" w:after="100" w:afterAutospacing="1"/>
              <w:ind w:firstLine="0"/>
              <w:contextualSpacing/>
              <w:jc w:val="center"/>
              <w:rPr>
                <w:rFonts w:eastAsia="Times New Roman" w:cs="Times New Roman"/>
                <w:b/>
                <w:bCs/>
                <w:sz w:val="20"/>
                <w:szCs w:val="28"/>
              </w:rPr>
            </w:pPr>
            <w:r w:rsidRPr="008B0630">
              <w:rPr>
                <w:rFonts w:eastAsia="Times New Roman" w:cs="Times New Roman"/>
                <w:b/>
                <w:bCs/>
                <w:sz w:val="20"/>
                <w:szCs w:val="28"/>
              </w:rPr>
              <w:t>2028</w:t>
            </w:r>
          </w:p>
        </w:tc>
      </w:tr>
      <w:tr w:rsidR="008B0630" w:rsidRPr="008B0630" w14:paraId="4C3BBEC1" w14:textId="77777777" w:rsidTr="00E03828">
        <w:trPr>
          <w:cantSplit/>
          <w:trHeight w:val="20"/>
        </w:trPr>
        <w:tc>
          <w:tcPr>
            <w:tcW w:w="3000" w:type="pct"/>
            <w:shd w:val="clear" w:color="auto" w:fill="D9E2F3"/>
            <w:vAlign w:val="center"/>
          </w:tcPr>
          <w:p w14:paraId="0E4BE581" w14:textId="77777777" w:rsidR="008B0630" w:rsidRPr="008B0630" w:rsidRDefault="008B0630" w:rsidP="008B0630">
            <w:pPr>
              <w:keepNext/>
              <w:keepLines/>
              <w:spacing w:before="100" w:beforeAutospacing="1" w:after="100" w:afterAutospacing="1"/>
              <w:ind w:firstLine="0"/>
              <w:contextualSpacing/>
              <w:jc w:val="left"/>
              <w:rPr>
                <w:rFonts w:eastAsia="Times New Roman" w:cs="Times New Roman"/>
                <w:sz w:val="18"/>
                <w:szCs w:val="24"/>
              </w:rPr>
            </w:pPr>
            <w:r w:rsidRPr="008B0630">
              <w:rPr>
                <w:rFonts w:eastAsia="Times New Roman" w:cs="Times New Roman"/>
                <w:sz w:val="18"/>
                <w:szCs w:val="24"/>
              </w:rPr>
              <w:t>Tiešie nodokļi</w:t>
            </w:r>
          </w:p>
        </w:tc>
        <w:tc>
          <w:tcPr>
            <w:tcW w:w="500" w:type="pct"/>
            <w:shd w:val="clear" w:color="auto" w:fill="D9E2F3"/>
          </w:tcPr>
          <w:p w14:paraId="10B043E8"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rFonts w:cs="Times New Roman"/>
                <w:b/>
                <w:bCs/>
                <w:sz w:val="18"/>
                <w:szCs w:val="18"/>
              </w:rPr>
              <w:t>8 641,5</w:t>
            </w:r>
          </w:p>
        </w:tc>
        <w:tc>
          <w:tcPr>
            <w:tcW w:w="500" w:type="pct"/>
            <w:shd w:val="clear" w:color="auto" w:fill="D9E2F3"/>
          </w:tcPr>
          <w:p w14:paraId="5529DE0B"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rFonts w:cs="Times New Roman"/>
                <w:b/>
                <w:bCs/>
                <w:sz w:val="18"/>
                <w:szCs w:val="18"/>
              </w:rPr>
              <w:t>9 113,7</w:t>
            </w:r>
          </w:p>
        </w:tc>
        <w:tc>
          <w:tcPr>
            <w:tcW w:w="500" w:type="pct"/>
            <w:shd w:val="clear" w:color="auto" w:fill="D9E2F3"/>
          </w:tcPr>
          <w:p w14:paraId="42381FC4"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rFonts w:cs="Times New Roman"/>
                <w:b/>
                <w:bCs/>
                <w:sz w:val="18"/>
                <w:szCs w:val="18"/>
              </w:rPr>
              <w:t>9 533,6</w:t>
            </w:r>
          </w:p>
        </w:tc>
        <w:tc>
          <w:tcPr>
            <w:tcW w:w="500" w:type="pct"/>
            <w:shd w:val="clear" w:color="auto" w:fill="D9E2F3"/>
          </w:tcPr>
          <w:p w14:paraId="7E277EE3"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rFonts w:cs="Times New Roman"/>
                <w:b/>
                <w:bCs/>
                <w:sz w:val="18"/>
                <w:szCs w:val="18"/>
              </w:rPr>
              <w:t>9 907,3</w:t>
            </w:r>
          </w:p>
        </w:tc>
      </w:tr>
      <w:tr w:rsidR="008B0630" w:rsidRPr="008B0630" w14:paraId="4F486A63" w14:textId="77777777" w:rsidTr="00E03828">
        <w:trPr>
          <w:cantSplit/>
          <w:trHeight w:val="20"/>
        </w:trPr>
        <w:tc>
          <w:tcPr>
            <w:tcW w:w="3000" w:type="pct"/>
            <w:vAlign w:val="center"/>
            <w:hideMark/>
          </w:tcPr>
          <w:p w14:paraId="2B11C85B" w14:textId="77777777" w:rsidR="008B0630" w:rsidRPr="008B0630" w:rsidRDefault="008B0630" w:rsidP="008B0630">
            <w:pPr>
              <w:keepNext/>
              <w:keepLines/>
              <w:spacing w:before="100" w:beforeAutospacing="1" w:after="100" w:afterAutospacing="1"/>
              <w:ind w:left="720" w:firstLine="0"/>
              <w:contextualSpacing/>
              <w:jc w:val="left"/>
              <w:rPr>
                <w:rFonts w:eastAsia="Times New Roman" w:cs="Times New Roman"/>
                <w:i/>
                <w:iCs/>
                <w:sz w:val="18"/>
                <w:szCs w:val="24"/>
              </w:rPr>
            </w:pPr>
            <w:r w:rsidRPr="008B0630">
              <w:rPr>
                <w:rFonts w:eastAsia="Times New Roman" w:cs="Times New Roman"/>
                <w:i/>
                <w:iCs/>
                <w:sz w:val="18"/>
                <w:szCs w:val="24"/>
              </w:rPr>
              <w:t>IIN</w:t>
            </w:r>
          </w:p>
        </w:tc>
        <w:tc>
          <w:tcPr>
            <w:tcW w:w="500" w:type="pct"/>
          </w:tcPr>
          <w:p w14:paraId="64402785"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2 803,0</w:t>
            </w:r>
          </w:p>
        </w:tc>
        <w:tc>
          <w:tcPr>
            <w:tcW w:w="500" w:type="pct"/>
          </w:tcPr>
          <w:p w14:paraId="0C38F8B4"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2 920,2</w:t>
            </w:r>
          </w:p>
        </w:tc>
        <w:tc>
          <w:tcPr>
            <w:tcW w:w="500" w:type="pct"/>
          </w:tcPr>
          <w:p w14:paraId="00A9CDA3"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3 053,2</w:t>
            </w:r>
          </w:p>
        </w:tc>
        <w:tc>
          <w:tcPr>
            <w:tcW w:w="500" w:type="pct"/>
          </w:tcPr>
          <w:p w14:paraId="0D429B31"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3 213,2</w:t>
            </w:r>
          </w:p>
        </w:tc>
      </w:tr>
      <w:tr w:rsidR="008B0630" w:rsidRPr="008B0630" w14:paraId="792F7435" w14:textId="77777777" w:rsidTr="00E03828">
        <w:trPr>
          <w:cantSplit/>
          <w:trHeight w:val="20"/>
        </w:trPr>
        <w:tc>
          <w:tcPr>
            <w:tcW w:w="3000" w:type="pct"/>
            <w:vAlign w:val="center"/>
            <w:hideMark/>
          </w:tcPr>
          <w:p w14:paraId="2826372A" w14:textId="77777777" w:rsidR="008B0630" w:rsidRPr="008B0630" w:rsidRDefault="008B0630" w:rsidP="008B0630">
            <w:pPr>
              <w:keepNext/>
              <w:keepLines/>
              <w:spacing w:before="100" w:beforeAutospacing="1" w:after="100" w:afterAutospacing="1"/>
              <w:ind w:left="720" w:firstLine="0"/>
              <w:contextualSpacing/>
              <w:jc w:val="left"/>
              <w:rPr>
                <w:rFonts w:eastAsia="Times New Roman" w:cs="Times New Roman"/>
                <w:i/>
                <w:iCs/>
                <w:sz w:val="18"/>
                <w:szCs w:val="24"/>
              </w:rPr>
            </w:pPr>
            <w:r w:rsidRPr="008B0630">
              <w:rPr>
                <w:rFonts w:eastAsia="Times New Roman" w:cs="Times New Roman"/>
                <w:i/>
                <w:iCs/>
                <w:sz w:val="18"/>
                <w:szCs w:val="24"/>
              </w:rPr>
              <w:t>VSAOI</w:t>
            </w:r>
            <w:r w:rsidRPr="008B0630">
              <w:rPr>
                <w:rFonts w:eastAsia="Times New Roman" w:cs="Times New Roman"/>
                <w:i/>
                <w:iCs/>
                <w:sz w:val="18"/>
                <w:szCs w:val="24"/>
                <w:vertAlign w:val="superscript"/>
              </w:rPr>
              <w:t>2</w:t>
            </w:r>
          </w:p>
        </w:tc>
        <w:tc>
          <w:tcPr>
            <w:tcW w:w="500" w:type="pct"/>
          </w:tcPr>
          <w:p w14:paraId="5D1F044C"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4 792,3</w:t>
            </w:r>
          </w:p>
        </w:tc>
        <w:tc>
          <w:tcPr>
            <w:tcW w:w="500" w:type="pct"/>
          </w:tcPr>
          <w:p w14:paraId="09F4C0BD"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5 137,6</w:t>
            </w:r>
          </w:p>
        </w:tc>
        <w:tc>
          <w:tcPr>
            <w:tcW w:w="500" w:type="pct"/>
          </w:tcPr>
          <w:p w14:paraId="0D92C012"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5 412,1</w:t>
            </w:r>
          </w:p>
        </w:tc>
        <w:tc>
          <w:tcPr>
            <w:tcW w:w="500" w:type="pct"/>
          </w:tcPr>
          <w:p w14:paraId="51DF28DC"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5 672,4</w:t>
            </w:r>
          </w:p>
        </w:tc>
      </w:tr>
      <w:tr w:rsidR="008B0630" w:rsidRPr="008B0630" w14:paraId="3EEE0A2E" w14:textId="77777777" w:rsidTr="00E03828">
        <w:trPr>
          <w:cantSplit/>
          <w:trHeight w:val="20"/>
        </w:trPr>
        <w:tc>
          <w:tcPr>
            <w:tcW w:w="3000" w:type="pct"/>
            <w:vAlign w:val="center"/>
            <w:hideMark/>
          </w:tcPr>
          <w:p w14:paraId="2C8A11DC" w14:textId="77777777" w:rsidR="008B0630" w:rsidRPr="008B0630" w:rsidRDefault="008B0630" w:rsidP="008B0630">
            <w:pPr>
              <w:keepNext/>
              <w:keepLines/>
              <w:spacing w:before="100" w:beforeAutospacing="1" w:after="100" w:afterAutospacing="1"/>
              <w:ind w:left="720" w:firstLine="0"/>
              <w:contextualSpacing/>
              <w:jc w:val="left"/>
              <w:rPr>
                <w:rFonts w:eastAsia="Times New Roman" w:cs="Times New Roman"/>
                <w:i/>
                <w:iCs/>
                <w:sz w:val="18"/>
                <w:szCs w:val="24"/>
              </w:rPr>
            </w:pPr>
            <w:r w:rsidRPr="008B0630">
              <w:rPr>
                <w:rFonts w:eastAsia="Times New Roman" w:cs="Times New Roman"/>
                <w:i/>
                <w:iCs/>
                <w:sz w:val="18"/>
                <w:szCs w:val="24"/>
              </w:rPr>
              <w:t>UIN</w:t>
            </w:r>
          </w:p>
        </w:tc>
        <w:tc>
          <w:tcPr>
            <w:tcW w:w="500" w:type="pct"/>
          </w:tcPr>
          <w:p w14:paraId="47DC0175"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712,0</w:t>
            </w:r>
          </w:p>
        </w:tc>
        <w:tc>
          <w:tcPr>
            <w:tcW w:w="500" w:type="pct"/>
          </w:tcPr>
          <w:p w14:paraId="5E30CBDB"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706,0</w:t>
            </w:r>
          </w:p>
        </w:tc>
        <w:tc>
          <w:tcPr>
            <w:tcW w:w="500" w:type="pct"/>
          </w:tcPr>
          <w:p w14:paraId="11096F0C"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715,7</w:t>
            </w:r>
          </w:p>
        </w:tc>
        <w:tc>
          <w:tcPr>
            <w:tcW w:w="500" w:type="pct"/>
          </w:tcPr>
          <w:p w14:paraId="31F5D4B6"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746,0</w:t>
            </w:r>
          </w:p>
        </w:tc>
      </w:tr>
      <w:tr w:rsidR="008B0630" w:rsidRPr="008B0630" w14:paraId="54B2660A" w14:textId="77777777" w:rsidTr="00E03828">
        <w:trPr>
          <w:cantSplit/>
          <w:trHeight w:val="20"/>
        </w:trPr>
        <w:tc>
          <w:tcPr>
            <w:tcW w:w="3000" w:type="pct"/>
            <w:vAlign w:val="center"/>
            <w:hideMark/>
          </w:tcPr>
          <w:p w14:paraId="4D096C2A" w14:textId="77777777" w:rsidR="008B0630" w:rsidRPr="008B0630" w:rsidRDefault="008B0630" w:rsidP="008B0630">
            <w:pPr>
              <w:keepNext/>
              <w:keepLines/>
              <w:spacing w:before="100" w:beforeAutospacing="1" w:after="100" w:afterAutospacing="1"/>
              <w:ind w:left="720" w:firstLine="0"/>
              <w:contextualSpacing/>
              <w:jc w:val="left"/>
              <w:rPr>
                <w:rFonts w:eastAsia="Times New Roman" w:cs="Times New Roman"/>
                <w:i/>
                <w:iCs/>
                <w:sz w:val="18"/>
                <w:szCs w:val="24"/>
              </w:rPr>
            </w:pPr>
            <w:r w:rsidRPr="008B0630">
              <w:rPr>
                <w:rFonts w:eastAsia="Times New Roman" w:cs="Times New Roman"/>
                <w:i/>
                <w:iCs/>
                <w:sz w:val="18"/>
                <w:szCs w:val="24"/>
              </w:rPr>
              <w:t>Nekustamā īpašuma nodoklis</w:t>
            </w:r>
          </w:p>
        </w:tc>
        <w:tc>
          <w:tcPr>
            <w:tcW w:w="500" w:type="pct"/>
          </w:tcPr>
          <w:p w14:paraId="7D875ED8"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241,2</w:t>
            </w:r>
          </w:p>
        </w:tc>
        <w:tc>
          <w:tcPr>
            <w:tcW w:w="500" w:type="pct"/>
          </w:tcPr>
          <w:p w14:paraId="4D4E91A2"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243,6</w:t>
            </w:r>
          </w:p>
        </w:tc>
        <w:tc>
          <w:tcPr>
            <w:tcW w:w="500" w:type="pct"/>
          </w:tcPr>
          <w:p w14:paraId="5A35D5C8"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246,0</w:t>
            </w:r>
          </w:p>
        </w:tc>
        <w:tc>
          <w:tcPr>
            <w:tcW w:w="500" w:type="pct"/>
          </w:tcPr>
          <w:p w14:paraId="5E574301"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248,5</w:t>
            </w:r>
          </w:p>
        </w:tc>
      </w:tr>
      <w:tr w:rsidR="008B0630" w:rsidRPr="008B0630" w14:paraId="48286AE8" w14:textId="77777777" w:rsidTr="00E03828">
        <w:trPr>
          <w:cantSplit/>
          <w:trHeight w:val="20"/>
        </w:trPr>
        <w:tc>
          <w:tcPr>
            <w:tcW w:w="3000" w:type="pct"/>
            <w:vAlign w:val="center"/>
          </w:tcPr>
          <w:p w14:paraId="5B015DF4" w14:textId="77777777" w:rsidR="008B0630" w:rsidRPr="008B0630" w:rsidRDefault="008B0630" w:rsidP="008B0630">
            <w:pPr>
              <w:keepNext/>
              <w:keepLines/>
              <w:spacing w:before="100" w:beforeAutospacing="1" w:after="100" w:afterAutospacing="1"/>
              <w:ind w:firstLine="0"/>
              <w:contextualSpacing/>
              <w:jc w:val="left"/>
              <w:rPr>
                <w:rFonts w:eastAsia="Times New Roman" w:cs="Times New Roman"/>
                <w:i/>
                <w:iCs/>
                <w:sz w:val="18"/>
                <w:szCs w:val="24"/>
              </w:rPr>
            </w:pPr>
            <w:r w:rsidRPr="008B0630">
              <w:rPr>
                <w:rFonts w:eastAsia="Times New Roman" w:cs="Times New Roman"/>
                <w:sz w:val="18"/>
                <w:szCs w:val="24"/>
              </w:rPr>
              <w:t xml:space="preserve">                </w:t>
            </w:r>
            <w:r w:rsidRPr="008B0630">
              <w:rPr>
                <w:rFonts w:eastAsia="Times New Roman" w:cs="Times New Roman"/>
                <w:i/>
                <w:iCs/>
                <w:sz w:val="18"/>
                <w:szCs w:val="24"/>
              </w:rPr>
              <w:t>Ieņēmumi no solidaritātes iemaksām</w:t>
            </w:r>
          </w:p>
        </w:tc>
        <w:tc>
          <w:tcPr>
            <w:tcW w:w="500" w:type="pct"/>
          </w:tcPr>
          <w:p w14:paraId="5E7E4F0D" w14:textId="77777777" w:rsidR="008B0630" w:rsidRPr="008B0630" w:rsidRDefault="008B0630" w:rsidP="008B0630">
            <w:pPr>
              <w:spacing w:before="100" w:beforeAutospacing="1" w:after="100" w:afterAutospacing="1"/>
              <w:ind w:firstLine="0"/>
              <w:contextualSpacing/>
              <w:jc w:val="right"/>
              <w:rPr>
                <w:rFonts w:cs="Times New Roman"/>
                <w:b/>
                <w:i/>
                <w:iCs/>
                <w:sz w:val="18"/>
                <w:szCs w:val="18"/>
              </w:rPr>
            </w:pPr>
            <w:r w:rsidRPr="008B0630">
              <w:rPr>
                <w:rFonts w:cs="Times New Roman"/>
                <w:i/>
                <w:iCs/>
                <w:sz w:val="18"/>
                <w:szCs w:val="18"/>
              </w:rPr>
              <w:t>93,0</w:t>
            </w:r>
          </w:p>
        </w:tc>
        <w:tc>
          <w:tcPr>
            <w:tcW w:w="500" w:type="pct"/>
          </w:tcPr>
          <w:p w14:paraId="2EAB97C4" w14:textId="77777777" w:rsidR="008B0630" w:rsidRPr="008B0630" w:rsidRDefault="008B0630" w:rsidP="008B0630">
            <w:pPr>
              <w:spacing w:before="100" w:beforeAutospacing="1" w:after="100" w:afterAutospacing="1"/>
              <w:ind w:firstLine="0"/>
              <w:contextualSpacing/>
              <w:jc w:val="right"/>
              <w:rPr>
                <w:rFonts w:cs="Times New Roman"/>
                <w:b/>
                <w:i/>
                <w:iCs/>
                <w:sz w:val="18"/>
                <w:szCs w:val="18"/>
              </w:rPr>
            </w:pPr>
            <w:r w:rsidRPr="008B0630">
              <w:rPr>
                <w:rFonts w:cs="Times New Roman"/>
                <w:i/>
                <w:iCs/>
                <w:sz w:val="18"/>
                <w:szCs w:val="18"/>
              </w:rPr>
              <w:t>106,3</w:t>
            </w:r>
          </w:p>
        </w:tc>
        <w:tc>
          <w:tcPr>
            <w:tcW w:w="500" w:type="pct"/>
          </w:tcPr>
          <w:p w14:paraId="07E9FF37" w14:textId="77777777" w:rsidR="008B0630" w:rsidRPr="008B0630" w:rsidRDefault="008B0630" w:rsidP="008B0630">
            <w:pPr>
              <w:spacing w:before="100" w:beforeAutospacing="1" w:after="100" w:afterAutospacing="1"/>
              <w:ind w:firstLine="0"/>
              <w:contextualSpacing/>
              <w:jc w:val="right"/>
              <w:rPr>
                <w:rFonts w:cs="Times New Roman"/>
                <w:b/>
                <w:i/>
                <w:iCs/>
                <w:sz w:val="18"/>
                <w:szCs w:val="18"/>
              </w:rPr>
            </w:pPr>
            <w:r w:rsidRPr="008B0630">
              <w:rPr>
                <w:rFonts w:cs="Times New Roman"/>
                <w:i/>
                <w:iCs/>
                <w:sz w:val="18"/>
                <w:szCs w:val="18"/>
              </w:rPr>
              <w:t>106,7</w:t>
            </w:r>
          </w:p>
        </w:tc>
        <w:tc>
          <w:tcPr>
            <w:tcW w:w="500" w:type="pct"/>
          </w:tcPr>
          <w:p w14:paraId="36F09F9F" w14:textId="77777777" w:rsidR="008B0630" w:rsidRPr="008B0630" w:rsidRDefault="008B0630" w:rsidP="008B0630">
            <w:pPr>
              <w:spacing w:before="100" w:beforeAutospacing="1" w:after="100" w:afterAutospacing="1"/>
              <w:ind w:firstLine="0"/>
              <w:contextualSpacing/>
              <w:jc w:val="right"/>
              <w:rPr>
                <w:rFonts w:cs="Times New Roman"/>
                <w:b/>
                <w:i/>
                <w:iCs/>
                <w:sz w:val="18"/>
                <w:szCs w:val="18"/>
              </w:rPr>
            </w:pPr>
            <w:r w:rsidRPr="008B0630">
              <w:rPr>
                <w:rFonts w:cs="Times New Roman"/>
                <w:i/>
                <w:iCs/>
                <w:sz w:val="18"/>
                <w:szCs w:val="18"/>
              </w:rPr>
              <w:t>27,2</w:t>
            </w:r>
          </w:p>
        </w:tc>
      </w:tr>
      <w:tr w:rsidR="008B0630" w:rsidRPr="008B0630" w14:paraId="411C1B8C" w14:textId="77777777" w:rsidTr="00E03828">
        <w:trPr>
          <w:cantSplit/>
          <w:trHeight w:val="20"/>
        </w:trPr>
        <w:tc>
          <w:tcPr>
            <w:tcW w:w="3000" w:type="pct"/>
            <w:shd w:val="clear" w:color="auto" w:fill="D9E2F3"/>
            <w:vAlign w:val="center"/>
          </w:tcPr>
          <w:p w14:paraId="519A1F72" w14:textId="77777777" w:rsidR="008B0630" w:rsidRPr="008B0630" w:rsidRDefault="008B0630" w:rsidP="008B0630">
            <w:pPr>
              <w:keepNext/>
              <w:keepLines/>
              <w:spacing w:before="100" w:beforeAutospacing="1" w:after="100" w:afterAutospacing="1"/>
              <w:ind w:firstLine="0"/>
              <w:contextualSpacing/>
              <w:jc w:val="left"/>
              <w:rPr>
                <w:rFonts w:eastAsia="Times New Roman" w:cs="Times New Roman"/>
                <w:sz w:val="18"/>
                <w:szCs w:val="24"/>
              </w:rPr>
            </w:pPr>
            <w:r w:rsidRPr="008B0630">
              <w:rPr>
                <w:rFonts w:eastAsia="Times New Roman" w:cs="Times New Roman"/>
                <w:sz w:val="18"/>
                <w:szCs w:val="24"/>
              </w:rPr>
              <w:t>Netiešie nodokļi</w:t>
            </w:r>
          </w:p>
        </w:tc>
        <w:tc>
          <w:tcPr>
            <w:tcW w:w="500" w:type="pct"/>
            <w:shd w:val="clear" w:color="auto" w:fill="D9E2F3"/>
          </w:tcPr>
          <w:p w14:paraId="20B5381A"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rFonts w:cs="Times New Roman"/>
                <w:b/>
                <w:bCs/>
                <w:sz w:val="18"/>
                <w:szCs w:val="18"/>
              </w:rPr>
              <w:t>5 661,0</w:t>
            </w:r>
          </w:p>
        </w:tc>
        <w:tc>
          <w:tcPr>
            <w:tcW w:w="500" w:type="pct"/>
            <w:shd w:val="clear" w:color="auto" w:fill="D9E2F3"/>
          </w:tcPr>
          <w:p w14:paraId="6335EF32"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rFonts w:cs="Times New Roman"/>
                <w:b/>
                <w:bCs/>
                <w:sz w:val="18"/>
                <w:szCs w:val="18"/>
              </w:rPr>
              <w:t>5 938,4</w:t>
            </w:r>
          </w:p>
        </w:tc>
        <w:tc>
          <w:tcPr>
            <w:tcW w:w="500" w:type="pct"/>
            <w:shd w:val="clear" w:color="auto" w:fill="D9E2F3"/>
          </w:tcPr>
          <w:p w14:paraId="27264262"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rFonts w:cs="Times New Roman"/>
                <w:b/>
                <w:bCs/>
                <w:sz w:val="18"/>
                <w:szCs w:val="18"/>
              </w:rPr>
              <w:t>6 194,0</w:t>
            </w:r>
          </w:p>
        </w:tc>
        <w:tc>
          <w:tcPr>
            <w:tcW w:w="500" w:type="pct"/>
            <w:shd w:val="clear" w:color="auto" w:fill="D9E2F3"/>
          </w:tcPr>
          <w:p w14:paraId="01CD6EB1"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rFonts w:cs="Times New Roman"/>
                <w:b/>
                <w:bCs/>
                <w:sz w:val="18"/>
                <w:szCs w:val="18"/>
              </w:rPr>
              <w:t>6 486,8</w:t>
            </w:r>
          </w:p>
        </w:tc>
      </w:tr>
      <w:tr w:rsidR="008B0630" w:rsidRPr="008B0630" w14:paraId="6CA7098D" w14:textId="77777777" w:rsidTr="00E03828">
        <w:trPr>
          <w:cantSplit/>
          <w:trHeight w:val="20"/>
        </w:trPr>
        <w:tc>
          <w:tcPr>
            <w:tcW w:w="3000" w:type="pct"/>
            <w:vAlign w:val="center"/>
            <w:hideMark/>
          </w:tcPr>
          <w:p w14:paraId="6E5999E2" w14:textId="77777777" w:rsidR="008B0630" w:rsidRPr="008B0630" w:rsidRDefault="008B0630" w:rsidP="008B0630">
            <w:pPr>
              <w:keepNext/>
              <w:keepLines/>
              <w:spacing w:before="100" w:beforeAutospacing="1" w:after="100" w:afterAutospacing="1"/>
              <w:ind w:left="720" w:firstLine="0"/>
              <w:contextualSpacing/>
              <w:jc w:val="left"/>
              <w:rPr>
                <w:rFonts w:eastAsia="Times New Roman" w:cs="Times New Roman"/>
                <w:i/>
                <w:iCs/>
                <w:sz w:val="18"/>
                <w:szCs w:val="24"/>
              </w:rPr>
            </w:pPr>
            <w:r w:rsidRPr="008B0630">
              <w:rPr>
                <w:rFonts w:eastAsia="Times New Roman" w:cs="Times New Roman"/>
                <w:i/>
                <w:iCs/>
                <w:sz w:val="18"/>
                <w:szCs w:val="24"/>
              </w:rPr>
              <w:t>PVN</w:t>
            </w:r>
          </w:p>
        </w:tc>
        <w:tc>
          <w:tcPr>
            <w:tcW w:w="500" w:type="pct"/>
          </w:tcPr>
          <w:p w14:paraId="7E7163A4"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4 165,3</w:t>
            </w:r>
          </w:p>
        </w:tc>
        <w:tc>
          <w:tcPr>
            <w:tcW w:w="500" w:type="pct"/>
          </w:tcPr>
          <w:p w14:paraId="5F08842F"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4 330,0</w:t>
            </w:r>
          </w:p>
        </w:tc>
        <w:tc>
          <w:tcPr>
            <w:tcW w:w="500" w:type="pct"/>
          </w:tcPr>
          <w:p w14:paraId="64C3F7C8"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4 547,8</w:t>
            </w:r>
          </w:p>
        </w:tc>
        <w:tc>
          <w:tcPr>
            <w:tcW w:w="500" w:type="pct"/>
          </w:tcPr>
          <w:p w14:paraId="4D05A566"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4 784,4</w:t>
            </w:r>
          </w:p>
        </w:tc>
      </w:tr>
      <w:tr w:rsidR="008B0630" w:rsidRPr="008B0630" w14:paraId="0117744C" w14:textId="77777777" w:rsidTr="00E03828">
        <w:trPr>
          <w:cantSplit/>
          <w:trHeight w:val="20"/>
        </w:trPr>
        <w:tc>
          <w:tcPr>
            <w:tcW w:w="3000" w:type="pct"/>
            <w:vAlign w:val="center"/>
            <w:hideMark/>
          </w:tcPr>
          <w:p w14:paraId="5F265BB5" w14:textId="2CB89640" w:rsidR="008B0630" w:rsidRPr="008B0630" w:rsidRDefault="003F5E29" w:rsidP="008B0630">
            <w:pPr>
              <w:keepNext/>
              <w:keepLines/>
              <w:spacing w:before="100" w:beforeAutospacing="1" w:after="100" w:afterAutospacing="1"/>
              <w:ind w:left="720" w:firstLine="0"/>
              <w:contextualSpacing/>
              <w:jc w:val="left"/>
              <w:rPr>
                <w:rFonts w:eastAsia="Times New Roman" w:cs="Times New Roman"/>
                <w:i/>
                <w:iCs/>
                <w:sz w:val="18"/>
                <w:szCs w:val="24"/>
              </w:rPr>
            </w:pPr>
            <w:r>
              <w:rPr>
                <w:rFonts w:eastAsia="Times New Roman" w:cs="Times New Roman"/>
                <w:i/>
                <w:iCs/>
                <w:sz w:val="18"/>
                <w:szCs w:val="24"/>
              </w:rPr>
              <w:t>AN</w:t>
            </w:r>
          </w:p>
        </w:tc>
        <w:tc>
          <w:tcPr>
            <w:tcW w:w="500" w:type="pct"/>
          </w:tcPr>
          <w:p w14:paraId="5D9927C3"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1 277,5</w:t>
            </w:r>
          </w:p>
        </w:tc>
        <w:tc>
          <w:tcPr>
            <w:tcW w:w="500" w:type="pct"/>
          </w:tcPr>
          <w:p w14:paraId="57974B17"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1 380,8</w:t>
            </w:r>
          </w:p>
        </w:tc>
        <w:tc>
          <w:tcPr>
            <w:tcW w:w="500" w:type="pct"/>
          </w:tcPr>
          <w:p w14:paraId="622896BB"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1 409,8</w:t>
            </w:r>
          </w:p>
        </w:tc>
        <w:tc>
          <w:tcPr>
            <w:tcW w:w="500" w:type="pct"/>
          </w:tcPr>
          <w:p w14:paraId="4A2B7AEB"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1 453,6</w:t>
            </w:r>
          </w:p>
        </w:tc>
      </w:tr>
      <w:tr w:rsidR="008B0630" w:rsidRPr="008B0630" w14:paraId="78754B29" w14:textId="77777777" w:rsidTr="00E03828">
        <w:trPr>
          <w:cantSplit/>
          <w:trHeight w:val="20"/>
        </w:trPr>
        <w:tc>
          <w:tcPr>
            <w:tcW w:w="3000" w:type="pct"/>
            <w:vAlign w:val="center"/>
            <w:hideMark/>
          </w:tcPr>
          <w:p w14:paraId="7BD542CD" w14:textId="51B1567F" w:rsidR="008B0630" w:rsidRPr="008B0630" w:rsidRDefault="003F5E29" w:rsidP="008B0630">
            <w:pPr>
              <w:keepNext/>
              <w:keepLines/>
              <w:spacing w:before="100" w:beforeAutospacing="1" w:after="100" w:afterAutospacing="1"/>
              <w:ind w:left="720" w:firstLine="0"/>
              <w:contextualSpacing/>
              <w:jc w:val="left"/>
              <w:rPr>
                <w:rFonts w:eastAsia="Times New Roman" w:cs="Times New Roman"/>
                <w:i/>
                <w:iCs/>
                <w:sz w:val="18"/>
                <w:szCs w:val="24"/>
              </w:rPr>
            </w:pPr>
            <w:r>
              <w:rPr>
                <w:rFonts w:eastAsia="Times New Roman" w:cs="Times New Roman"/>
                <w:i/>
                <w:iCs/>
                <w:sz w:val="18"/>
                <w:szCs w:val="24"/>
              </w:rPr>
              <w:t>TEN</w:t>
            </w:r>
          </w:p>
        </w:tc>
        <w:tc>
          <w:tcPr>
            <w:tcW w:w="500" w:type="pct"/>
          </w:tcPr>
          <w:p w14:paraId="3F709F58"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117,0</w:t>
            </w:r>
          </w:p>
        </w:tc>
        <w:tc>
          <w:tcPr>
            <w:tcW w:w="500" w:type="pct"/>
          </w:tcPr>
          <w:p w14:paraId="5E9DD57F"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123,5</w:t>
            </w:r>
          </w:p>
        </w:tc>
        <w:tc>
          <w:tcPr>
            <w:tcW w:w="500" w:type="pct"/>
          </w:tcPr>
          <w:p w14:paraId="681463DE"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125,5</w:t>
            </w:r>
          </w:p>
        </w:tc>
        <w:tc>
          <w:tcPr>
            <w:tcW w:w="500" w:type="pct"/>
          </w:tcPr>
          <w:p w14:paraId="714829B7"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132,0</w:t>
            </w:r>
          </w:p>
        </w:tc>
      </w:tr>
      <w:tr w:rsidR="008B0630" w:rsidRPr="008B0630" w14:paraId="5824BC44" w14:textId="77777777" w:rsidTr="00E03828">
        <w:trPr>
          <w:cantSplit/>
          <w:trHeight w:val="20"/>
        </w:trPr>
        <w:tc>
          <w:tcPr>
            <w:tcW w:w="3000" w:type="pct"/>
            <w:vAlign w:val="center"/>
            <w:hideMark/>
          </w:tcPr>
          <w:p w14:paraId="46D1637F" w14:textId="77777777" w:rsidR="008B0630" w:rsidRPr="008B0630" w:rsidRDefault="008B0630" w:rsidP="008B0630">
            <w:pPr>
              <w:keepNext/>
              <w:keepLines/>
              <w:spacing w:before="100" w:beforeAutospacing="1" w:after="100" w:afterAutospacing="1"/>
              <w:ind w:left="720" w:firstLine="0"/>
              <w:contextualSpacing/>
              <w:jc w:val="left"/>
              <w:rPr>
                <w:rFonts w:eastAsia="Times New Roman" w:cs="Times New Roman"/>
                <w:i/>
                <w:iCs/>
                <w:sz w:val="18"/>
                <w:szCs w:val="24"/>
              </w:rPr>
            </w:pPr>
            <w:r w:rsidRPr="008B0630">
              <w:rPr>
                <w:rFonts w:eastAsia="Times New Roman" w:cs="Times New Roman"/>
                <w:i/>
                <w:iCs/>
                <w:sz w:val="18"/>
                <w:szCs w:val="24"/>
              </w:rPr>
              <w:t>Uzņēmumu vieglo transportlīdzekļu nodoklis</w:t>
            </w:r>
          </w:p>
        </w:tc>
        <w:tc>
          <w:tcPr>
            <w:tcW w:w="500" w:type="pct"/>
          </w:tcPr>
          <w:p w14:paraId="69E2E5DC"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33,1</w:t>
            </w:r>
          </w:p>
        </w:tc>
        <w:tc>
          <w:tcPr>
            <w:tcW w:w="500" w:type="pct"/>
          </w:tcPr>
          <w:p w14:paraId="40992A40"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33,3</w:t>
            </w:r>
          </w:p>
        </w:tc>
        <w:tc>
          <w:tcPr>
            <w:tcW w:w="500" w:type="pct"/>
          </w:tcPr>
          <w:p w14:paraId="4EF6A05B"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36,4</w:t>
            </w:r>
          </w:p>
        </w:tc>
        <w:tc>
          <w:tcPr>
            <w:tcW w:w="500" w:type="pct"/>
          </w:tcPr>
          <w:p w14:paraId="6672AB5B"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37,5</w:t>
            </w:r>
          </w:p>
        </w:tc>
      </w:tr>
      <w:tr w:rsidR="008B0630" w:rsidRPr="008B0630" w14:paraId="7F937215" w14:textId="77777777" w:rsidTr="00E03828">
        <w:trPr>
          <w:cantSplit/>
          <w:trHeight w:val="20"/>
        </w:trPr>
        <w:tc>
          <w:tcPr>
            <w:tcW w:w="3000" w:type="pct"/>
            <w:vAlign w:val="center"/>
            <w:hideMark/>
          </w:tcPr>
          <w:p w14:paraId="1457605C" w14:textId="77777777" w:rsidR="008B0630" w:rsidRPr="008B0630" w:rsidRDefault="008B0630" w:rsidP="008B0630">
            <w:pPr>
              <w:keepNext/>
              <w:keepLines/>
              <w:spacing w:before="100" w:beforeAutospacing="1" w:after="100" w:afterAutospacing="1"/>
              <w:ind w:left="720" w:firstLine="0"/>
              <w:contextualSpacing/>
              <w:jc w:val="left"/>
              <w:rPr>
                <w:rFonts w:eastAsia="Times New Roman" w:cs="Times New Roman"/>
                <w:i/>
                <w:iCs/>
                <w:sz w:val="18"/>
                <w:szCs w:val="24"/>
              </w:rPr>
            </w:pPr>
            <w:r w:rsidRPr="008B0630">
              <w:rPr>
                <w:rFonts w:eastAsia="Times New Roman" w:cs="Times New Roman"/>
                <w:i/>
                <w:iCs/>
                <w:sz w:val="18"/>
                <w:szCs w:val="24"/>
              </w:rPr>
              <w:t>Muitas nodoklis</w:t>
            </w:r>
          </w:p>
        </w:tc>
        <w:tc>
          <w:tcPr>
            <w:tcW w:w="500" w:type="pct"/>
          </w:tcPr>
          <w:p w14:paraId="77187339"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68,1</w:t>
            </w:r>
          </w:p>
        </w:tc>
        <w:tc>
          <w:tcPr>
            <w:tcW w:w="500" w:type="pct"/>
          </w:tcPr>
          <w:p w14:paraId="00094EB1"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70,9</w:t>
            </w:r>
          </w:p>
        </w:tc>
        <w:tc>
          <w:tcPr>
            <w:tcW w:w="500" w:type="pct"/>
          </w:tcPr>
          <w:p w14:paraId="001C8EE2"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74,5</w:t>
            </w:r>
          </w:p>
        </w:tc>
        <w:tc>
          <w:tcPr>
            <w:tcW w:w="500" w:type="pct"/>
          </w:tcPr>
          <w:p w14:paraId="62A21884"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79,3</w:t>
            </w:r>
          </w:p>
        </w:tc>
      </w:tr>
      <w:tr w:rsidR="008B0630" w:rsidRPr="008B0630" w14:paraId="7B914B21" w14:textId="77777777" w:rsidTr="00E03828">
        <w:trPr>
          <w:cantSplit/>
          <w:trHeight w:val="20"/>
        </w:trPr>
        <w:tc>
          <w:tcPr>
            <w:tcW w:w="3000" w:type="pct"/>
            <w:shd w:val="clear" w:color="auto" w:fill="D9E2F3"/>
            <w:vAlign w:val="center"/>
          </w:tcPr>
          <w:p w14:paraId="568C9D9E" w14:textId="77777777" w:rsidR="008B0630" w:rsidRPr="008B0630" w:rsidRDefault="008B0630" w:rsidP="008B0630">
            <w:pPr>
              <w:keepNext/>
              <w:keepLines/>
              <w:spacing w:before="100" w:beforeAutospacing="1" w:after="100" w:afterAutospacing="1"/>
              <w:ind w:firstLine="0"/>
              <w:contextualSpacing/>
              <w:jc w:val="left"/>
              <w:rPr>
                <w:rFonts w:eastAsia="Times New Roman" w:cs="Times New Roman"/>
                <w:sz w:val="18"/>
                <w:szCs w:val="24"/>
              </w:rPr>
            </w:pPr>
            <w:r w:rsidRPr="008B0630">
              <w:rPr>
                <w:rFonts w:eastAsia="Times New Roman" w:cs="Times New Roman"/>
                <w:sz w:val="18"/>
                <w:szCs w:val="24"/>
              </w:rPr>
              <w:t>Pārējie nodokļi</w:t>
            </w:r>
          </w:p>
        </w:tc>
        <w:tc>
          <w:tcPr>
            <w:tcW w:w="500" w:type="pct"/>
            <w:shd w:val="clear" w:color="auto" w:fill="D9E2F3"/>
          </w:tcPr>
          <w:p w14:paraId="6B879854"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rFonts w:cs="Times New Roman"/>
                <w:b/>
                <w:bCs/>
                <w:sz w:val="18"/>
                <w:szCs w:val="18"/>
              </w:rPr>
              <w:t>138,3</w:t>
            </w:r>
          </w:p>
        </w:tc>
        <w:tc>
          <w:tcPr>
            <w:tcW w:w="500" w:type="pct"/>
            <w:shd w:val="clear" w:color="auto" w:fill="D9E2F3"/>
          </w:tcPr>
          <w:p w14:paraId="4BEBB7DD"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b/>
                <w:bCs/>
                <w:sz w:val="18"/>
                <w:szCs w:val="18"/>
              </w:rPr>
              <w:t>167,7</w:t>
            </w:r>
          </w:p>
        </w:tc>
        <w:tc>
          <w:tcPr>
            <w:tcW w:w="500" w:type="pct"/>
            <w:shd w:val="clear" w:color="auto" w:fill="D9E2F3"/>
          </w:tcPr>
          <w:p w14:paraId="2CF9821C"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b/>
                <w:bCs/>
                <w:sz w:val="18"/>
                <w:szCs w:val="18"/>
              </w:rPr>
              <w:t>191,6</w:t>
            </w:r>
          </w:p>
        </w:tc>
        <w:tc>
          <w:tcPr>
            <w:tcW w:w="500" w:type="pct"/>
            <w:shd w:val="clear" w:color="auto" w:fill="D9E2F3"/>
          </w:tcPr>
          <w:p w14:paraId="7B014A6E" w14:textId="77777777" w:rsidR="008B0630" w:rsidRPr="008B0630" w:rsidRDefault="008B0630" w:rsidP="008B0630">
            <w:pPr>
              <w:spacing w:before="100" w:beforeAutospacing="1" w:after="100" w:afterAutospacing="1"/>
              <w:ind w:firstLine="0"/>
              <w:contextualSpacing/>
              <w:jc w:val="right"/>
              <w:rPr>
                <w:rFonts w:cs="Times New Roman"/>
                <w:b/>
                <w:bCs/>
                <w:sz w:val="18"/>
                <w:szCs w:val="18"/>
              </w:rPr>
            </w:pPr>
            <w:r w:rsidRPr="008B0630">
              <w:rPr>
                <w:b/>
                <w:bCs/>
                <w:sz w:val="18"/>
                <w:szCs w:val="18"/>
              </w:rPr>
              <w:t>211,2</w:t>
            </w:r>
          </w:p>
        </w:tc>
      </w:tr>
      <w:tr w:rsidR="008B0630" w:rsidRPr="008B0630" w14:paraId="6DC9CD63" w14:textId="77777777" w:rsidTr="00E03828">
        <w:trPr>
          <w:cantSplit/>
          <w:trHeight w:val="20"/>
        </w:trPr>
        <w:tc>
          <w:tcPr>
            <w:tcW w:w="3000" w:type="pct"/>
            <w:vAlign w:val="center"/>
            <w:hideMark/>
          </w:tcPr>
          <w:p w14:paraId="0FFC23DB" w14:textId="510E7159" w:rsidR="008B0630" w:rsidRPr="008B0630" w:rsidRDefault="003F5E29" w:rsidP="008B0630">
            <w:pPr>
              <w:keepNext/>
              <w:keepLines/>
              <w:spacing w:before="100" w:beforeAutospacing="1" w:after="100" w:afterAutospacing="1"/>
              <w:ind w:left="720" w:firstLine="0"/>
              <w:contextualSpacing/>
              <w:jc w:val="left"/>
              <w:rPr>
                <w:rFonts w:eastAsia="Times New Roman" w:cs="Times New Roman"/>
                <w:i/>
                <w:iCs/>
                <w:sz w:val="18"/>
                <w:szCs w:val="24"/>
              </w:rPr>
            </w:pPr>
            <w:r>
              <w:rPr>
                <w:rFonts w:eastAsia="Times New Roman" w:cs="Times New Roman"/>
                <w:i/>
                <w:iCs/>
                <w:sz w:val="18"/>
                <w:szCs w:val="24"/>
              </w:rPr>
              <w:t>DRN</w:t>
            </w:r>
          </w:p>
        </w:tc>
        <w:tc>
          <w:tcPr>
            <w:tcW w:w="500" w:type="pct"/>
          </w:tcPr>
          <w:p w14:paraId="56F84D91"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77,0</w:t>
            </w:r>
          </w:p>
        </w:tc>
        <w:tc>
          <w:tcPr>
            <w:tcW w:w="500" w:type="pct"/>
          </w:tcPr>
          <w:p w14:paraId="0EC498AF"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i/>
                <w:iCs/>
                <w:sz w:val="18"/>
                <w:szCs w:val="18"/>
              </w:rPr>
              <w:t>95,7</w:t>
            </w:r>
          </w:p>
        </w:tc>
        <w:tc>
          <w:tcPr>
            <w:tcW w:w="500" w:type="pct"/>
          </w:tcPr>
          <w:p w14:paraId="27221F5B"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i/>
                <w:iCs/>
                <w:sz w:val="18"/>
                <w:szCs w:val="18"/>
              </w:rPr>
              <w:t>119,8</w:t>
            </w:r>
          </w:p>
        </w:tc>
        <w:tc>
          <w:tcPr>
            <w:tcW w:w="500" w:type="pct"/>
          </w:tcPr>
          <w:p w14:paraId="6319BF39"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i/>
                <w:iCs/>
                <w:sz w:val="18"/>
                <w:szCs w:val="18"/>
              </w:rPr>
              <w:t>138,9</w:t>
            </w:r>
          </w:p>
        </w:tc>
      </w:tr>
      <w:tr w:rsidR="008B0630" w:rsidRPr="008B0630" w14:paraId="1604212C" w14:textId="77777777" w:rsidTr="00E03828">
        <w:trPr>
          <w:cantSplit/>
          <w:trHeight w:val="20"/>
        </w:trPr>
        <w:tc>
          <w:tcPr>
            <w:tcW w:w="3000" w:type="pct"/>
            <w:vAlign w:val="center"/>
            <w:hideMark/>
          </w:tcPr>
          <w:p w14:paraId="71D94D71" w14:textId="59D5208F" w:rsidR="008B0630" w:rsidRPr="008B0630" w:rsidRDefault="003F5E29" w:rsidP="008B0630">
            <w:pPr>
              <w:keepNext/>
              <w:keepLines/>
              <w:spacing w:before="100" w:beforeAutospacing="1" w:after="100" w:afterAutospacing="1"/>
              <w:ind w:left="720" w:firstLine="0"/>
              <w:contextualSpacing/>
              <w:jc w:val="left"/>
              <w:rPr>
                <w:rFonts w:eastAsia="Times New Roman" w:cs="Times New Roman"/>
                <w:i/>
                <w:iCs/>
                <w:sz w:val="18"/>
                <w:szCs w:val="24"/>
              </w:rPr>
            </w:pPr>
            <w:r>
              <w:rPr>
                <w:rFonts w:eastAsia="Times New Roman" w:cs="Times New Roman"/>
                <w:i/>
                <w:iCs/>
                <w:sz w:val="18"/>
                <w:szCs w:val="24"/>
              </w:rPr>
              <w:t>IAN</w:t>
            </w:r>
          </w:p>
        </w:tc>
        <w:tc>
          <w:tcPr>
            <w:tcW w:w="500" w:type="pct"/>
          </w:tcPr>
          <w:p w14:paraId="387CD945"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56,1</w:t>
            </w:r>
          </w:p>
        </w:tc>
        <w:tc>
          <w:tcPr>
            <w:tcW w:w="500" w:type="pct"/>
          </w:tcPr>
          <w:p w14:paraId="28A7F13A"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i/>
                <w:iCs/>
                <w:sz w:val="18"/>
                <w:szCs w:val="18"/>
              </w:rPr>
              <w:t>66,8</w:t>
            </w:r>
          </w:p>
        </w:tc>
        <w:tc>
          <w:tcPr>
            <w:tcW w:w="500" w:type="pct"/>
          </w:tcPr>
          <w:p w14:paraId="4DDE0AA6"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i/>
                <w:iCs/>
                <w:sz w:val="18"/>
                <w:szCs w:val="18"/>
              </w:rPr>
              <w:t>66,5</w:t>
            </w:r>
          </w:p>
        </w:tc>
        <w:tc>
          <w:tcPr>
            <w:tcW w:w="500" w:type="pct"/>
          </w:tcPr>
          <w:p w14:paraId="5A4B4E35"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i/>
                <w:iCs/>
                <w:sz w:val="18"/>
                <w:szCs w:val="18"/>
              </w:rPr>
              <w:t>67,0</w:t>
            </w:r>
          </w:p>
        </w:tc>
      </w:tr>
      <w:tr w:rsidR="008B0630" w:rsidRPr="008B0630" w14:paraId="79AA83BE" w14:textId="77777777" w:rsidTr="00E03828">
        <w:trPr>
          <w:cantSplit/>
          <w:trHeight w:val="20"/>
        </w:trPr>
        <w:tc>
          <w:tcPr>
            <w:tcW w:w="3000" w:type="pct"/>
            <w:vAlign w:val="center"/>
            <w:hideMark/>
          </w:tcPr>
          <w:p w14:paraId="37794743" w14:textId="77777777" w:rsidR="008B0630" w:rsidRPr="008B0630" w:rsidRDefault="008B0630" w:rsidP="008B0630">
            <w:pPr>
              <w:keepNext/>
              <w:keepLines/>
              <w:spacing w:before="100" w:beforeAutospacing="1" w:after="100" w:afterAutospacing="1"/>
              <w:ind w:left="720" w:firstLine="0"/>
              <w:contextualSpacing/>
              <w:jc w:val="left"/>
              <w:rPr>
                <w:rFonts w:eastAsia="Times New Roman" w:cs="Times New Roman"/>
                <w:i/>
                <w:iCs/>
                <w:sz w:val="18"/>
                <w:szCs w:val="24"/>
              </w:rPr>
            </w:pPr>
            <w:r w:rsidRPr="008B0630">
              <w:rPr>
                <w:rFonts w:eastAsia="Times New Roman" w:cs="Times New Roman"/>
                <w:i/>
                <w:iCs/>
                <w:sz w:val="18"/>
                <w:szCs w:val="24"/>
              </w:rPr>
              <w:t>Elektroenerģijas nodoklis</w:t>
            </w:r>
          </w:p>
        </w:tc>
        <w:tc>
          <w:tcPr>
            <w:tcW w:w="500" w:type="pct"/>
          </w:tcPr>
          <w:p w14:paraId="42AFAA9C"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rFonts w:cs="Times New Roman"/>
                <w:i/>
                <w:iCs/>
                <w:sz w:val="18"/>
                <w:szCs w:val="18"/>
              </w:rPr>
              <w:t>5,2</w:t>
            </w:r>
          </w:p>
        </w:tc>
        <w:tc>
          <w:tcPr>
            <w:tcW w:w="500" w:type="pct"/>
          </w:tcPr>
          <w:p w14:paraId="6830F145"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i/>
                <w:iCs/>
                <w:sz w:val="18"/>
                <w:szCs w:val="18"/>
              </w:rPr>
              <w:t>5,3</w:t>
            </w:r>
          </w:p>
        </w:tc>
        <w:tc>
          <w:tcPr>
            <w:tcW w:w="500" w:type="pct"/>
          </w:tcPr>
          <w:p w14:paraId="38A4D2A9"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i/>
                <w:iCs/>
                <w:sz w:val="18"/>
                <w:szCs w:val="18"/>
              </w:rPr>
              <w:t>5,3</w:t>
            </w:r>
          </w:p>
        </w:tc>
        <w:tc>
          <w:tcPr>
            <w:tcW w:w="500" w:type="pct"/>
          </w:tcPr>
          <w:p w14:paraId="26327B22" w14:textId="77777777" w:rsidR="008B0630" w:rsidRPr="008B0630" w:rsidRDefault="008B0630" w:rsidP="008B0630">
            <w:pPr>
              <w:spacing w:before="100" w:beforeAutospacing="1" w:after="100" w:afterAutospacing="1"/>
              <w:ind w:firstLine="0"/>
              <w:contextualSpacing/>
              <w:jc w:val="right"/>
              <w:rPr>
                <w:rFonts w:eastAsia="Times New Roman" w:cs="Times New Roman"/>
                <w:i/>
                <w:iCs/>
                <w:sz w:val="18"/>
                <w:szCs w:val="18"/>
              </w:rPr>
            </w:pPr>
            <w:r w:rsidRPr="008B0630">
              <w:rPr>
                <w:i/>
                <w:iCs/>
                <w:sz w:val="18"/>
                <w:szCs w:val="18"/>
              </w:rPr>
              <w:t>5,3</w:t>
            </w:r>
          </w:p>
        </w:tc>
      </w:tr>
    </w:tbl>
    <w:p w14:paraId="1D8CF94D" w14:textId="77777777" w:rsidR="008B0630" w:rsidRPr="008B0630" w:rsidRDefault="008B0630" w:rsidP="008B0630">
      <w:pPr>
        <w:spacing w:after="0"/>
        <w:ind w:left="425" w:firstLine="0"/>
        <w:contextualSpacing/>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4444BA64" w14:textId="77777777" w:rsidR="008B0630" w:rsidRPr="008B0630" w:rsidRDefault="008B0630" w:rsidP="008B0630">
      <w:pPr>
        <w:spacing w:after="0"/>
        <w:ind w:left="425" w:firstLine="0"/>
        <w:contextualSpacing/>
        <w:rPr>
          <w:rFonts w:eastAsia="Calibri" w:cs="Times New Roman"/>
          <w:sz w:val="18"/>
          <w:szCs w:val="18"/>
          <w:lang w:eastAsia="en-US"/>
        </w:rPr>
      </w:pPr>
      <w:r w:rsidRPr="008B0630">
        <w:rPr>
          <w:rFonts w:eastAsia="Calibri" w:cs="Times New Roman"/>
          <w:sz w:val="18"/>
          <w:szCs w:val="18"/>
          <w:vertAlign w:val="superscript"/>
          <w:lang w:eastAsia="en-US"/>
        </w:rPr>
        <w:t>2</w:t>
      </w:r>
      <w:r w:rsidRPr="008B0630">
        <w:rPr>
          <w:rFonts w:eastAsia="Calibri" w:cs="Times New Roman"/>
          <w:sz w:val="18"/>
          <w:szCs w:val="18"/>
          <w:lang w:eastAsia="en-US"/>
        </w:rPr>
        <w:t xml:space="preserve"> Neieskaitot iemaksas valsts fondēto pensiju shēmā.</w:t>
      </w:r>
    </w:p>
    <w:p w14:paraId="1BAF69BE" w14:textId="77777777" w:rsidR="008B0630" w:rsidRPr="008B0630" w:rsidRDefault="008B0630" w:rsidP="008B0630">
      <w:pPr>
        <w:spacing w:after="0"/>
        <w:ind w:firstLine="0"/>
        <w:contextualSpacing/>
        <w:rPr>
          <w:rFonts w:eastAsia="Calibri" w:cs="Times New Roman"/>
          <w:sz w:val="18"/>
          <w:szCs w:val="18"/>
          <w:lang w:eastAsia="en-US"/>
        </w:rPr>
      </w:pPr>
    </w:p>
    <w:p w14:paraId="33786894" w14:textId="77777777" w:rsidR="008B0630" w:rsidRPr="008B0630" w:rsidRDefault="008B0630" w:rsidP="008B0630">
      <w:pPr>
        <w:spacing w:before="240" w:after="240"/>
        <w:ind w:firstLine="0"/>
        <w:jc w:val="center"/>
        <w:outlineLvl w:val="2"/>
        <w:rPr>
          <w:rFonts w:eastAsia="Times New Roman" w:cs="Times New Roman"/>
          <w:b/>
          <w:sz w:val="32"/>
          <w:szCs w:val="20"/>
          <w:lang w:eastAsia="en-US"/>
        </w:rPr>
      </w:pPr>
      <w:bookmarkStart w:id="107" w:name="_Toc126236662"/>
      <w:bookmarkStart w:id="108" w:name="_Toc103590594"/>
      <w:r w:rsidRPr="008B0630">
        <w:rPr>
          <w:rFonts w:eastAsia="Times New Roman" w:cs="Times New Roman"/>
          <w:b/>
          <w:sz w:val="32"/>
          <w:szCs w:val="20"/>
          <w:lang w:eastAsia="en-US"/>
        </w:rPr>
        <w:t>3.2.1. Tiešie nodokļi</w:t>
      </w:r>
      <w:bookmarkEnd w:id="107"/>
    </w:p>
    <w:p w14:paraId="2D50C557"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2025. gada 1. pusgadā tiešo nodokļu ieņēmumi bija 4 291,6 milj. </w:t>
      </w:r>
      <w:r w:rsidRPr="008B0630">
        <w:rPr>
          <w:rFonts w:eastAsia="Times New Roman" w:cs="Times New Roman"/>
          <w:i/>
          <w:iCs/>
          <w:color w:val="000000"/>
          <w:szCs w:val="24"/>
        </w:rPr>
        <w:t>euro</w:t>
      </w:r>
      <w:r w:rsidRPr="008B0630">
        <w:rPr>
          <w:rFonts w:eastAsia="Times New Roman" w:cs="Times New Roman"/>
          <w:color w:val="000000"/>
          <w:szCs w:val="24"/>
        </w:rPr>
        <w:t>, kas salīdzinot ar plānu, bija par 77,0 milj. </w:t>
      </w:r>
      <w:r w:rsidRPr="008B0630">
        <w:rPr>
          <w:rFonts w:eastAsia="Times New Roman" w:cs="Times New Roman"/>
          <w:i/>
          <w:iCs/>
          <w:color w:val="000000"/>
          <w:szCs w:val="24"/>
        </w:rPr>
        <w:t>euro</w:t>
      </w:r>
      <w:r w:rsidRPr="008B0630">
        <w:rPr>
          <w:rFonts w:eastAsia="Times New Roman" w:cs="Times New Roman"/>
          <w:color w:val="000000"/>
          <w:szCs w:val="24"/>
        </w:rPr>
        <w:t xml:space="preserve"> jeb 1,8 % vairāk, kur lielākā pārpilde bija no UIN ieņēmumiem. Salīdzinot ar 2024. gada attiecīgo periodu, tiešo nodokļu ieņēmumi tika iekasēti par 274,5 milj. </w:t>
      </w:r>
      <w:r w:rsidRPr="008B0630">
        <w:rPr>
          <w:rFonts w:eastAsia="Times New Roman" w:cs="Times New Roman"/>
          <w:i/>
          <w:iCs/>
          <w:color w:val="000000"/>
          <w:szCs w:val="24"/>
        </w:rPr>
        <w:t>euro</w:t>
      </w:r>
      <w:r w:rsidRPr="008B0630">
        <w:rPr>
          <w:rFonts w:eastAsia="Times New Roman" w:cs="Times New Roman"/>
          <w:color w:val="000000"/>
          <w:szCs w:val="24"/>
        </w:rPr>
        <w:t xml:space="preserve"> jeb 6,8 % vairāk. </w:t>
      </w:r>
    </w:p>
    <w:p w14:paraId="77DC75D8" w14:textId="5C3FD6FE"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 xml:space="preserve">Saskaņā ar </w:t>
      </w:r>
      <w:r w:rsidRPr="008B0630">
        <w:rPr>
          <w:rFonts w:eastAsia="Calibri" w:cs="Times New Roman"/>
          <w:szCs w:val="24"/>
        </w:rPr>
        <w:t>likumprojektu</w:t>
      </w:r>
      <w:r w:rsidRPr="008B0630">
        <w:rPr>
          <w:rFonts w:eastAsia="Times New Roman" w:cs="Times New Roman"/>
          <w:color w:val="000000"/>
          <w:szCs w:val="24"/>
        </w:rPr>
        <w:t xml:space="preserve"> “Par valsts budžetu 2026. gadam un budžeta ietvaru 2026., 2027. un 2028. gadam” tiek plānots, ka 2026. gadā tiešo nodokļu ieņēmumi veidos 59,9% no visiem kopbudžeta nodokļiem, kas ir par 0,04 procentpunktiem vairāk nekā prognozēts 2025. gadam, pamatā dēļ VSAOI pieauguma. Informācija par tiešo nodokļu sadalījumu ir sniegta 3.1. attēlā.</w:t>
      </w:r>
    </w:p>
    <w:p w14:paraId="5FA1E7C3" w14:textId="77777777" w:rsidR="008B0630" w:rsidRPr="008B0630" w:rsidRDefault="008B0630" w:rsidP="008B0630">
      <w:pPr>
        <w:keepNext/>
        <w:spacing w:after="0"/>
        <w:ind w:firstLine="0"/>
        <w:contextualSpacing/>
        <w:jc w:val="center"/>
        <w:rPr>
          <w:rFonts w:eastAsia="Calibri" w:cs="Times New Roman"/>
          <w:szCs w:val="24"/>
          <w:highlight w:val="yellow"/>
        </w:rPr>
      </w:pPr>
      <w:r w:rsidRPr="008B0630">
        <w:rPr>
          <w:rFonts w:cs="Times New Roman"/>
          <w:noProof/>
        </w:rPr>
        <w:lastRenderedPageBreak/>
        <w:drawing>
          <wp:inline distT="0" distB="0" distL="0" distR="0" wp14:anchorId="4A568CB5" wp14:editId="7560C914">
            <wp:extent cx="5038725" cy="2943225"/>
            <wp:effectExtent l="0" t="0" r="0" b="0"/>
            <wp:docPr id="1984860032" name="Chart 1">
              <a:extLst xmlns:a="http://schemas.openxmlformats.org/drawingml/2006/main">
                <a:ext uri="{FF2B5EF4-FFF2-40B4-BE49-F238E27FC236}">
                  <a16:creationId xmlns:a16="http://schemas.microsoft.com/office/drawing/2014/main" id="{7211B67E-5CC7-49C3-9EEF-34C3EF35D4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1450D43" w14:textId="77777777" w:rsidR="008B0630" w:rsidRPr="008B0630" w:rsidRDefault="008B0630" w:rsidP="008B0630">
      <w:pPr>
        <w:spacing w:after="240"/>
        <w:jc w:val="center"/>
        <w:rPr>
          <w:rFonts w:eastAsia="Calibri" w:cs="Times New Roman"/>
          <w:b/>
          <w:bCs/>
          <w:i/>
          <w:iCs/>
          <w:szCs w:val="24"/>
          <w:highlight w:val="yellow"/>
        </w:rPr>
      </w:pPr>
      <w:r w:rsidRPr="008B0630">
        <w:rPr>
          <w:rFonts w:eastAsia="Calibri" w:cs="Times New Roman"/>
          <w:b/>
          <w:bCs/>
          <w:i/>
          <w:iCs/>
          <w:szCs w:val="24"/>
        </w:rPr>
        <w:t>3.1. att. Tiešo nodokļu sadalījums kopbudžeta nodokļu ieņēmumos 2026. gadā, %</w:t>
      </w:r>
    </w:p>
    <w:p w14:paraId="311AB2FC"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2026. gadā tiešo nodokļu ieņēmumu īpatsvars IKP tiek prognozēts 20,7 %, kas ir par 0,2 pp vairāk nekā 2025. gadā. Īpatsvara samazinājums vērojams IIN un UIN kategorijās.</w:t>
      </w:r>
    </w:p>
    <w:p w14:paraId="685139BF"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 xml:space="preserve">Saskaņā ar </w:t>
      </w:r>
      <w:r w:rsidRPr="008B0630">
        <w:rPr>
          <w:rFonts w:eastAsia="Calibri" w:cs="Times New Roman"/>
          <w:szCs w:val="24"/>
        </w:rPr>
        <w:t>likumprojektu</w:t>
      </w:r>
      <w:r w:rsidRPr="008B0630">
        <w:rPr>
          <w:rFonts w:eastAsia="Times New Roman" w:cs="Times New Roman"/>
          <w:color w:val="000000"/>
          <w:szCs w:val="24"/>
        </w:rPr>
        <w:t xml:space="preserve"> “Par valsts budžetu 2026. gadam un budžeta ietvaru 2026., 2027. un 2028. gadam” 2026. gadā tiešo nodokļu ieņēmumi tiek plānoti 9 113,7 milj. </w:t>
      </w:r>
      <w:r w:rsidRPr="008B0630">
        <w:rPr>
          <w:rFonts w:eastAsia="Times New Roman" w:cs="Times New Roman"/>
          <w:i/>
          <w:iCs/>
          <w:color w:val="000000"/>
          <w:szCs w:val="24"/>
        </w:rPr>
        <w:t>euro</w:t>
      </w:r>
      <w:r w:rsidRPr="008B0630">
        <w:rPr>
          <w:rFonts w:eastAsia="Times New Roman" w:cs="Times New Roman"/>
          <w:color w:val="000000"/>
          <w:szCs w:val="24"/>
        </w:rPr>
        <w:t>, 2027. gadā 9 533,6 milj. </w:t>
      </w:r>
      <w:r w:rsidRPr="008B0630">
        <w:rPr>
          <w:rFonts w:eastAsia="Times New Roman" w:cs="Times New Roman"/>
          <w:i/>
          <w:iCs/>
          <w:color w:val="000000"/>
          <w:szCs w:val="24"/>
        </w:rPr>
        <w:t>euro</w:t>
      </w:r>
      <w:r w:rsidRPr="008B0630">
        <w:rPr>
          <w:rFonts w:eastAsia="Times New Roman" w:cs="Times New Roman"/>
          <w:color w:val="000000"/>
          <w:szCs w:val="24"/>
        </w:rPr>
        <w:t xml:space="preserve"> un 2028. gadā 9 907,3 milj. </w:t>
      </w:r>
      <w:r w:rsidRPr="008B0630">
        <w:rPr>
          <w:rFonts w:eastAsia="Times New Roman" w:cs="Times New Roman"/>
          <w:i/>
          <w:iCs/>
          <w:color w:val="000000"/>
          <w:szCs w:val="24"/>
        </w:rPr>
        <w:t>euro</w:t>
      </w:r>
      <w:r w:rsidRPr="008B0630">
        <w:rPr>
          <w:rFonts w:eastAsia="Times New Roman" w:cs="Times New Roman"/>
          <w:color w:val="000000"/>
          <w:szCs w:val="24"/>
        </w:rPr>
        <w:t xml:space="preserve"> apmērā (skat. 3.4. tabulu).</w:t>
      </w:r>
    </w:p>
    <w:p w14:paraId="0F214A2D"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3.4. tabula. Tiešo nodokļu ieņēmumi, milj. euro</w:t>
      </w:r>
    </w:p>
    <w:tbl>
      <w:tblPr>
        <w:tblW w:w="4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8"/>
        <w:gridCol w:w="851"/>
        <w:gridCol w:w="851"/>
        <w:gridCol w:w="851"/>
        <w:gridCol w:w="848"/>
      </w:tblGrid>
      <w:tr w:rsidR="008B0630" w:rsidRPr="008B0630" w14:paraId="30701DD2" w14:textId="77777777" w:rsidTr="00E03828">
        <w:trPr>
          <w:cantSplit/>
          <w:trHeight w:hRule="exact" w:val="227"/>
          <w:jc w:val="center"/>
        </w:trPr>
        <w:tc>
          <w:tcPr>
            <w:tcW w:w="3114" w:type="pct"/>
            <w:shd w:val="clear" w:color="auto" w:fill="9CC2E5" w:themeFill="accent1" w:themeFillTint="99"/>
            <w:vAlign w:val="center"/>
          </w:tcPr>
          <w:p w14:paraId="0B276882" w14:textId="77777777" w:rsidR="008B0630" w:rsidRPr="008B0630" w:rsidRDefault="008B0630" w:rsidP="008B0630">
            <w:pPr>
              <w:keepNext/>
              <w:keepLines/>
              <w:spacing w:after="0"/>
              <w:ind w:firstLine="0"/>
              <w:contextualSpacing/>
              <w:jc w:val="center"/>
              <w:rPr>
                <w:rFonts w:eastAsia="Times New Roman" w:cs="Times New Roman"/>
                <w:b/>
                <w:bCs/>
                <w:sz w:val="18"/>
                <w:szCs w:val="18"/>
              </w:rPr>
            </w:pPr>
          </w:p>
        </w:tc>
        <w:tc>
          <w:tcPr>
            <w:tcW w:w="472" w:type="pct"/>
            <w:shd w:val="clear" w:color="auto" w:fill="9CC2E5" w:themeFill="accent1" w:themeFillTint="99"/>
            <w:vAlign w:val="center"/>
          </w:tcPr>
          <w:p w14:paraId="01E0F3A2"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color w:val="000000"/>
                <w:sz w:val="20"/>
                <w:szCs w:val="20"/>
              </w:rPr>
              <w:t>2025</w:t>
            </w:r>
          </w:p>
        </w:tc>
        <w:tc>
          <w:tcPr>
            <w:tcW w:w="472" w:type="pct"/>
            <w:shd w:val="clear" w:color="auto" w:fill="9CC2E5" w:themeFill="accent1" w:themeFillTint="99"/>
            <w:vAlign w:val="center"/>
          </w:tcPr>
          <w:p w14:paraId="2DEF4E5E"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color w:val="000000"/>
                <w:sz w:val="20"/>
                <w:szCs w:val="20"/>
              </w:rPr>
              <w:t>2026</w:t>
            </w:r>
          </w:p>
        </w:tc>
        <w:tc>
          <w:tcPr>
            <w:tcW w:w="472" w:type="pct"/>
            <w:shd w:val="clear" w:color="auto" w:fill="9CC2E5" w:themeFill="accent1" w:themeFillTint="99"/>
            <w:vAlign w:val="center"/>
          </w:tcPr>
          <w:p w14:paraId="509E2EB0"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color w:val="000000"/>
                <w:sz w:val="20"/>
                <w:szCs w:val="20"/>
              </w:rPr>
              <w:t>2027</w:t>
            </w:r>
          </w:p>
        </w:tc>
        <w:tc>
          <w:tcPr>
            <w:tcW w:w="470" w:type="pct"/>
            <w:shd w:val="clear" w:color="auto" w:fill="9CC2E5" w:themeFill="accent1" w:themeFillTint="99"/>
            <w:vAlign w:val="center"/>
          </w:tcPr>
          <w:p w14:paraId="5F71EBCE"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color w:val="000000"/>
                <w:sz w:val="20"/>
                <w:szCs w:val="20"/>
              </w:rPr>
              <w:t>2028</w:t>
            </w:r>
          </w:p>
        </w:tc>
      </w:tr>
      <w:tr w:rsidR="008B0630" w:rsidRPr="008B0630" w14:paraId="6C154896" w14:textId="77777777" w:rsidTr="00E03828">
        <w:trPr>
          <w:cantSplit/>
          <w:trHeight w:hRule="exact" w:val="454"/>
          <w:jc w:val="center"/>
        </w:trPr>
        <w:tc>
          <w:tcPr>
            <w:tcW w:w="3114" w:type="pct"/>
          </w:tcPr>
          <w:p w14:paraId="5834CEEA" w14:textId="77777777" w:rsidR="008B0630" w:rsidRPr="008B0630" w:rsidRDefault="008B0630" w:rsidP="008B0630">
            <w:pPr>
              <w:keepNext/>
              <w:keepLines/>
              <w:spacing w:after="0"/>
              <w:ind w:firstLine="0"/>
              <w:contextualSpacing/>
              <w:jc w:val="left"/>
              <w:rPr>
                <w:rFonts w:eastAsia="Times New Roman" w:cs="Times New Roman"/>
                <w:i/>
                <w:sz w:val="18"/>
                <w:szCs w:val="18"/>
              </w:rPr>
            </w:pPr>
            <w:r w:rsidRPr="008B0630">
              <w:rPr>
                <w:rFonts w:cs="Times New Roman"/>
                <w:sz w:val="18"/>
                <w:szCs w:val="18"/>
              </w:rPr>
              <w:t>Saskaņā ar likumprojektu “Par valsts budžetu 2026. gadam un budžeta ietvaru 2026., 2027. un 2028. gadam”, milj. </w:t>
            </w:r>
            <w:r w:rsidRPr="008B0630">
              <w:rPr>
                <w:rFonts w:cs="Times New Roman"/>
                <w:i/>
                <w:iCs/>
                <w:sz w:val="18"/>
                <w:szCs w:val="18"/>
              </w:rPr>
              <w:t>euro</w:t>
            </w:r>
            <w:r w:rsidRPr="008B0630">
              <w:rPr>
                <w:rFonts w:cs="Times New Roman"/>
                <w:sz w:val="18"/>
                <w:szCs w:val="18"/>
              </w:rPr>
              <w:t xml:space="preserve"> </w:t>
            </w:r>
          </w:p>
        </w:tc>
        <w:tc>
          <w:tcPr>
            <w:tcW w:w="472" w:type="pct"/>
            <w:vAlign w:val="center"/>
          </w:tcPr>
          <w:p w14:paraId="7CF2C7BD" w14:textId="77777777" w:rsidR="008B0630" w:rsidRPr="008B0630" w:rsidRDefault="008B0630" w:rsidP="008B0630">
            <w:pPr>
              <w:keepNext/>
              <w:keepLines/>
              <w:spacing w:after="0"/>
              <w:ind w:firstLine="0"/>
              <w:contextualSpacing/>
              <w:jc w:val="center"/>
              <w:rPr>
                <w:rFonts w:eastAsia="Times New Roman" w:cs="Times New Roman"/>
                <w:sz w:val="18"/>
                <w:szCs w:val="18"/>
                <w:vertAlign w:val="superscript"/>
              </w:rPr>
            </w:pPr>
            <w:r w:rsidRPr="008B0630">
              <w:rPr>
                <w:rFonts w:cs="Times New Roman"/>
                <w:color w:val="000000"/>
                <w:sz w:val="18"/>
                <w:szCs w:val="18"/>
              </w:rPr>
              <w:t>8 641,5</w:t>
            </w:r>
            <w:r w:rsidRPr="008B0630">
              <w:rPr>
                <w:rFonts w:cs="Times New Roman"/>
                <w:color w:val="000000"/>
                <w:sz w:val="18"/>
                <w:szCs w:val="18"/>
                <w:vertAlign w:val="superscript"/>
              </w:rPr>
              <w:t>1</w:t>
            </w:r>
          </w:p>
        </w:tc>
        <w:tc>
          <w:tcPr>
            <w:tcW w:w="472" w:type="pct"/>
            <w:vAlign w:val="center"/>
          </w:tcPr>
          <w:p w14:paraId="08E58A9C" w14:textId="77777777" w:rsidR="008B0630" w:rsidRPr="008B0630" w:rsidRDefault="008B0630" w:rsidP="008B0630">
            <w:pPr>
              <w:keepNext/>
              <w:keepLines/>
              <w:spacing w:after="0"/>
              <w:ind w:firstLine="0"/>
              <w:contextualSpacing/>
              <w:jc w:val="center"/>
              <w:rPr>
                <w:rFonts w:eastAsia="Times New Roman" w:cs="Times New Roman"/>
                <w:sz w:val="18"/>
                <w:szCs w:val="18"/>
              </w:rPr>
            </w:pPr>
            <w:r w:rsidRPr="008B0630">
              <w:rPr>
                <w:rFonts w:cs="Times New Roman"/>
                <w:color w:val="000000"/>
                <w:sz w:val="18"/>
                <w:szCs w:val="18"/>
              </w:rPr>
              <w:t>9 113,7</w:t>
            </w:r>
          </w:p>
        </w:tc>
        <w:tc>
          <w:tcPr>
            <w:tcW w:w="472" w:type="pct"/>
            <w:vAlign w:val="center"/>
          </w:tcPr>
          <w:p w14:paraId="69033A57" w14:textId="77777777" w:rsidR="008B0630" w:rsidRPr="008B0630" w:rsidRDefault="008B0630" w:rsidP="008B0630">
            <w:pPr>
              <w:keepNext/>
              <w:keepLines/>
              <w:spacing w:after="0"/>
              <w:ind w:firstLine="0"/>
              <w:contextualSpacing/>
              <w:jc w:val="center"/>
              <w:rPr>
                <w:rFonts w:eastAsia="Times New Roman" w:cs="Times New Roman"/>
                <w:sz w:val="18"/>
                <w:szCs w:val="18"/>
              </w:rPr>
            </w:pPr>
            <w:r w:rsidRPr="008B0630">
              <w:rPr>
                <w:rFonts w:cs="Times New Roman"/>
                <w:color w:val="000000"/>
                <w:sz w:val="18"/>
                <w:szCs w:val="18"/>
              </w:rPr>
              <w:t>9 533,6</w:t>
            </w:r>
          </w:p>
        </w:tc>
        <w:tc>
          <w:tcPr>
            <w:tcW w:w="470" w:type="pct"/>
            <w:vAlign w:val="center"/>
          </w:tcPr>
          <w:p w14:paraId="3BE21A3C" w14:textId="77777777" w:rsidR="008B0630" w:rsidRPr="008B0630" w:rsidRDefault="008B0630" w:rsidP="008B0630">
            <w:pPr>
              <w:keepNext/>
              <w:keepLines/>
              <w:spacing w:after="0"/>
              <w:ind w:firstLine="0"/>
              <w:contextualSpacing/>
              <w:jc w:val="center"/>
              <w:rPr>
                <w:rFonts w:eastAsia="Times New Roman" w:cs="Times New Roman"/>
                <w:sz w:val="18"/>
                <w:szCs w:val="18"/>
              </w:rPr>
            </w:pPr>
            <w:r w:rsidRPr="008B0630">
              <w:rPr>
                <w:rFonts w:cs="Times New Roman"/>
                <w:color w:val="000000"/>
                <w:sz w:val="18"/>
                <w:szCs w:val="18"/>
              </w:rPr>
              <w:t>9 907,3</w:t>
            </w:r>
          </w:p>
        </w:tc>
      </w:tr>
      <w:tr w:rsidR="008B0630" w:rsidRPr="008B0630" w14:paraId="73BA9F4C" w14:textId="77777777" w:rsidTr="00E03828">
        <w:trPr>
          <w:cantSplit/>
          <w:trHeight w:hRule="exact" w:val="227"/>
          <w:jc w:val="center"/>
        </w:trPr>
        <w:tc>
          <w:tcPr>
            <w:tcW w:w="3114" w:type="pct"/>
          </w:tcPr>
          <w:p w14:paraId="078E85B3" w14:textId="77777777" w:rsidR="008B0630" w:rsidRPr="008B0630" w:rsidRDefault="008B0630" w:rsidP="008B0630">
            <w:pPr>
              <w:keepNext/>
              <w:keepLines/>
              <w:ind w:left="425" w:firstLine="0"/>
              <w:jc w:val="left"/>
              <w:rPr>
                <w:rFonts w:eastAsia="Times New Roman" w:cs="Times New Roman"/>
                <w:i/>
                <w:iCs/>
                <w:sz w:val="18"/>
                <w:szCs w:val="18"/>
              </w:rPr>
            </w:pPr>
            <w:r w:rsidRPr="008B0630">
              <w:rPr>
                <w:rFonts w:cs="Times New Roman"/>
                <w:i/>
                <w:iCs/>
                <w:sz w:val="18"/>
                <w:szCs w:val="18"/>
              </w:rPr>
              <w:t>pret IKP, %</w:t>
            </w:r>
          </w:p>
        </w:tc>
        <w:tc>
          <w:tcPr>
            <w:tcW w:w="472" w:type="pct"/>
            <w:vAlign w:val="center"/>
          </w:tcPr>
          <w:p w14:paraId="01ABEA64" w14:textId="77777777" w:rsidR="008B0630" w:rsidRPr="008B0630" w:rsidRDefault="008B0630" w:rsidP="008B0630">
            <w:pPr>
              <w:keepNext/>
              <w:keepLines/>
              <w:spacing w:after="0"/>
              <w:ind w:firstLine="0"/>
              <w:contextualSpacing/>
              <w:jc w:val="right"/>
              <w:rPr>
                <w:rFonts w:eastAsia="Times New Roman" w:cs="Times New Roman"/>
                <w:i/>
                <w:iCs/>
                <w:color w:val="000000"/>
                <w:sz w:val="18"/>
                <w:szCs w:val="18"/>
              </w:rPr>
            </w:pPr>
            <w:r w:rsidRPr="008B0630">
              <w:rPr>
                <w:rFonts w:cs="Times New Roman"/>
                <w:i/>
                <w:iCs/>
                <w:color w:val="000000"/>
                <w:sz w:val="18"/>
                <w:szCs w:val="18"/>
              </w:rPr>
              <w:t>20,6%</w:t>
            </w:r>
          </w:p>
        </w:tc>
        <w:tc>
          <w:tcPr>
            <w:tcW w:w="472" w:type="pct"/>
            <w:vAlign w:val="center"/>
          </w:tcPr>
          <w:p w14:paraId="3B4BA0F2"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color w:val="000000"/>
                <w:sz w:val="18"/>
                <w:szCs w:val="18"/>
              </w:rPr>
              <w:t>20,7%</w:t>
            </w:r>
          </w:p>
        </w:tc>
        <w:tc>
          <w:tcPr>
            <w:tcW w:w="472" w:type="pct"/>
            <w:vAlign w:val="center"/>
          </w:tcPr>
          <w:p w14:paraId="5F6A3A9B"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color w:val="000000"/>
                <w:sz w:val="18"/>
                <w:szCs w:val="18"/>
              </w:rPr>
              <w:t>20,7%</w:t>
            </w:r>
          </w:p>
        </w:tc>
        <w:tc>
          <w:tcPr>
            <w:tcW w:w="470" w:type="pct"/>
            <w:vAlign w:val="center"/>
          </w:tcPr>
          <w:p w14:paraId="09574339"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color w:val="000000"/>
                <w:sz w:val="18"/>
                <w:szCs w:val="18"/>
              </w:rPr>
              <w:t>20,6%</w:t>
            </w:r>
          </w:p>
        </w:tc>
      </w:tr>
      <w:tr w:rsidR="008B0630" w:rsidRPr="008B0630" w14:paraId="763EF60E" w14:textId="77777777" w:rsidTr="00E03828">
        <w:trPr>
          <w:cantSplit/>
          <w:trHeight w:hRule="exact" w:val="454"/>
          <w:jc w:val="center"/>
        </w:trPr>
        <w:tc>
          <w:tcPr>
            <w:tcW w:w="3114" w:type="pct"/>
          </w:tcPr>
          <w:p w14:paraId="597E0C49" w14:textId="77777777" w:rsidR="008B0630" w:rsidRPr="008B0630" w:rsidRDefault="008B0630" w:rsidP="008B0630">
            <w:pPr>
              <w:keepNext/>
              <w:keepLines/>
              <w:spacing w:after="0"/>
              <w:ind w:firstLine="0"/>
              <w:contextualSpacing/>
              <w:rPr>
                <w:rFonts w:eastAsia="Times New Roman" w:cs="Times New Roman"/>
                <w:sz w:val="18"/>
                <w:szCs w:val="18"/>
              </w:rPr>
            </w:pPr>
            <w:r w:rsidRPr="008B0630">
              <w:rPr>
                <w:rFonts w:cs="Times New Roman"/>
                <w:sz w:val="18"/>
                <w:szCs w:val="18"/>
              </w:rPr>
              <w:t>Salīdzinājumā ar likumu “Par valsts budžetu 2025. gadam un budžeta ietvaru 2025., 2026. un 2027. gadam”, milj. </w:t>
            </w:r>
            <w:r w:rsidRPr="008B0630">
              <w:rPr>
                <w:rFonts w:cs="Times New Roman"/>
                <w:i/>
                <w:iCs/>
                <w:sz w:val="18"/>
                <w:szCs w:val="18"/>
              </w:rPr>
              <w:t>euro</w:t>
            </w:r>
          </w:p>
        </w:tc>
        <w:tc>
          <w:tcPr>
            <w:tcW w:w="472" w:type="pct"/>
            <w:vAlign w:val="center"/>
          </w:tcPr>
          <w:p w14:paraId="53AA3917" w14:textId="77777777" w:rsidR="008B0630" w:rsidRPr="008B0630" w:rsidRDefault="008B0630" w:rsidP="008B0630">
            <w:pPr>
              <w:keepNext/>
              <w:keepLines/>
              <w:spacing w:after="0"/>
              <w:ind w:firstLine="0"/>
              <w:contextualSpacing/>
              <w:jc w:val="right"/>
              <w:rPr>
                <w:rFonts w:cs="Times New Roman"/>
                <w:i/>
                <w:iCs/>
                <w:sz w:val="18"/>
                <w:szCs w:val="18"/>
              </w:rPr>
            </w:pPr>
            <w:r w:rsidRPr="008B0630">
              <w:rPr>
                <w:rFonts w:cs="Times New Roman"/>
                <w:i/>
                <w:iCs/>
                <w:sz w:val="18"/>
                <w:szCs w:val="18"/>
              </w:rPr>
              <w:t>17,8</w:t>
            </w:r>
          </w:p>
        </w:tc>
        <w:tc>
          <w:tcPr>
            <w:tcW w:w="472" w:type="pct"/>
            <w:vAlign w:val="center"/>
          </w:tcPr>
          <w:p w14:paraId="445D08C3" w14:textId="77777777" w:rsidR="008B0630" w:rsidRPr="008B0630" w:rsidRDefault="008B0630" w:rsidP="008B0630">
            <w:pPr>
              <w:keepNext/>
              <w:keepLines/>
              <w:spacing w:after="0"/>
              <w:ind w:firstLine="0"/>
              <w:contextualSpacing/>
              <w:jc w:val="right"/>
              <w:rPr>
                <w:rFonts w:cs="Times New Roman"/>
                <w:i/>
                <w:iCs/>
                <w:sz w:val="18"/>
                <w:szCs w:val="18"/>
              </w:rPr>
            </w:pPr>
            <w:r w:rsidRPr="008B0630">
              <w:rPr>
                <w:rFonts w:cs="Times New Roman"/>
                <w:i/>
                <w:iCs/>
                <w:sz w:val="18"/>
                <w:szCs w:val="18"/>
              </w:rPr>
              <w:t>2,8</w:t>
            </w:r>
          </w:p>
        </w:tc>
        <w:tc>
          <w:tcPr>
            <w:tcW w:w="472" w:type="pct"/>
            <w:vAlign w:val="center"/>
          </w:tcPr>
          <w:p w14:paraId="4025FFC6" w14:textId="77777777" w:rsidR="008B0630" w:rsidRPr="008B0630" w:rsidRDefault="008B0630" w:rsidP="008B0630">
            <w:pPr>
              <w:keepNext/>
              <w:keepLines/>
              <w:spacing w:after="0"/>
              <w:ind w:firstLine="0"/>
              <w:contextualSpacing/>
              <w:jc w:val="right"/>
              <w:rPr>
                <w:rFonts w:cs="Times New Roman"/>
                <w:i/>
                <w:iCs/>
                <w:sz w:val="18"/>
                <w:szCs w:val="18"/>
              </w:rPr>
            </w:pPr>
            <w:r w:rsidRPr="008B0630">
              <w:rPr>
                <w:rFonts w:cs="Times New Roman"/>
                <w:i/>
                <w:iCs/>
                <w:sz w:val="18"/>
                <w:szCs w:val="18"/>
              </w:rPr>
              <w:t>9,2</w:t>
            </w:r>
          </w:p>
        </w:tc>
        <w:tc>
          <w:tcPr>
            <w:tcW w:w="470" w:type="pct"/>
            <w:vAlign w:val="center"/>
          </w:tcPr>
          <w:p w14:paraId="0CD22E18" w14:textId="77777777" w:rsidR="008B0630" w:rsidRPr="008B0630" w:rsidRDefault="008B0630" w:rsidP="008B0630">
            <w:pPr>
              <w:keepNext/>
              <w:keepLines/>
              <w:spacing w:after="0"/>
              <w:ind w:firstLine="0"/>
              <w:contextualSpacing/>
              <w:jc w:val="right"/>
              <w:rPr>
                <w:rFonts w:cs="Times New Roman"/>
                <w:i/>
                <w:iCs/>
                <w:sz w:val="18"/>
                <w:szCs w:val="18"/>
              </w:rPr>
            </w:pPr>
            <w:r w:rsidRPr="008B0630">
              <w:rPr>
                <w:rFonts w:cs="Times New Roman"/>
                <w:i/>
                <w:iCs/>
                <w:sz w:val="18"/>
                <w:szCs w:val="18"/>
              </w:rPr>
              <w:t>—</w:t>
            </w:r>
          </w:p>
        </w:tc>
      </w:tr>
      <w:tr w:rsidR="008B0630" w:rsidRPr="008B0630" w14:paraId="029E25FB" w14:textId="77777777" w:rsidTr="00E03828">
        <w:trPr>
          <w:cantSplit/>
          <w:trHeight w:hRule="exact" w:val="454"/>
          <w:jc w:val="center"/>
        </w:trPr>
        <w:tc>
          <w:tcPr>
            <w:tcW w:w="3114" w:type="pct"/>
          </w:tcPr>
          <w:p w14:paraId="68725EC9" w14:textId="77777777" w:rsidR="008B0630" w:rsidRPr="008B0630" w:rsidRDefault="008B0630" w:rsidP="008B0630">
            <w:pPr>
              <w:keepNext/>
              <w:keepLines/>
              <w:spacing w:after="0"/>
              <w:ind w:firstLine="0"/>
              <w:contextualSpacing/>
              <w:rPr>
                <w:rFonts w:eastAsia="Times New Roman" w:cs="Times New Roman"/>
                <w:sz w:val="18"/>
                <w:szCs w:val="18"/>
              </w:rPr>
            </w:pPr>
            <w:r w:rsidRPr="008B0630">
              <w:rPr>
                <w:rFonts w:cs="Times New Roman"/>
                <w:sz w:val="18"/>
                <w:szCs w:val="18"/>
              </w:rPr>
              <w:t>Salīdzinājumā ar likumu “Par valsts budžetu 2025. gadam un budžeta ietvaru 2025., 2026. un 2027. gadam”, %</w:t>
            </w:r>
          </w:p>
        </w:tc>
        <w:tc>
          <w:tcPr>
            <w:tcW w:w="472" w:type="pct"/>
            <w:vAlign w:val="center"/>
          </w:tcPr>
          <w:p w14:paraId="06AB2DD9" w14:textId="77777777" w:rsidR="008B0630" w:rsidRPr="008B0630" w:rsidRDefault="008B0630" w:rsidP="008B0630">
            <w:pPr>
              <w:keepNext/>
              <w:keepLines/>
              <w:spacing w:after="0"/>
              <w:ind w:firstLine="0"/>
              <w:contextualSpacing/>
              <w:jc w:val="right"/>
              <w:rPr>
                <w:rFonts w:cs="Times New Roman"/>
                <w:i/>
                <w:iCs/>
                <w:sz w:val="18"/>
                <w:szCs w:val="18"/>
              </w:rPr>
            </w:pPr>
            <w:r w:rsidRPr="008B0630">
              <w:rPr>
                <w:rFonts w:cs="Times New Roman"/>
                <w:i/>
                <w:iCs/>
                <w:sz w:val="18"/>
                <w:szCs w:val="18"/>
              </w:rPr>
              <w:t>0,2</w:t>
            </w:r>
          </w:p>
        </w:tc>
        <w:tc>
          <w:tcPr>
            <w:tcW w:w="472" w:type="pct"/>
            <w:vAlign w:val="center"/>
          </w:tcPr>
          <w:p w14:paraId="700A95BA" w14:textId="77777777" w:rsidR="008B0630" w:rsidRPr="008B0630" w:rsidRDefault="008B0630" w:rsidP="008B0630">
            <w:pPr>
              <w:keepNext/>
              <w:keepLines/>
              <w:spacing w:after="0"/>
              <w:ind w:firstLine="0"/>
              <w:contextualSpacing/>
              <w:jc w:val="right"/>
              <w:rPr>
                <w:rFonts w:cs="Times New Roman"/>
                <w:i/>
                <w:iCs/>
                <w:sz w:val="18"/>
                <w:szCs w:val="18"/>
              </w:rPr>
            </w:pPr>
            <w:r w:rsidRPr="008B0630">
              <w:rPr>
                <w:rFonts w:cs="Times New Roman"/>
                <w:i/>
                <w:iCs/>
                <w:sz w:val="18"/>
                <w:szCs w:val="18"/>
              </w:rPr>
              <w:t>0,03</w:t>
            </w:r>
          </w:p>
        </w:tc>
        <w:tc>
          <w:tcPr>
            <w:tcW w:w="472" w:type="pct"/>
            <w:vAlign w:val="center"/>
          </w:tcPr>
          <w:p w14:paraId="611EEDBD" w14:textId="77777777" w:rsidR="008B0630" w:rsidRPr="008B0630" w:rsidRDefault="008B0630" w:rsidP="008B0630">
            <w:pPr>
              <w:keepNext/>
              <w:keepLines/>
              <w:spacing w:after="0"/>
              <w:ind w:firstLine="0"/>
              <w:contextualSpacing/>
              <w:jc w:val="right"/>
              <w:rPr>
                <w:rFonts w:cs="Times New Roman"/>
                <w:i/>
                <w:iCs/>
                <w:sz w:val="18"/>
                <w:szCs w:val="18"/>
              </w:rPr>
            </w:pPr>
            <w:r w:rsidRPr="008B0630">
              <w:rPr>
                <w:rFonts w:cs="Times New Roman"/>
                <w:i/>
                <w:iCs/>
                <w:sz w:val="18"/>
                <w:szCs w:val="18"/>
              </w:rPr>
              <w:t>0,1</w:t>
            </w:r>
          </w:p>
        </w:tc>
        <w:tc>
          <w:tcPr>
            <w:tcW w:w="470" w:type="pct"/>
            <w:vAlign w:val="center"/>
          </w:tcPr>
          <w:p w14:paraId="7A935E86" w14:textId="77777777" w:rsidR="008B0630" w:rsidRPr="008B0630" w:rsidRDefault="008B0630" w:rsidP="008B0630">
            <w:pPr>
              <w:keepNext/>
              <w:keepLines/>
              <w:spacing w:after="0"/>
              <w:ind w:firstLine="0"/>
              <w:contextualSpacing/>
              <w:jc w:val="right"/>
              <w:rPr>
                <w:rFonts w:cs="Times New Roman"/>
                <w:i/>
                <w:iCs/>
                <w:sz w:val="18"/>
                <w:szCs w:val="18"/>
              </w:rPr>
            </w:pPr>
            <w:r w:rsidRPr="008B0630">
              <w:rPr>
                <w:rFonts w:cs="Times New Roman"/>
                <w:i/>
                <w:iCs/>
                <w:sz w:val="18"/>
                <w:szCs w:val="18"/>
              </w:rPr>
              <w:t>—</w:t>
            </w:r>
          </w:p>
        </w:tc>
      </w:tr>
    </w:tbl>
    <w:p w14:paraId="0823C5DC" w14:textId="77777777" w:rsidR="008B0630" w:rsidRPr="008B0630" w:rsidRDefault="008B0630" w:rsidP="008B0630">
      <w:pPr>
        <w:spacing w:after="240"/>
        <w:ind w:left="391" w:firstLine="0"/>
        <w:contextualSpacing/>
        <w:rPr>
          <w:rFonts w:eastAsia="Calibri" w:cs="Times New Roman"/>
          <w:sz w:val="16"/>
          <w:szCs w:val="16"/>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5F6A3AD3" w14:textId="77777777" w:rsidR="008B0630" w:rsidRPr="008B0630" w:rsidRDefault="008B0630" w:rsidP="008B0630">
      <w:pPr>
        <w:spacing w:after="0"/>
        <w:ind w:left="425" w:firstLine="0"/>
        <w:contextualSpacing/>
        <w:rPr>
          <w:rFonts w:eastAsia="Calibri" w:cs="Times New Roman"/>
          <w:sz w:val="18"/>
          <w:szCs w:val="18"/>
          <w:highlight w:val="yellow"/>
        </w:rPr>
      </w:pPr>
    </w:p>
    <w:p w14:paraId="095FA071" w14:textId="77777777" w:rsidR="008B0630" w:rsidRPr="008B0630" w:rsidRDefault="008B0630" w:rsidP="008B0630">
      <w:pPr>
        <w:keepNext/>
        <w:keepLines/>
        <w:spacing w:before="240" w:after="240"/>
        <w:ind w:firstLine="0"/>
        <w:jc w:val="center"/>
        <w:outlineLvl w:val="3"/>
        <w:rPr>
          <w:rFonts w:eastAsia="Times New Roman" w:cs="Times New Roman"/>
          <w:b/>
          <w:sz w:val="28"/>
          <w:lang w:eastAsia="en-US"/>
        </w:rPr>
      </w:pPr>
      <w:r w:rsidRPr="008B0630">
        <w:rPr>
          <w:rFonts w:eastAsia="Times New Roman" w:cs="Times New Roman"/>
          <w:b/>
          <w:sz w:val="28"/>
          <w:lang w:eastAsia="en-US"/>
        </w:rPr>
        <w:t>Iedzīvotāju ienākuma nodoklis</w:t>
      </w:r>
    </w:p>
    <w:p w14:paraId="349AB38B"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IIN ieņēmumus galvenokārt ietekmē tautsaimniecībā nodarbināto skaits, nodarbināto ienākumi, atvieglojumu apmērs, kā arī minimālā darba alga. Kopējie IIN ieņēmumi 2025. gada 1. pusgadā bija 1 257,0 milj. </w:t>
      </w:r>
      <w:r w:rsidRPr="008B0630">
        <w:rPr>
          <w:rFonts w:eastAsia="Times New Roman" w:cs="Times New Roman"/>
          <w:i/>
          <w:iCs/>
          <w:color w:val="000000"/>
          <w:szCs w:val="24"/>
        </w:rPr>
        <w:t>euro</w:t>
      </w:r>
      <w:r w:rsidRPr="008B0630">
        <w:rPr>
          <w:rFonts w:eastAsia="Times New Roman" w:cs="Times New Roman"/>
          <w:color w:val="000000"/>
          <w:szCs w:val="24"/>
        </w:rPr>
        <w:t>, par 30,0 milj. </w:t>
      </w:r>
      <w:r w:rsidRPr="008B0630">
        <w:rPr>
          <w:rFonts w:eastAsia="Times New Roman" w:cs="Times New Roman"/>
          <w:i/>
          <w:iCs/>
          <w:color w:val="000000"/>
          <w:szCs w:val="24"/>
        </w:rPr>
        <w:t>euro</w:t>
      </w:r>
      <w:r w:rsidRPr="008B0630">
        <w:rPr>
          <w:rFonts w:eastAsia="Times New Roman" w:cs="Times New Roman"/>
          <w:color w:val="000000"/>
          <w:szCs w:val="24"/>
        </w:rPr>
        <w:t xml:space="preserve"> jeb 2,4 % vairāk kā 2024. gada attiecīgajā periodā. Ieņēmumu pieaugums pret iepriekšējo gadu ir salīdzinoši neliels, ko ietekmēja ar IIN neapliekamā minimuma izmaiņas – no šā gada diferencētais neapliekamais minimums ir aizstāts ar vienotu visiem nodarbinātajiem – 510 </w:t>
      </w:r>
      <w:r w:rsidRPr="008B0630">
        <w:rPr>
          <w:rFonts w:eastAsia="Times New Roman" w:cs="Times New Roman"/>
          <w:i/>
          <w:iCs/>
          <w:color w:val="000000"/>
          <w:szCs w:val="24"/>
        </w:rPr>
        <w:t>euro</w:t>
      </w:r>
      <w:r w:rsidRPr="008B0630">
        <w:rPr>
          <w:rFonts w:eastAsia="Times New Roman" w:cs="Times New Roman"/>
          <w:color w:val="000000"/>
          <w:szCs w:val="24"/>
        </w:rPr>
        <w:t xml:space="preserve"> mēnesī apmērā, kā arī dubultots pensiju saņēmējiem līdz 1 000 </w:t>
      </w:r>
      <w:r w:rsidRPr="008B0630">
        <w:rPr>
          <w:rFonts w:eastAsia="Times New Roman" w:cs="Times New Roman"/>
          <w:i/>
          <w:iCs/>
          <w:color w:val="000000"/>
          <w:szCs w:val="24"/>
        </w:rPr>
        <w:t>euro</w:t>
      </w:r>
      <w:r w:rsidRPr="008B0630">
        <w:rPr>
          <w:rFonts w:eastAsia="Times New Roman" w:cs="Times New Roman"/>
          <w:color w:val="000000"/>
          <w:szCs w:val="24"/>
        </w:rPr>
        <w:t xml:space="preserve"> mēnesī, radot IIN bāzes samazinājumu. Nodarbināto skaits pēc informācijas no darba devēju ziņojumiem ir nedaudz zem 2024. gada 1. pusgada līmeņa (samazinājums par 0,5 pp), bet ir vērojams darba samaksas fonda apmēra pieaugums par 5,9%. Savukārt pusgada plāns ir pārpildīts par 33,3 milj. </w:t>
      </w:r>
      <w:r w:rsidRPr="008B0630">
        <w:rPr>
          <w:rFonts w:eastAsia="Times New Roman" w:cs="Times New Roman"/>
          <w:i/>
          <w:iCs/>
          <w:color w:val="000000"/>
          <w:szCs w:val="24"/>
        </w:rPr>
        <w:t>euro</w:t>
      </w:r>
      <w:r w:rsidRPr="008B0630">
        <w:rPr>
          <w:rFonts w:eastAsia="Times New Roman" w:cs="Times New Roman"/>
          <w:color w:val="000000"/>
          <w:szCs w:val="24"/>
        </w:rPr>
        <w:t xml:space="preserve"> jeb 2,7 %, ko pamatā ietekmēja straujāks darba algu pieaugums decembrī (nodoklis tika samaksāts šā gada janvārī).</w:t>
      </w:r>
    </w:p>
    <w:p w14:paraId="2DE6A095"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Pēc CSP datiem 2025. gada 2. ceturksnī strādājošo mēneša vidējā bruto darba samaksa bija 1 808 </w:t>
      </w:r>
      <w:r w:rsidRPr="008B0630">
        <w:rPr>
          <w:rFonts w:eastAsia="Times New Roman" w:cs="Times New Roman"/>
          <w:i/>
          <w:iCs/>
          <w:color w:val="000000"/>
          <w:szCs w:val="24"/>
        </w:rPr>
        <w:t>euro</w:t>
      </w:r>
      <w:r w:rsidRPr="008B0630">
        <w:rPr>
          <w:rFonts w:eastAsia="Times New Roman" w:cs="Times New Roman"/>
          <w:color w:val="000000"/>
          <w:szCs w:val="24"/>
        </w:rPr>
        <w:t xml:space="preserve"> jeb par 8,2 % lielāka nekā 2024. gada 2. ceturksnī. Saskaņā ar NVA informāciju </w:t>
      </w:r>
      <w:r w:rsidRPr="008B0630">
        <w:rPr>
          <w:rFonts w:eastAsia="Times New Roman" w:cs="Times New Roman"/>
          <w:color w:val="000000"/>
          <w:szCs w:val="24"/>
        </w:rPr>
        <w:lastRenderedPageBreak/>
        <w:t xml:space="preserve">reģistrētā bezdarba līmenis 2025. gada jūnijā bija 5,0 %, kas salīdzinājumā ar 2024. gada jūniju ir par 0,1 pp mazāk. Pēc informācijas iesniegtajos darba devēju ziņojumos par VSAOI un IIN, 2025. gada jūnijā ienākumus virs valstī noteiktās minimālās darba algas saņēma 78,3 % darba ņēmēju un to īpatsvars, salīdzinot ar 2024. gada jūniju, ir palielinājies par 0,8 pp (2024. gadā minimālā darba alga bija 700 </w:t>
      </w:r>
      <w:r w:rsidRPr="008B0630">
        <w:rPr>
          <w:rFonts w:eastAsia="Times New Roman" w:cs="Times New Roman"/>
          <w:i/>
          <w:iCs/>
          <w:color w:val="000000"/>
          <w:szCs w:val="24"/>
        </w:rPr>
        <w:t>euro</w:t>
      </w:r>
      <w:r w:rsidRPr="008B0630">
        <w:rPr>
          <w:rFonts w:eastAsia="Times New Roman" w:cs="Times New Roman"/>
          <w:color w:val="000000"/>
          <w:szCs w:val="24"/>
        </w:rPr>
        <w:t xml:space="preserve">, bet 2025. gadā 740 </w:t>
      </w:r>
      <w:r w:rsidRPr="008B0630">
        <w:rPr>
          <w:rFonts w:eastAsia="Times New Roman" w:cs="Times New Roman"/>
          <w:i/>
          <w:iCs/>
          <w:color w:val="000000"/>
          <w:szCs w:val="24"/>
        </w:rPr>
        <w:t>euro</w:t>
      </w:r>
      <w:r w:rsidRPr="008B0630">
        <w:rPr>
          <w:rFonts w:eastAsia="Times New Roman" w:cs="Times New Roman"/>
          <w:color w:val="000000"/>
          <w:szCs w:val="24"/>
        </w:rPr>
        <w:t xml:space="preserve"> mēnesī).</w:t>
      </w:r>
    </w:p>
    <w:p w14:paraId="03AB39BE"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 xml:space="preserve">Saskaņā ar </w:t>
      </w:r>
      <w:r w:rsidRPr="008B0630">
        <w:rPr>
          <w:rFonts w:eastAsia="Calibri" w:cs="Times New Roman"/>
          <w:szCs w:val="24"/>
        </w:rPr>
        <w:t>likumprojektu</w:t>
      </w:r>
      <w:r w:rsidRPr="008B0630">
        <w:rPr>
          <w:rFonts w:eastAsia="Times New Roman" w:cs="Times New Roman"/>
          <w:color w:val="000000"/>
          <w:szCs w:val="24"/>
        </w:rPr>
        <w:t xml:space="preserve"> “Par valsts budžetu 2026. gadam un budžeta ietvaru 2026., 2027. un 2028. gadam” 2026. gadā IIN ieņēmumi tiek plānoti 2 920,2 milj. </w:t>
      </w:r>
      <w:r w:rsidRPr="008B0630">
        <w:rPr>
          <w:rFonts w:eastAsia="Times New Roman" w:cs="Times New Roman"/>
          <w:i/>
          <w:iCs/>
          <w:color w:val="000000"/>
          <w:szCs w:val="24"/>
        </w:rPr>
        <w:t>euro</w:t>
      </w:r>
      <w:r w:rsidRPr="008B0630">
        <w:rPr>
          <w:rFonts w:eastAsia="Times New Roman" w:cs="Times New Roman"/>
          <w:color w:val="000000"/>
          <w:szCs w:val="24"/>
        </w:rPr>
        <w:t>, 2027. gadā 3 053,2 milj. </w:t>
      </w:r>
      <w:r w:rsidRPr="008B0630">
        <w:rPr>
          <w:rFonts w:eastAsia="Times New Roman" w:cs="Times New Roman"/>
          <w:i/>
          <w:iCs/>
          <w:color w:val="000000"/>
          <w:szCs w:val="24"/>
        </w:rPr>
        <w:t xml:space="preserve">euro </w:t>
      </w:r>
      <w:r w:rsidRPr="008B0630">
        <w:rPr>
          <w:rFonts w:eastAsia="Times New Roman" w:cs="Times New Roman"/>
          <w:color w:val="000000"/>
          <w:szCs w:val="24"/>
        </w:rPr>
        <w:t>un 2028. gadā 3 213,2 milj. </w:t>
      </w:r>
      <w:r w:rsidRPr="008B0630">
        <w:rPr>
          <w:rFonts w:eastAsia="Times New Roman" w:cs="Times New Roman"/>
          <w:i/>
          <w:iCs/>
          <w:color w:val="000000"/>
          <w:szCs w:val="24"/>
        </w:rPr>
        <w:t>euro</w:t>
      </w:r>
      <w:r w:rsidRPr="008B0630">
        <w:rPr>
          <w:rFonts w:eastAsia="Times New Roman" w:cs="Times New Roman"/>
          <w:color w:val="000000"/>
          <w:szCs w:val="24"/>
        </w:rPr>
        <w:t xml:space="preserve"> apmērā (skat. 3.5. tabulu).</w:t>
      </w:r>
    </w:p>
    <w:p w14:paraId="5AD2D7AF"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 xml:space="preserve">IIN ieņēmumu plānu vidējā termiņā ietekmēs prognozētais darba samaksas fonda pieauguma temps, </w:t>
      </w:r>
      <w:r w:rsidRPr="008B0630">
        <w:rPr>
          <w:rFonts w:eastAsia="Calibri" w:cs="Times New Roman"/>
          <w:szCs w:val="24"/>
        </w:rPr>
        <w:t>2025. gadā sagaidāmā izpilde</w:t>
      </w:r>
      <w:r w:rsidRPr="008B0630">
        <w:rPr>
          <w:rFonts w:eastAsia="Times New Roman" w:cs="Times New Roman"/>
          <w:color w:val="000000"/>
          <w:szCs w:val="24"/>
        </w:rPr>
        <w:t>, kā arī iepriekš pieņemtie nodokļu pasākumi. IIN sadalījums starp valsts un pašvaldību budžetiem 22% un 78%.</w:t>
      </w:r>
    </w:p>
    <w:p w14:paraId="65A92E1D" w14:textId="77777777" w:rsidR="008B0630" w:rsidRPr="008B0630" w:rsidRDefault="008B0630" w:rsidP="008B0630">
      <w:pPr>
        <w:keepNext/>
        <w:keepLines/>
        <w:spacing w:before="240" w:after="0"/>
        <w:ind w:left="360" w:firstLine="0"/>
        <w:jc w:val="right"/>
        <w:rPr>
          <w:rFonts w:eastAsia="Calibri" w:cs="Times New Roman"/>
          <w:b/>
          <w:i/>
          <w:szCs w:val="24"/>
        </w:rPr>
      </w:pPr>
      <w:bookmarkStart w:id="109" w:name="_Hlk125622836"/>
      <w:bookmarkStart w:id="110" w:name="_Toc84756423"/>
      <w:r w:rsidRPr="008B0630">
        <w:rPr>
          <w:rFonts w:eastAsia="Calibri" w:cs="Times New Roman"/>
          <w:b/>
          <w:i/>
          <w:szCs w:val="24"/>
        </w:rPr>
        <w:t>3.5. tabula. IIN ieņēmumi</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0"/>
        <w:gridCol w:w="850"/>
        <w:gridCol w:w="850"/>
        <w:gridCol w:w="850"/>
        <w:gridCol w:w="845"/>
      </w:tblGrid>
      <w:tr w:rsidR="008B0630" w:rsidRPr="008B0630" w14:paraId="37CDAFFB" w14:textId="77777777" w:rsidTr="00E03828">
        <w:trPr>
          <w:cantSplit/>
          <w:trHeight w:hRule="exact" w:val="227"/>
          <w:jc w:val="center"/>
        </w:trPr>
        <w:tc>
          <w:tcPr>
            <w:tcW w:w="3115" w:type="pct"/>
            <w:shd w:val="clear" w:color="auto" w:fill="9CC2E5" w:themeFill="accent1" w:themeFillTint="99"/>
            <w:vAlign w:val="center"/>
          </w:tcPr>
          <w:p w14:paraId="265AEAB3" w14:textId="77777777" w:rsidR="008B0630" w:rsidRPr="008B0630" w:rsidRDefault="008B0630" w:rsidP="008B0630">
            <w:pPr>
              <w:keepNext/>
              <w:keepLines/>
              <w:spacing w:after="0"/>
              <w:ind w:left="360" w:firstLine="0"/>
              <w:jc w:val="center"/>
              <w:rPr>
                <w:rFonts w:eastAsia="Times New Roman" w:cs="Times New Roman"/>
                <w:b/>
                <w:bCs/>
                <w:sz w:val="18"/>
                <w:szCs w:val="18"/>
              </w:rPr>
            </w:pPr>
          </w:p>
        </w:tc>
        <w:tc>
          <w:tcPr>
            <w:tcW w:w="472" w:type="pct"/>
            <w:shd w:val="clear" w:color="auto" w:fill="9CC2E5" w:themeFill="accent1" w:themeFillTint="99"/>
            <w:vAlign w:val="center"/>
          </w:tcPr>
          <w:p w14:paraId="08EA988B" w14:textId="77777777" w:rsidR="008B0630" w:rsidRPr="008B0630" w:rsidRDefault="008B0630" w:rsidP="008B0630">
            <w:pPr>
              <w:keepNext/>
              <w:keepLines/>
              <w:spacing w:after="0"/>
              <w:ind w:firstLine="0"/>
              <w:jc w:val="center"/>
              <w:rPr>
                <w:rFonts w:eastAsia="Times New Roman" w:cs="Times New Roman"/>
                <w:b/>
                <w:bCs/>
                <w:sz w:val="20"/>
                <w:szCs w:val="20"/>
              </w:rPr>
            </w:pPr>
            <w:r w:rsidRPr="008B0630">
              <w:rPr>
                <w:rFonts w:eastAsia="Times New Roman" w:cs="Times New Roman"/>
                <w:b/>
                <w:bCs/>
                <w:sz w:val="20"/>
                <w:szCs w:val="20"/>
              </w:rPr>
              <w:t>2025</w:t>
            </w:r>
          </w:p>
        </w:tc>
        <w:tc>
          <w:tcPr>
            <w:tcW w:w="472" w:type="pct"/>
            <w:tcBorders>
              <w:bottom w:val="single" w:sz="4" w:space="0" w:color="auto"/>
            </w:tcBorders>
            <w:shd w:val="clear" w:color="auto" w:fill="9CC2E5" w:themeFill="accent1" w:themeFillTint="99"/>
            <w:vAlign w:val="center"/>
          </w:tcPr>
          <w:p w14:paraId="2AEAB2DC" w14:textId="77777777" w:rsidR="008B0630" w:rsidRPr="008B0630" w:rsidRDefault="008B0630" w:rsidP="008B0630">
            <w:pPr>
              <w:keepNext/>
              <w:keepLines/>
              <w:spacing w:after="0"/>
              <w:ind w:firstLine="0"/>
              <w:jc w:val="center"/>
              <w:rPr>
                <w:rFonts w:eastAsia="Times New Roman" w:cs="Times New Roman"/>
                <w:b/>
                <w:bCs/>
                <w:sz w:val="20"/>
                <w:szCs w:val="20"/>
              </w:rPr>
            </w:pPr>
            <w:r w:rsidRPr="008B0630">
              <w:rPr>
                <w:rFonts w:eastAsia="Times New Roman" w:cs="Times New Roman"/>
                <w:b/>
                <w:bCs/>
                <w:sz w:val="20"/>
                <w:szCs w:val="20"/>
              </w:rPr>
              <w:t>2026</w:t>
            </w:r>
          </w:p>
        </w:tc>
        <w:tc>
          <w:tcPr>
            <w:tcW w:w="472" w:type="pct"/>
            <w:tcBorders>
              <w:bottom w:val="single" w:sz="4" w:space="0" w:color="auto"/>
            </w:tcBorders>
            <w:shd w:val="clear" w:color="auto" w:fill="9CC2E5" w:themeFill="accent1" w:themeFillTint="99"/>
            <w:vAlign w:val="center"/>
          </w:tcPr>
          <w:p w14:paraId="08DC7BC4" w14:textId="77777777" w:rsidR="008B0630" w:rsidRPr="008B0630" w:rsidRDefault="008B0630" w:rsidP="008B0630">
            <w:pPr>
              <w:keepNext/>
              <w:keepLines/>
              <w:spacing w:after="0"/>
              <w:ind w:firstLine="0"/>
              <w:jc w:val="center"/>
              <w:rPr>
                <w:rFonts w:eastAsia="Times New Roman" w:cs="Times New Roman"/>
                <w:b/>
                <w:bCs/>
                <w:sz w:val="20"/>
                <w:szCs w:val="20"/>
              </w:rPr>
            </w:pPr>
            <w:r w:rsidRPr="008B0630">
              <w:rPr>
                <w:rFonts w:eastAsia="Times New Roman" w:cs="Times New Roman"/>
                <w:b/>
                <w:bCs/>
                <w:sz w:val="20"/>
                <w:szCs w:val="20"/>
              </w:rPr>
              <w:t>2027</w:t>
            </w:r>
          </w:p>
        </w:tc>
        <w:tc>
          <w:tcPr>
            <w:tcW w:w="469" w:type="pct"/>
            <w:tcBorders>
              <w:bottom w:val="single" w:sz="4" w:space="0" w:color="auto"/>
            </w:tcBorders>
            <w:shd w:val="clear" w:color="auto" w:fill="9CC2E5" w:themeFill="accent1" w:themeFillTint="99"/>
            <w:vAlign w:val="center"/>
          </w:tcPr>
          <w:p w14:paraId="0D84B984" w14:textId="77777777" w:rsidR="008B0630" w:rsidRPr="008B0630" w:rsidRDefault="008B0630" w:rsidP="008B0630">
            <w:pPr>
              <w:keepNext/>
              <w:keepLines/>
              <w:spacing w:after="0"/>
              <w:ind w:firstLine="0"/>
              <w:jc w:val="center"/>
              <w:rPr>
                <w:rFonts w:eastAsia="Times New Roman" w:cs="Times New Roman"/>
                <w:b/>
                <w:bCs/>
                <w:sz w:val="20"/>
                <w:szCs w:val="20"/>
              </w:rPr>
            </w:pPr>
            <w:r w:rsidRPr="008B0630">
              <w:rPr>
                <w:rFonts w:eastAsia="Times New Roman" w:cs="Times New Roman"/>
                <w:b/>
                <w:bCs/>
                <w:sz w:val="20"/>
                <w:szCs w:val="20"/>
              </w:rPr>
              <w:t>2028</w:t>
            </w:r>
          </w:p>
        </w:tc>
      </w:tr>
      <w:tr w:rsidR="008B0630" w:rsidRPr="008B0630" w14:paraId="2CEC2210" w14:textId="77777777" w:rsidTr="00E03828">
        <w:trPr>
          <w:cantSplit/>
          <w:trHeight w:hRule="exact" w:val="454"/>
          <w:jc w:val="center"/>
        </w:trPr>
        <w:tc>
          <w:tcPr>
            <w:tcW w:w="3115" w:type="pct"/>
          </w:tcPr>
          <w:p w14:paraId="68E4FE68" w14:textId="77777777" w:rsidR="008B0630" w:rsidRPr="008B0630" w:rsidRDefault="008B0630" w:rsidP="008B0630">
            <w:pPr>
              <w:keepNext/>
              <w:keepLines/>
              <w:spacing w:after="0"/>
              <w:ind w:firstLine="0"/>
              <w:contextualSpacing/>
              <w:jc w:val="left"/>
              <w:rPr>
                <w:rFonts w:eastAsia="Times New Roman" w:cs="Times New Roman"/>
                <w:i/>
                <w:sz w:val="18"/>
                <w:szCs w:val="18"/>
              </w:rPr>
            </w:pPr>
            <w:r w:rsidRPr="008B0630">
              <w:rPr>
                <w:rFonts w:cs="Times New Roman"/>
                <w:sz w:val="18"/>
                <w:szCs w:val="18"/>
              </w:rPr>
              <w:t>Saskaņā ar likumprojektu “Par valsts budžetu 2026. gadam un budžeta ietvaru 2026., 2027. un 2028. gadam”, milj. </w:t>
            </w:r>
            <w:r w:rsidRPr="008B0630">
              <w:rPr>
                <w:rFonts w:cs="Times New Roman"/>
                <w:i/>
                <w:iCs/>
                <w:sz w:val="18"/>
                <w:szCs w:val="18"/>
              </w:rPr>
              <w:t>euro</w:t>
            </w:r>
            <w:r w:rsidRPr="008B0630">
              <w:rPr>
                <w:rFonts w:cs="Times New Roman"/>
                <w:sz w:val="18"/>
                <w:szCs w:val="18"/>
              </w:rPr>
              <w:t xml:space="preserve"> </w:t>
            </w:r>
          </w:p>
        </w:tc>
        <w:tc>
          <w:tcPr>
            <w:tcW w:w="472" w:type="pct"/>
            <w:tcBorders>
              <w:bottom w:val="single" w:sz="4" w:space="0" w:color="auto"/>
            </w:tcBorders>
            <w:vAlign w:val="center"/>
          </w:tcPr>
          <w:p w14:paraId="3400CDE6" w14:textId="77777777" w:rsidR="008B0630" w:rsidRPr="008B0630" w:rsidRDefault="008B0630" w:rsidP="008B0630">
            <w:pPr>
              <w:keepNext/>
              <w:keepLines/>
              <w:spacing w:after="0"/>
              <w:ind w:firstLine="0"/>
              <w:contextualSpacing/>
              <w:jc w:val="center"/>
              <w:rPr>
                <w:rFonts w:eastAsia="Times New Roman" w:cs="Times New Roman"/>
                <w:sz w:val="18"/>
                <w:szCs w:val="18"/>
                <w:vertAlign w:val="superscript"/>
              </w:rPr>
            </w:pPr>
            <w:r w:rsidRPr="008B0630">
              <w:rPr>
                <w:rFonts w:cs="Times New Roman"/>
                <w:sz w:val="18"/>
                <w:szCs w:val="18"/>
              </w:rPr>
              <w:t>2 803,0</w:t>
            </w:r>
            <w:r w:rsidRPr="008B0630">
              <w:rPr>
                <w:rFonts w:cs="Times New Roman"/>
                <w:sz w:val="18"/>
                <w:szCs w:val="18"/>
                <w:vertAlign w:val="superscript"/>
              </w:rPr>
              <w:t>1</w:t>
            </w:r>
          </w:p>
        </w:tc>
        <w:tc>
          <w:tcPr>
            <w:tcW w:w="472" w:type="pct"/>
            <w:tcBorders>
              <w:top w:val="single" w:sz="4" w:space="0" w:color="auto"/>
              <w:left w:val="nil"/>
              <w:bottom w:val="single" w:sz="4" w:space="0" w:color="auto"/>
              <w:right w:val="single" w:sz="4" w:space="0" w:color="auto"/>
            </w:tcBorders>
            <w:vAlign w:val="center"/>
          </w:tcPr>
          <w:p w14:paraId="1DE7BC89" w14:textId="77777777" w:rsidR="008B0630" w:rsidRPr="008B0630" w:rsidRDefault="008B0630" w:rsidP="008B0630">
            <w:pPr>
              <w:keepNext/>
              <w:keepLines/>
              <w:spacing w:after="0"/>
              <w:ind w:firstLine="0"/>
              <w:contextualSpacing/>
              <w:jc w:val="center"/>
              <w:rPr>
                <w:rFonts w:eastAsia="Times New Roman" w:cs="Times New Roman"/>
                <w:sz w:val="18"/>
                <w:szCs w:val="18"/>
              </w:rPr>
            </w:pPr>
            <w:r w:rsidRPr="008B0630">
              <w:rPr>
                <w:rFonts w:cs="Times New Roman"/>
                <w:sz w:val="18"/>
                <w:szCs w:val="18"/>
              </w:rPr>
              <w:t>2 920,2</w:t>
            </w:r>
          </w:p>
        </w:tc>
        <w:tc>
          <w:tcPr>
            <w:tcW w:w="472" w:type="pct"/>
            <w:tcBorders>
              <w:top w:val="single" w:sz="4" w:space="0" w:color="auto"/>
              <w:left w:val="single" w:sz="4" w:space="0" w:color="auto"/>
              <w:bottom w:val="single" w:sz="4" w:space="0" w:color="auto"/>
              <w:right w:val="single" w:sz="4" w:space="0" w:color="auto"/>
            </w:tcBorders>
            <w:vAlign w:val="center"/>
          </w:tcPr>
          <w:p w14:paraId="5E388E49" w14:textId="77777777" w:rsidR="008B0630" w:rsidRPr="008B0630" w:rsidRDefault="008B0630" w:rsidP="008B0630">
            <w:pPr>
              <w:keepNext/>
              <w:keepLines/>
              <w:spacing w:after="0"/>
              <w:ind w:firstLine="0"/>
              <w:contextualSpacing/>
              <w:jc w:val="center"/>
              <w:rPr>
                <w:rFonts w:eastAsia="Times New Roman" w:cs="Times New Roman"/>
                <w:sz w:val="18"/>
                <w:szCs w:val="18"/>
              </w:rPr>
            </w:pPr>
            <w:r w:rsidRPr="008B0630">
              <w:rPr>
                <w:rFonts w:cs="Times New Roman"/>
                <w:sz w:val="18"/>
                <w:szCs w:val="18"/>
              </w:rPr>
              <w:t>3 053,2</w:t>
            </w:r>
          </w:p>
        </w:tc>
        <w:tc>
          <w:tcPr>
            <w:tcW w:w="469" w:type="pct"/>
            <w:tcBorders>
              <w:top w:val="single" w:sz="4" w:space="0" w:color="auto"/>
              <w:left w:val="single" w:sz="4" w:space="0" w:color="auto"/>
              <w:bottom w:val="single" w:sz="4" w:space="0" w:color="auto"/>
              <w:right w:val="single" w:sz="4" w:space="0" w:color="auto"/>
            </w:tcBorders>
            <w:vAlign w:val="center"/>
          </w:tcPr>
          <w:p w14:paraId="3AB78167" w14:textId="77777777" w:rsidR="008B0630" w:rsidRPr="008B0630" w:rsidRDefault="008B0630" w:rsidP="008B0630">
            <w:pPr>
              <w:keepNext/>
              <w:keepLines/>
              <w:spacing w:after="0"/>
              <w:ind w:firstLine="0"/>
              <w:contextualSpacing/>
              <w:jc w:val="center"/>
              <w:rPr>
                <w:rFonts w:eastAsia="Times New Roman" w:cs="Times New Roman"/>
                <w:sz w:val="18"/>
                <w:szCs w:val="18"/>
              </w:rPr>
            </w:pPr>
            <w:r w:rsidRPr="008B0630">
              <w:rPr>
                <w:rFonts w:cs="Times New Roman"/>
                <w:sz w:val="18"/>
                <w:szCs w:val="18"/>
              </w:rPr>
              <w:t>3 213,2</w:t>
            </w:r>
          </w:p>
        </w:tc>
      </w:tr>
      <w:tr w:rsidR="008B0630" w:rsidRPr="008B0630" w14:paraId="7D04AC51" w14:textId="77777777" w:rsidTr="00E03828">
        <w:trPr>
          <w:cantSplit/>
          <w:trHeight w:hRule="exact" w:val="227"/>
          <w:jc w:val="center"/>
        </w:trPr>
        <w:tc>
          <w:tcPr>
            <w:tcW w:w="3115" w:type="pct"/>
          </w:tcPr>
          <w:p w14:paraId="79E38AE3" w14:textId="77777777" w:rsidR="008B0630" w:rsidRPr="008B0630" w:rsidRDefault="008B0630" w:rsidP="008B0630">
            <w:pPr>
              <w:keepNext/>
              <w:keepLines/>
              <w:ind w:left="425" w:firstLine="0"/>
              <w:jc w:val="left"/>
              <w:rPr>
                <w:rFonts w:eastAsia="Times New Roman" w:cs="Times New Roman"/>
                <w:i/>
                <w:iCs/>
                <w:sz w:val="18"/>
                <w:szCs w:val="18"/>
              </w:rPr>
            </w:pPr>
            <w:r w:rsidRPr="008B0630">
              <w:rPr>
                <w:rFonts w:cs="Times New Roman"/>
                <w:i/>
                <w:iCs/>
                <w:sz w:val="18"/>
                <w:szCs w:val="18"/>
              </w:rPr>
              <w:t>pret IKP, %</w:t>
            </w:r>
          </w:p>
        </w:tc>
        <w:tc>
          <w:tcPr>
            <w:tcW w:w="472" w:type="pct"/>
            <w:tcBorders>
              <w:top w:val="single" w:sz="4" w:space="0" w:color="auto"/>
              <w:left w:val="single" w:sz="4" w:space="0" w:color="auto"/>
              <w:bottom w:val="single" w:sz="4" w:space="0" w:color="auto"/>
              <w:right w:val="single" w:sz="4" w:space="0" w:color="auto"/>
            </w:tcBorders>
            <w:vAlign w:val="center"/>
          </w:tcPr>
          <w:p w14:paraId="295426D2" w14:textId="77777777" w:rsidR="008B0630" w:rsidRPr="008B0630" w:rsidRDefault="008B0630" w:rsidP="008B0630">
            <w:pPr>
              <w:keepNext/>
              <w:keepLines/>
              <w:spacing w:after="0"/>
              <w:ind w:firstLine="0"/>
              <w:contextualSpacing/>
              <w:jc w:val="right"/>
              <w:rPr>
                <w:rFonts w:eastAsia="Times New Roman" w:cs="Times New Roman"/>
                <w:i/>
                <w:iCs/>
                <w:color w:val="000000"/>
                <w:sz w:val="18"/>
                <w:szCs w:val="18"/>
              </w:rPr>
            </w:pPr>
            <w:r w:rsidRPr="008B0630">
              <w:rPr>
                <w:rFonts w:cs="Times New Roman"/>
                <w:i/>
                <w:iCs/>
                <w:sz w:val="18"/>
                <w:szCs w:val="18"/>
              </w:rPr>
              <w:t>6,7%</w:t>
            </w:r>
          </w:p>
        </w:tc>
        <w:tc>
          <w:tcPr>
            <w:tcW w:w="472" w:type="pct"/>
            <w:tcBorders>
              <w:top w:val="single" w:sz="4" w:space="0" w:color="auto"/>
              <w:left w:val="nil"/>
              <w:bottom w:val="single" w:sz="4" w:space="0" w:color="auto"/>
              <w:right w:val="single" w:sz="4" w:space="0" w:color="auto"/>
            </w:tcBorders>
            <w:vAlign w:val="center"/>
          </w:tcPr>
          <w:p w14:paraId="1C61FF9D"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sz w:val="18"/>
                <w:szCs w:val="18"/>
              </w:rPr>
              <w:t>6,6%</w:t>
            </w:r>
          </w:p>
        </w:tc>
        <w:tc>
          <w:tcPr>
            <w:tcW w:w="472" w:type="pct"/>
            <w:tcBorders>
              <w:top w:val="single" w:sz="4" w:space="0" w:color="auto"/>
              <w:left w:val="nil"/>
              <w:bottom w:val="single" w:sz="4" w:space="0" w:color="auto"/>
              <w:right w:val="single" w:sz="4" w:space="0" w:color="auto"/>
            </w:tcBorders>
            <w:vAlign w:val="center"/>
          </w:tcPr>
          <w:p w14:paraId="7697DBC9"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sz w:val="18"/>
                <w:szCs w:val="18"/>
              </w:rPr>
              <w:t>6,6%</w:t>
            </w:r>
          </w:p>
        </w:tc>
        <w:tc>
          <w:tcPr>
            <w:tcW w:w="469" w:type="pct"/>
            <w:tcBorders>
              <w:top w:val="single" w:sz="4" w:space="0" w:color="auto"/>
              <w:left w:val="nil"/>
              <w:bottom w:val="single" w:sz="4" w:space="0" w:color="auto"/>
              <w:right w:val="single" w:sz="4" w:space="0" w:color="auto"/>
            </w:tcBorders>
            <w:vAlign w:val="center"/>
          </w:tcPr>
          <w:p w14:paraId="3AD79F3D"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sz w:val="18"/>
                <w:szCs w:val="18"/>
              </w:rPr>
              <w:t>6,7%</w:t>
            </w:r>
          </w:p>
        </w:tc>
      </w:tr>
      <w:tr w:rsidR="008B0630" w:rsidRPr="008B0630" w14:paraId="5DFC7C6E" w14:textId="77777777" w:rsidTr="00E03828">
        <w:trPr>
          <w:cantSplit/>
          <w:trHeight w:hRule="exact" w:val="454"/>
          <w:jc w:val="center"/>
        </w:trPr>
        <w:tc>
          <w:tcPr>
            <w:tcW w:w="3115" w:type="pct"/>
          </w:tcPr>
          <w:p w14:paraId="3753925E" w14:textId="77777777" w:rsidR="008B0630" w:rsidRPr="008B0630" w:rsidRDefault="008B0630" w:rsidP="008B0630">
            <w:pPr>
              <w:keepNext/>
              <w:keepLines/>
              <w:spacing w:after="0"/>
              <w:ind w:firstLine="0"/>
              <w:contextualSpacing/>
              <w:jc w:val="left"/>
              <w:rPr>
                <w:rFonts w:eastAsia="Times New Roman" w:cs="Times New Roman"/>
                <w:sz w:val="18"/>
                <w:szCs w:val="18"/>
              </w:rPr>
            </w:pPr>
            <w:r w:rsidRPr="008B0630">
              <w:rPr>
                <w:rFonts w:cs="Times New Roman"/>
                <w:sz w:val="18"/>
                <w:szCs w:val="18"/>
              </w:rPr>
              <w:t>Salīdzinājumā ar likumu “Par valsts budžetu 2025. gadam un budžeta ietvaru 2025., 2026. un 2027. gadam”, milj. </w:t>
            </w:r>
            <w:r w:rsidRPr="008B0630">
              <w:rPr>
                <w:rFonts w:cs="Times New Roman"/>
                <w:i/>
                <w:iCs/>
                <w:sz w:val="18"/>
                <w:szCs w:val="18"/>
              </w:rPr>
              <w:t>euro</w:t>
            </w:r>
          </w:p>
        </w:tc>
        <w:tc>
          <w:tcPr>
            <w:tcW w:w="472" w:type="pct"/>
            <w:tcBorders>
              <w:top w:val="single" w:sz="4" w:space="0" w:color="auto"/>
              <w:left w:val="nil"/>
              <w:bottom w:val="single" w:sz="4" w:space="0" w:color="auto"/>
              <w:right w:val="single" w:sz="4" w:space="0" w:color="auto"/>
            </w:tcBorders>
            <w:vAlign w:val="center"/>
          </w:tcPr>
          <w:p w14:paraId="1C22EC34"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sz w:val="18"/>
                <w:szCs w:val="18"/>
              </w:rPr>
              <w:t>67,1</w:t>
            </w:r>
          </w:p>
        </w:tc>
        <w:tc>
          <w:tcPr>
            <w:tcW w:w="472" w:type="pct"/>
            <w:tcBorders>
              <w:top w:val="single" w:sz="4" w:space="0" w:color="auto"/>
              <w:left w:val="single" w:sz="4" w:space="0" w:color="auto"/>
              <w:bottom w:val="single" w:sz="4" w:space="0" w:color="auto"/>
              <w:right w:val="single" w:sz="4" w:space="0" w:color="auto"/>
            </w:tcBorders>
            <w:vAlign w:val="center"/>
          </w:tcPr>
          <w:p w14:paraId="02CC4862"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sz w:val="18"/>
                <w:szCs w:val="18"/>
              </w:rPr>
              <w:t>75,7</w:t>
            </w:r>
          </w:p>
        </w:tc>
        <w:tc>
          <w:tcPr>
            <w:tcW w:w="472" w:type="pct"/>
            <w:tcBorders>
              <w:top w:val="single" w:sz="4" w:space="0" w:color="auto"/>
              <w:left w:val="single" w:sz="4" w:space="0" w:color="auto"/>
              <w:bottom w:val="single" w:sz="4" w:space="0" w:color="auto"/>
              <w:right w:val="single" w:sz="4" w:space="0" w:color="auto"/>
            </w:tcBorders>
            <w:vAlign w:val="center"/>
          </w:tcPr>
          <w:p w14:paraId="720181A2"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sz w:val="18"/>
                <w:szCs w:val="18"/>
              </w:rPr>
              <w:t>81,2</w:t>
            </w:r>
          </w:p>
        </w:tc>
        <w:tc>
          <w:tcPr>
            <w:tcW w:w="469" w:type="pct"/>
            <w:tcBorders>
              <w:top w:val="single" w:sz="4" w:space="0" w:color="auto"/>
              <w:left w:val="single" w:sz="4" w:space="0" w:color="auto"/>
              <w:bottom w:val="single" w:sz="4" w:space="0" w:color="auto"/>
              <w:right w:val="single" w:sz="4" w:space="0" w:color="auto"/>
            </w:tcBorders>
            <w:vAlign w:val="center"/>
          </w:tcPr>
          <w:p w14:paraId="3ED7203C"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sz w:val="18"/>
                <w:szCs w:val="18"/>
              </w:rPr>
              <w:t>—</w:t>
            </w:r>
          </w:p>
        </w:tc>
      </w:tr>
      <w:tr w:rsidR="008B0630" w:rsidRPr="008B0630" w14:paraId="4B9110EB" w14:textId="77777777" w:rsidTr="00E03828">
        <w:trPr>
          <w:cantSplit/>
          <w:trHeight w:hRule="exact" w:val="454"/>
          <w:jc w:val="center"/>
        </w:trPr>
        <w:tc>
          <w:tcPr>
            <w:tcW w:w="3115" w:type="pct"/>
          </w:tcPr>
          <w:p w14:paraId="3A3E719C" w14:textId="77777777" w:rsidR="008B0630" w:rsidRPr="008B0630" w:rsidRDefault="008B0630" w:rsidP="008B0630">
            <w:pPr>
              <w:keepNext/>
              <w:keepLines/>
              <w:spacing w:after="0"/>
              <w:ind w:firstLine="0"/>
              <w:contextualSpacing/>
              <w:jc w:val="left"/>
              <w:rPr>
                <w:rFonts w:eastAsia="Times New Roman" w:cs="Times New Roman"/>
                <w:sz w:val="18"/>
                <w:szCs w:val="18"/>
              </w:rPr>
            </w:pPr>
            <w:r w:rsidRPr="008B0630">
              <w:rPr>
                <w:rFonts w:cs="Times New Roman"/>
                <w:sz w:val="18"/>
                <w:szCs w:val="18"/>
              </w:rPr>
              <w:t>Salīdzinājumā ar likumu “Par valsts budžetu 2025. gadam un budžeta ietvaru 2025., 2026. un 2027. gadam”, %</w:t>
            </w:r>
          </w:p>
        </w:tc>
        <w:tc>
          <w:tcPr>
            <w:tcW w:w="472" w:type="pct"/>
            <w:tcBorders>
              <w:top w:val="single" w:sz="4" w:space="0" w:color="auto"/>
              <w:left w:val="nil"/>
              <w:bottom w:val="single" w:sz="4" w:space="0" w:color="auto"/>
              <w:right w:val="single" w:sz="4" w:space="0" w:color="auto"/>
            </w:tcBorders>
            <w:vAlign w:val="center"/>
          </w:tcPr>
          <w:p w14:paraId="08994BDC"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sz w:val="18"/>
                <w:szCs w:val="18"/>
              </w:rPr>
              <w:t>2,5</w:t>
            </w:r>
          </w:p>
        </w:tc>
        <w:tc>
          <w:tcPr>
            <w:tcW w:w="472" w:type="pct"/>
            <w:tcBorders>
              <w:top w:val="single" w:sz="4" w:space="0" w:color="auto"/>
              <w:left w:val="single" w:sz="4" w:space="0" w:color="auto"/>
              <w:bottom w:val="single" w:sz="4" w:space="0" w:color="auto"/>
              <w:right w:val="single" w:sz="4" w:space="0" w:color="auto"/>
            </w:tcBorders>
            <w:vAlign w:val="center"/>
          </w:tcPr>
          <w:p w14:paraId="7BFFF6C2"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sz w:val="18"/>
                <w:szCs w:val="18"/>
              </w:rPr>
              <w:t>2,7</w:t>
            </w:r>
          </w:p>
        </w:tc>
        <w:tc>
          <w:tcPr>
            <w:tcW w:w="472" w:type="pct"/>
            <w:tcBorders>
              <w:top w:val="single" w:sz="4" w:space="0" w:color="auto"/>
              <w:left w:val="single" w:sz="4" w:space="0" w:color="auto"/>
              <w:bottom w:val="single" w:sz="4" w:space="0" w:color="auto"/>
              <w:right w:val="single" w:sz="4" w:space="0" w:color="auto"/>
            </w:tcBorders>
            <w:vAlign w:val="center"/>
          </w:tcPr>
          <w:p w14:paraId="25AA6764"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sz w:val="18"/>
                <w:szCs w:val="18"/>
              </w:rPr>
              <w:t>2,7</w:t>
            </w:r>
          </w:p>
        </w:tc>
        <w:tc>
          <w:tcPr>
            <w:tcW w:w="469" w:type="pct"/>
            <w:tcBorders>
              <w:top w:val="single" w:sz="4" w:space="0" w:color="auto"/>
              <w:left w:val="single" w:sz="4" w:space="0" w:color="auto"/>
              <w:bottom w:val="single" w:sz="4" w:space="0" w:color="auto"/>
              <w:right w:val="single" w:sz="4" w:space="0" w:color="auto"/>
            </w:tcBorders>
            <w:vAlign w:val="center"/>
          </w:tcPr>
          <w:p w14:paraId="154D24FF" w14:textId="77777777" w:rsidR="008B0630" w:rsidRPr="008B0630" w:rsidRDefault="008B0630" w:rsidP="008B0630">
            <w:pPr>
              <w:keepNext/>
              <w:keepLines/>
              <w:spacing w:after="0"/>
              <w:ind w:firstLine="0"/>
              <w:contextualSpacing/>
              <w:jc w:val="right"/>
              <w:rPr>
                <w:rFonts w:eastAsia="Times New Roman" w:cs="Times New Roman"/>
                <w:i/>
                <w:iCs/>
                <w:sz w:val="18"/>
                <w:szCs w:val="18"/>
              </w:rPr>
            </w:pPr>
            <w:r w:rsidRPr="008B0630">
              <w:rPr>
                <w:rFonts w:cs="Times New Roman"/>
                <w:i/>
                <w:iCs/>
                <w:sz w:val="18"/>
                <w:szCs w:val="18"/>
              </w:rPr>
              <w:t>—</w:t>
            </w:r>
          </w:p>
        </w:tc>
      </w:tr>
    </w:tbl>
    <w:p w14:paraId="1742EFC0" w14:textId="77777777" w:rsidR="008B0630" w:rsidRPr="008B0630" w:rsidRDefault="008B0630" w:rsidP="008B0630">
      <w:pPr>
        <w:spacing w:after="240"/>
        <w:ind w:left="397"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7DF44D32" w14:textId="77777777" w:rsidR="008B0630" w:rsidRPr="008B0630" w:rsidRDefault="008B0630" w:rsidP="008B0630">
      <w:pPr>
        <w:keepNext/>
        <w:keepLines/>
        <w:spacing w:before="240" w:after="240"/>
        <w:ind w:firstLine="0"/>
        <w:jc w:val="center"/>
        <w:outlineLvl w:val="3"/>
        <w:rPr>
          <w:rFonts w:eastAsia="Times New Roman" w:cs="Times New Roman"/>
          <w:b/>
          <w:sz w:val="28"/>
          <w:lang w:eastAsia="en-US"/>
        </w:rPr>
      </w:pPr>
      <w:r w:rsidRPr="008B0630">
        <w:rPr>
          <w:rFonts w:eastAsia="Times New Roman" w:cs="Times New Roman"/>
          <w:b/>
          <w:sz w:val="28"/>
          <w:lang w:eastAsia="en-US"/>
        </w:rPr>
        <w:t>Valsts sociālās apdrošināšanas obligātās iemaksas</w:t>
      </w:r>
      <w:bookmarkEnd w:id="109"/>
      <w:r w:rsidRPr="008B0630">
        <w:rPr>
          <w:rFonts w:eastAsia="Times New Roman" w:cs="Times New Roman"/>
          <w:b/>
          <w:sz w:val="28"/>
          <w:vertAlign w:val="superscript"/>
          <w:lang w:eastAsia="en-US"/>
        </w:rPr>
        <w:footnoteReference w:id="43"/>
      </w:r>
      <w:bookmarkEnd w:id="110"/>
      <w:r w:rsidRPr="008B0630">
        <w:rPr>
          <w:rFonts w:eastAsia="Times New Roman" w:cs="Times New Roman"/>
          <w:b/>
          <w:sz w:val="28"/>
          <w:lang w:eastAsia="en-US"/>
        </w:rPr>
        <w:t xml:space="preserve"> </w:t>
      </w:r>
    </w:p>
    <w:p w14:paraId="20427D10" w14:textId="77777777" w:rsidR="008B0630" w:rsidRPr="008B0630" w:rsidRDefault="008B0630" w:rsidP="008B0630">
      <w:pPr>
        <w:rPr>
          <w:rFonts w:eastAsia="Times New Roman" w:cs="Times New Roman"/>
          <w:color w:val="000000"/>
          <w:szCs w:val="24"/>
        </w:rPr>
      </w:pPr>
      <w:bookmarkStart w:id="111" w:name="_Hlk125622826"/>
      <w:bookmarkStart w:id="112" w:name="_Toc84756424"/>
      <w:r w:rsidRPr="008B0630">
        <w:rPr>
          <w:rFonts w:eastAsia="Times New Roman" w:cs="Times New Roman"/>
          <w:color w:val="000000"/>
          <w:szCs w:val="24"/>
        </w:rPr>
        <w:t>VSAOI galvenokārt ietekmē tautsaimniecībā nodarbināto skaits, nodarbināto ienākumi un minimālā darba alga. VSAOI ieņēmumi 2025. gada 1. pusgadā bija 2 348,0 milj. </w:t>
      </w:r>
      <w:r w:rsidRPr="008B0630">
        <w:rPr>
          <w:rFonts w:eastAsia="Times New Roman" w:cs="Times New Roman"/>
          <w:i/>
          <w:iCs/>
          <w:color w:val="000000"/>
          <w:szCs w:val="24"/>
        </w:rPr>
        <w:t>euro</w:t>
      </w:r>
      <w:r w:rsidRPr="008B0630">
        <w:rPr>
          <w:rFonts w:eastAsia="Times New Roman" w:cs="Times New Roman"/>
          <w:color w:val="000000"/>
          <w:szCs w:val="24"/>
        </w:rPr>
        <w:t>, par 164,3 milj. </w:t>
      </w:r>
      <w:r w:rsidRPr="008B0630">
        <w:rPr>
          <w:rFonts w:eastAsia="Times New Roman" w:cs="Times New Roman"/>
          <w:i/>
          <w:iCs/>
          <w:color w:val="000000"/>
          <w:szCs w:val="24"/>
        </w:rPr>
        <w:t>euro</w:t>
      </w:r>
      <w:r w:rsidRPr="008B0630">
        <w:rPr>
          <w:rFonts w:eastAsia="Times New Roman" w:cs="Times New Roman"/>
          <w:color w:val="000000"/>
          <w:szCs w:val="24"/>
        </w:rPr>
        <w:t xml:space="preserve"> jeb 7,5 % vairāk kā 2024. gada attiecīgajā periodā, palielinoties darba samaksas fondam. 2025. gada 1. pusgadā VSAOI valsts pamatbudžetā veselības finansēšanai bija 80,6 milj. </w:t>
      </w:r>
      <w:r w:rsidRPr="008B0630">
        <w:rPr>
          <w:rFonts w:eastAsia="Times New Roman" w:cs="Times New Roman"/>
          <w:i/>
          <w:iCs/>
          <w:color w:val="000000"/>
          <w:szCs w:val="24"/>
        </w:rPr>
        <w:t>euro,</w:t>
      </w:r>
      <w:r w:rsidRPr="008B0630">
        <w:rPr>
          <w:rFonts w:eastAsia="Times New Roman" w:cs="Times New Roman"/>
          <w:color w:val="000000"/>
          <w:szCs w:val="24"/>
        </w:rPr>
        <w:t xml:space="preserve"> kas ir par 4,4 milj. </w:t>
      </w:r>
      <w:r w:rsidRPr="008B0630">
        <w:rPr>
          <w:rFonts w:eastAsia="Times New Roman" w:cs="Times New Roman"/>
          <w:i/>
          <w:iCs/>
          <w:color w:val="000000"/>
          <w:szCs w:val="24"/>
        </w:rPr>
        <w:t>euro</w:t>
      </w:r>
      <w:r w:rsidRPr="008B0630">
        <w:rPr>
          <w:rFonts w:eastAsia="Times New Roman" w:cs="Times New Roman"/>
          <w:color w:val="000000"/>
          <w:szCs w:val="24"/>
        </w:rPr>
        <w:t xml:space="preserve"> jeb 5,7 % vairāk nekā pērn. </w:t>
      </w:r>
    </w:p>
    <w:bookmarkEnd w:id="111"/>
    <w:p w14:paraId="31C49911" w14:textId="45287E4E" w:rsidR="008B0630" w:rsidRPr="008B0630" w:rsidRDefault="008B0630" w:rsidP="00376254">
      <w:pPr>
        <w:rPr>
          <w:rFonts w:eastAsia="Times New Roman" w:cs="Times New Roman"/>
          <w:color w:val="000000"/>
          <w:szCs w:val="24"/>
        </w:rPr>
      </w:pPr>
      <w:r w:rsidRPr="008B0630">
        <w:rPr>
          <w:rFonts w:eastAsia="Times New Roman" w:cs="Times New Roman"/>
          <w:color w:val="000000"/>
          <w:szCs w:val="24"/>
        </w:rPr>
        <w:t>2025. gada 1. pusgadā VSAOI plāna neizpilde bija 15,2 milj. </w:t>
      </w:r>
      <w:r w:rsidRPr="008B0630">
        <w:rPr>
          <w:rFonts w:eastAsia="Times New Roman" w:cs="Times New Roman"/>
          <w:i/>
          <w:iCs/>
          <w:color w:val="000000"/>
          <w:szCs w:val="24"/>
        </w:rPr>
        <w:t>euro</w:t>
      </w:r>
      <w:r w:rsidRPr="008B0630">
        <w:rPr>
          <w:rFonts w:eastAsia="Times New Roman" w:cs="Times New Roman"/>
          <w:color w:val="000000"/>
          <w:szCs w:val="24"/>
        </w:rPr>
        <w:t xml:space="preserve"> jeb plāna izpilde bija 99,4 %, ko ietekmēja gan VSAOI neizpilde 2024.</w:t>
      </w:r>
      <w:r w:rsidR="00376254">
        <w:rPr>
          <w:rFonts w:eastAsia="Times New Roman" w:cs="Times New Roman"/>
          <w:color w:val="000000"/>
          <w:szCs w:val="24"/>
        </w:rPr>
        <w:t xml:space="preserve"> </w:t>
      </w:r>
      <w:r w:rsidRPr="008B0630">
        <w:rPr>
          <w:rFonts w:eastAsia="Times New Roman" w:cs="Times New Roman"/>
          <w:color w:val="000000"/>
          <w:szCs w:val="24"/>
        </w:rPr>
        <w:t>gadā, gan zemāks darba samaksas fonda pieauguma temps nekā iepriekš tika plānots.</w:t>
      </w:r>
    </w:p>
    <w:p w14:paraId="5E30FB3D"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 xml:space="preserve">Saskaņā ar </w:t>
      </w:r>
      <w:r w:rsidRPr="008B0630">
        <w:rPr>
          <w:rFonts w:eastAsia="Calibri" w:cs="Times New Roman"/>
          <w:szCs w:val="24"/>
        </w:rPr>
        <w:t>likumprojektu</w:t>
      </w:r>
      <w:r w:rsidRPr="008B0630">
        <w:rPr>
          <w:rFonts w:eastAsia="Times New Roman" w:cs="Times New Roman"/>
          <w:color w:val="000000"/>
          <w:szCs w:val="24"/>
        </w:rPr>
        <w:t xml:space="preserve"> “Par valsts budžetu 2026. gadam un budžeta ietvaru 2026., 2027. un 2028. gadam” 2026. gadā VSAOI ieņēmumi kopbudžetā tiek plānoti 5 137,6 milj. </w:t>
      </w:r>
      <w:r w:rsidRPr="008B0630">
        <w:rPr>
          <w:rFonts w:eastAsia="Times New Roman" w:cs="Times New Roman"/>
          <w:i/>
          <w:iCs/>
          <w:color w:val="000000"/>
          <w:szCs w:val="24"/>
        </w:rPr>
        <w:t>euro</w:t>
      </w:r>
      <w:r w:rsidRPr="008B0630">
        <w:rPr>
          <w:rFonts w:eastAsia="Times New Roman" w:cs="Times New Roman"/>
          <w:color w:val="000000"/>
          <w:szCs w:val="24"/>
        </w:rPr>
        <w:t>, 2027. gadā 5 412,1 milj. </w:t>
      </w:r>
      <w:r w:rsidRPr="008B0630">
        <w:rPr>
          <w:rFonts w:eastAsia="Times New Roman" w:cs="Times New Roman"/>
          <w:i/>
          <w:iCs/>
          <w:color w:val="000000"/>
          <w:szCs w:val="24"/>
        </w:rPr>
        <w:t>euro</w:t>
      </w:r>
      <w:r w:rsidRPr="008B0630">
        <w:rPr>
          <w:rFonts w:eastAsia="Times New Roman" w:cs="Times New Roman"/>
          <w:color w:val="000000"/>
          <w:szCs w:val="24"/>
        </w:rPr>
        <w:t xml:space="preserve"> un 2028. gadā 5 672,4 milj. </w:t>
      </w:r>
      <w:r w:rsidRPr="008B0630">
        <w:rPr>
          <w:rFonts w:eastAsia="Times New Roman" w:cs="Times New Roman"/>
          <w:i/>
          <w:iCs/>
          <w:color w:val="000000"/>
          <w:szCs w:val="24"/>
        </w:rPr>
        <w:t>euro</w:t>
      </w:r>
      <w:r w:rsidRPr="008B0630">
        <w:rPr>
          <w:rFonts w:eastAsia="Times New Roman" w:cs="Times New Roman"/>
          <w:color w:val="000000"/>
          <w:szCs w:val="24"/>
        </w:rPr>
        <w:t xml:space="preserve"> apmērā (skat. 3.6. tabulu). VSAOI ieņēmumu plānu ietekmēs prognozētais darba samaksas fonda pieauguma temps un </w:t>
      </w:r>
      <w:r w:rsidRPr="008B0630">
        <w:rPr>
          <w:rFonts w:eastAsia="Calibri" w:cs="Times New Roman"/>
          <w:szCs w:val="24"/>
        </w:rPr>
        <w:t>2025. gadā sagaidāmā izpilde</w:t>
      </w:r>
      <w:r w:rsidRPr="008B0630">
        <w:rPr>
          <w:rFonts w:eastAsia="Times New Roman" w:cs="Times New Roman"/>
          <w:color w:val="000000"/>
          <w:szCs w:val="24"/>
        </w:rPr>
        <w:t>.</w:t>
      </w:r>
    </w:p>
    <w:p w14:paraId="182339BD" w14:textId="77777777" w:rsidR="008B0630" w:rsidRPr="008B0630" w:rsidRDefault="008B0630" w:rsidP="008B0630">
      <w:pPr>
        <w:keepNext/>
        <w:keepLines/>
        <w:spacing w:before="240" w:after="0"/>
        <w:ind w:left="360" w:firstLine="0"/>
        <w:jc w:val="right"/>
        <w:rPr>
          <w:rFonts w:eastAsia="Calibri" w:cs="Times New Roman"/>
          <w:b/>
          <w:i/>
          <w:szCs w:val="24"/>
        </w:rPr>
      </w:pPr>
      <w:r w:rsidRPr="008B0630">
        <w:rPr>
          <w:rFonts w:eastAsia="Calibri" w:cs="Times New Roman"/>
          <w:b/>
          <w:i/>
          <w:szCs w:val="24"/>
        </w:rPr>
        <w:t>3.6. tabula. VSAOI</w:t>
      </w:r>
      <w:r w:rsidRPr="008B0630">
        <w:rPr>
          <w:rFonts w:eastAsia="Calibri" w:cs="Times New Roman"/>
          <w:b/>
          <w:i/>
          <w:szCs w:val="24"/>
          <w:vertAlign w:val="superscript"/>
        </w:rPr>
        <w:t>1</w:t>
      </w:r>
      <w:r w:rsidRPr="008B0630">
        <w:rPr>
          <w:rFonts w:eastAsia="Calibri" w:cs="Times New Roman"/>
          <w:b/>
          <w:i/>
          <w:szCs w:val="24"/>
        </w:rPr>
        <w:t xml:space="preserve"> ieņēmumi</w:t>
      </w:r>
    </w:p>
    <w:tbl>
      <w:tblPr>
        <w:tblW w:w="4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18"/>
        <w:gridCol w:w="851"/>
        <w:gridCol w:w="851"/>
        <w:gridCol w:w="851"/>
        <w:gridCol w:w="848"/>
      </w:tblGrid>
      <w:tr w:rsidR="008B0630" w:rsidRPr="008B0630" w14:paraId="081ECA57" w14:textId="77777777" w:rsidTr="00E03828">
        <w:trPr>
          <w:cantSplit/>
          <w:trHeight w:hRule="exact" w:val="227"/>
          <w:jc w:val="center"/>
        </w:trPr>
        <w:tc>
          <w:tcPr>
            <w:tcW w:w="3114" w:type="pct"/>
            <w:shd w:val="clear" w:color="auto" w:fill="9CC2E5" w:themeFill="accent1" w:themeFillTint="99"/>
            <w:vAlign w:val="center"/>
          </w:tcPr>
          <w:p w14:paraId="1A6AD4B0" w14:textId="77777777" w:rsidR="008B0630" w:rsidRPr="008B0630" w:rsidRDefault="008B0630" w:rsidP="008B0630">
            <w:pPr>
              <w:keepNext/>
              <w:keepLines/>
              <w:spacing w:before="100" w:beforeAutospacing="1" w:after="100" w:afterAutospacing="1"/>
              <w:ind w:firstLine="0"/>
              <w:contextualSpacing/>
              <w:jc w:val="left"/>
              <w:rPr>
                <w:rFonts w:eastAsia="Times New Roman" w:cs="Times New Roman"/>
                <w:sz w:val="18"/>
                <w:szCs w:val="24"/>
                <w:highlight w:val="yellow"/>
              </w:rPr>
            </w:pPr>
          </w:p>
          <w:p w14:paraId="0F6E334A" w14:textId="77777777" w:rsidR="008B0630" w:rsidRPr="008B0630" w:rsidRDefault="008B0630" w:rsidP="008B0630">
            <w:pPr>
              <w:keepNext/>
              <w:keepLines/>
              <w:spacing w:before="100" w:beforeAutospacing="1" w:after="100" w:afterAutospacing="1"/>
              <w:ind w:firstLine="0"/>
              <w:contextualSpacing/>
              <w:jc w:val="left"/>
              <w:rPr>
                <w:rFonts w:eastAsia="Times New Roman" w:cs="Times New Roman"/>
                <w:sz w:val="18"/>
                <w:szCs w:val="24"/>
                <w:highlight w:val="yellow"/>
              </w:rPr>
            </w:pPr>
          </w:p>
        </w:tc>
        <w:tc>
          <w:tcPr>
            <w:tcW w:w="472" w:type="pct"/>
            <w:shd w:val="clear" w:color="auto" w:fill="9CC2E5" w:themeFill="accent1" w:themeFillTint="99"/>
            <w:vAlign w:val="center"/>
          </w:tcPr>
          <w:p w14:paraId="11B25F13" w14:textId="77777777" w:rsidR="008B0630" w:rsidRPr="008B0630" w:rsidRDefault="008B0630" w:rsidP="008B0630">
            <w:pPr>
              <w:keepNext/>
              <w:keepLines/>
              <w:spacing w:before="100" w:beforeAutospacing="1" w:after="100" w:afterAutospacing="1"/>
              <w:ind w:firstLine="0"/>
              <w:contextualSpacing/>
              <w:jc w:val="center"/>
              <w:rPr>
                <w:rFonts w:eastAsia="Times New Roman" w:cs="Times New Roman"/>
                <w:b/>
                <w:bCs/>
                <w:sz w:val="20"/>
                <w:szCs w:val="20"/>
                <w:highlight w:val="yellow"/>
                <w:vertAlign w:val="superscript"/>
              </w:rPr>
            </w:pPr>
            <w:r w:rsidRPr="008B0630">
              <w:rPr>
                <w:rFonts w:cs="Times New Roman"/>
                <w:b/>
                <w:bCs/>
                <w:color w:val="000000"/>
                <w:sz w:val="20"/>
                <w:szCs w:val="20"/>
              </w:rPr>
              <w:t>2025</w:t>
            </w:r>
          </w:p>
        </w:tc>
        <w:tc>
          <w:tcPr>
            <w:tcW w:w="472" w:type="pct"/>
            <w:shd w:val="clear" w:color="auto" w:fill="9CC2E5" w:themeFill="accent1" w:themeFillTint="99"/>
            <w:vAlign w:val="center"/>
          </w:tcPr>
          <w:p w14:paraId="02F6106E" w14:textId="77777777" w:rsidR="008B0630" w:rsidRPr="008B0630" w:rsidRDefault="008B0630" w:rsidP="008B0630">
            <w:pPr>
              <w:keepNext/>
              <w:keepLines/>
              <w:spacing w:before="100" w:beforeAutospacing="1" w:after="100" w:afterAutospacing="1"/>
              <w:ind w:firstLine="0"/>
              <w:contextualSpacing/>
              <w:jc w:val="center"/>
              <w:rPr>
                <w:rFonts w:eastAsia="Times New Roman" w:cs="Times New Roman"/>
                <w:b/>
                <w:bCs/>
                <w:sz w:val="20"/>
                <w:szCs w:val="20"/>
                <w:highlight w:val="yellow"/>
              </w:rPr>
            </w:pPr>
            <w:r w:rsidRPr="008B0630">
              <w:rPr>
                <w:rFonts w:cs="Times New Roman"/>
                <w:b/>
                <w:bCs/>
                <w:color w:val="000000"/>
                <w:sz w:val="20"/>
                <w:szCs w:val="20"/>
              </w:rPr>
              <w:t>2026</w:t>
            </w:r>
          </w:p>
        </w:tc>
        <w:tc>
          <w:tcPr>
            <w:tcW w:w="472" w:type="pct"/>
            <w:shd w:val="clear" w:color="auto" w:fill="9CC2E5" w:themeFill="accent1" w:themeFillTint="99"/>
            <w:vAlign w:val="center"/>
          </w:tcPr>
          <w:p w14:paraId="34E10C1A" w14:textId="77777777" w:rsidR="008B0630" w:rsidRPr="008B0630" w:rsidRDefault="008B0630" w:rsidP="008B0630">
            <w:pPr>
              <w:keepNext/>
              <w:keepLines/>
              <w:spacing w:before="100" w:beforeAutospacing="1" w:after="100" w:afterAutospacing="1"/>
              <w:ind w:firstLine="0"/>
              <w:contextualSpacing/>
              <w:jc w:val="center"/>
              <w:rPr>
                <w:rFonts w:eastAsia="Times New Roman" w:cs="Times New Roman"/>
                <w:b/>
                <w:bCs/>
                <w:sz w:val="20"/>
                <w:szCs w:val="20"/>
                <w:highlight w:val="yellow"/>
              </w:rPr>
            </w:pPr>
            <w:r w:rsidRPr="008B0630">
              <w:rPr>
                <w:rFonts w:cs="Times New Roman"/>
                <w:b/>
                <w:bCs/>
                <w:color w:val="000000"/>
                <w:sz w:val="20"/>
                <w:szCs w:val="20"/>
              </w:rPr>
              <w:t>2027</w:t>
            </w:r>
          </w:p>
        </w:tc>
        <w:tc>
          <w:tcPr>
            <w:tcW w:w="470" w:type="pct"/>
            <w:shd w:val="clear" w:color="auto" w:fill="9CC2E5" w:themeFill="accent1" w:themeFillTint="99"/>
            <w:vAlign w:val="center"/>
          </w:tcPr>
          <w:p w14:paraId="389A0782" w14:textId="77777777" w:rsidR="008B0630" w:rsidRPr="008B0630" w:rsidRDefault="008B0630" w:rsidP="008B0630">
            <w:pPr>
              <w:keepNext/>
              <w:keepLines/>
              <w:spacing w:before="100" w:beforeAutospacing="1" w:after="100" w:afterAutospacing="1"/>
              <w:ind w:firstLine="0"/>
              <w:contextualSpacing/>
              <w:jc w:val="center"/>
              <w:rPr>
                <w:rFonts w:eastAsia="Times New Roman" w:cs="Times New Roman"/>
                <w:b/>
                <w:bCs/>
                <w:sz w:val="20"/>
                <w:szCs w:val="20"/>
                <w:highlight w:val="yellow"/>
              </w:rPr>
            </w:pPr>
            <w:r w:rsidRPr="008B0630">
              <w:rPr>
                <w:rFonts w:cs="Times New Roman"/>
                <w:b/>
                <w:bCs/>
                <w:color w:val="000000"/>
                <w:sz w:val="20"/>
                <w:szCs w:val="20"/>
              </w:rPr>
              <w:t>2028</w:t>
            </w:r>
          </w:p>
        </w:tc>
      </w:tr>
      <w:tr w:rsidR="008B0630" w:rsidRPr="008B0630" w14:paraId="14380D1E" w14:textId="77777777" w:rsidTr="00E03828">
        <w:trPr>
          <w:cantSplit/>
          <w:trHeight w:hRule="exact" w:val="454"/>
          <w:jc w:val="center"/>
        </w:trPr>
        <w:tc>
          <w:tcPr>
            <w:tcW w:w="3114" w:type="pct"/>
          </w:tcPr>
          <w:p w14:paraId="2045235B" w14:textId="77777777" w:rsidR="008B0630" w:rsidRPr="008B0630" w:rsidRDefault="008B0630" w:rsidP="008B0630">
            <w:pPr>
              <w:keepNext/>
              <w:keepLines/>
              <w:spacing w:before="100" w:beforeAutospacing="1" w:after="100" w:afterAutospacing="1"/>
              <w:ind w:firstLine="0"/>
              <w:contextualSpacing/>
              <w:jc w:val="left"/>
              <w:rPr>
                <w:rFonts w:eastAsia="Times New Roman" w:cs="Times New Roman"/>
                <w:sz w:val="18"/>
                <w:szCs w:val="18"/>
                <w:highlight w:val="yellow"/>
              </w:rPr>
            </w:pPr>
            <w:r w:rsidRPr="008B0630">
              <w:rPr>
                <w:rFonts w:cs="Times New Roman"/>
                <w:sz w:val="18"/>
                <w:szCs w:val="18"/>
              </w:rPr>
              <w:t>Saskaņā ar likumprojektu “Par valsts budžetu 2026. gadam un budžeta ietvaru 2026., 2027. un 2028. gadam”, milj. </w:t>
            </w:r>
            <w:r w:rsidRPr="008B0630">
              <w:rPr>
                <w:rFonts w:cs="Times New Roman"/>
                <w:i/>
                <w:iCs/>
                <w:sz w:val="18"/>
                <w:szCs w:val="18"/>
              </w:rPr>
              <w:t>euro</w:t>
            </w:r>
            <w:r w:rsidRPr="008B0630">
              <w:rPr>
                <w:rFonts w:cs="Times New Roman"/>
                <w:sz w:val="18"/>
                <w:szCs w:val="18"/>
              </w:rPr>
              <w:t xml:space="preserve"> </w:t>
            </w:r>
          </w:p>
        </w:tc>
        <w:tc>
          <w:tcPr>
            <w:tcW w:w="472" w:type="pct"/>
            <w:vAlign w:val="center"/>
          </w:tcPr>
          <w:p w14:paraId="176A12EF" w14:textId="77777777" w:rsidR="008B0630" w:rsidRPr="008B0630" w:rsidRDefault="008B0630" w:rsidP="008B0630">
            <w:pPr>
              <w:keepNext/>
              <w:keepLines/>
              <w:spacing w:after="0"/>
              <w:ind w:firstLine="0"/>
              <w:contextualSpacing/>
              <w:jc w:val="center"/>
              <w:rPr>
                <w:rFonts w:cs="Times New Roman"/>
                <w:sz w:val="18"/>
                <w:szCs w:val="18"/>
                <w:highlight w:val="yellow"/>
                <w:vertAlign w:val="superscript"/>
              </w:rPr>
            </w:pPr>
            <w:r w:rsidRPr="008B0630">
              <w:rPr>
                <w:rFonts w:cs="Times New Roman"/>
                <w:color w:val="000000"/>
                <w:sz w:val="18"/>
                <w:szCs w:val="18"/>
              </w:rPr>
              <w:t>4 792,3</w:t>
            </w:r>
            <w:r w:rsidRPr="008B0630">
              <w:rPr>
                <w:rFonts w:cs="Times New Roman"/>
                <w:color w:val="000000"/>
                <w:sz w:val="18"/>
                <w:szCs w:val="18"/>
                <w:vertAlign w:val="superscript"/>
              </w:rPr>
              <w:t>2</w:t>
            </w:r>
          </w:p>
        </w:tc>
        <w:tc>
          <w:tcPr>
            <w:tcW w:w="472" w:type="pct"/>
            <w:vAlign w:val="center"/>
          </w:tcPr>
          <w:p w14:paraId="5B650921" w14:textId="77777777" w:rsidR="008B0630" w:rsidRPr="008B0630" w:rsidRDefault="008B0630" w:rsidP="008B0630">
            <w:pPr>
              <w:keepNext/>
              <w:keepLines/>
              <w:spacing w:after="0"/>
              <w:ind w:firstLine="0"/>
              <w:contextualSpacing/>
              <w:jc w:val="center"/>
              <w:rPr>
                <w:rFonts w:eastAsia="Times New Roman" w:cs="Times New Roman"/>
                <w:sz w:val="18"/>
                <w:szCs w:val="18"/>
                <w:highlight w:val="yellow"/>
              </w:rPr>
            </w:pPr>
            <w:r w:rsidRPr="008B0630">
              <w:rPr>
                <w:rFonts w:cs="Times New Roman"/>
                <w:color w:val="000000"/>
                <w:sz w:val="18"/>
                <w:szCs w:val="18"/>
              </w:rPr>
              <w:t>5 137,6</w:t>
            </w:r>
          </w:p>
        </w:tc>
        <w:tc>
          <w:tcPr>
            <w:tcW w:w="472" w:type="pct"/>
            <w:vAlign w:val="center"/>
          </w:tcPr>
          <w:p w14:paraId="4E1C1A91" w14:textId="77777777" w:rsidR="008B0630" w:rsidRPr="008B0630" w:rsidRDefault="008B0630" w:rsidP="008B0630">
            <w:pPr>
              <w:keepNext/>
              <w:keepLines/>
              <w:spacing w:after="0"/>
              <w:ind w:firstLine="0"/>
              <w:contextualSpacing/>
              <w:jc w:val="center"/>
              <w:rPr>
                <w:rFonts w:eastAsia="Times New Roman" w:cs="Times New Roman"/>
                <w:sz w:val="18"/>
                <w:szCs w:val="18"/>
                <w:highlight w:val="yellow"/>
              </w:rPr>
            </w:pPr>
            <w:r w:rsidRPr="008B0630">
              <w:rPr>
                <w:rFonts w:cs="Times New Roman"/>
                <w:color w:val="000000"/>
                <w:sz w:val="18"/>
                <w:szCs w:val="18"/>
              </w:rPr>
              <w:t>5 412,1</w:t>
            </w:r>
          </w:p>
        </w:tc>
        <w:tc>
          <w:tcPr>
            <w:tcW w:w="470" w:type="pct"/>
            <w:vAlign w:val="center"/>
          </w:tcPr>
          <w:p w14:paraId="273415E0" w14:textId="77777777" w:rsidR="008B0630" w:rsidRPr="008B0630" w:rsidRDefault="008B0630" w:rsidP="008B0630">
            <w:pPr>
              <w:keepNext/>
              <w:keepLines/>
              <w:spacing w:after="0"/>
              <w:ind w:firstLine="0"/>
              <w:contextualSpacing/>
              <w:jc w:val="center"/>
              <w:rPr>
                <w:rFonts w:eastAsia="Times New Roman" w:cs="Times New Roman"/>
                <w:sz w:val="18"/>
                <w:szCs w:val="18"/>
                <w:highlight w:val="yellow"/>
              </w:rPr>
            </w:pPr>
            <w:r w:rsidRPr="008B0630">
              <w:rPr>
                <w:rFonts w:cs="Times New Roman"/>
                <w:color w:val="000000"/>
                <w:sz w:val="18"/>
                <w:szCs w:val="18"/>
              </w:rPr>
              <w:t>5 672,4</w:t>
            </w:r>
          </w:p>
        </w:tc>
      </w:tr>
      <w:tr w:rsidR="008B0630" w:rsidRPr="008B0630" w14:paraId="20C4EB79" w14:textId="77777777" w:rsidTr="00E03828">
        <w:trPr>
          <w:cantSplit/>
          <w:trHeight w:hRule="exact" w:val="227"/>
          <w:jc w:val="center"/>
        </w:trPr>
        <w:tc>
          <w:tcPr>
            <w:tcW w:w="3114" w:type="pct"/>
          </w:tcPr>
          <w:p w14:paraId="455BEA1A" w14:textId="77777777" w:rsidR="008B0630" w:rsidRPr="008B0630" w:rsidRDefault="008B0630" w:rsidP="008B0630">
            <w:pPr>
              <w:keepNext/>
              <w:keepLines/>
              <w:ind w:left="425" w:firstLine="0"/>
              <w:jc w:val="left"/>
              <w:rPr>
                <w:rFonts w:eastAsia="Times New Roman" w:cs="Times New Roman"/>
                <w:i/>
                <w:iCs/>
                <w:sz w:val="18"/>
                <w:szCs w:val="18"/>
                <w:highlight w:val="yellow"/>
              </w:rPr>
            </w:pPr>
            <w:r w:rsidRPr="008B0630">
              <w:rPr>
                <w:rFonts w:cs="Times New Roman"/>
                <w:i/>
                <w:iCs/>
                <w:sz w:val="18"/>
                <w:szCs w:val="18"/>
              </w:rPr>
              <w:t>pret IKP, %</w:t>
            </w:r>
          </w:p>
        </w:tc>
        <w:tc>
          <w:tcPr>
            <w:tcW w:w="472" w:type="pct"/>
            <w:vAlign w:val="center"/>
          </w:tcPr>
          <w:p w14:paraId="7230B5BE"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11,4%</w:t>
            </w:r>
          </w:p>
        </w:tc>
        <w:tc>
          <w:tcPr>
            <w:tcW w:w="472" w:type="pct"/>
            <w:vAlign w:val="center"/>
          </w:tcPr>
          <w:p w14:paraId="51B9331B"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11,7%</w:t>
            </w:r>
          </w:p>
        </w:tc>
        <w:tc>
          <w:tcPr>
            <w:tcW w:w="472" w:type="pct"/>
            <w:vAlign w:val="center"/>
          </w:tcPr>
          <w:p w14:paraId="48EA8107"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11,8%</w:t>
            </w:r>
          </w:p>
        </w:tc>
        <w:tc>
          <w:tcPr>
            <w:tcW w:w="470" w:type="pct"/>
            <w:vAlign w:val="center"/>
          </w:tcPr>
          <w:p w14:paraId="6764CACC"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11,8%</w:t>
            </w:r>
          </w:p>
        </w:tc>
      </w:tr>
      <w:tr w:rsidR="008B0630" w:rsidRPr="008B0630" w14:paraId="341F057C" w14:textId="77777777" w:rsidTr="00E03828">
        <w:trPr>
          <w:cantSplit/>
          <w:trHeight w:hRule="exact" w:val="454"/>
          <w:jc w:val="center"/>
        </w:trPr>
        <w:tc>
          <w:tcPr>
            <w:tcW w:w="3114" w:type="pct"/>
          </w:tcPr>
          <w:p w14:paraId="3D8A41FF" w14:textId="77777777" w:rsidR="008B0630" w:rsidRPr="008B0630" w:rsidRDefault="008B0630" w:rsidP="008B0630">
            <w:pPr>
              <w:keepNext/>
              <w:keepLines/>
              <w:spacing w:before="100" w:beforeAutospacing="1" w:after="100" w:afterAutospacing="1"/>
              <w:ind w:firstLine="0"/>
              <w:contextualSpacing/>
              <w:jc w:val="left"/>
              <w:rPr>
                <w:rFonts w:eastAsia="Times New Roman" w:cs="Times New Roman"/>
                <w:sz w:val="18"/>
                <w:szCs w:val="18"/>
                <w:highlight w:val="yellow"/>
              </w:rPr>
            </w:pPr>
            <w:r w:rsidRPr="008B0630">
              <w:rPr>
                <w:rFonts w:cs="Times New Roman"/>
                <w:sz w:val="18"/>
                <w:szCs w:val="18"/>
              </w:rPr>
              <w:t>Salīdzinājumā ar likumu “Par valsts budžetu 2025. gadam un budžeta ietvaru 2025., 2026. un 2027. gadam”, milj. </w:t>
            </w:r>
            <w:r w:rsidRPr="008B0630">
              <w:rPr>
                <w:rFonts w:cs="Times New Roman"/>
                <w:i/>
                <w:iCs/>
                <w:sz w:val="18"/>
                <w:szCs w:val="18"/>
              </w:rPr>
              <w:t>euro</w:t>
            </w:r>
          </w:p>
        </w:tc>
        <w:tc>
          <w:tcPr>
            <w:tcW w:w="472" w:type="pct"/>
            <w:vAlign w:val="center"/>
          </w:tcPr>
          <w:p w14:paraId="7C12A096"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-70,6</w:t>
            </w:r>
          </w:p>
        </w:tc>
        <w:tc>
          <w:tcPr>
            <w:tcW w:w="472" w:type="pct"/>
            <w:vAlign w:val="center"/>
          </w:tcPr>
          <w:p w14:paraId="71A7893C"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-91,0</w:t>
            </w:r>
          </w:p>
        </w:tc>
        <w:tc>
          <w:tcPr>
            <w:tcW w:w="472" w:type="pct"/>
            <w:vAlign w:val="center"/>
          </w:tcPr>
          <w:p w14:paraId="4348AE9E"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-92,3</w:t>
            </w:r>
          </w:p>
        </w:tc>
        <w:tc>
          <w:tcPr>
            <w:tcW w:w="470" w:type="pct"/>
            <w:vAlign w:val="center"/>
          </w:tcPr>
          <w:p w14:paraId="565FCBEC"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w:t>
            </w:r>
          </w:p>
        </w:tc>
      </w:tr>
      <w:tr w:rsidR="008B0630" w:rsidRPr="008B0630" w14:paraId="56B0EB56" w14:textId="77777777" w:rsidTr="00E03828">
        <w:trPr>
          <w:cantSplit/>
          <w:trHeight w:hRule="exact" w:val="454"/>
          <w:jc w:val="center"/>
        </w:trPr>
        <w:tc>
          <w:tcPr>
            <w:tcW w:w="3114" w:type="pct"/>
          </w:tcPr>
          <w:p w14:paraId="25223D57" w14:textId="77777777" w:rsidR="008B0630" w:rsidRPr="008B0630" w:rsidRDefault="008B0630" w:rsidP="008B0630">
            <w:pPr>
              <w:keepNext/>
              <w:keepLines/>
              <w:spacing w:before="100" w:beforeAutospacing="1" w:after="100" w:afterAutospacing="1"/>
              <w:ind w:firstLine="0"/>
              <w:contextualSpacing/>
              <w:jc w:val="left"/>
              <w:rPr>
                <w:rFonts w:eastAsia="Times New Roman" w:cs="Times New Roman"/>
                <w:sz w:val="18"/>
                <w:szCs w:val="18"/>
                <w:highlight w:val="yellow"/>
              </w:rPr>
            </w:pPr>
            <w:r w:rsidRPr="008B0630">
              <w:rPr>
                <w:rFonts w:cs="Times New Roman"/>
                <w:sz w:val="18"/>
                <w:szCs w:val="18"/>
              </w:rPr>
              <w:t>Salīdzinājumā ar likumu “Par valsts budžetu 2025. gadam un budžeta ietvaru 2025., 2026. un 2027. gadam”, %</w:t>
            </w:r>
          </w:p>
        </w:tc>
        <w:tc>
          <w:tcPr>
            <w:tcW w:w="472" w:type="pct"/>
            <w:vAlign w:val="center"/>
          </w:tcPr>
          <w:p w14:paraId="2D97FD89"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-1,5</w:t>
            </w:r>
          </w:p>
        </w:tc>
        <w:tc>
          <w:tcPr>
            <w:tcW w:w="472" w:type="pct"/>
            <w:vAlign w:val="center"/>
          </w:tcPr>
          <w:p w14:paraId="3AE63CD3"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-1,7</w:t>
            </w:r>
          </w:p>
        </w:tc>
        <w:tc>
          <w:tcPr>
            <w:tcW w:w="472" w:type="pct"/>
            <w:vAlign w:val="center"/>
          </w:tcPr>
          <w:p w14:paraId="2DB82C24"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-1,7</w:t>
            </w:r>
          </w:p>
        </w:tc>
        <w:tc>
          <w:tcPr>
            <w:tcW w:w="470" w:type="pct"/>
            <w:vAlign w:val="center"/>
          </w:tcPr>
          <w:p w14:paraId="0D82317B" w14:textId="77777777" w:rsidR="008B0630" w:rsidRPr="008B0630" w:rsidRDefault="008B0630" w:rsidP="008B0630">
            <w:pPr>
              <w:keepNext/>
              <w:keepLines/>
              <w:spacing w:after="0"/>
              <w:ind w:firstLine="0"/>
              <w:contextualSpacing/>
              <w:jc w:val="right"/>
              <w:rPr>
                <w:rFonts w:eastAsia="Times New Roman" w:cs="Times New Roman"/>
                <w:i/>
                <w:iCs/>
                <w:sz w:val="18"/>
                <w:szCs w:val="18"/>
                <w:highlight w:val="yellow"/>
              </w:rPr>
            </w:pPr>
            <w:r w:rsidRPr="008B0630">
              <w:rPr>
                <w:rFonts w:cs="Times New Roman"/>
                <w:i/>
                <w:iCs/>
                <w:color w:val="000000"/>
                <w:sz w:val="18"/>
                <w:szCs w:val="18"/>
              </w:rPr>
              <w:t>—</w:t>
            </w:r>
          </w:p>
        </w:tc>
      </w:tr>
    </w:tbl>
    <w:p w14:paraId="5C413029" w14:textId="77777777" w:rsidR="008B0630" w:rsidRPr="008B0630" w:rsidRDefault="008B0630" w:rsidP="008B0630">
      <w:pPr>
        <w:keepNext/>
        <w:keepLines/>
        <w:spacing w:after="0"/>
        <w:ind w:left="397"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xml:space="preserve"> Neieskaitot iemaksas valsts fondēto pensiju shēmā.</w:t>
      </w:r>
    </w:p>
    <w:p w14:paraId="4BE180A4" w14:textId="77777777" w:rsidR="008B0630" w:rsidRPr="008B0630" w:rsidRDefault="008B0630" w:rsidP="008B0630">
      <w:pPr>
        <w:spacing w:after="240"/>
        <w:ind w:left="397" w:firstLine="0"/>
        <w:rPr>
          <w:rFonts w:eastAsia="Calibri" w:cs="Times New Roman"/>
          <w:sz w:val="18"/>
          <w:szCs w:val="18"/>
          <w:lang w:eastAsia="en-US"/>
        </w:rPr>
      </w:pPr>
      <w:r w:rsidRPr="008B0630">
        <w:rPr>
          <w:rFonts w:eastAsia="Calibri" w:cs="Times New Roman"/>
          <w:sz w:val="18"/>
          <w:szCs w:val="18"/>
          <w:vertAlign w:val="superscript"/>
          <w:lang w:eastAsia="en-US"/>
        </w:rPr>
        <w:t>2</w:t>
      </w:r>
      <w:r w:rsidRPr="008B0630">
        <w:rPr>
          <w:rFonts w:eastAsia="Calibri" w:cs="Times New Roman"/>
          <w:sz w:val="18"/>
          <w:szCs w:val="18"/>
          <w:lang w:eastAsia="en-US"/>
        </w:rPr>
        <w:t> Prognoze</w:t>
      </w:r>
    </w:p>
    <w:p w14:paraId="2510F510"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lastRenderedPageBreak/>
        <w:t>2026. gadā VSAOI valsts speciālajā budžetā tiek plānotas 4 964,5 milj. </w:t>
      </w:r>
      <w:r w:rsidRPr="008B0630">
        <w:rPr>
          <w:rFonts w:eastAsia="Times New Roman" w:cs="Times New Roman"/>
          <w:i/>
          <w:iCs/>
          <w:color w:val="000000"/>
          <w:szCs w:val="24"/>
        </w:rPr>
        <w:t>euro</w:t>
      </w:r>
      <w:r w:rsidRPr="008B0630">
        <w:rPr>
          <w:rFonts w:eastAsia="Times New Roman" w:cs="Times New Roman"/>
          <w:color w:val="000000"/>
          <w:szCs w:val="24"/>
        </w:rPr>
        <w:t>, 2027. gadā 5 229,7 milj. </w:t>
      </w:r>
      <w:r w:rsidRPr="008B0630">
        <w:rPr>
          <w:rFonts w:eastAsia="Times New Roman" w:cs="Times New Roman"/>
          <w:i/>
          <w:iCs/>
          <w:color w:val="000000"/>
          <w:szCs w:val="24"/>
        </w:rPr>
        <w:t>euro</w:t>
      </w:r>
      <w:r w:rsidRPr="008B0630">
        <w:rPr>
          <w:rFonts w:eastAsia="Times New Roman" w:cs="Times New Roman"/>
          <w:color w:val="000000"/>
          <w:szCs w:val="24"/>
        </w:rPr>
        <w:t xml:space="preserve"> un 2028. gadā 5 481,2 milj. </w:t>
      </w:r>
      <w:r w:rsidRPr="008B0630">
        <w:rPr>
          <w:rFonts w:eastAsia="Times New Roman" w:cs="Times New Roman"/>
          <w:i/>
          <w:iCs/>
          <w:color w:val="000000"/>
          <w:szCs w:val="24"/>
        </w:rPr>
        <w:t>euro</w:t>
      </w:r>
      <w:r w:rsidRPr="008B0630">
        <w:rPr>
          <w:rFonts w:eastAsia="Times New Roman" w:cs="Times New Roman"/>
          <w:color w:val="000000"/>
          <w:szCs w:val="24"/>
        </w:rPr>
        <w:t xml:space="preserve"> apmērā un VSAOI pamatbudžetā veselības finansēšanai 2026. gadā tiek plānotas 173,1 milj. </w:t>
      </w:r>
      <w:r w:rsidRPr="008B0630">
        <w:rPr>
          <w:rFonts w:eastAsia="Times New Roman" w:cs="Times New Roman"/>
          <w:i/>
          <w:color w:val="000000"/>
          <w:szCs w:val="24"/>
        </w:rPr>
        <w:t>euro</w:t>
      </w:r>
      <w:r w:rsidRPr="008B0630">
        <w:rPr>
          <w:rFonts w:eastAsia="Times New Roman" w:cs="Times New Roman"/>
          <w:color w:val="000000"/>
          <w:szCs w:val="24"/>
        </w:rPr>
        <w:t xml:space="preserve"> apmērā, 2027. gadā 182,3 milj. </w:t>
      </w:r>
      <w:r w:rsidRPr="008B0630">
        <w:rPr>
          <w:rFonts w:eastAsia="Times New Roman" w:cs="Times New Roman"/>
          <w:i/>
          <w:iCs/>
          <w:color w:val="000000"/>
          <w:szCs w:val="24"/>
        </w:rPr>
        <w:t>euro</w:t>
      </w:r>
      <w:r w:rsidRPr="008B0630">
        <w:rPr>
          <w:rFonts w:eastAsia="Times New Roman" w:cs="Times New Roman"/>
          <w:color w:val="000000"/>
          <w:szCs w:val="24"/>
        </w:rPr>
        <w:t xml:space="preserve"> un 2028. gadā 191,2 milj. </w:t>
      </w:r>
      <w:r w:rsidRPr="008B0630">
        <w:rPr>
          <w:rFonts w:eastAsia="Times New Roman" w:cs="Times New Roman"/>
          <w:i/>
          <w:iCs/>
          <w:color w:val="000000"/>
          <w:szCs w:val="24"/>
        </w:rPr>
        <w:t>euro</w:t>
      </w:r>
      <w:r w:rsidRPr="008B0630">
        <w:rPr>
          <w:rFonts w:eastAsia="Times New Roman" w:cs="Times New Roman"/>
          <w:color w:val="000000"/>
          <w:szCs w:val="24"/>
        </w:rPr>
        <w:t>.</w:t>
      </w:r>
    </w:p>
    <w:p w14:paraId="1696265B" w14:textId="77777777" w:rsidR="008B0630" w:rsidRPr="008B0630" w:rsidRDefault="008B0630" w:rsidP="008B0630">
      <w:pPr>
        <w:keepNext/>
        <w:keepLines/>
        <w:spacing w:before="240" w:after="240"/>
        <w:ind w:firstLine="0"/>
        <w:jc w:val="center"/>
        <w:outlineLvl w:val="3"/>
        <w:rPr>
          <w:rFonts w:eastAsia="Times New Roman" w:cs="Times New Roman"/>
          <w:b/>
          <w:sz w:val="28"/>
          <w:lang w:eastAsia="en-US"/>
        </w:rPr>
      </w:pPr>
      <w:r w:rsidRPr="008B0630">
        <w:rPr>
          <w:rFonts w:eastAsia="Times New Roman" w:cs="Times New Roman"/>
          <w:b/>
          <w:sz w:val="28"/>
          <w:lang w:eastAsia="en-US"/>
        </w:rPr>
        <w:t>Uzņēmumu ienākuma nodoklis</w:t>
      </w:r>
      <w:bookmarkEnd w:id="112"/>
    </w:p>
    <w:p w14:paraId="194A25BC"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UIN ieņēmumi 2025. gada 1. pusgadā bija 495,0 milj. </w:t>
      </w:r>
      <w:r w:rsidRPr="008B0630">
        <w:rPr>
          <w:rFonts w:eastAsia="Times New Roman" w:cs="Times New Roman"/>
          <w:i/>
          <w:iCs/>
          <w:color w:val="000000"/>
          <w:szCs w:val="24"/>
        </w:rPr>
        <w:t>euro</w:t>
      </w:r>
      <w:r w:rsidRPr="008B0630">
        <w:rPr>
          <w:rFonts w:eastAsia="Times New Roman" w:cs="Times New Roman"/>
          <w:color w:val="000000"/>
          <w:szCs w:val="24"/>
        </w:rPr>
        <w:t>, kas salīdzinājumā ar 2024. gada attiecīgo periodu ir palielinājušies par 44,7 milj. </w:t>
      </w:r>
      <w:r w:rsidRPr="008B0630">
        <w:rPr>
          <w:rFonts w:eastAsia="Times New Roman" w:cs="Times New Roman"/>
          <w:i/>
          <w:iCs/>
          <w:color w:val="000000"/>
          <w:szCs w:val="24"/>
        </w:rPr>
        <w:t>euro</w:t>
      </w:r>
      <w:r w:rsidRPr="008B0630">
        <w:rPr>
          <w:rFonts w:eastAsia="Times New Roman" w:cs="Times New Roman"/>
          <w:color w:val="000000"/>
          <w:szCs w:val="24"/>
        </w:rPr>
        <w:t xml:space="preserve"> jeb par 9,9 %. Ieņēmumu palielinājums skaidrojams ar 2024. gada nogalē uzņēmumu izmaksāto dividenžu augsto apmēru fiziskām personām, jo no 2025. gada ienākumu pārsniegumam virs 200 tūkst. </w:t>
      </w:r>
      <w:r w:rsidRPr="008B0630">
        <w:rPr>
          <w:rFonts w:eastAsia="Times New Roman" w:cs="Times New Roman"/>
          <w:i/>
          <w:iCs/>
          <w:color w:val="000000"/>
          <w:szCs w:val="24"/>
        </w:rPr>
        <w:t>euro</w:t>
      </w:r>
      <w:r w:rsidRPr="008B0630">
        <w:rPr>
          <w:rFonts w:eastAsia="Times New Roman" w:cs="Times New Roman"/>
          <w:color w:val="000000"/>
          <w:szCs w:val="24"/>
        </w:rPr>
        <w:t xml:space="preserve"> tiek piemērota IIN papildlikme 3% apmērā. Minētā iemesla dēļ arī 2025. gada 1. pusgada plāns pārpildīts par 54,9 milj. </w:t>
      </w:r>
      <w:r w:rsidRPr="008B0630">
        <w:rPr>
          <w:rFonts w:eastAsia="Times New Roman" w:cs="Times New Roman"/>
          <w:i/>
          <w:iCs/>
          <w:color w:val="000000"/>
          <w:szCs w:val="24"/>
        </w:rPr>
        <w:t>euro</w:t>
      </w:r>
      <w:r w:rsidRPr="008B0630">
        <w:rPr>
          <w:rFonts w:eastAsia="Times New Roman" w:cs="Times New Roman"/>
          <w:color w:val="000000"/>
          <w:szCs w:val="24"/>
        </w:rPr>
        <w:t xml:space="preserve"> jeb 12,5%.</w:t>
      </w:r>
    </w:p>
    <w:p w14:paraId="4C966B5F" w14:textId="77777777"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Kopš 2018. gada UIN piedzīvoja būtiskas pārmaiņas – nodoklis tiek maksāts peļņas sadales un tai pielīdzināmos gadījumos. 2025. gada 1. pusgadā visvairāk deklarētas dividendes vai dividendēm pielīdzinātas izmaksas 3 335,3 milj. </w:t>
      </w:r>
      <w:r w:rsidRPr="008B0630">
        <w:rPr>
          <w:rFonts w:eastAsia="Times New Roman" w:cs="Times New Roman"/>
          <w:i/>
          <w:iCs/>
          <w:color w:val="000000"/>
          <w:szCs w:val="24"/>
        </w:rPr>
        <w:t>euro</w:t>
      </w:r>
      <w:r w:rsidRPr="008B0630">
        <w:rPr>
          <w:rFonts w:eastAsia="Times New Roman" w:cs="Times New Roman"/>
          <w:color w:val="000000"/>
          <w:szCs w:val="24"/>
        </w:rPr>
        <w:t>, bet nosacīti sadalītā peļņa 52,8 milj. </w:t>
      </w:r>
      <w:r w:rsidRPr="008B0630">
        <w:rPr>
          <w:rFonts w:eastAsia="Times New Roman" w:cs="Times New Roman"/>
          <w:i/>
          <w:iCs/>
          <w:color w:val="000000"/>
          <w:szCs w:val="24"/>
        </w:rPr>
        <w:t>euro</w:t>
      </w:r>
      <w:r w:rsidRPr="008B0630">
        <w:rPr>
          <w:rFonts w:eastAsia="Times New Roman" w:cs="Times New Roman"/>
          <w:color w:val="000000"/>
          <w:szCs w:val="24"/>
        </w:rPr>
        <w:t xml:space="preserve"> apmērā.</w:t>
      </w:r>
    </w:p>
    <w:p w14:paraId="41A1FFB1" w14:textId="136C9153" w:rsidR="008B0630" w:rsidRPr="008B0630" w:rsidRDefault="008B0630" w:rsidP="008B0630">
      <w:pPr>
        <w:rPr>
          <w:rFonts w:eastAsia="Times New Roman" w:cs="Times New Roman"/>
          <w:color w:val="000000"/>
          <w:szCs w:val="24"/>
        </w:rPr>
      </w:pPr>
      <w:r w:rsidRPr="008B0630">
        <w:rPr>
          <w:rFonts w:eastAsia="Times New Roman" w:cs="Times New Roman"/>
          <w:color w:val="000000"/>
          <w:szCs w:val="24"/>
        </w:rPr>
        <w:t xml:space="preserve">Saskaņā ar </w:t>
      </w:r>
      <w:r w:rsidRPr="008B0630">
        <w:rPr>
          <w:rFonts w:eastAsia="Calibri" w:cs="Times New Roman"/>
          <w:szCs w:val="24"/>
        </w:rPr>
        <w:t>likumprojektu</w:t>
      </w:r>
      <w:r w:rsidRPr="008B0630">
        <w:rPr>
          <w:rFonts w:eastAsia="Times New Roman" w:cs="Times New Roman"/>
          <w:color w:val="000000"/>
          <w:szCs w:val="24"/>
        </w:rPr>
        <w:t xml:space="preserve"> “Par valsts budžetu 2026. gadam un budžeta ietvaru 2026., 2027. un 2028. gadam” 2026. gadā UIN ieņēmumi tiek plānoti 706,0 milj. </w:t>
      </w:r>
      <w:r w:rsidRPr="008B0630">
        <w:rPr>
          <w:rFonts w:eastAsia="Times New Roman" w:cs="Times New Roman"/>
          <w:i/>
          <w:iCs/>
          <w:color w:val="000000"/>
          <w:szCs w:val="24"/>
        </w:rPr>
        <w:t>euro</w:t>
      </w:r>
      <w:r w:rsidRPr="008B0630">
        <w:rPr>
          <w:rFonts w:eastAsia="Times New Roman" w:cs="Times New Roman"/>
          <w:color w:val="000000"/>
          <w:szCs w:val="24"/>
        </w:rPr>
        <w:t>, 202</w:t>
      </w:r>
      <w:r w:rsidR="00CD4A76">
        <w:rPr>
          <w:rFonts w:eastAsia="Times New Roman" w:cs="Times New Roman"/>
          <w:color w:val="000000"/>
          <w:szCs w:val="24"/>
        </w:rPr>
        <w:t>7</w:t>
      </w:r>
      <w:r w:rsidRPr="008B0630">
        <w:rPr>
          <w:rFonts w:eastAsia="Times New Roman" w:cs="Times New Roman"/>
          <w:color w:val="000000"/>
          <w:szCs w:val="24"/>
        </w:rPr>
        <w:t>. gadā 715,7 milj. </w:t>
      </w:r>
      <w:r w:rsidRPr="008B0630">
        <w:rPr>
          <w:rFonts w:eastAsia="Times New Roman" w:cs="Times New Roman"/>
          <w:i/>
          <w:iCs/>
          <w:color w:val="000000"/>
          <w:szCs w:val="24"/>
        </w:rPr>
        <w:t>euro</w:t>
      </w:r>
      <w:r w:rsidRPr="008B0630">
        <w:rPr>
          <w:rFonts w:eastAsia="Times New Roman" w:cs="Times New Roman"/>
          <w:color w:val="000000"/>
          <w:szCs w:val="24"/>
        </w:rPr>
        <w:t xml:space="preserve"> un 202</w:t>
      </w:r>
      <w:r w:rsidR="00CD4A76">
        <w:rPr>
          <w:rFonts w:eastAsia="Times New Roman" w:cs="Times New Roman"/>
          <w:color w:val="000000"/>
          <w:szCs w:val="24"/>
        </w:rPr>
        <w:t>8</w:t>
      </w:r>
      <w:r w:rsidRPr="008B0630">
        <w:rPr>
          <w:rFonts w:eastAsia="Times New Roman" w:cs="Times New Roman"/>
          <w:color w:val="000000"/>
          <w:szCs w:val="24"/>
        </w:rPr>
        <w:t>. gadā 746,0 milj. </w:t>
      </w:r>
      <w:r w:rsidRPr="008B0630">
        <w:rPr>
          <w:rFonts w:eastAsia="Times New Roman" w:cs="Times New Roman"/>
          <w:i/>
          <w:iCs/>
          <w:color w:val="000000"/>
          <w:szCs w:val="24"/>
        </w:rPr>
        <w:t>euro</w:t>
      </w:r>
      <w:r w:rsidRPr="008B0630">
        <w:rPr>
          <w:rFonts w:eastAsia="Times New Roman" w:cs="Times New Roman"/>
          <w:color w:val="000000"/>
          <w:szCs w:val="24"/>
        </w:rPr>
        <w:t xml:space="preserve"> apmērā (skat. 3.7. tabulu). UIN ieņēmumu plānu vidējā termiņā galvenokārt ietekmēs nodokļa apmēra par peļņas sadali pieauguma tendences, kredītiestāžu peļņas apmēri turpmākajos gados, </w:t>
      </w:r>
      <w:r w:rsidRPr="008B0630">
        <w:rPr>
          <w:rFonts w:eastAsia="Calibri" w:cs="Times New Roman"/>
          <w:szCs w:val="24"/>
        </w:rPr>
        <w:t>2025. gadā sagaidāmā izpilde</w:t>
      </w:r>
      <w:r w:rsidRPr="008B0630">
        <w:rPr>
          <w:rFonts w:eastAsia="Times New Roman" w:cs="Times New Roman"/>
          <w:color w:val="000000"/>
          <w:szCs w:val="24"/>
        </w:rPr>
        <w:t>, kā arī 3.1. sadaļā minētie pasākumi.</w:t>
      </w:r>
    </w:p>
    <w:p w14:paraId="7EDAFD84" w14:textId="77777777" w:rsidR="008B0630" w:rsidRPr="008B0630" w:rsidRDefault="008B0630" w:rsidP="008B0630">
      <w:pPr>
        <w:widowControl w:val="0"/>
        <w:jc w:val="right"/>
        <w:rPr>
          <w:rFonts w:eastAsia="Times New Roman" w:cs="Times New Roman"/>
          <w:b/>
          <w:i/>
          <w:color w:val="000000"/>
        </w:rPr>
      </w:pPr>
      <w:r w:rsidRPr="008B0630">
        <w:rPr>
          <w:rFonts w:eastAsia="Times New Roman" w:cs="Times New Roman"/>
          <w:b/>
          <w:i/>
          <w:color w:val="000000"/>
        </w:rPr>
        <w:t>3.7. tabula. UIN ieņēmumi</w:t>
      </w: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56"/>
        <w:gridCol w:w="851"/>
        <w:gridCol w:w="851"/>
        <w:gridCol w:w="851"/>
        <w:gridCol w:w="847"/>
      </w:tblGrid>
      <w:tr w:rsidR="008B0630" w:rsidRPr="008B0630" w14:paraId="4B04228C" w14:textId="77777777" w:rsidTr="00E03828">
        <w:trPr>
          <w:cantSplit/>
          <w:trHeight w:hRule="exact" w:val="227"/>
          <w:jc w:val="center"/>
        </w:trPr>
        <w:tc>
          <w:tcPr>
            <w:tcW w:w="3102" w:type="pct"/>
            <w:shd w:val="clear" w:color="auto" w:fill="9CC2E5" w:themeFill="accent1" w:themeFillTint="99"/>
            <w:vAlign w:val="center"/>
          </w:tcPr>
          <w:p w14:paraId="323CB773"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p>
        </w:tc>
        <w:tc>
          <w:tcPr>
            <w:tcW w:w="475" w:type="pct"/>
            <w:shd w:val="clear" w:color="auto" w:fill="9CC2E5" w:themeFill="accent1" w:themeFillTint="99"/>
            <w:vAlign w:val="center"/>
          </w:tcPr>
          <w:p w14:paraId="5E56926A"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2025</w:t>
            </w:r>
          </w:p>
        </w:tc>
        <w:tc>
          <w:tcPr>
            <w:tcW w:w="475" w:type="pct"/>
            <w:tcBorders>
              <w:bottom w:val="single" w:sz="4" w:space="0" w:color="auto"/>
            </w:tcBorders>
            <w:shd w:val="clear" w:color="auto" w:fill="9CC2E5" w:themeFill="accent1" w:themeFillTint="99"/>
            <w:vAlign w:val="center"/>
          </w:tcPr>
          <w:p w14:paraId="3A3BCBF8"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2026</w:t>
            </w:r>
          </w:p>
        </w:tc>
        <w:tc>
          <w:tcPr>
            <w:tcW w:w="475" w:type="pct"/>
            <w:tcBorders>
              <w:bottom w:val="single" w:sz="4" w:space="0" w:color="auto"/>
            </w:tcBorders>
            <w:shd w:val="clear" w:color="auto" w:fill="9CC2E5" w:themeFill="accent1" w:themeFillTint="99"/>
            <w:vAlign w:val="center"/>
          </w:tcPr>
          <w:p w14:paraId="230CAC4E"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2027</w:t>
            </w:r>
          </w:p>
        </w:tc>
        <w:tc>
          <w:tcPr>
            <w:tcW w:w="473" w:type="pct"/>
            <w:tcBorders>
              <w:bottom w:val="single" w:sz="4" w:space="0" w:color="auto"/>
            </w:tcBorders>
            <w:shd w:val="clear" w:color="auto" w:fill="9CC2E5" w:themeFill="accent1" w:themeFillTint="99"/>
            <w:vAlign w:val="center"/>
          </w:tcPr>
          <w:p w14:paraId="383B038E"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2028</w:t>
            </w:r>
          </w:p>
        </w:tc>
      </w:tr>
      <w:tr w:rsidR="008B0630" w:rsidRPr="008B0630" w14:paraId="39573E11" w14:textId="77777777" w:rsidTr="00E03828">
        <w:trPr>
          <w:cantSplit/>
          <w:trHeight w:hRule="exact" w:val="454"/>
          <w:jc w:val="center"/>
        </w:trPr>
        <w:tc>
          <w:tcPr>
            <w:tcW w:w="3102" w:type="pct"/>
          </w:tcPr>
          <w:p w14:paraId="78AE2508" w14:textId="77777777" w:rsidR="008B0630" w:rsidRPr="008B0630" w:rsidRDefault="008B0630" w:rsidP="008B0630">
            <w:pPr>
              <w:keepNext/>
              <w:keepLines/>
              <w:ind w:firstLine="0"/>
              <w:jc w:val="left"/>
              <w:rPr>
                <w:rFonts w:cs="Times New Roman"/>
                <w:i/>
                <w:noProof/>
                <w:sz w:val="18"/>
                <w:szCs w:val="18"/>
              </w:rPr>
            </w:pPr>
            <w:r w:rsidRPr="008B0630">
              <w:rPr>
                <w:rFonts w:cs="Times New Roman"/>
                <w:noProof/>
                <w:sz w:val="18"/>
                <w:szCs w:val="18"/>
              </w:rPr>
              <w:t>Saskaņā ar likumprojektu “Par valsts budžetu 2026. gadam un budžeta ietvaru 2026., 2027. un 2028. gadam”, milj. </w:t>
            </w:r>
            <w:r w:rsidRPr="008B0630">
              <w:rPr>
                <w:rFonts w:cs="Times New Roman"/>
                <w:i/>
                <w:iCs/>
                <w:noProof/>
                <w:sz w:val="18"/>
                <w:szCs w:val="18"/>
              </w:rPr>
              <w:t>euro</w:t>
            </w:r>
            <w:r w:rsidRPr="008B0630">
              <w:rPr>
                <w:rFonts w:cs="Times New Roman"/>
                <w:noProof/>
                <w:sz w:val="18"/>
                <w:szCs w:val="18"/>
              </w:rPr>
              <w:t xml:space="preserve"> </w:t>
            </w:r>
          </w:p>
        </w:tc>
        <w:tc>
          <w:tcPr>
            <w:tcW w:w="475" w:type="pct"/>
            <w:tcBorders>
              <w:bottom w:val="single" w:sz="4" w:space="0" w:color="auto"/>
            </w:tcBorders>
            <w:vAlign w:val="center"/>
          </w:tcPr>
          <w:p w14:paraId="4BCF8B62" w14:textId="77777777" w:rsidR="008B0630" w:rsidRPr="008B0630" w:rsidRDefault="008B0630" w:rsidP="008B0630">
            <w:pPr>
              <w:keepNext/>
              <w:keepLines/>
              <w:ind w:firstLine="0"/>
              <w:jc w:val="center"/>
              <w:rPr>
                <w:rFonts w:cs="Times New Roman"/>
                <w:noProof/>
                <w:sz w:val="18"/>
                <w:szCs w:val="18"/>
                <w:vertAlign w:val="superscript"/>
              </w:rPr>
            </w:pPr>
            <w:r w:rsidRPr="008B0630">
              <w:rPr>
                <w:rFonts w:cs="Times New Roman"/>
                <w:noProof/>
                <w:sz w:val="18"/>
                <w:szCs w:val="18"/>
              </w:rPr>
              <w:t>712,0</w:t>
            </w:r>
            <w:r w:rsidRPr="008B0630">
              <w:rPr>
                <w:rFonts w:cs="Times New Roman"/>
                <w:noProof/>
                <w:sz w:val="18"/>
                <w:szCs w:val="18"/>
                <w:vertAlign w:val="superscript"/>
              </w:rPr>
              <w:t>1</w:t>
            </w:r>
          </w:p>
        </w:tc>
        <w:tc>
          <w:tcPr>
            <w:tcW w:w="475" w:type="pct"/>
            <w:tcBorders>
              <w:top w:val="single" w:sz="4" w:space="0" w:color="auto"/>
              <w:left w:val="nil"/>
              <w:bottom w:val="single" w:sz="4" w:space="0" w:color="auto"/>
              <w:right w:val="single" w:sz="4" w:space="0" w:color="auto"/>
            </w:tcBorders>
            <w:vAlign w:val="center"/>
          </w:tcPr>
          <w:p w14:paraId="74230298" w14:textId="77777777" w:rsidR="008B0630" w:rsidRPr="008B0630" w:rsidRDefault="008B0630" w:rsidP="008B0630">
            <w:pPr>
              <w:keepNext/>
              <w:keepLines/>
              <w:ind w:firstLine="0"/>
              <w:jc w:val="center"/>
              <w:rPr>
                <w:rFonts w:cs="Times New Roman"/>
                <w:noProof/>
                <w:sz w:val="18"/>
                <w:szCs w:val="18"/>
              </w:rPr>
            </w:pPr>
            <w:r w:rsidRPr="008B0630">
              <w:rPr>
                <w:rFonts w:cs="Times New Roman"/>
                <w:noProof/>
                <w:sz w:val="18"/>
                <w:szCs w:val="18"/>
              </w:rPr>
              <w:t>706,0</w:t>
            </w:r>
          </w:p>
        </w:tc>
        <w:tc>
          <w:tcPr>
            <w:tcW w:w="475" w:type="pct"/>
            <w:tcBorders>
              <w:top w:val="single" w:sz="4" w:space="0" w:color="auto"/>
              <w:left w:val="single" w:sz="4" w:space="0" w:color="auto"/>
              <w:bottom w:val="single" w:sz="4" w:space="0" w:color="auto"/>
              <w:right w:val="single" w:sz="4" w:space="0" w:color="auto"/>
            </w:tcBorders>
            <w:vAlign w:val="center"/>
          </w:tcPr>
          <w:p w14:paraId="7E2772CE" w14:textId="77777777" w:rsidR="008B0630" w:rsidRPr="008B0630" w:rsidRDefault="008B0630" w:rsidP="008B0630">
            <w:pPr>
              <w:keepNext/>
              <w:keepLines/>
              <w:ind w:firstLine="0"/>
              <w:jc w:val="center"/>
              <w:rPr>
                <w:rFonts w:cs="Times New Roman"/>
                <w:noProof/>
                <w:sz w:val="18"/>
                <w:szCs w:val="18"/>
              </w:rPr>
            </w:pPr>
            <w:r w:rsidRPr="008B0630">
              <w:rPr>
                <w:rFonts w:cs="Times New Roman"/>
                <w:noProof/>
                <w:sz w:val="18"/>
                <w:szCs w:val="18"/>
              </w:rPr>
              <w:t>715,7</w:t>
            </w:r>
          </w:p>
        </w:tc>
        <w:tc>
          <w:tcPr>
            <w:tcW w:w="473" w:type="pct"/>
            <w:tcBorders>
              <w:top w:val="single" w:sz="4" w:space="0" w:color="auto"/>
              <w:left w:val="single" w:sz="4" w:space="0" w:color="auto"/>
              <w:bottom w:val="single" w:sz="4" w:space="0" w:color="auto"/>
              <w:right w:val="single" w:sz="4" w:space="0" w:color="auto"/>
            </w:tcBorders>
            <w:vAlign w:val="center"/>
          </w:tcPr>
          <w:p w14:paraId="4A6C5720" w14:textId="77777777" w:rsidR="008B0630" w:rsidRPr="008B0630" w:rsidRDefault="008B0630" w:rsidP="008B0630">
            <w:pPr>
              <w:keepNext/>
              <w:keepLines/>
              <w:ind w:firstLine="0"/>
              <w:jc w:val="center"/>
              <w:rPr>
                <w:rFonts w:cs="Times New Roman"/>
                <w:noProof/>
                <w:sz w:val="18"/>
                <w:szCs w:val="18"/>
              </w:rPr>
            </w:pPr>
            <w:r w:rsidRPr="008B0630">
              <w:rPr>
                <w:rFonts w:cs="Times New Roman"/>
                <w:noProof/>
                <w:sz w:val="18"/>
                <w:szCs w:val="18"/>
              </w:rPr>
              <w:t>746,0</w:t>
            </w:r>
          </w:p>
        </w:tc>
      </w:tr>
      <w:tr w:rsidR="008B0630" w:rsidRPr="008B0630" w14:paraId="18F6DECC" w14:textId="77777777" w:rsidTr="00E03828">
        <w:trPr>
          <w:cantSplit/>
          <w:trHeight w:hRule="exact" w:val="227"/>
          <w:jc w:val="center"/>
        </w:trPr>
        <w:tc>
          <w:tcPr>
            <w:tcW w:w="3102" w:type="pct"/>
          </w:tcPr>
          <w:p w14:paraId="62F4EB0A" w14:textId="77777777" w:rsidR="008B0630" w:rsidRPr="008B0630" w:rsidRDefault="008B0630" w:rsidP="008B0630">
            <w:pPr>
              <w:keepNext/>
              <w:keepLines/>
              <w:ind w:left="425" w:firstLine="0"/>
              <w:jc w:val="left"/>
              <w:rPr>
                <w:rFonts w:cs="Times New Roman"/>
                <w:i/>
                <w:iCs/>
                <w:szCs w:val="18"/>
              </w:rPr>
            </w:pPr>
            <w:r w:rsidRPr="008B0630">
              <w:rPr>
                <w:rFonts w:cs="Times New Roman"/>
                <w:i/>
                <w:iCs/>
                <w:sz w:val="18"/>
                <w:szCs w:val="18"/>
              </w:rPr>
              <w:t>pret IKP, %</w:t>
            </w:r>
          </w:p>
        </w:tc>
        <w:tc>
          <w:tcPr>
            <w:tcW w:w="475" w:type="pct"/>
            <w:tcBorders>
              <w:top w:val="single" w:sz="4" w:space="0" w:color="auto"/>
              <w:left w:val="single" w:sz="4" w:space="0" w:color="auto"/>
              <w:bottom w:val="single" w:sz="4" w:space="0" w:color="auto"/>
              <w:right w:val="single" w:sz="4" w:space="0" w:color="auto"/>
            </w:tcBorders>
            <w:vAlign w:val="center"/>
          </w:tcPr>
          <w:p w14:paraId="68E9C8CE" w14:textId="77777777" w:rsidR="008B0630" w:rsidRPr="008B0630" w:rsidRDefault="008B0630" w:rsidP="008B0630">
            <w:pPr>
              <w:keepNext/>
              <w:keepLines/>
              <w:ind w:firstLine="0"/>
              <w:jc w:val="right"/>
              <w:rPr>
                <w:rFonts w:cs="Times New Roman"/>
                <w:i/>
                <w:iCs/>
                <w:noProof/>
                <w:color w:val="000000"/>
                <w:sz w:val="18"/>
                <w:szCs w:val="18"/>
              </w:rPr>
            </w:pPr>
            <w:r w:rsidRPr="008B0630">
              <w:rPr>
                <w:rFonts w:cs="Times New Roman"/>
                <w:i/>
                <w:iCs/>
                <w:noProof/>
                <w:sz w:val="18"/>
                <w:szCs w:val="18"/>
              </w:rPr>
              <w:t>1,7%</w:t>
            </w:r>
          </w:p>
        </w:tc>
        <w:tc>
          <w:tcPr>
            <w:tcW w:w="475" w:type="pct"/>
            <w:tcBorders>
              <w:top w:val="single" w:sz="4" w:space="0" w:color="auto"/>
              <w:left w:val="nil"/>
              <w:bottom w:val="single" w:sz="4" w:space="0" w:color="auto"/>
              <w:right w:val="single" w:sz="4" w:space="0" w:color="auto"/>
            </w:tcBorders>
            <w:vAlign w:val="center"/>
          </w:tcPr>
          <w:p w14:paraId="6BC96F6F" w14:textId="77777777" w:rsidR="008B0630" w:rsidRPr="008B0630" w:rsidRDefault="008B0630" w:rsidP="008B0630">
            <w:pPr>
              <w:keepNext/>
              <w:keepLines/>
              <w:ind w:firstLine="0"/>
              <w:jc w:val="right"/>
              <w:rPr>
                <w:rFonts w:cs="Times New Roman"/>
                <w:i/>
                <w:iCs/>
                <w:noProof/>
                <w:sz w:val="18"/>
                <w:szCs w:val="18"/>
              </w:rPr>
            </w:pPr>
            <w:r w:rsidRPr="008B0630">
              <w:rPr>
                <w:rFonts w:cs="Times New Roman"/>
                <w:i/>
                <w:iCs/>
                <w:noProof/>
                <w:sz w:val="18"/>
                <w:szCs w:val="18"/>
              </w:rPr>
              <w:t>1,6%</w:t>
            </w:r>
          </w:p>
        </w:tc>
        <w:tc>
          <w:tcPr>
            <w:tcW w:w="475" w:type="pct"/>
            <w:tcBorders>
              <w:top w:val="single" w:sz="4" w:space="0" w:color="auto"/>
              <w:left w:val="nil"/>
              <w:bottom w:val="single" w:sz="4" w:space="0" w:color="auto"/>
              <w:right w:val="single" w:sz="4" w:space="0" w:color="auto"/>
            </w:tcBorders>
            <w:vAlign w:val="center"/>
          </w:tcPr>
          <w:p w14:paraId="29C4E50B" w14:textId="77777777" w:rsidR="008B0630" w:rsidRPr="008B0630" w:rsidRDefault="008B0630" w:rsidP="008B0630">
            <w:pPr>
              <w:keepNext/>
              <w:keepLines/>
              <w:ind w:firstLine="0"/>
              <w:jc w:val="right"/>
              <w:rPr>
                <w:rFonts w:cs="Times New Roman"/>
                <w:i/>
                <w:iCs/>
                <w:noProof/>
                <w:sz w:val="18"/>
                <w:szCs w:val="18"/>
              </w:rPr>
            </w:pPr>
            <w:r w:rsidRPr="008B0630">
              <w:rPr>
                <w:rFonts w:cs="Times New Roman"/>
                <w:i/>
                <w:iCs/>
                <w:noProof/>
                <w:sz w:val="18"/>
                <w:szCs w:val="18"/>
              </w:rPr>
              <w:t>1,6%</w:t>
            </w:r>
          </w:p>
        </w:tc>
        <w:tc>
          <w:tcPr>
            <w:tcW w:w="473" w:type="pct"/>
            <w:tcBorders>
              <w:top w:val="single" w:sz="4" w:space="0" w:color="auto"/>
              <w:left w:val="nil"/>
              <w:bottom w:val="single" w:sz="4" w:space="0" w:color="auto"/>
              <w:right w:val="single" w:sz="4" w:space="0" w:color="auto"/>
            </w:tcBorders>
            <w:vAlign w:val="center"/>
          </w:tcPr>
          <w:p w14:paraId="0193AA3F" w14:textId="77777777" w:rsidR="008B0630" w:rsidRPr="008B0630" w:rsidRDefault="008B0630" w:rsidP="008B0630">
            <w:pPr>
              <w:keepNext/>
              <w:keepLines/>
              <w:ind w:firstLine="0"/>
              <w:jc w:val="right"/>
              <w:rPr>
                <w:rFonts w:cs="Times New Roman"/>
                <w:i/>
                <w:iCs/>
                <w:noProof/>
                <w:sz w:val="18"/>
                <w:szCs w:val="18"/>
              </w:rPr>
            </w:pPr>
            <w:r w:rsidRPr="008B0630">
              <w:rPr>
                <w:rFonts w:cs="Times New Roman"/>
                <w:i/>
                <w:iCs/>
                <w:noProof/>
                <w:sz w:val="18"/>
                <w:szCs w:val="18"/>
              </w:rPr>
              <w:t>1,5%</w:t>
            </w:r>
          </w:p>
        </w:tc>
      </w:tr>
      <w:tr w:rsidR="008B0630" w:rsidRPr="008B0630" w14:paraId="2A0742C5" w14:textId="77777777" w:rsidTr="00E03828">
        <w:trPr>
          <w:cantSplit/>
          <w:trHeight w:hRule="exact" w:val="454"/>
          <w:jc w:val="center"/>
        </w:trPr>
        <w:tc>
          <w:tcPr>
            <w:tcW w:w="3102" w:type="pct"/>
          </w:tcPr>
          <w:p w14:paraId="51CDFC85" w14:textId="77777777" w:rsidR="008B0630" w:rsidRPr="008B0630" w:rsidRDefault="008B0630" w:rsidP="008B0630">
            <w:pPr>
              <w:keepNext/>
              <w:keepLines/>
              <w:ind w:firstLine="0"/>
              <w:jc w:val="left"/>
              <w:rPr>
                <w:rFonts w:cs="Times New Roman"/>
                <w:noProof/>
                <w:sz w:val="18"/>
                <w:szCs w:val="18"/>
              </w:rPr>
            </w:pPr>
            <w:r w:rsidRPr="008B0630">
              <w:rPr>
                <w:rFonts w:cs="Times New Roman"/>
                <w:noProof/>
                <w:sz w:val="18"/>
                <w:szCs w:val="18"/>
              </w:rPr>
              <w:t>Salīdzinājumā ar likumu “Par valsts budžetu 2025. gadam un budžeta ietvaru 2025., 2026. un 2027. gadam”, milj. </w:t>
            </w:r>
            <w:r w:rsidRPr="008B0630">
              <w:rPr>
                <w:rFonts w:cs="Times New Roman"/>
                <w:i/>
                <w:iCs/>
                <w:noProof/>
                <w:sz w:val="18"/>
                <w:szCs w:val="18"/>
              </w:rPr>
              <w:t>euro</w:t>
            </w:r>
          </w:p>
        </w:tc>
        <w:tc>
          <w:tcPr>
            <w:tcW w:w="475" w:type="pct"/>
            <w:tcBorders>
              <w:top w:val="single" w:sz="4" w:space="0" w:color="auto"/>
              <w:left w:val="nil"/>
              <w:bottom w:val="single" w:sz="4" w:space="0" w:color="auto"/>
              <w:right w:val="single" w:sz="4" w:space="0" w:color="auto"/>
            </w:tcBorders>
            <w:vAlign w:val="center"/>
          </w:tcPr>
          <w:p w14:paraId="665D5970" w14:textId="77777777" w:rsidR="008B0630" w:rsidRPr="008B0630" w:rsidRDefault="008B0630" w:rsidP="008B0630">
            <w:pPr>
              <w:keepNext/>
              <w:keepLines/>
              <w:ind w:firstLine="0"/>
              <w:jc w:val="right"/>
              <w:rPr>
                <w:rFonts w:cs="Times New Roman"/>
                <w:i/>
                <w:iCs/>
                <w:noProof/>
                <w:sz w:val="18"/>
                <w:szCs w:val="18"/>
              </w:rPr>
            </w:pPr>
            <w:r w:rsidRPr="008B0630">
              <w:rPr>
                <w:rFonts w:cs="Times New Roman"/>
                <w:i/>
                <w:iCs/>
                <w:noProof/>
                <w:sz w:val="18"/>
                <w:szCs w:val="18"/>
              </w:rPr>
              <w:t>21,3</w:t>
            </w:r>
          </w:p>
        </w:tc>
        <w:tc>
          <w:tcPr>
            <w:tcW w:w="475" w:type="pct"/>
            <w:tcBorders>
              <w:top w:val="single" w:sz="4" w:space="0" w:color="auto"/>
              <w:left w:val="single" w:sz="4" w:space="0" w:color="auto"/>
              <w:bottom w:val="single" w:sz="4" w:space="0" w:color="auto"/>
              <w:right w:val="single" w:sz="4" w:space="0" w:color="auto"/>
            </w:tcBorders>
            <w:vAlign w:val="center"/>
          </w:tcPr>
          <w:p w14:paraId="263CFB0D" w14:textId="77777777" w:rsidR="008B0630" w:rsidRPr="008B0630" w:rsidRDefault="008B0630" w:rsidP="008B0630">
            <w:pPr>
              <w:keepNext/>
              <w:keepLines/>
              <w:ind w:firstLine="0"/>
              <w:jc w:val="right"/>
              <w:rPr>
                <w:rFonts w:cs="Times New Roman"/>
                <w:i/>
                <w:iCs/>
                <w:noProof/>
                <w:sz w:val="18"/>
                <w:szCs w:val="18"/>
              </w:rPr>
            </w:pPr>
            <w:r w:rsidRPr="008B0630">
              <w:rPr>
                <w:rFonts w:cs="Times New Roman"/>
                <w:i/>
                <w:iCs/>
                <w:noProof/>
                <w:sz w:val="18"/>
                <w:szCs w:val="18"/>
              </w:rPr>
              <w:t>18,1</w:t>
            </w:r>
          </w:p>
        </w:tc>
        <w:tc>
          <w:tcPr>
            <w:tcW w:w="475" w:type="pct"/>
            <w:tcBorders>
              <w:top w:val="single" w:sz="4" w:space="0" w:color="auto"/>
              <w:left w:val="single" w:sz="4" w:space="0" w:color="auto"/>
              <w:bottom w:val="single" w:sz="4" w:space="0" w:color="auto"/>
              <w:right w:val="single" w:sz="4" w:space="0" w:color="auto"/>
            </w:tcBorders>
            <w:vAlign w:val="center"/>
          </w:tcPr>
          <w:p w14:paraId="0C77E1A4" w14:textId="77777777" w:rsidR="008B0630" w:rsidRPr="008B0630" w:rsidRDefault="008B0630" w:rsidP="008B0630">
            <w:pPr>
              <w:keepNext/>
              <w:keepLines/>
              <w:ind w:firstLine="0"/>
              <w:jc w:val="right"/>
              <w:rPr>
                <w:rFonts w:cs="Times New Roman"/>
                <w:i/>
                <w:iCs/>
                <w:noProof/>
                <w:sz w:val="18"/>
                <w:szCs w:val="18"/>
              </w:rPr>
            </w:pPr>
            <w:r w:rsidRPr="008B0630">
              <w:rPr>
                <w:rFonts w:cs="Times New Roman"/>
                <w:i/>
                <w:iCs/>
                <w:noProof/>
                <w:sz w:val="18"/>
                <w:szCs w:val="18"/>
              </w:rPr>
              <w:t>20,4</w:t>
            </w:r>
          </w:p>
        </w:tc>
        <w:tc>
          <w:tcPr>
            <w:tcW w:w="473" w:type="pct"/>
            <w:tcBorders>
              <w:top w:val="single" w:sz="4" w:space="0" w:color="auto"/>
              <w:left w:val="single" w:sz="4" w:space="0" w:color="auto"/>
              <w:bottom w:val="single" w:sz="4" w:space="0" w:color="auto"/>
              <w:right w:val="single" w:sz="4" w:space="0" w:color="auto"/>
            </w:tcBorders>
            <w:vAlign w:val="center"/>
          </w:tcPr>
          <w:p w14:paraId="6E1801BB" w14:textId="77777777" w:rsidR="008B0630" w:rsidRPr="008B0630" w:rsidRDefault="008B0630" w:rsidP="008B0630">
            <w:pPr>
              <w:keepNext/>
              <w:keepLines/>
              <w:ind w:firstLine="0"/>
              <w:jc w:val="right"/>
              <w:rPr>
                <w:rFonts w:cs="Times New Roman"/>
                <w:i/>
                <w:iCs/>
                <w:noProof/>
                <w:sz w:val="18"/>
                <w:szCs w:val="18"/>
              </w:rPr>
            </w:pPr>
            <w:r w:rsidRPr="008B0630">
              <w:rPr>
                <w:rFonts w:cs="Times New Roman"/>
                <w:i/>
                <w:iCs/>
                <w:noProof/>
                <w:sz w:val="18"/>
                <w:szCs w:val="18"/>
              </w:rPr>
              <w:t>—</w:t>
            </w:r>
          </w:p>
        </w:tc>
      </w:tr>
      <w:tr w:rsidR="008B0630" w:rsidRPr="008B0630" w14:paraId="4841C753" w14:textId="77777777" w:rsidTr="00E03828">
        <w:trPr>
          <w:cantSplit/>
          <w:trHeight w:hRule="exact" w:val="454"/>
          <w:jc w:val="center"/>
        </w:trPr>
        <w:tc>
          <w:tcPr>
            <w:tcW w:w="3102" w:type="pct"/>
          </w:tcPr>
          <w:p w14:paraId="73993F54" w14:textId="77777777" w:rsidR="008B0630" w:rsidRPr="008B0630" w:rsidRDefault="008B0630" w:rsidP="008B0630">
            <w:pPr>
              <w:keepNext/>
              <w:keepLines/>
              <w:ind w:firstLine="0"/>
              <w:jc w:val="left"/>
              <w:rPr>
                <w:rFonts w:cs="Times New Roman"/>
                <w:noProof/>
                <w:sz w:val="18"/>
                <w:szCs w:val="18"/>
              </w:rPr>
            </w:pPr>
            <w:r w:rsidRPr="008B0630">
              <w:rPr>
                <w:rFonts w:cs="Times New Roman"/>
                <w:noProof/>
                <w:sz w:val="18"/>
                <w:szCs w:val="18"/>
              </w:rPr>
              <w:t>Salīdzinājumā ar likumu “Par valsts budžetu 2025. gadam un budžeta ietvaru 2025., 2026. un 2027. gadam”, %</w:t>
            </w:r>
          </w:p>
        </w:tc>
        <w:tc>
          <w:tcPr>
            <w:tcW w:w="475" w:type="pct"/>
            <w:tcBorders>
              <w:top w:val="single" w:sz="4" w:space="0" w:color="auto"/>
              <w:left w:val="nil"/>
              <w:bottom w:val="single" w:sz="4" w:space="0" w:color="auto"/>
              <w:right w:val="single" w:sz="4" w:space="0" w:color="auto"/>
            </w:tcBorders>
            <w:vAlign w:val="center"/>
          </w:tcPr>
          <w:p w14:paraId="591F6975" w14:textId="77777777" w:rsidR="008B0630" w:rsidRPr="008B0630" w:rsidRDefault="008B0630" w:rsidP="008B0630">
            <w:pPr>
              <w:keepNext/>
              <w:keepLines/>
              <w:ind w:firstLine="0"/>
              <w:jc w:val="right"/>
              <w:rPr>
                <w:rFonts w:cs="Times New Roman"/>
                <w:i/>
                <w:iCs/>
                <w:noProof/>
                <w:sz w:val="18"/>
                <w:szCs w:val="18"/>
              </w:rPr>
            </w:pPr>
            <w:r w:rsidRPr="008B0630">
              <w:rPr>
                <w:rFonts w:cs="Times New Roman"/>
                <w:i/>
                <w:iCs/>
                <w:noProof/>
                <w:sz w:val="18"/>
                <w:szCs w:val="18"/>
              </w:rPr>
              <w:t>3,1</w:t>
            </w:r>
          </w:p>
        </w:tc>
        <w:tc>
          <w:tcPr>
            <w:tcW w:w="475" w:type="pct"/>
            <w:tcBorders>
              <w:top w:val="single" w:sz="4" w:space="0" w:color="auto"/>
              <w:left w:val="single" w:sz="4" w:space="0" w:color="auto"/>
              <w:bottom w:val="single" w:sz="4" w:space="0" w:color="auto"/>
              <w:right w:val="single" w:sz="4" w:space="0" w:color="auto"/>
            </w:tcBorders>
            <w:vAlign w:val="center"/>
          </w:tcPr>
          <w:p w14:paraId="251D95BB" w14:textId="77777777" w:rsidR="008B0630" w:rsidRPr="008B0630" w:rsidRDefault="008B0630" w:rsidP="008B0630">
            <w:pPr>
              <w:keepNext/>
              <w:keepLines/>
              <w:ind w:firstLine="0"/>
              <w:jc w:val="right"/>
              <w:rPr>
                <w:rFonts w:cs="Times New Roman"/>
                <w:i/>
                <w:iCs/>
                <w:noProof/>
                <w:sz w:val="18"/>
                <w:szCs w:val="18"/>
              </w:rPr>
            </w:pPr>
            <w:r w:rsidRPr="008B0630">
              <w:rPr>
                <w:rFonts w:cs="Times New Roman"/>
                <w:i/>
                <w:iCs/>
                <w:noProof/>
                <w:sz w:val="18"/>
                <w:szCs w:val="18"/>
              </w:rPr>
              <w:t>2,6</w:t>
            </w:r>
          </w:p>
        </w:tc>
        <w:tc>
          <w:tcPr>
            <w:tcW w:w="475" w:type="pct"/>
            <w:tcBorders>
              <w:top w:val="single" w:sz="4" w:space="0" w:color="auto"/>
              <w:left w:val="single" w:sz="4" w:space="0" w:color="auto"/>
              <w:bottom w:val="single" w:sz="4" w:space="0" w:color="auto"/>
              <w:right w:val="single" w:sz="4" w:space="0" w:color="auto"/>
            </w:tcBorders>
            <w:vAlign w:val="center"/>
          </w:tcPr>
          <w:p w14:paraId="7B05F3CF" w14:textId="77777777" w:rsidR="008B0630" w:rsidRPr="008B0630" w:rsidRDefault="008B0630" w:rsidP="008B0630">
            <w:pPr>
              <w:keepNext/>
              <w:keepLines/>
              <w:ind w:firstLine="0"/>
              <w:jc w:val="right"/>
              <w:rPr>
                <w:rFonts w:cs="Times New Roman"/>
                <w:i/>
                <w:iCs/>
                <w:noProof/>
                <w:sz w:val="18"/>
                <w:szCs w:val="18"/>
              </w:rPr>
            </w:pPr>
            <w:r w:rsidRPr="008B0630">
              <w:rPr>
                <w:rFonts w:cs="Times New Roman"/>
                <w:i/>
                <w:iCs/>
                <w:noProof/>
                <w:sz w:val="18"/>
                <w:szCs w:val="18"/>
              </w:rPr>
              <w:t>2,9</w:t>
            </w:r>
          </w:p>
        </w:tc>
        <w:tc>
          <w:tcPr>
            <w:tcW w:w="473" w:type="pct"/>
            <w:tcBorders>
              <w:top w:val="single" w:sz="4" w:space="0" w:color="auto"/>
              <w:left w:val="single" w:sz="4" w:space="0" w:color="auto"/>
              <w:bottom w:val="single" w:sz="4" w:space="0" w:color="auto"/>
              <w:right w:val="single" w:sz="4" w:space="0" w:color="auto"/>
            </w:tcBorders>
            <w:vAlign w:val="center"/>
          </w:tcPr>
          <w:p w14:paraId="2E6733FA" w14:textId="77777777" w:rsidR="008B0630" w:rsidRPr="008B0630" w:rsidRDefault="008B0630" w:rsidP="008B0630">
            <w:pPr>
              <w:keepNext/>
              <w:keepLines/>
              <w:ind w:firstLine="0"/>
              <w:jc w:val="right"/>
              <w:rPr>
                <w:rFonts w:cs="Times New Roman"/>
                <w:i/>
                <w:iCs/>
                <w:noProof/>
                <w:sz w:val="18"/>
                <w:szCs w:val="18"/>
              </w:rPr>
            </w:pPr>
            <w:r w:rsidRPr="008B0630">
              <w:rPr>
                <w:rFonts w:cs="Times New Roman"/>
                <w:i/>
                <w:iCs/>
                <w:noProof/>
                <w:sz w:val="18"/>
                <w:szCs w:val="18"/>
              </w:rPr>
              <w:t>—</w:t>
            </w:r>
          </w:p>
        </w:tc>
      </w:tr>
    </w:tbl>
    <w:p w14:paraId="1E889C43"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79DF7966" w14:textId="77777777" w:rsidR="008B0630" w:rsidRPr="008B0630" w:rsidRDefault="008B0630" w:rsidP="008B0630">
      <w:pPr>
        <w:keepNext/>
        <w:keepLines/>
        <w:spacing w:before="240" w:after="240"/>
        <w:ind w:firstLine="0"/>
        <w:jc w:val="center"/>
        <w:outlineLvl w:val="3"/>
        <w:rPr>
          <w:rFonts w:eastAsia="Times New Roman" w:cs="Times New Roman"/>
          <w:b/>
          <w:sz w:val="28"/>
          <w:lang w:eastAsia="en-US"/>
        </w:rPr>
      </w:pPr>
      <w:r w:rsidRPr="008B0630">
        <w:rPr>
          <w:rFonts w:eastAsia="Times New Roman" w:cs="Times New Roman"/>
          <w:b/>
          <w:sz w:val="28"/>
          <w:lang w:eastAsia="en-US"/>
        </w:rPr>
        <w:t>Nekustamā īpašuma nodoklis</w:t>
      </w:r>
    </w:p>
    <w:p w14:paraId="0D412DB4" w14:textId="77777777" w:rsidR="008B0630" w:rsidRPr="008B0630" w:rsidRDefault="008B0630" w:rsidP="008B0630">
      <w:pPr>
        <w:rPr>
          <w:rFonts w:cs="Times New Roman"/>
        </w:rPr>
      </w:pPr>
      <w:bookmarkStart w:id="113" w:name="_Toc126236663"/>
      <w:r w:rsidRPr="008B0630">
        <w:rPr>
          <w:rFonts w:cs="Times New Roman"/>
        </w:rPr>
        <w:t>Nekustamā īpašuma nodokļa ieņēmumi 2025.</w:t>
      </w:r>
      <w:r w:rsidRPr="008B0630">
        <w:rPr>
          <w:rFonts w:cs="Times New Roman"/>
          <w:b/>
          <w:i/>
        </w:rPr>
        <w:t> </w:t>
      </w:r>
      <w:r w:rsidRPr="008B0630">
        <w:rPr>
          <w:rFonts w:cs="Times New Roman"/>
        </w:rPr>
        <w:t>gada 1.</w:t>
      </w:r>
      <w:r w:rsidRPr="008B0630">
        <w:rPr>
          <w:rFonts w:cs="Times New Roman"/>
          <w:b/>
          <w:i/>
        </w:rPr>
        <w:t> </w:t>
      </w:r>
      <w:r w:rsidRPr="008B0630">
        <w:rPr>
          <w:rFonts w:cs="Times New Roman"/>
        </w:rPr>
        <w:t>pusgadā bija 161,0</w:t>
      </w:r>
      <w:r w:rsidRPr="008B0630">
        <w:rPr>
          <w:rFonts w:cs="Times New Roman"/>
          <w:b/>
          <w:i/>
        </w:rPr>
        <w:t> </w:t>
      </w:r>
      <w:r w:rsidRPr="008B0630">
        <w:rPr>
          <w:rFonts w:cs="Times New Roman"/>
        </w:rPr>
        <w:t>milj.</w:t>
      </w:r>
      <w:r w:rsidRPr="008B0630">
        <w:rPr>
          <w:rFonts w:cs="Times New Roman"/>
          <w:b/>
          <w:i/>
        </w:rPr>
        <w:t> </w:t>
      </w:r>
      <w:r w:rsidRPr="008B0630">
        <w:rPr>
          <w:rFonts w:cs="Times New Roman"/>
          <w:i/>
          <w:iCs/>
        </w:rPr>
        <w:t>euro</w:t>
      </w:r>
      <w:r w:rsidRPr="008B0630">
        <w:rPr>
          <w:rFonts w:cs="Times New Roman"/>
        </w:rPr>
        <w:t>, kas, salīdzinot ar plānoto, ir par 4,3</w:t>
      </w:r>
      <w:r w:rsidRPr="008B0630">
        <w:rPr>
          <w:rFonts w:cs="Times New Roman"/>
          <w:b/>
          <w:i/>
        </w:rPr>
        <w:t> </w:t>
      </w:r>
      <w:r w:rsidRPr="008B0630">
        <w:rPr>
          <w:rFonts w:cs="Times New Roman"/>
        </w:rPr>
        <w:t>milj. </w:t>
      </w:r>
      <w:r w:rsidRPr="008B0630">
        <w:rPr>
          <w:rFonts w:eastAsia="Times New Roman" w:cs="Times New Roman"/>
          <w:i/>
          <w:iCs/>
          <w:szCs w:val="24"/>
        </w:rPr>
        <w:t>euro</w:t>
      </w:r>
      <w:r w:rsidRPr="008B0630">
        <w:rPr>
          <w:rFonts w:cs="Times New Roman"/>
        </w:rPr>
        <w:t xml:space="preserve"> jeb 2,7</w:t>
      </w:r>
      <w:r w:rsidRPr="008B0630">
        <w:rPr>
          <w:rFonts w:cs="Times New Roman"/>
          <w:b/>
          <w:i/>
        </w:rPr>
        <w:t> </w:t>
      </w:r>
      <w:r w:rsidRPr="008B0630">
        <w:rPr>
          <w:rFonts w:cs="Times New Roman"/>
        </w:rPr>
        <w:t>% vairāk. Salīdzinot ar 2024.</w:t>
      </w:r>
      <w:r w:rsidRPr="008B0630">
        <w:rPr>
          <w:rFonts w:cs="Times New Roman"/>
          <w:b/>
          <w:i/>
        </w:rPr>
        <w:t> </w:t>
      </w:r>
      <w:r w:rsidRPr="008B0630">
        <w:rPr>
          <w:rFonts w:cs="Times New Roman"/>
        </w:rPr>
        <w:t>gada 1.</w:t>
      </w:r>
      <w:r w:rsidRPr="008B0630">
        <w:rPr>
          <w:rFonts w:cs="Times New Roman"/>
          <w:b/>
          <w:i/>
        </w:rPr>
        <w:t> </w:t>
      </w:r>
      <w:r w:rsidRPr="008B0630">
        <w:rPr>
          <w:rFonts w:cs="Times New Roman"/>
        </w:rPr>
        <w:t>pusgadu, nekustamā īpašuma nodoklis iekasēts par 4,7 milj. </w:t>
      </w:r>
      <w:r w:rsidRPr="008B0630">
        <w:rPr>
          <w:rFonts w:eastAsia="Times New Roman" w:cs="Times New Roman"/>
          <w:i/>
          <w:iCs/>
          <w:szCs w:val="24"/>
        </w:rPr>
        <w:t>euro</w:t>
      </w:r>
      <w:r w:rsidRPr="008B0630">
        <w:rPr>
          <w:rFonts w:cs="Times New Roman"/>
        </w:rPr>
        <w:t xml:space="preserve"> jeb 3,0 % vairāk (t.sk., par mājokļiem par 1,1</w:t>
      </w:r>
      <w:r w:rsidRPr="008B0630">
        <w:rPr>
          <w:rFonts w:cs="Times New Roman"/>
          <w:b/>
          <w:i/>
        </w:rPr>
        <w:t> </w:t>
      </w:r>
      <w:r w:rsidRPr="008B0630">
        <w:rPr>
          <w:rFonts w:cs="Times New Roman"/>
        </w:rPr>
        <w:t>milj.</w:t>
      </w:r>
      <w:r w:rsidRPr="008B0630">
        <w:rPr>
          <w:rFonts w:cs="Times New Roman"/>
          <w:b/>
          <w:i/>
          <w:iCs/>
        </w:rPr>
        <w:t> </w:t>
      </w:r>
      <w:r w:rsidRPr="008B0630">
        <w:rPr>
          <w:rFonts w:cs="Times New Roman"/>
          <w:i/>
          <w:iCs/>
        </w:rPr>
        <w:t>euro,</w:t>
      </w:r>
      <w:r w:rsidRPr="008B0630">
        <w:rPr>
          <w:rFonts w:cs="Times New Roman"/>
        </w:rPr>
        <w:t xml:space="preserve"> par zemi par 1,7</w:t>
      </w:r>
      <w:r w:rsidRPr="008B0630">
        <w:rPr>
          <w:rFonts w:cs="Times New Roman"/>
          <w:b/>
          <w:i/>
        </w:rPr>
        <w:t> </w:t>
      </w:r>
      <w:r w:rsidRPr="008B0630">
        <w:rPr>
          <w:rFonts w:cs="Times New Roman"/>
        </w:rPr>
        <w:t>milj.</w:t>
      </w:r>
      <w:r w:rsidRPr="008B0630">
        <w:rPr>
          <w:rFonts w:cs="Times New Roman"/>
          <w:b/>
          <w:i/>
        </w:rPr>
        <w:t> </w:t>
      </w:r>
      <w:r w:rsidRPr="008B0630">
        <w:rPr>
          <w:rFonts w:eastAsia="Times New Roman" w:cs="Times New Roman"/>
          <w:i/>
          <w:iCs/>
          <w:szCs w:val="24"/>
        </w:rPr>
        <w:t>euro</w:t>
      </w:r>
      <w:r w:rsidRPr="008B0630">
        <w:rPr>
          <w:rFonts w:cs="Times New Roman"/>
          <w:i/>
          <w:iCs/>
        </w:rPr>
        <w:t xml:space="preserve"> </w:t>
      </w:r>
      <w:r w:rsidRPr="008B0630">
        <w:rPr>
          <w:rFonts w:cs="Times New Roman"/>
        </w:rPr>
        <w:t>un</w:t>
      </w:r>
      <w:r w:rsidRPr="008B0630">
        <w:rPr>
          <w:rFonts w:cs="Times New Roman"/>
          <w:i/>
          <w:iCs/>
        </w:rPr>
        <w:t xml:space="preserve"> </w:t>
      </w:r>
      <w:r w:rsidRPr="008B0630">
        <w:rPr>
          <w:rFonts w:cs="Times New Roman"/>
        </w:rPr>
        <w:t>par ēkām par 1,9 milj. </w:t>
      </w:r>
      <w:r w:rsidRPr="008B0630">
        <w:rPr>
          <w:rFonts w:cs="Times New Roman"/>
          <w:i/>
          <w:iCs/>
        </w:rPr>
        <w:t xml:space="preserve">euro </w:t>
      </w:r>
      <w:r w:rsidRPr="008B0630">
        <w:rPr>
          <w:rFonts w:cs="Times New Roman"/>
        </w:rPr>
        <w:t xml:space="preserve">vairāk). </w:t>
      </w:r>
    </w:p>
    <w:p w14:paraId="1882F862" w14:textId="77777777" w:rsidR="008B0630" w:rsidRPr="008B0630" w:rsidRDefault="008B0630" w:rsidP="008B0630">
      <w:pPr>
        <w:rPr>
          <w:rFonts w:cs="Times New Roman"/>
        </w:rPr>
      </w:pPr>
      <w:r w:rsidRPr="008B0630">
        <w:rPr>
          <w:rFonts w:cs="Times New Roman"/>
        </w:rPr>
        <w:t>Nekustamā īpašuma nodokļa ieņēmumu pieaugumu ietekmēja kadastrālo vērtību bāzes izmaiņas, jo Kadastra informācijas sistēmā tiek reģistrēti jauni nekustamā īpašuma objekti, kā arī p</w:t>
      </w:r>
      <w:r w:rsidRPr="008B0630">
        <w:rPr>
          <w:rFonts w:cs="Times New Roman"/>
          <w:szCs w:val="24"/>
        </w:rPr>
        <w:t>ašvaldībām saskaņā ar likumu “</w:t>
      </w:r>
      <w:r w:rsidRPr="008B0630">
        <w:rPr>
          <w:rFonts w:cs="Times New Roman"/>
          <w:i/>
          <w:szCs w:val="24"/>
        </w:rPr>
        <w:t>Par nekustamā īpašuma nodokli</w:t>
      </w:r>
      <w:r w:rsidRPr="008B0630">
        <w:rPr>
          <w:rFonts w:cs="Times New Roman"/>
          <w:szCs w:val="24"/>
        </w:rPr>
        <w:t>” ir tiesības savos saistošajos noteikumos noteikt ne tikai papildus atvieglojumus un diferencētās nekustamā īpašuma nodokļa likmes</w:t>
      </w:r>
      <w:r w:rsidRPr="008B0630">
        <w:rPr>
          <w:rFonts w:cs="Times New Roman"/>
        </w:rPr>
        <w:t xml:space="preserve">, bet </w:t>
      </w:r>
      <w:r w:rsidRPr="008B0630">
        <w:rPr>
          <w:rFonts w:cs="Times New Roman"/>
          <w:szCs w:val="24"/>
        </w:rPr>
        <w:t>arī paaugstināto nekustamā īpašuma nodokļa likmi – 3 % apmērā.</w:t>
      </w:r>
    </w:p>
    <w:p w14:paraId="737F7E99" w14:textId="77777777" w:rsidR="008B0630" w:rsidRPr="008B0630" w:rsidRDefault="008B0630" w:rsidP="008B0630">
      <w:pPr>
        <w:rPr>
          <w:rFonts w:cs="Times New Roman"/>
        </w:rPr>
      </w:pPr>
      <w:r w:rsidRPr="008B0630">
        <w:rPr>
          <w:rFonts w:cs="Times New Roman"/>
        </w:rPr>
        <w:t>Saskaņā ar likumprojektu “Par valsts budžetu 2026. gadam un budžeta ietvaru 2026., 2027. un 2028. gadam” 2026. gadā nekustamā īpašuma nodokļa ieņēmumi tiek plānoti 243,6 milj. </w:t>
      </w:r>
      <w:r w:rsidRPr="008B0630">
        <w:rPr>
          <w:rFonts w:cs="Times New Roman"/>
          <w:i/>
          <w:iCs/>
        </w:rPr>
        <w:t>euro</w:t>
      </w:r>
      <w:r w:rsidRPr="008B0630">
        <w:rPr>
          <w:rFonts w:cs="Times New Roman"/>
        </w:rPr>
        <w:t>, 2027. gadā 246,0 milj. </w:t>
      </w:r>
      <w:r w:rsidRPr="008B0630">
        <w:rPr>
          <w:rFonts w:cs="Times New Roman"/>
          <w:i/>
          <w:iCs/>
        </w:rPr>
        <w:t>euro</w:t>
      </w:r>
      <w:r w:rsidRPr="008B0630">
        <w:rPr>
          <w:rFonts w:cs="Times New Roman"/>
        </w:rPr>
        <w:t xml:space="preserve"> un 2028. gadā 248,5 milj. </w:t>
      </w:r>
      <w:r w:rsidRPr="008B0630">
        <w:rPr>
          <w:rFonts w:cs="Times New Roman"/>
          <w:i/>
          <w:iCs/>
        </w:rPr>
        <w:t>euro</w:t>
      </w:r>
      <w:r w:rsidRPr="008B0630">
        <w:rPr>
          <w:rFonts w:cs="Times New Roman"/>
        </w:rPr>
        <w:t xml:space="preserve"> apmērā (skat. 3.8. tabulu). Nekustamā īpašuma nodokļa ieņēmumu plānā ņemta vērā 2025. gada sagaidāmā izpilde, pašvaldību prognozes un prognozētie nekustamā īpašuma nodokļa parādu maksājumi.</w:t>
      </w:r>
    </w:p>
    <w:p w14:paraId="7D2899DB"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lastRenderedPageBreak/>
        <w:t>3.8. tabula. Nekustamā īpašuma nodokļa ieņēmumi</w:t>
      </w:r>
    </w:p>
    <w:tbl>
      <w:tblPr>
        <w:tblW w:w="4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8"/>
        <w:gridCol w:w="851"/>
        <w:gridCol w:w="851"/>
        <w:gridCol w:w="851"/>
        <w:gridCol w:w="848"/>
      </w:tblGrid>
      <w:tr w:rsidR="008B0630" w:rsidRPr="008B0630" w14:paraId="7F484BB4" w14:textId="77777777" w:rsidTr="00E03828">
        <w:trPr>
          <w:cantSplit/>
          <w:trHeight w:hRule="exact" w:val="227"/>
          <w:jc w:val="center"/>
        </w:trPr>
        <w:tc>
          <w:tcPr>
            <w:tcW w:w="3114" w:type="pct"/>
            <w:shd w:val="clear" w:color="auto" w:fill="9CC2E5" w:themeFill="accent1" w:themeFillTint="99"/>
            <w:vAlign w:val="center"/>
          </w:tcPr>
          <w:p w14:paraId="19A36484"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p>
        </w:tc>
        <w:tc>
          <w:tcPr>
            <w:tcW w:w="472" w:type="pct"/>
            <w:shd w:val="clear" w:color="auto" w:fill="9CC2E5" w:themeFill="accent1" w:themeFillTint="99"/>
            <w:vAlign w:val="center"/>
          </w:tcPr>
          <w:p w14:paraId="2C53DC78"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2025</w:t>
            </w:r>
          </w:p>
        </w:tc>
        <w:tc>
          <w:tcPr>
            <w:tcW w:w="472" w:type="pct"/>
            <w:shd w:val="clear" w:color="auto" w:fill="9CC2E5" w:themeFill="accent1" w:themeFillTint="99"/>
            <w:vAlign w:val="center"/>
          </w:tcPr>
          <w:p w14:paraId="283DAA22"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2026</w:t>
            </w:r>
          </w:p>
        </w:tc>
        <w:tc>
          <w:tcPr>
            <w:tcW w:w="472" w:type="pct"/>
            <w:shd w:val="clear" w:color="auto" w:fill="9CC2E5" w:themeFill="accent1" w:themeFillTint="99"/>
            <w:vAlign w:val="center"/>
          </w:tcPr>
          <w:p w14:paraId="60B49937"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2027</w:t>
            </w:r>
          </w:p>
        </w:tc>
        <w:tc>
          <w:tcPr>
            <w:tcW w:w="470" w:type="pct"/>
            <w:shd w:val="clear" w:color="auto" w:fill="9CC2E5" w:themeFill="accent1" w:themeFillTint="99"/>
            <w:vAlign w:val="center"/>
          </w:tcPr>
          <w:p w14:paraId="0B66BC09"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2028</w:t>
            </w:r>
          </w:p>
        </w:tc>
      </w:tr>
      <w:tr w:rsidR="008B0630" w:rsidRPr="008B0630" w14:paraId="091F4807" w14:textId="77777777" w:rsidTr="00E03828">
        <w:trPr>
          <w:cantSplit/>
          <w:trHeight w:hRule="exact" w:val="454"/>
          <w:jc w:val="center"/>
        </w:trPr>
        <w:tc>
          <w:tcPr>
            <w:tcW w:w="3114" w:type="pct"/>
          </w:tcPr>
          <w:p w14:paraId="138D3F90" w14:textId="77777777" w:rsidR="008B0630" w:rsidRPr="008B0630" w:rsidRDefault="008B0630" w:rsidP="008B0630">
            <w:pPr>
              <w:keepNext/>
              <w:keepLines/>
              <w:ind w:firstLine="0"/>
              <w:jc w:val="left"/>
              <w:rPr>
                <w:rFonts w:cs="Times New Roman"/>
                <w:i/>
                <w:noProof/>
                <w:sz w:val="18"/>
                <w:szCs w:val="24"/>
              </w:rPr>
            </w:pPr>
            <w:r w:rsidRPr="008B0630">
              <w:rPr>
                <w:rFonts w:cs="Times New Roman"/>
                <w:noProof/>
                <w:sz w:val="18"/>
                <w:szCs w:val="18"/>
              </w:rPr>
              <w:t>Saskaņā ar likumprojektu “Par valsts budžetu 2026. gadam un budžeta ietvaru 2026., 2027. un 2028. gadam”, milj. </w:t>
            </w:r>
            <w:r w:rsidRPr="008B0630">
              <w:rPr>
                <w:rFonts w:cs="Times New Roman"/>
                <w:i/>
                <w:iCs/>
                <w:noProof/>
                <w:sz w:val="18"/>
                <w:szCs w:val="18"/>
              </w:rPr>
              <w:t>euro</w:t>
            </w:r>
            <w:r w:rsidRPr="008B0630">
              <w:rPr>
                <w:rFonts w:cs="Times New Roman"/>
                <w:noProof/>
                <w:sz w:val="18"/>
                <w:szCs w:val="18"/>
              </w:rPr>
              <w:t xml:space="preserve"> </w:t>
            </w:r>
          </w:p>
        </w:tc>
        <w:tc>
          <w:tcPr>
            <w:tcW w:w="472" w:type="pct"/>
            <w:vAlign w:val="center"/>
          </w:tcPr>
          <w:p w14:paraId="2CCC44DD" w14:textId="77777777" w:rsidR="008B0630" w:rsidRPr="008B0630" w:rsidRDefault="008B0630" w:rsidP="008B0630">
            <w:pPr>
              <w:keepNext/>
              <w:keepLines/>
              <w:spacing w:after="0"/>
              <w:ind w:firstLine="0"/>
              <w:jc w:val="center"/>
              <w:rPr>
                <w:rFonts w:cs="Times New Roman"/>
                <w:noProof/>
                <w:sz w:val="18"/>
                <w:szCs w:val="24"/>
              </w:rPr>
            </w:pPr>
            <w:r w:rsidRPr="008B0630">
              <w:rPr>
                <w:rFonts w:cs="Times New Roman"/>
                <w:noProof/>
                <w:color w:val="000000"/>
                <w:sz w:val="18"/>
                <w:szCs w:val="18"/>
              </w:rPr>
              <w:t>241,2</w:t>
            </w:r>
            <w:r w:rsidRPr="008B0630">
              <w:rPr>
                <w:rFonts w:cs="Times New Roman"/>
                <w:noProof/>
                <w:color w:val="000000"/>
                <w:sz w:val="18"/>
                <w:szCs w:val="18"/>
                <w:vertAlign w:val="superscript"/>
              </w:rPr>
              <w:t>1</w:t>
            </w:r>
          </w:p>
        </w:tc>
        <w:tc>
          <w:tcPr>
            <w:tcW w:w="472" w:type="pct"/>
            <w:vAlign w:val="center"/>
          </w:tcPr>
          <w:p w14:paraId="337AAC0D" w14:textId="77777777" w:rsidR="008B0630" w:rsidRPr="008B0630" w:rsidRDefault="008B0630" w:rsidP="008B0630">
            <w:pPr>
              <w:keepNext/>
              <w:keepLines/>
              <w:spacing w:after="0"/>
              <w:ind w:firstLine="0"/>
              <w:jc w:val="center"/>
              <w:rPr>
                <w:rFonts w:cs="Times New Roman"/>
                <w:noProof/>
                <w:sz w:val="18"/>
                <w:szCs w:val="24"/>
              </w:rPr>
            </w:pPr>
            <w:r w:rsidRPr="008B0630">
              <w:rPr>
                <w:rFonts w:cs="Times New Roman"/>
                <w:noProof/>
                <w:color w:val="000000"/>
                <w:sz w:val="18"/>
                <w:szCs w:val="18"/>
              </w:rPr>
              <w:t>243,6</w:t>
            </w:r>
          </w:p>
        </w:tc>
        <w:tc>
          <w:tcPr>
            <w:tcW w:w="472" w:type="pct"/>
            <w:vAlign w:val="center"/>
          </w:tcPr>
          <w:p w14:paraId="0427396E" w14:textId="77777777" w:rsidR="008B0630" w:rsidRPr="008B0630" w:rsidRDefault="008B0630" w:rsidP="008B0630">
            <w:pPr>
              <w:keepNext/>
              <w:keepLines/>
              <w:spacing w:after="0"/>
              <w:ind w:firstLine="0"/>
              <w:jc w:val="center"/>
              <w:rPr>
                <w:rFonts w:cs="Times New Roman"/>
                <w:noProof/>
                <w:sz w:val="18"/>
                <w:szCs w:val="24"/>
              </w:rPr>
            </w:pPr>
            <w:r w:rsidRPr="008B0630">
              <w:rPr>
                <w:rFonts w:cs="Times New Roman"/>
                <w:noProof/>
                <w:color w:val="000000"/>
                <w:sz w:val="18"/>
                <w:szCs w:val="18"/>
              </w:rPr>
              <w:t>246,0</w:t>
            </w:r>
          </w:p>
        </w:tc>
        <w:tc>
          <w:tcPr>
            <w:tcW w:w="470" w:type="pct"/>
            <w:vAlign w:val="center"/>
          </w:tcPr>
          <w:p w14:paraId="6FD2E81B" w14:textId="77777777" w:rsidR="008B0630" w:rsidRPr="008B0630" w:rsidRDefault="008B0630" w:rsidP="008B0630">
            <w:pPr>
              <w:keepNext/>
              <w:keepLines/>
              <w:spacing w:after="0"/>
              <w:ind w:firstLine="0"/>
              <w:jc w:val="center"/>
              <w:rPr>
                <w:rFonts w:cs="Times New Roman"/>
                <w:noProof/>
                <w:sz w:val="18"/>
                <w:szCs w:val="24"/>
              </w:rPr>
            </w:pPr>
            <w:r w:rsidRPr="008B0630">
              <w:rPr>
                <w:rFonts w:cs="Times New Roman"/>
                <w:noProof/>
                <w:color w:val="000000"/>
                <w:sz w:val="18"/>
                <w:szCs w:val="18"/>
              </w:rPr>
              <w:t>248,5</w:t>
            </w:r>
          </w:p>
        </w:tc>
      </w:tr>
      <w:tr w:rsidR="008B0630" w:rsidRPr="008B0630" w14:paraId="5768409F" w14:textId="77777777" w:rsidTr="00E03828">
        <w:trPr>
          <w:cantSplit/>
          <w:trHeight w:hRule="exact" w:val="227"/>
          <w:jc w:val="center"/>
        </w:trPr>
        <w:tc>
          <w:tcPr>
            <w:tcW w:w="3114" w:type="pct"/>
          </w:tcPr>
          <w:p w14:paraId="101ADD88" w14:textId="77777777" w:rsidR="008B0630" w:rsidRPr="008B0630" w:rsidRDefault="008B0630" w:rsidP="008B0630">
            <w:pPr>
              <w:keepNext/>
              <w:keepLines/>
              <w:ind w:left="425" w:firstLine="0"/>
              <w:jc w:val="left"/>
              <w:rPr>
                <w:rFonts w:cs="Times New Roman"/>
                <w:i/>
                <w:iCs/>
              </w:rPr>
            </w:pPr>
            <w:r w:rsidRPr="008B0630">
              <w:rPr>
                <w:rFonts w:cs="Times New Roman"/>
                <w:i/>
                <w:iCs/>
                <w:sz w:val="18"/>
                <w:szCs w:val="18"/>
              </w:rPr>
              <w:t>pret IKP, %</w:t>
            </w:r>
          </w:p>
        </w:tc>
        <w:tc>
          <w:tcPr>
            <w:tcW w:w="472" w:type="pct"/>
            <w:vAlign w:val="center"/>
          </w:tcPr>
          <w:p w14:paraId="71B16B97"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0,6%</w:t>
            </w:r>
          </w:p>
        </w:tc>
        <w:tc>
          <w:tcPr>
            <w:tcW w:w="472" w:type="pct"/>
            <w:vAlign w:val="center"/>
          </w:tcPr>
          <w:p w14:paraId="3E79811B"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0,6%</w:t>
            </w:r>
          </w:p>
        </w:tc>
        <w:tc>
          <w:tcPr>
            <w:tcW w:w="472" w:type="pct"/>
            <w:vAlign w:val="center"/>
          </w:tcPr>
          <w:p w14:paraId="565ACF62"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0,5%</w:t>
            </w:r>
          </w:p>
        </w:tc>
        <w:tc>
          <w:tcPr>
            <w:tcW w:w="470" w:type="pct"/>
            <w:vAlign w:val="center"/>
          </w:tcPr>
          <w:p w14:paraId="74D2D5FD"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0,5%</w:t>
            </w:r>
          </w:p>
        </w:tc>
      </w:tr>
      <w:tr w:rsidR="008B0630" w:rsidRPr="008B0630" w14:paraId="0D281B5D" w14:textId="77777777" w:rsidTr="00E03828">
        <w:trPr>
          <w:cantSplit/>
          <w:trHeight w:hRule="exact" w:val="454"/>
          <w:jc w:val="center"/>
        </w:trPr>
        <w:tc>
          <w:tcPr>
            <w:tcW w:w="3114" w:type="pct"/>
          </w:tcPr>
          <w:p w14:paraId="5583FB63" w14:textId="77777777" w:rsidR="008B0630" w:rsidRPr="008B0630" w:rsidRDefault="008B0630" w:rsidP="008B0630">
            <w:pPr>
              <w:keepNext/>
              <w:keepLines/>
              <w:ind w:firstLine="0"/>
              <w:jc w:val="left"/>
              <w:rPr>
                <w:rFonts w:cs="Times New Roman"/>
                <w:noProof/>
                <w:sz w:val="18"/>
                <w:szCs w:val="24"/>
              </w:rPr>
            </w:pPr>
            <w:r w:rsidRPr="008B0630">
              <w:rPr>
                <w:rFonts w:cs="Times New Roman"/>
                <w:noProof/>
                <w:sz w:val="18"/>
                <w:szCs w:val="18"/>
              </w:rPr>
              <w:t>Salīdzinājumā ar likumu “Par valsts budžetu 2025. gadam un budžeta ietvaru 2025., 2026. un 2027. gadam”, milj. </w:t>
            </w:r>
            <w:r w:rsidRPr="008B0630">
              <w:rPr>
                <w:rFonts w:cs="Times New Roman"/>
                <w:i/>
                <w:iCs/>
                <w:noProof/>
                <w:sz w:val="18"/>
                <w:szCs w:val="18"/>
              </w:rPr>
              <w:t>euro</w:t>
            </w:r>
          </w:p>
        </w:tc>
        <w:tc>
          <w:tcPr>
            <w:tcW w:w="472" w:type="pct"/>
            <w:vAlign w:val="center"/>
          </w:tcPr>
          <w:p w14:paraId="434FE6D2"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0,0</w:t>
            </w:r>
          </w:p>
        </w:tc>
        <w:tc>
          <w:tcPr>
            <w:tcW w:w="472" w:type="pct"/>
            <w:vAlign w:val="center"/>
          </w:tcPr>
          <w:p w14:paraId="6B56E8AB"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0,0</w:t>
            </w:r>
          </w:p>
        </w:tc>
        <w:tc>
          <w:tcPr>
            <w:tcW w:w="472" w:type="pct"/>
            <w:vAlign w:val="center"/>
          </w:tcPr>
          <w:p w14:paraId="0028D4EC"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0,0</w:t>
            </w:r>
          </w:p>
        </w:tc>
        <w:tc>
          <w:tcPr>
            <w:tcW w:w="470" w:type="pct"/>
            <w:vAlign w:val="center"/>
          </w:tcPr>
          <w:p w14:paraId="397D0B52"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w:t>
            </w:r>
          </w:p>
        </w:tc>
      </w:tr>
      <w:tr w:rsidR="008B0630" w:rsidRPr="008B0630" w14:paraId="0616451C" w14:textId="77777777" w:rsidTr="00E03828">
        <w:trPr>
          <w:cantSplit/>
          <w:trHeight w:hRule="exact" w:val="454"/>
          <w:jc w:val="center"/>
        </w:trPr>
        <w:tc>
          <w:tcPr>
            <w:tcW w:w="3114" w:type="pct"/>
          </w:tcPr>
          <w:p w14:paraId="56AE8717" w14:textId="77777777" w:rsidR="008B0630" w:rsidRPr="008B0630" w:rsidRDefault="008B0630" w:rsidP="008B0630">
            <w:pPr>
              <w:keepNext/>
              <w:keepLines/>
              <w:ind w:firstLine="0"/>
              <w:jc w:val="left"/>
              <w:rPr>
                <w:rFonts w:cs="Times New Roman"/>
                <w:noProof/>
                <w:sz w:val="18"/>
                <w:szCs w:val="24"/>
              </w:rPr>
            </w:pPr>
            <w:r w:rsidRPr="008B0630">
              <w:rPr>
                <w:rFonts w:cs="Times New Roman"/>
                <w:noProof/>
                <w:sz w:val="18"/>
                <w:szCs w:val="18"/>
              </w:rPr>
              <w:t>Salīdzinājumā ar likumu “Par valsts budžetu 2025. gadam un budžeta ietvaru 2025., 2026. un 2027. gadam”, %</w:t>
            </w:r>
          </w:p>
        </w:tc>
        <w:tc>
          <w:tcPr>
            <w:tcW w:w="472" w:type="pct"/>
            <w:vAlign w:val="center"/>
          </w:tcPr>
          <w:p w14:paraId="00816210"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0,0</w:t>
            </w:r>
          </w:p>
        </w:tc>
        <w:tc>
          <w:tcPr>
            <w:tcW w:w="472" w:type="pct"/>
            <w:vAlign w:val="center"/>
          </w:tcPr>
          <w:p w14:paraId="7E9BB815"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0,0</w:t>
            </w:r>
          </w:p>
        </w:tc>
        <w:tc>
          <w:tcPr>
            <w:tcW w:w="472" w:type="pct"/>
            <w:vAlign w:val="center"/>
          </w:tcPr>
          <w:p w14:paraId="36F1E748"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0,0</w:t>
            </w:r>
          </w:p>
        </w:tc>
        <w:tc>
          <w:tcPr>
            <w:tcW w:w="470" w:type="pct"/>
            <w:vAlign w:val="center"/>
          </w:tcPr>
          <w:p w14:paraId="79427883"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color w:val="000000"/>
                <w:sz w:val="18"/>
                <w:szCs w:val="18"/>
              </w:rPr>
              <w:t>—</w:t>
            </w:r>
          </w:p>
        </w:tc>
      </w:tr>
    </w:tbl>
    <w:p w14:paraId="1F65FF0B"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26F6017E" w14:textId="77777777" w:rsidR="008B0630" w:rsidRPr="008B0630" w:rsidRDefault="008B0630" w:rsidP="008B0630">
      <w:pPr>
        <w:keepNext/>
        <w:keepLines/>
        <w:spacing w:before="240" w:after="240"/>
        <w:ind w:firstLine="0"/>
        <w:jc w:val="center"/>
        <w:outlineLvl w:val="3"/>
        <w:rPr>
          <w:rFonts w:eastAsia="Times New Roman" w:cs="Times New Roman"/>
          <w:b/>
          <w:sz w:val="28"/>
          <w:lang w:eastAsia="en-US"/>
        </w:rPr>
      </w:pPr>
      <w:r w:rsidRPr="008B0630">
        <w:rPr>
          <w:rFonts w:eastAsia="Times New Roman" w:cs="Times New Roman"/>
          <w:b/>
          <w:sz w:val="28"/>
          <w:lang w:eastAsia="en-US"/>
        </w:rPr>
        <w:t>Solidaritātes iemaksas</w:t>
      </w:r>
    </w:p>
    <w:p w14:paraId="46A416F7" w14:textId="77777777" w:rsidR="008B0630" w:rsidRPr="008B0630" w:rsidRDefault="008B0630" w:rsidP="008B0630">
      <w:pPr>
        <w:rPr>
          <w:rFonts w:cs="Times New Roman"/>
        </w:rPr>
      </w:pPr>
      <w:r w:rsidRPr="008B0630">
        <w:rPr>
          <w:rFonts w:cs="Times New Roman"/>
        </w:rPr>
        <w:t>Ieņēmumi no solidaritātes iemaksām 2025.</w:t>
      </w:r>
      <w:r w:rsidRPr="008B0630">
        <w:rPr>
          <w:rFonts w:cs="Times New Roman"/>
          <w:b/>
          <w:i/>
        </w:rPr>
        <w:t> </w:t>
      </w:r>
      <w:r w:rsidRPr="008B0630">
        <w:rPr>
          <w:rFonts w:cs="Times New Roman"/>
        </w:rPr>
        <w:t>gada 1.</w:t>
      </w:r>
      <w:r w:rsidRPr="008B0630">
        <w:rPr>
          <w:rFonts w:cs="Times New Roman"/>
          <w:b/>
          <w:i/>
        </w:rPr>
        <w:t> </w:t>
      </w:r>
      <w:r w:rsidRPr="008B0630">
        <w:rPr>
          <w:rFonts w:cs="Times New Roman"/>
        </w:rPr>
        <w:t>pusgadā bija 30,7</w:t>
      </w:r>
      <w:r w:rsidRPr="008B0630">
        <w:rPr>
          <w:rFonts w:cs="Times New Roman"/>
          <w:b/>
          <w:i/>
        </w:rPr>
        <w:t> </w:t>
      </w:r>
      <w:r w:rsidRPr="008B0630">
        <w:rPr>
          <w:rFonts w:cs="Times New Roman"/>
        </w:rPr>
        <w:t>milj.</w:t>
      </w:r>
      <w:r w:rsidRPr="008B0630">
        <w:rPr>
          <w:rFonts w:cs="Times New Roman"/>
          <w:b/>
          <w:i/>
        </w:rPr>
        <w:t> </w:t>
      </w:r>
      <w:r w:rsidRPr="008B0630">
        <w:rPr>
          <w:rFonts w:cs="Times New Roman"/>
          <w:i/>
          <w:iCs/>
        </w:rPr>
        <w:t>euro</w:t>
      </w:r>
      <w:r w:rsidRPr="008B0630">
        <w:rPr>
          <w:rFonts w:cs="Times New Roman"/>
        </w:rPr>
        <w:t>, kas, salīdzinot ar plānoto, ir par 0,3</w:t>
      </w:r>
      <w:r w:rsidRPr="008B0630">
        <w:rPr>
          <w:rFonts w:cs="Times New Roman"/>
          <w:b/>
          <w:i/>
        </w:rPr>
        <w:t> </w:t>
      </w:r>
      <w:r w:rsidRPr="008B0630">
        <w:rPr>
          <w:rFonts w:cs="Times New Roman"/>
        </w:rPr>
        <w:t>milj. </w:t>
      </w:r>
      <w:r w:rsidRPr="008B0630">
        <w:rPr>
          <w:rFonts w:eastAsia="Times New Roman" w:cs="Times New Roman"/>
          <w:i/>
          <w:iCs/>
          <w:szCs w:val="24"/>
        </w:rPr>
        <w:t>euro</w:t>
      </w:r>
      <w:r w:rsidRPr="008B0630">
        <w:rPr>
          <w:rFonts w:cs="Times New Roman"/>
        </w:rPr>
        <w:t xml:space="preserve"> jeb 1,0</w:t>
      </w:r>
      <w:r w:rsidRPr="008B0630">
        <w:rPr>
          <w:rFonts w:cs="Times New Roman"/>
          <w:b/>
          <w:i/>
        </w:rPr>
        <w:t> </w:t>
      </w:r>
      <w:r w:rsidRPr="008B0630">
        <w:rPr>
          <w:rFonts w:cs="Times New Roman"/>
        </w:rPr>
        <w:t>% mazāk.</w:t>
      </w:r>
    </w:p>
    <w:p w14:paraId="2011D38E" w14:textId="77777777" w:rsidR="008B0630" w:rsidRPr="008B0630" w:rsidRDefault="008B0630" w:rsidP="008B0630">
      <w:pPr>
        <w:rPr>
          <w:rFonts w:cs="Times New Roman"/>
        </w:rPr>
      </w:pPr>
      <w:r w:rsidRPr="008B0630">
        <w:rPr>
          <w:rFonts w:cs="Times New Roman"/>
        </w:rPr>
        <w:t>Solidaritātes iemaksu maksātāji ir Latvijā reģistrētas kredītiestādes, kā arī citu valstu kredītiestāžu filiāles Latvijā, kuras solidāri ar visu Latvijas sabiedrību, palielina iemaksas valsts budžetā, kas nodrošinātu finansējumu tuvākajos gados pieaugošajām nacionālās drošības vajadzībām.</w:t>
      </w:r>
      <w:r w:rsidRPr="008B0630">
        <w:rPr>
          <w:rFonts w:cs="Times New Roman"/>
          <w:szCs w:val="24"/>
        </w:rPr>
        <w:t xml:space="preserve"> </w:t>
      </w:r>
      <w:r w:rsidRPr="008B0630">
        <w:rPr>
          <w:rFonts w:cs="Times New Roman"/>
        </w:rPr>
        <w:t>Solidaritātes iemaksu</w:t>
      </w:r>
      <w:r w:rsidRPr="008B0630">
        <w:rPr>
          <w:rFonts w:cs="Times New Roman"/>
          <w:szCs w:val="24"/>
        </w:rPr>
        <w:t xml:space="preserve"> bāze veidojas no maksātāju kalendārā gada neto procentu ienākumiem. Minētā iemaksa ir ieviesta 2025. gadā un būs spēkā trīs gadus.</w:t>
      </w:r>
    </w:p>
    <w:p w14:paraId="66EDAF8C" w14:textId="77777777" w:rsidR="008B0630" w:rsidRPr="008B0630" w:rsidRDefault="008B0630" w:rsidP="008B0630">
      <w:pPr>
        <w:rPr>
          <w:rFonts w:cs="Times New Roman"/>
        </w:rPr>
      </w:pPr>
      <w:r w:rsidRPr="008B0630">
        <w:rPr>
          <w:rFonts w:cs="Times New Roman"/>
        </w:rPr>
        <w:t>Saskaņā ar likumprojektu “Par valsts budžetu 2026. gadam un budžeta ietvaru 2026., 2027. un 2028. gadam” 2026. gadā ieņēmumi no solidaritātes iemaksām tiek plānoti 106,3 milj. </w:t>
      </w:r>
      <w:r w:rsidRPr="008B0630">
        <w:rPr>
          <w:rFonts w:cs="Times New Roman"/>
          <w:i/>
          <w:iCs/>
        </w:rPr>
        <w:t>euro</w:t>
      </w:r>
      <w:r w:rsidRPr="008B0630">
        <w:rPr>
          <w:rFonts w:cs="Times New Roman"/>
        </w:rPr>
        <w:t>, 2027. gadā 106,7 milj. </w:t>
      </w:r>
      <w:r w:rsidRPr="008B0630">
        <w:rPr>
          <w:rFonts w:cs="Times New Roman"/>
          <w:i/>
          <w:iCs/>
        </w:rPr>
        <w:t>euro</w:t>
      </w:r>
      <w:r w:rsidRPr="008B0630">
        <w:rPr>
          <w:rFonts w:cs="Times New Roman"/>
        </w:rPr>
        <w:t xml:space="preserve"> un 2028. gadā 27,2 milj. </w:t>
      </w:r>
      <w:r w:rsidRPr="008B0630">
        <w:rPr>
          <w:rFonts w:cs="Times New Roman"/>
          <w:i/>
          <w:iCs/>
        </w:rPr>
        <w:t>euro</w:t>
      </w:r>
      <w:r w:rsidRPr="008B0630">
        <w:rPr>
          <w:rFonts w:cs="Times New Roman"/>
        </w:rPr>
        <w:t xml:space="preserve"> apmērā (skat. 3.9. tabulu). Ieņēmumu no solidaritātes iemaksām plāns sagatavots pamatojoties uz LB vērtējumu.</w:t>
      </w:r>
    </w:p>
    <w:p w14:paraId="47747A35"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3.9. tabula. Ieņēmumi no solidaritātes iemaksām</w:t>
      </w:r>
    </w:p>
    <w:tbl>
      <w:tblPr>
        <w:tblW w:w="4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8"/>
        <w:gridCol w:w="851"/>
        <w:gridCol w:w="851"/>
        <w:gridCol w:w="851"/>
        <w:gridCol w:w="848"/>
      </w:tblGrid>
      <w:tr w:rsidR="008B0630" w:rsidRPr="008B0630" w14:paraId="7F76FEE0" w14:textId="77777777" w:rsidTr="00E03828">
        <w:trPr>
          <w:cantSplit/>
          <w:trHeight w:hRule="exact" w:val="227"/>
          <w:jc w:val="center"/>
        </w:trPr>
        <w:tc>
          <w:tcPr>
            <w:tcW w:w="3114" w:type="pct"/>
            <w:shd w:val="clear" w:color="auto" w:fill="9CC2E5" w:themeFill="accent1" w:themeFillTint="99"/>
            <w:vAlign w:val="center"/>
          </w:tcPr>
          <w:p w14:paraId="5A810FC1"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p>
        </w:tc>
        <w:tc>
          <w:tcPr>
            <w:tcW w:w="472" w:type="pct"/>
            <w:shd w:val="clear" w:color="auto" w:fill="9CC2E5" w:themeFill="accent1" w:themeFillTint="99"/>
            <w:vAlign w:val="center"/>
          </w:tcPr>
          <w:p w14:paraId="24464A6A"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2025</w:t>
            </w:r>
          </w:p>
        </w:tc>
        <w:tc>
          <w:tcPr>
            <w:tcW w:w="472" w:type="pct"/>
            <w:shd w:val="clear" w:color="auto" w:fill="9CC2E5" w:themeFill="accent1" w:themeFillTint="99"/>
            <w:vAlign w:val="center"/>
          </w:tcPr>
          <w:p w14:paraId="37A17C2E"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2026</w:t>
            </w:r>
          </w:p>
        </w:tc>
        <w:tc>
          <w:tcPr>
            <w:tcW w:w="472" w:type="pct"/>
            <w:shd w:val="clear" w:color="auto" w:fill="9CC2E5" w:themeFill="accent1" w:themeFillTint="99"/>
            <w:vAlign w:val="center"/>
          </w:tcPr>
          <w:p w14:paraId="4925C8FA"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2027</w:t>
            </w:r>
          </w:p>
        </w:tc>
        <w:tc>
          <w:tcPr>
            <w:tcW w:w="470" w:type="pct"/>
            <w:shd w:val="clear" w:color="auto" w:fill="9CC2E5" w:themeFill="accent1" w:themeFillTint="99"/>
            <w:vAlign w:val="center"/>
          </w:tcPr>
          <w:p w14:paraId="499BF79C"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2028</w:t>
            </w:r>
          </w:p>
        </w:tc>
      </w:tr>
      <w:tr w:rsidR="008B0630" w:rsidRPr="008B0630" w14:paraId="56BD1CB7" w14:textId="77777777" w:rsidTr="00E03828">
        <w:trPr>
          <w:cantSplit/>
          <w:trHeight w:hRule="exact" w:val="454"/>
          <w:jc w:val="center"/>
        </w:trPr>
        <w:tc>
          <w:tcPr>
            <w:tcW w:w="3114" w:type="pct"/>
          </w:tcPr>
          <w:p w14:paraId="131CC419" w14:textId="77777777" w:rsidR="008B0630" w:rsidRPr="008B0630" w:rsidRDefault="008B0630" w:rsidP="008B0630">
            <w:pPr>
              <w:keepNext/>
              <w:keepLines/>
              <w:ind w:firstLine="0"/>
              <w:jc w:val="left"/>
              <w:rPr>
                <w:rFonts w:cs="Times New Roman"/>
                <w:i/>
                <w:noProof/>
                <w:sz w:val="18"/>
                <w:szCs w:val="24"/>
              </w:rPr>
            </w:pPr>
            <w:r w:rsidRPr="008B0630">
              <w:rPr>
                <w:rFonts w:cs="Times New Roman"/>
                <w:noProof/>
                <w:sz w:val="18"/>
                <w:szCs w:val="18"/>
              </w:rPr>
              <w:t>Saskaņā ar likumprojektu “Par valsts budžetu 2026. gadam un budžeta ietvaru 2026., 2027. un 2028. gadam”, milj. </w:t>
            </w:r>
            <w:r w:rsidRPr="008B0630">
              <w:rPr>
                <w:rFonts w:cs="Times New Roman"/>
                <w:i/>
                <w:iCs/>
                <w:noProof/>
                <w:sz w:val="18"/>
                <w:szCs w:val="18"/>
              </w:rPr>
              <w:t>euro</w:t>
            </w:r>
            <w:r w:rsidRPr="008B0630">
              <w:rPr>
                <w:rFonts w:cs="Times New Roman"/>
                <w:noProof/>
                <w:sz w:val="18"/>
                <w:szCs w:val="18"/>
              </w:rPr>
              <w:t xml:space="preserve"> </w:t>
            </w:r>
          </w:p>
        </w:tc>
        <w:tc>
          <w:tcPr>
            <w:tcW w:w="472" w:type="pct"/>
            <w:vAlign w:val="center"/>
          </w:tcPr>
          <w:p w14:paraId="519BBC23" w14:textId="77777777" w:rsidR="008B0630" w:rsidRPr="008B0630" w:rsidRDefault="008B0630" w:rsidP="008B0630">
            <w:pPr>
              <w:keepNext/>
              <w:keepLines/>
              <w:spacing w:after="0"/>
              <w:ind w:firstLine="0"/>
              <w:jc w:val="center"/>
              <w:rPr>
                <w:rFonts w:cs="Times New Roman"/>
                <w:noProof/>
                <w:sz w:val="18"/>
                <w:szCs w:val="24"/>
                <w:vertAlign w:val="superscript"/>
              </w:rPr>
            </w:pPr>
            <w:r w:rsidRPr="008B0630">
              <w:rPr>
                <w:rFonts w:cs="Times New Roman"/>
                <w:noProof/>
                <w:sz w:val="18"/>
                <w:szCs w:val="24"/>
              </w:rPr>
              <w:t>93,0</w:t>
            </w:r>
            <w:r w:rsidRPr="008B0630">
              <w:rPr>
                <w:rFonts w:cs="Times New Roman"/>
                <w:noProof/>
                <w:sz w:val="18"/>
                <w:szCs w:val="24"/>
                <w:vertAlign w:val="superscript"/>
              </w:rPr>
              <w:t>1</w:t>
            </w:r>
          </w:p>
        </w:tc>
        <w:tc>
          <w:tcPr>
            <w:tcW w:w="472" w:type="pct"/>
            <w:vAlign w:val="center"/>
          </w:tcPr>
          <w:p w14:paraId="5E8D6860" w14:textId="77777777" w:rsidR="008B0630" w:rsidRPr="008B0630" w:rsidRDefault="008B0630" w:rsidP="008B0630">
            <w:pPr>
              <w:keepNext/>
              <w:keepLines/>
              <w:spacing w:after="0"/>
              <w:ind w:firstLine="0"/>
              <w:jc w:val="center"/>
              <w:rPr>
                <w:rFonts w:cs="Times New Roman"/>
                <w:noProof/>
                <w:sz w:val="18"/>
                <w:szCs w:val="24"/>
              </w:rPr>
            </w:pPr>
            <w:r w:rsidRPr="008B0630">
              <w:rPr>
                <w:rFonts w:cs="Times New Roman"/>
                <w:noProof/>
                <w:sz w:val="18"/>
                <w:szCs w:val="24"/>
              </w:rPr>
              <w:t>106,3</w:t>
            </w:r>
          </w:p>
        </w:tc>
        <w:tc>
          <w:tcPr>
            <w:tcW w:w="472" w:type="pct"/>
            <w:vAlign w:val="center"/>
          </w:tcPr>
          <w:p w14:paraId="71EA06A9" w14:textId="77777777" w:rsidR="008B0630" w:rsidRPr="008B0630" w:rsidRDefault="008B0630" w:rsidP="008B0630">
            <w:pPr>
              <w:keepNext/>
              <w:keepLines/>
              <w:spacing w:after="0"/>
              <w:ind w:firstLine="0"/>
              <w:jc w:val="center"/>
              <w:rPr>
                <w:rFonts w:cs="Times New Roman"/>
                <w:noProof/>
                <w:sz w:val="18"/>
                <w:szCs w:val="24"/>
              </w:rPr>
            </w:pPr>
            <w:r w:rsidRPr="008B0630">
              <w:rPr>
                <w:rFonts w:cs="Times New Roman"/>
                <w:noProof/>
                <w:sz w:val="18"/>
                <w:szCs w:val="24"/>
              </w:rPr>
              <w:t>106,7</w:t>
            </w:r>
          </w:p>
        </w:tc>
        <w:tc>
          <w:tcPr>
            <w:tcW w:w="470" w:type="pct"/>
            <w:vAlign w:val="center"/>
          </w:tcPr>
          <w:p w14:paraId="3A0E6ECA" w14:textId="77777777" w:rsidR="008B0630" w:rsidRPr="008B0630" w:rsidRDefault="008B0630" w:rsidP="008B0630">
            <w:pPr>
              <w:keepNext/>
              <w:keepLines/>
              <w:spacing w:after="0"/>
              <w:ind w:firstLine="0"/>
              <w:jc w:val="center"/>
              <w:rPr>
                <w:rFonts w:cs="Times New Roman"/>
                <w:noProof/>
                <w:sz w:val="18"/>
                <w:szCs w:val="24"/>
              </w:rPr>
            </w:pPr>
            <w:r w:rsidRPr="008B0630">
              <w:rPr>
                <w:rFonts w:cs="Times New Roman"/>
                <w:noProof/>
                <w:sz w:val="18"/>
                <w:szCs w:val="24"/>
              </w:rPr>
              <w:t>27,2</w:t>
            </w:r>
          </w:p>
        </w:tc>
      </w:tr>
      <w:tr w:rsidR="008B0630" w:rsidRPr="008B0630" w14:paraId="4C407A42" w14:textId="77777777" w:rsidTr="00E03828">
        <w:trPr>
          <w:cantSplit/>
          <w:trHeight w:hRule="exact" w:val="227"/>
          <w:jc w:val="center"/>
        </w:trPr>
        <w:tc>
          <w:tcPr>
            <w:tcW w:w="3114" w:type="pct"/>
          </w:tcPr>
          <w:p w14:paraId="30037073" w14:textId="77777777" w:rsidR="008B0630" w:rsidRPr="008B0630" w:rsidRDefault="008B0630" w:rsidP="008B0630">
            <w:pPr>
              <w:keepNext/>
              <w:keepLines/>
              <w:ind w:left="425" w:firstLine="0"/>
              <w:jc w:val="left"/>
              <w:rPr>
                <w:rFonts w:cs="Times New Roman"/>
                <w:i/>
                <w:iCs/>
              </w:rPr>
            </w:pPr>
            <w:r w:rsidRPr="008B0630">
              <w:rPr>
                <w:rFonts w:cs="Times New Roman"/>
                <w:i/>
                <w:iCs/>
                <w:sz w:val="18"/>
                <w:szCs w:val="18"/>
              </w:rPr>
              <w:t>pret IKP, %</w:t>
            </w:r>
          </w:p>
        </w:tc>
        <w:tc>
          <w:tcPr>
            <w:tcW w:w="472" w:type="pct"/>
            <w:vAlign w:val="center"/>
          </w:tcPr>
          <w:p w14:paraId="0EFDA8B3"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0,2%</w:t>
            </w:r>
          </w:p>
        </w:tc>
        <w:tc>
          <w:tcPr>
            <w:tcW w:w="472" w:type="pct"/>
            <w:vAlign w:val="center"/>
          </w:tcPr>
          <w:p w14:paraId="343D81FE"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0,2%</w:t>
            </w:r>
          </w:p>
        </w:tc>
        <w:tc>
          <w:tcPr>
            <w:tcW w:w="472" w:type="pct"/>
            <w:vAlign w:val="center"/>
          </w:tcPr>
          <w:p w14:paraId="36B0B222"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0,2%</w:t>
            </w:r>
          </w:p>
        </w:tc>
        <w:tc>
          <w:tcPr>
            <w:tcW w:w="470" w:type="pct"/>
            <w:vAlign w:val="center"/>
          </w:tcPr>
          <w:p w14:paraId="33AE996B"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0,1%</w:t>
            </w:r>
          </w:p>
        </w:tc>
      </w:tr>
      <w:tr w:rsidR="008B0630" w:rsidRPr="008B0630" w14:paraId="11B21E46" w14:textId="77777777" w:rsidTr="00E03828">
        <w:trPr>
          <w:cantSplit/>
          <w:trHeight w:hRule="exact" w:val="454"/>
          <w:jc w:val="center"/>
        </w:trPr>
        <w:tc>
          <w:tcPr>
            <w:tcW w:w="3114" w:type="pct"/>
          </w:tcPr>
          <w:p w14:paraId="609F0E64" w14:textId="77777777" w:rsidR="008B0630" w:rsidRPr="008B0630" w:rsidRDefault="008B0630" w:rsidP="008B0630">
            <w:pPr>
              <w:keepNext/>
              <w:keepLines/>
              <w:ind w:firstLine="0"/>
              <w:jc w:val="left"/>
              <w:rPr>
                <w:rFonts w:cs="Times New Roman"/>
                <w:noProof/>
                <w:sz w:val="18"/>
                <w:szCs w:val="24"/>
              </w:rPr>
            </w:pPr>
            <w:r w:rsidRPr="008B0630">
              <w:rPr>
                <w:rFonts w:cs="Times New Roman"/>
                <w:noProof/>
                <w:sz w:val="18"/>
                <w:szCs w:val="18"/>
              </w:rPr>
              <w:t>Salīdzinājumā ar likumu “Par valsts budžetu 2025. gadam un budžeta ietvaru 2025., 2026. un 2027. gadam”, milj. </w:t>
            </w:r>
            <w:r w:rsidRPr="008B0630">
              <w:rPr>
                <w:rFonts w:cs="Times New Roman"/>
                <w:i/>
                <w:iCs/>
                <w:noProof/>
                <w:sz w:val="18"/>
                <w:szCs w:val="18"/>
              </w:rPr>
              <w:t>euro</w:t>
            </w:r>
          </w:p>
        </w:tc>
        <w:tc>
          <w:tcPr>
            <w:tcW w:w="472" w:type="pct"/>
            <w:vAlign w:val="center"/>
          </w:tcPr>
          <w:p w14:paraId="50F7F90E"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0,0</w:t>
            </w:r>
          </w:p>
        </w:tc>
        <w:tc>
          <w:tcPr>
            <w:tcW w:w="472" w:type="pct"/>
            <w:vAlign w:val="center"/>
          </w:tcPr>
          <w:p w14:paraId="541A690C"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0,0</w:t>
            </w:r>
          </w:p>
        </w:tc>
        <w:tc>
          <w:tcPr>
            <w:tcW w:w="472" w:type="pct"/>
            <w:vAlign w:val="center"/>
          </w:tcPr>
          <w:p w14:paraId="143CDED5"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0,0</w:t>
            </w:r>
          </w:p>
        </w:tc>
        <w:tc>
          <w:tcPr>
            <w:tcW w:w="470" w:type="pct"/>
            <w:vAlign w:val="center"/>
          </w:tcPr>
          <w:p w14:paraId="7E3D5350"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w:t>
            </w:r>
          </w:p>
        </w:tc>
      </w:tr>
      <w:tr w:rsidR="008B0630" w:rsidRPr="008B0630" w14:paraId="0386A9D8" w14:textId="77777777" w:rsidTr="00E03828">
        <w:trPr>
          <w:cantSplit/>
          <w:trHeight w:hRule="exact" w:val="454"/>
          <w:jc w:val="center"/>
        </w:trPr>
        <w:tc>
          <w:tcPr>
            <w:tcW w:w="3114" w:type="pct"/>
          </w:tcPr>
          <w:p w14:paraId="794020CB" w14:textId="77777777" w:rsidR="008B0630" w:rsidRPr="008B0630" w:rsidRDefault="008B0630" w:rsidP="008B0630">
            <w:pPr>
              <w:keepNext/>
              <w:keepLines/>
              <w:ind w:firstLine="0"/>
              <w:jc w:val="left"/>
              <w:rPr>
                <w:rFonts w:cs="Times New Roman"/>
                <w:noProof/>
                <w:sz w:val="18"/>
                <w:szCs w:val="24"/>
              </w:rPr>
            </w:pPr>
            <w:r w:rsidRPr="008B0630">
              <w:rPr>
                <w:rFonts w:cs="Times New Roman"/>
                <w:noProof/>
                <w:sz w:val="18"/>
                <w:szCs w:val="18"/>
              </w:rPr>
              <w:t>Salīdzinājumā ar likumu “Par valsts budžetu 2025. gadam un budžeta ietvaru 2025., 2026. un 2027. gadam”, %</w:t>
            </w:r>
          </w:p>
        </w:tc>
        <w:tc>
          <w:tcPr>
            <w:tcW w:w="472" w:type="pct"/>
            <w:vAlign w:val="center"/>
          </w:tcPr>
          <w:p w14:paraId="2C3702E2"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0,0</w:t>
            </w:r>
          </w:p>
        </w:tc>
        <w:tc>
          <w:tcPr>
            <w:tcW w:w="472" w:type="pct"/>
            <w:vAlign w:val="center"/>
          </w:tcPr>
          <w:p w14:paraId="55766ABF"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0,0</w:t>
            </w:r>
          </w:p>
        </w:tc>
        <w:tc>
          <w:tcPr>
            <w:tcW w:w="472" w:type="pct"/>
            <w:vAlign w:val="center"/>
          </w:tcPr>
          <w:p w14:paraId="3AEA08A3"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0,0</w:t>
            </w:r>
          </w:p>
        </w:tc>
        <w:tc>
          <w:tcPr>
            <w:tcW w:w="470" w:type="pct"/>
            <w:vAlign w:val="center"/>
          </w:tcPr>
          <w:p w14:paraId="3F5A3A98" w14:textId="77777777" w:rsidR="008B0630" w:rsidRPr="008B0630" w:rsidRDefault="008B0630" w:rsidP="008B0630">
            <w:pPr>
              <w:keepNext/>
              <w:keepLines/>
              <w:spacing w:after="0"/>
              <w:ind w:firstLine="0"/>
              <w:jc w:val="right"/>
              <w:rPr>
                <w:rFonts w:cs="Times New Roman"/>
                <w:i/>
                <w:iCs/>
                <w:noProof/>
                <w:sz w:val="16"/>
                <w:szCs w:val="16"/>
              </w:rPr>
            </w:pPr>
            <w:r w:rsidRPr="008B0630">
              <w:rPr>
                <w:rFonts w:cs="Times New Roman"/>
                <w:i/>
                <w:iCs/>
                <w:noProof/>
                <w:sz w:val="18"/>
                <w:szCs w:val="24"/>
              </w:rPr>
              <w:t>—</w:t>
            </w:r>
          </w:p>
        </w:tc>
      </w:tr>
    </w:tbl>
    <w:p w14:paraId="602E8807"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74255619" w14:textId="77777777" w:rsidR="008B0630" w:rsidRPr="008B0630" w:rsidRDefault="008B0630" w:rsidP="008B0630">
      <w:pPr>
        <w:spacing w:after="0"/>
        <w:ind w:left="425" w:firstLine="0"/>
        <w:rPr>
          <w:rFonts w:eastAsia="Calibri" w:cs="Times New Roman"/>
          <w:sz w:val="18"/>
          <w:szCs w:val="18"/>
          <w:lang w:eastAsia="en-US"/>
        </w:rPr>
      </w:pPr>
    </w:p>
    <w:p w14:paraId="5764E9F4" w14:textId="77777777" w:rsidR="008B0630" w:rsidRPr="008B0630" w:rsidRDefault="008B0630" w:rsidP="008B0630">
      <w:pPr>
        <w:spacing w:before="240" w:after="240"/>
        <w:ind w:firstLine="0"/>
        <w:jc w:val="center"/>
        <w:outlineLvl w:val="2"/>
        <w:rPr>
          <w:rFonts w:eastAsia="Times New Roman" w:cs="Times New Roman"/>
          <w:b/>
          <w:sz w:val="32"/>
          <w:szCs w:val="20"/>
          <w:lang w:eastAsia="en-US"/>
        </w:rPr>
      </w:pPr>
      <w:r w:rsidRPr="008B0630">
        <w:rPr>
          <w:rFonts w:eastAsia="Times New Roman" w:cs="Times New Roman"/>
          <w:b/>
          <w:sz w:val="32"/>
          <w:szCs w:val="20"/>
          <w:lang w:eastAsia="en-US"/>
        </w:rPr>
        <w:t>3.2.2. Netiešie nodokļi</w:t>
      </w:r>
      <w:bookmarkEnd w:id="113"/>
    </w:p>
    <w:p w14:paraId="55700CA2" w14:textId="77777777" w:rsidR="008B0630" w:rsidRPr="008B0630" w:rsidRDefault="008B0630" w:rsidP="008B0630">
      <w:pPr>
        <w:rPr>
          <w:rFonts w:eastAsia="Calibri" w:cs="Times New Roman"/>
          <w:szCs w:val="24"/>
        </w:rPr>
      </w:pPr>
      <w:r w:rsidRPr="008B0630">
        <w:rPr>
          <w:rFonts w:eastAsia="Times New Roman" w:cs="Times New Roman"/>
          <w:color w:val="000000"/>
          <w:szCs w:val="24"/>
        </w:rPr>
        <w:t xml:space="preserve">2025. gada 1. pusgadā </w:t>
      </w:r>
      <w:r w:rsidRPr="008B0630">
        <w:rPr>
          <w:rFonts w:eastAsia="Calibri" w:cs="Times New Roman"/>
          <w:szCs w:val="24"/>
        </w:rPr>
        <w:t>netiešo nodokļu ieņēmumi bija 2 645,2 milj. </w:t>
      </w:r>
      <w:r w:rsidRPr="008B0630">
        <w:rPr>
          <w:rFonts w:eastAsia="Calibri" w:cs="Times New Roman"/>
          <w:i/>
          <w:iCs/>
          <w:szCs w:val="24"/>
        </w:rPr>
        <w:t>euro</w:t>
      </w:r>
      <w:r w:rsidRPr="008B0630">
        <w:rPr>
          <w:rFonts w:eastAsia="Calibri" w:cs="Times New Roman"/>
          <w:szCs w:val="24"/>
        </w:rPr>
        <w:t>, kas salīdzinot ar plānu, ir par 69,8 milj. </w:t>
      </w:r>
      <w:r w:rsidRPr="008B0630">
        <w:rPr>
          <w:rFonts w:eastAsia="Calibri" w:cs="Times New Roman"/>
          <w:i/>
          <w:iCs/>
          <w:szCs w:val="24"/>
        </w:rPr>
        <w:t>euro</w:t>
      </w:r>
      <w:r w:rsidRPr="008B0630">
        <w:rPr>
          <w:rFonts w:eastAsia="Calibri" w:cs="Times New Roman"/>
          <w:szCs w:val="24"/>
        </w:rPr>
        <w:t xml:space="preserve"> jeb 2,6 % mazāk, kur lielākā neizpilde bija PVN ieņēmumiem. Salīdzinot ar 2024. gada attiecīgo periodu, netiešie nodokļi tika iekasēti par 110,6 milj. </w:t>
      </w:r>
      <w:r w:rsidRPr="008B0630">
        <w:rPr>
          <w:rFonts w:eastAsia="Calibri" w:cs="Times New Roman"/>
          <w:i/>
          <w:iCs/>
          <w:szCs w:val="24"/>
        </w:rPr>
        <w:t>euro</w:t>
      </w:r>
      <w:r w:rsidRPr="008B0630">
        <w:rPr>
          <w:rFonts w:eastAsia="Calibri" w:cs="Times New Roman"/>
          <w:szCs w:val="24"/>
        </w:rPr>
        <w:t xml:space="preserve"> jeb 4,4 % vairāk. </w:t>
      </w:r>
    </w:p>
    <w:p w14:paraId="46A17845" w14:textId="77777777" w:rsidR="008B0630" w:rsidRPr="008B0630" w:rsidRDefault="008B0630" w:rsidP="008B0630">
      <w:pPr>
        <w:rPr>
          <w:rFonts w:eastAsia="Calibri" w:cs="Times New Roman"/>
          <w:szCs w:val="24"/>
        </w:rPr>
      </w:pPr>
      <w:r w:rsidRPr="008B0630">
        <w:rPr>
          <w:rFonts w:eastAsia="Calibri" w:cs="Times New Roman"/>
          <w:szCs w:val="24"/>
        </w:rPr>
        <w:t>Saskaņā ar likumprojektu “Par valsts budžetu 2026. gadam un budžeta ietvaru 2026., 2027. un 2028. gadam” tiek plānots, ka 2026. gadā netiešo nodokļu ieņēmumi veidos 39,0 % no visiem kopbudžeta nodokļiem, kas ir par 0,2 pp mazāk nekā 2025. gadā, galvenokārt samazinoties PVN īpatsvaram. Informācija par netiešo nodokļu sadalījumu ir sniegta 3.2. attēlā.</w:t>
      </w:r>
    </w:p>
    <w:p w14:paraId="3B8FCB9A" w14:textId="77777777" w:rsidR="008B0630" w:rsidRPr="008B0630" w:rsidRDefault="008B0630" w:rsidP="000C1B2D">
      <w:pPr>
        <w:spacing w:after="0"/>
        <w:ind w:left="425" w:firstLine="295"/>
        <w:jc w:val="center"/>
        <w:rPr>
          <w:rFonts w:eastAsia="Calibri" w:cs="Times New Roman"/>
          <w:szCs w:val="24"/>
          <w:highlight w:val="yellow"/>
        </w:rPr>
      </w:pPr>
      <w:r w:rsidRPr="008B0630">
        <w:rPr>
          <w:rFonts w:cs="Times New Roman"/>
          <w:noProof/>
        </w:rPr>
        <w:lastRenderedPageBreak/>
        <w:drawing>
          <wp:inline distT="0" distB="0" distL="0" distR="0" wp14:anchorId="1D0EEF7E" wp14:editId="6106658D">
            <wp:extent cx="5308979" cy="2593074"/>
            <wp:effectExtent l="0" t="0" r="6350" b="0"/>
            <wp:docPr id="740555538" name="Chart 1">
              <a:extLst xmlns:a="http://schemas.openxmlformats.org/drawingml/2006/main">
                <a:ext uri="{FF2B5EF4-FFF2-40B4-BE49-F238E27FC236}">
                  <a16:creationId xmlns:a16="http://schemas.microsoft.com/office/drawing/2014/main" id="{53A24C62-533E-4620-B177-9C4A31977A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682B94D" w14:textId="77777777" w:rsidR="008B0630" w:rsidRPr="008B0630" w:rsidRDefault="008B0630" w:rsidP="008B0630">
      <w:pPr>
        <w:ind w:left="425" w:firstLine="0"/>
        <w:jc w:val="center"/>
        <w:rPr>
          <w:rFonts w:eastAsia="Calibri" w:cs="Times New Roman"/>
          <w:b/>
          <w:i/>
          <w:szCs w:val="24"/>
          <w:lang w:eastAsia="en-US"/>
        </w:rPr>
      </w:pPr>
      <w:r w:rsidRPr="008B0630">
        <w:rPr>
          <w:rFonts w:eastAsia="Calibri" w:cs="Times New Roman"/>
          <w:b/>
          <w:i/>
          <w:szCs w:val="24"/>
          <w:lang w:eastAsia="en-US"/>
        </w:rPr>
        <w:t>3.2. att. Netiešo nodokļu sadalījums kopbudžeta nodokļu ieņēmumos 2026. gadā, %</w:t>
      </w:r>
    </w:p>
    <w:p w14:paraId="300B7718" w14:textId="77777777" w:rsidR="008B0630" w:rsidRPr="008B0630" w:rsidRDefault="008B0630" w:rsidP="008B0630">
      <w:pPr>
        <w:rPr>
          <w:rFonts w:eastAsia="Calibri" w:cs="Times New Roman"/>
          <w:szCs w:val="24"/>
        </w:rPr>
      </w:pPr>
      <w:r w:rsidRPr="008B0630">
        <w:rPr>
          <w:rFonts w:eastAsia="Calibri" w:cs="Times New Roman"/>
          <w:szCs w:val="24"/>
        </w:rPr>
        <w:t>2026. gadā netiešo nodokļu ieņēmumu īpatsvars IKP tiek prognozēts 13,5%, kas ir 2025. gada līmenī.</w:t>
      </w:r>
    </w:p>
    <w:p w14:paraId="42E4AF6E" w14:textId="77777777" w:rsidR="008B0630" w:rsidRPr="008B0630" w:rsidRDefault="008B0630" w:rsidP="008B0630">
      <w:pPr>
        <w:rPr>
          <w:rFonts w:eastAsia="Calibri" w:cs="Times New Roman"/>
          <w:szCs w:val="24"/>
        </w:rPr>
      </w:pPr>
      <w:r w:rsidRPr="008B0630">
        <w:rPr>
          <w:rFonts w:eastAsia="Calibri" w:cs="Times New Roman"/>
          <w:szCs w:val="24"/>
        </w:rPr>
        <w:t>Saskaņā ar likumprojektu “Par valsts budžetu 2026. gadam un budžeta ietvaru 2026., 2027. un 2028. gadam” 2026. gadā netiešo nodokļu ieņēmumi tiek plānoti 5 938,4 milj. </w:t>
      </w:r>
      <w:r w:rsidRPr="008B0630">
        <w:rPr>
          <w:rFonts w:eastAsia="Calibri" w:cs="Times New Roman"/>
          <w:i/>
          <w:iCs/>
          <w:szCs w:val="24"/>
        </w:rPr>
        <w:t>euro</w:t>
      </w:r>
      <w:r w:rsidRPr="008B0630">
        <w:rPr>
          <w:rFonts w:eastAsia="Calibri" w:cs="Times New Roman"/>
          <w:szCs w:val="24"/>
        </w:rPr>
        <w:t>, 2026. gadā 6 194,0 milj. </w:t>
      </w:r>
      <w:r w:rsidRPr="008B0630">
        <w:rPr>
          <w:rFonts w:eastAsia="Calibri" w:cs="Times New Roman"/>
          <w:i/>
          <w:iCs/>
          <w:szCs w:val="24"/>
        </w:rPr>
        <w:t>euro</w:t>
      </w:r>
      <w:r w:rsidRPr="008B0630">
        <w:rPr>
          <w:rFonts w:eastAsia="Calibri" w:cs="Times New Roman"/>
          <w:szCs w:val="24"/>
        </w:rPr>
        <w:t xml:space="preserve"> un 2027. gadā 6 486,8 milj. </w:t>
      </w:r>
      <w:r w:rsidRPr="008B0630">
        <w:rPr>
          <w:rFonts w:eastAsia="Calibri" w:cs="Times New Roman"/>
          <w:i/>
          <w:iCs/>
          <w:szCs w:val="24"/>
        </w:rPr>
        <w:t>euro</w:t>
      </w:r>
      <w:r w:rsidRPr="008B0630">
        <w:rPr>
          <w:rFonts w:eastAsia="Calibri" w:cs="Times New Roman"/>
          <w:szCs w:val="24"/>
        </w:rPr>
        <w:t xml:space="preserve"> apmērā (skat. 3.10. tabulu).</w:t>
      </w:r>
    </w:p>
    <w:p w14:paraId="5A2AF563"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3.10. tabula. Netiešo nodokļu ieņēmumi, milj. euro</w:t>
      </w:r>
    </w:p>
    <w:tbl>
      <w:tblPr>
        <w:tblW w:w="49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70"/>
        <w:gridCol w:w="851"/>
        <w:gridCol w:w="818"/>
        <w:gridCol w:w="824"/>
        <w:gridCol w:w="849"/>
      </w:tblGrid>
      <w:tr w:rsidR="008B0630" w:rsidRPr="008B0630" w14:paraId="6B496E36" w14:textId="77777777" w:rsidTr="00E03828">
        <w:trPr>
          <w:cantSplit/>
          <w:trHeight w:hRule="exact" w:val="227"/>
          <w:jc w:val="center"/>
        </w:trPr>
        <w:tc>
          <w:tcPr>
            <w:tcW w:w="3146" w:type="pct"/>
            <w:shd w:val="clear" w:color="auto" w:fill="9CC2E5" w:themeFill="accent1" w:themeFillTint="99"/>
            <w:vAlign w:val="center"/>
          </w:tcPr>
          <w:p w14:paraId="3D14BC6B"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p>
        </w:tc>
        <w:tc>
          <w:tcPr>
            <w:tcW w:w="472" w:type="pct"/>
            <w:shd w:val="clear" w:color="auto" w:fill="9CC2E5" w:themeFill="accent1" w:themeFillTint="99"/>
            <w:vAlign w:val="center"/>
          </w:tcPr>
          <w:p w14:paraId="5F8D2C76"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r w:rsidRPr="008B0630">
              <w:rPr>
                <w:rFonts w:eastAsia="Times New Roman" w:cs="Times New Roman"/>
                <w:b/>
                <w:bCs/>
                <w:sz w:val="20"/>
                <w:szCs w:val="24"/>
              </w:rPr>
              <w:t>2025</w:t>
            </w:r>
          </w:p>
        </w:tc>
        <w:tc>
          <w:tcPr>
            <w:tcW w:w="454" w:type="pct"/>
            <w:tcBorders>
              <w:bottom w:val="single" w:sz="4" w:space="0" w:color="auto"/>
            </w:tcBorders>
            <w:shd w:val="clear" w:color="auto" w:fill="9CC2E5" w:themeFill="accent1" w:themeFillTint="99"/>
            <w:vAlign w:val="center"/>
          </w:tcPr>
          <w:p w14:paraId="45EF91AB"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r w:rsidRPr="008B0630">
              <w:rPr>
                <w:rFonts w:eastAsia="Times New Roman" w:cs="Times New Roman"/>
                <w:b/>
                <w:bCs/>
                <w:sz w:val="20"/>
                <w:szCs w:val="24"/>
              </w:rPr>
              <w:t>2026</w:t>
            </w:r>
          </w:p>
        </w:tc>
        <w:tc>
          <w:tcPr>
            <w:tcW w:w="457" w:type="pct"/>
            <w:tcBorders>
              <w:bottom w:val="single" w:sz="4" w:space="0" w:color="auto"/>
            </w:tcBorders>
            <w:shd w:val="clear" w:color="auto" w:fill="9CC2E5" w:themeFill="accent1" w:themeFillTint="99"/>
            <w:vAlign w:val="center"/>
          </w:tcPr>
          <w:p w14:paraId="12B42F0E"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r w:rsidRPr="008B0630">
              <w:rPr>
                <w:rFonts w:eastAsia="Times New Roman" w:cs="Times New Roman"/>
                <w:b/>
                <w:bCs/>
                <w:sz w:val="20"/>
                <w:szCs w:val="24"/>
              </w:rPr>
              <w:t>2027</w:t>
            </w:r>
          </w:p>
        </w:tc>
        <w:tc>
          <w:tcPr>
            <w:tcW w:w="471" w:type="pct"/>
            <w:tcBorders>
              <w:bottom w:val="single" w:sz="4" w:space="0" w:color="auto"/>
            </w:tcBorders>
            <w:shd w:val="clear" w:color="auto" w:fill="9CC2E5" w:themeFill="accent1" w:themeFillTint="99"/>
            <w:vAlign w:val="center"/>
          </w:tcPr>
          <w:p w14:paraId="257DEF13"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r w:rsidRPr="008B0630">
              <w:rPr>
                <w:rFonts w:eastAsia="Times New Roman" w:cs="Times New Roman"/>
                <w:b/>
                <w:bCs/>
                <w:sz w:val="20"/>
                <w:szCs w:val="24"/>
              </w:rPr>
              <w:t>2028</w:t>
            </w:r>
          </w:p>
        </w:tc>
      </w:tr>
      <w:tr w:rsidR="008B0630" w:rsidRPr="008B0630" w14:paraId="523FD73E" w14:textId="77777777" w:rsidTr="00E03828">
        <w:trPr>
          <w:cantSplit/>
          <w:trHeight w:hRule="exact" w:val="454"/>
          <w:jc w:val="center"/>
        </w:trPr>
        <w:tc>
          <w:tcPr>
            <w:tcW w:w="3146" w:type="pct"/>
          </w:tcPr>
          <w:p w14:paraId="7B16044D" w14:textId="77777777" w:rsidR="008B0630" w:rsidRPr="008B0630" w:rsidRDefault="008B0630" w:rsidP="008B0630">
            <w:pPr>
              <w:keepNext/>
              <w:keepLines/>
              <w:spacing w:after="0"/>
              <w:ind w:firstLine="0"/>
              <w:jc w:val="left"/>
              <w:rPr>
                <w:rFonts w:cs="Times New Roman"/>
                <w:i/>
                <w:noProof/>
                <w:sz w:val="18"/>
                <w:szCs w:val="18"/>
              </w:rPr>
            </w:pPr>
            <w:r w:rsidRPr="008B0630">
              <w:rPr>
                <w:rFonts w:cs="Times New Roman"/>
                <w:noProof/>
                <w:sz w:val="18"/>
                <w:szCs w:val="18"/>
              </w:rPr>
              <w:t>Saskaņā ar likumprojektu “Par valsts budžetu 2026. gadam un budžeta ietvaru 2026., 2027. un 2028. gadam”, milj. </w:t>
            </w:r>
            <w:r w:rsidRPr="008B0630">
              <w:rPr>
                <w:rFonts w:cs="Times New Roman"/>
                <w:i/>
                <w:iCs/>
                <w:noProof/>
                <w:sz w:val="18"/>
                <w:szCs w:val="18"/>
              </w:rPr>
              <w:t>euro</w:t>
            </w:r>
            <w:r w:rsidRPr="008B0630">
              <w:rPr>
                <w:rFonts w:cs="Times New Roman"/>
                <w:noProof/>
                <w:sz w:val="18"/>
                <w:szCs w:val="18"/>
              </w:rPr>
              <w:t xml:space="preserve"> </w:t>
            </w:r>
          </w:p>
        </w:tc>
        <w:tc>
          <w:tcPr>
            <w:tcW w:w="472" w:type="pct"/>
            <w:tcBorders>
              <w:bottom w:val="single" w:sz="4" w:space="0" w:color="auto"/>
            </w:tcBorders>
            <w:vAlign w:val="center"/>
          </w:tcPr>
          <w:p w14:paraId="16AFF363" w14:textId="77777777" w:rsidR="008B0630" w:rsidRPr="008B0630" w:rsidRDefault="008B0630" w:rsidP="008B0630">
            <w:pPr>
              <w:keepNext/>
              <w:keepLines/>
              <w:spacing w:after="0"/>
              <w:ind w:firstLine="0"/>
              <w:jc w:val="center"/>
              <w:rPr>
                <w:rFonts w:cs="Times New Roman"/>
                <w:noProof/>
                <w:sz w:val="18"/>
                <w:szCs w:val="18"/>
                <w:vertAlign w:val="superscript"/>
              </w:rPr>
            </w:pPr>
            <w:r w:rsidRPr="008B0630">
              <w:rPr>
                <w:rFonts w:cs="Times New Roman"/>
                <w:noProof/>
                <w:sz w:val="18"/>
                <w:szCs w:val="24"/>
              </w:rPr>
              <w:t>5 661,0</w:t>
            </w:r>
            <w:r w:rsidRPr="008B0630">
              <w:rPr>
                <w:rFonts w:cs="Times New Roman"/>
                <w:noProof/>
                <w:sz w:val="18"/>
                <w:szCs w:val="24"/>
                <w:vertAlign w:val="superscript"/>
              </w:rPr>
              <w:t>1</w:t>
            </w:r>
          </w:p>
        </w:tc>
        <w:tc>
          <w:tcPr>
            <w:tcW w:w="454" w:type="pct"/>
            <w:tcBorders>
              <w:top w:val="single" w:sz="4" w:space="0" w:color="auto"/>
              <w:left w:val="nil"/>
              <w:bottom w:val="single" w:sz="4" w:space="0" w:color="auto"/>
              <w:right w:val="single" w:sz="4" w:space="0" w:color="auto"/>
            </w:tcBorders>
            <w:vAlign w:val="center"/>
          </w:tcPr>
          <w:p w14:paraId="7718E8B7"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24"/>
              </w:rPr>
              <w:t>5 938,4</w:t>
            </w:r>
          </w:p>
        </w:tc>
        <w:tc>
          <w:tcPr>
            <w:tcW w:w="457" w:type="pct"/>
            <w:tcBorders>
              <w:top w:val="single" w:sz="4" w:space="0" w:color="auto"/>
              <w:left w:val="single" w:sz="4" w:space="0" w:color="auto"/>
              <w:bottom w:val="single" w:sz="4" w:space="0" w:color="auto"/>
              <w:right w:val="single" w:sz="4" w:space="0" w:color="auto"/>
            </w:tcBorders>
            <w:vAlign w:val="center"/>
          </w:tcPr>
          <w:p w14:paraId="11A4A6D3"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24"/>
              </w:rPr>
              <w:t>6 194,0</w:t>
            </w:r>
          </w:p>
        </w:tc>
        <w:tc>
          <w:tcPr>
            <w:tcW w:w="471" w:type="pct"/>
            <w:tcBorders>
              <w:top w:val="single" w:sz="4" w:space="0" w:color="auto"/>
              <w:left w:val="single" w:sz="4" w:space="0" w:color="auto"/>
              <w:bottom w:val="single" w:sz="4" w:space="0" w:color="auto"/>
              <w:right w:val="single" w:sz="4" w:space="0" w:color="auto"/>
            </w:tcBorders>
            <w:vAlign w:val="center"/>
          </w:tcPr>
          <w:p w14:paraId="74A0A751"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24"/>
              </w:rPr>
              <w:t>6 486,8</w:t>
            </w:r>
          </w:p>
        </w:tc>
      </w:tr>
      <w:tr w:rsidR="008B0630" w:rsidRPr="008B0630" w14:paraId="13533DB2" w14:textId="77777777" w:rsidTr="00E03828">
        <w:trPr>
          <w:cantSplit/>
          <w:trHeight w:hRule="exact" w:val="227"/>
          <w:jc w:val="center"/>
        </w:trPr>
        <w:tc>
          <w:tcPr>
            <w:tcW w:w="3146" w:type="pct"/>
          </w:tcPr>
          <w:p w14:paraId="7631596F" w14:textId="77777777" w:rsidR="008B0630" w:rsidRPr="008B0630" w:rsidRDefault="008B0630" w:rsidP="008B0630">
            <w:pPr>
              <w:keepNext/>
              <w:keepLines/>
              <w:ind w:left="425" w:firstLine="0"/>
              <w:jc w:val="left"/>
              <w:rPr>
                <w:rFonts w:cs="Times New Roman"/>
                <w:i/>
                <w:iCs/>
                <w:szCs w:val="18"/>
              </w:rPr>
            </w:pPr>
            <w:r w:rsidRPr="008B0630">
              <w:rPr>
                <w:rFonts w:cs="Times New Roman"/>
                <w:i/>
                <w:iCs/>
                <w:sz w:val="18"/>
                <w:szCs w:val="18"/>
              </w:rPr>
              <w:t>pret IKP, %</w:t>
            </w:r>
          </w:p>
        </w:tc>
        <w:tc>
          <w:tcPr>
            <w:tcW w:w="472" w:type="pct"/>
            <w:tcBorders>
              <w:top w:val="single" w:sz="4" w:space="0" w:color="auto"/>
              <w:left w:val="single" w:sz="4" w:space="0" w:color="auto"/>
              <w:bottom w:val="single" w:sz="4" w:space="0" w:color="auto"/>
              <w:right w:val="single" w:sz="4" w:space="0" w:color="auto"/>
            </w:tcBorders>
            <w:vAlign w:val="center"/>
          </w:tcPr>
          <w:p w14:paraId="5E40F773" w14:textId="77777777" w:rsidR="008B0630" w:rsidRPr="008B0630" w:rsidRDefault="008B0630" w:rsidP="008B0630">
            <w:pPr>
              <w:keepNext/>
              <w:keepLines/>
              <w:spacing w:after="0"/>
              <w:ind w:firstLine="0"/>
              <w:jc w:val="right"/>
              <w:rPr>
                <w:rFonts w:cs="Times New Roman"/>
                <w:i/>
                <w:iCs/>
                <w:noProof/>
                <w:color w:val="000000"/>
                <w:sz w:val="18"/>
                <w:szCs w:val="18"/>
              </w:rPr>
            </w:pPr>
            <w:r w:rsidRPr="008B0630">
              <w:rPr>
                <w:rFonts w:cs="Times New Roman"/>
                <w:i/>
                <w:iCs/>
                <w:noProof/>
                <w:sz w:val="18"/>
                <w:szCs w:val="24"/>
              </w:rPr>
              <w:t>13,5%</w:t>
            </w:r>
          </w:p>
        </w:tc>
        <w:tc>
          <w:tcPr>
            <w:tcW w:w="454" w:type="pct"/>
            <w:tcBorders>
              <w:top w:val="single" w:sz="4" w:space="0" w:color="auto"/>
              <w:left w:val="nil"/>
              <w:bottom w:val="single" w:sz="4" w:space="0" w:color="auto"/>
              <w:right w:val="single" w:sz="4" w:space="0" w:color="auto"/>
            </w:tcBorders>
            <w:vAlign w:val="center"/>
          </w:tcPr>
          <w:p w14:paraId="7D61E7FE"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13,5%</w:t>
            </w:r>
          </w:p>
        </w:tc>
        <w:tc>
          <w:tcPr>
            <w:tcW w:w="457" w:type="pct"/>
            <w:tcBorders>
              <w:top w:val="single" w:sz="4" w:space="0" w:color="auto"/>
              <w:left w:val="nil"/>
              <w:bottom w:val="single" w:sz="4" w:space="0" w:color="auto"/>
              <w:right w:val="single" w:sz="4" w:space="0" w:color="auto"/>
            </w:tcBorders>
            <w:vAlign w:val="center"/>
          </w:tcPr>
          <w:p w14:paraId="300DE6B9"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13,5%</w:t>
            </w:r>
          </w:p>
        </w:tc>
        <w:tc>
          <w:tcPr>
            <w:tcW w:w="471" w:type="pct"/>
            <w:tcBorders>
              <w:top w:val="single" w:sz="4" w:space="0" w:color="auto"/>
              <w:left w:val="nil"/>
              <w:bottom w:val="single" w:sz="4" w:space="0" w:color="auto"/>
              <w:right w:val="single" w:sz="4" w:space="0" w:color="auto"/>
            </w:tcBorders>
            <w:vAlign w:val="center"/>
          </w:tcPr>
          <w:p w14:paraId="20590CF8"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13,5%</w:t>
            </w:r>
          </w:p>
        </w:tc>
      </w:tr>
      <w:tr w:rsidR="008B0630" w:rsidRPr="008B0630" w14:paraId="4E4FFA0A" w14:textId="77777777" w:rsidTr="00E03828">
        <w:trPr>
          <w:cantSplit/>
          <w:trHeight w:hRule="exact" w:val="454"/>
          <w:jc w:val="center"/>
        </w:trPr>
        <w:tc>
          <w:tcPr>
            <w:tcW w:w="3146" w:type="pct"/>
          </w:tcPr>
          <w:p w14:paraId="7B728098"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noProof/>
                <w:sz w:val="18"/>
                <w:szCs w:val="18"/>
              </w:rPr>
              <w:t>Salīdzinājumā ar likumu “Par valsts budžetu 2025. gadam un budžeta ietvaru 2025., 2026. un 2027. gadam”, milj. </w:t>
            </w:r>
            <w:r w:rsidRPr="008B0630">
              <w:rPr>
                <w:rFonts w:cs="Times New Roman"/>
                <w:i/>
                <w:iCs/>
                <w:noProof/>
                <w:sz w:val="18"/>
                <w:szCs w:val="18"/>
              </w:rPr>
              <w:t>euro</w:t>
            </w:r>
          </w:p>
        </w:tc>
        <w:tc>
          <w:tcPr>
            <w:tcW w:w="472" w:type="pct"/>
            <w:tcBorders>
              <w:top w:val="single" w:sz="4" w:space="0" w:color="auto"/>
              <w:left w:val="nil"/>
              <w:bottom w:val="single" w:sz="4" w:space="0" w:color="auto"/>
              <w:right w:val="single" w:sz="4" w:space="0" w:color="auto"/>
            </w:tcBorders>
            <w:vAlign w:val="center"/>
          </w:tcPr>
          <w:p w14:paraId="72BC4A7E"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-115,3</w:t>
            </w:r>
          </w:p>
        </w:tc>
        <w:tc>
          <w:tcPr>
            <w:tcW w:w="454" w:type="pct"/>
            <w:tcBorders>
              <w:top w:val="single" w:sz="4" w:space="0" w:color="auto"/>
              <w:left w:val="single" w:sz="4" w:space="0" w:color="auto"/>
              <w:bottom w:val="single" w:sz="4" w:space="0" w:color="auto"/>
              <w:right w:val="single" w:sz="4" w:space="0" w:color="auto"/>
            </w:tcBorders>
            <w:vAlign w:val="center"/>
          </w:tcPr>
          <w:p w14:paraId="3C82A69B"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-137,2</w:t>
            </w:r>
          </w:p>
        </w:tc>
        <w:tc>
          <w:tcPr>
            <w:tcW w:w="457" w:type="pct"/>
            <w:tcBorders>
              <w:top w:val="single" w:sz="4" w:space="0" w:color="auto"/>
              <w:left w:val="single" w:sz="4" w:space="0" w:color="auto"/>
              <w:bottom w:val="single" w:sz="4" w:space="0" w:color="auto"/>
              <w:right w:val="single" w:sz="4" w:space="0" w:color="auto"/>
            </w:tcBorders>
            <w:vAlign w:val="center"/>
          </w:tcPr>
          <w:p w14:paraId="7B3E5242"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-98,7</w:t>
            </w:r>
          </w:p>
        </w:tc>
        <w:tc>
          <w:tcPr>
            <w:tcW w:w="471" w:type="pct"/>
            <w:tcBorders>
              <w:top w:val="single" w:sz="4" w:space="0" w:color="auto"/>
              <w:left w:val="single" w:sz="4" w:space="0" w:color="auto"/>
              <w:bottom w:val="single" w:sz="4" w:space="0" w:color="auto"/>
              <w:right w:val="single" w:sz="4" w:space="0" w:color="auto"/>
            </w:tcBorders>
            <w:vAlign w:val="center"/>
          </w:tcPr>
          <w:p w14:paraId="20E6B8E5"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w:t>
            </w:r>
          </w:p>
        </w:tc>
      </w:tr>
      <w:tr w:rsidR="008B0630" w:rsidRPr="008B0630" w14:paraId="18D411B3" w14:textId="77777777" w:rsidTr="00E03828">
        <w:trPr>
          <w:cantSplit/>
          <w:trHeight w:hRule="exact" w:val="454"/>
          <w:jc w:val="center"/>
        </w:trPr>
        <w:tc>
          <w:tcPr>
            <w:tcW w:w="3146" w:type="pct"/>
          </w:tcPr>
          <w:p w14:paraId="6D382B18"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noProof/>
                <w:sz w:val="18"/>
                <w:szCs w:val="18"/>
              </w:rPr>
              <w:t>Salīdzinājumā ar likumu “Par valsts budžetu 2025. gadam un budžeta ietvaru 2025., 2026. un 2027. gadam”, %</w:t>
            </w:r>
          </w:p>
        </w:tc>
        <w:tc>
          <w:tcPr>
            <w:tcW w:w="472" w:type="pct"/>
            <w:tcBorders>
              <w:top w:val="single" w:sz="4" w:space="0" w:color="auto"/>
              <w:left w:val="nil"/>
              <w:bottom w:val="single" w:sz="4" w:space="0" w:color="auto"/>
              <w:right w:val="single" w:sz="4" w:space="0" w:color="auto"/>
            </w:tcBorders>
            <w:vAlign w:val="center"/>
          </w:tcPr>
          <w:p w14:paraId="1EDA3347"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-2,0</w:t>
            </w:r>
          </w:p>
        </w:tc>
        <w:tc>
          <w:tcPr>
            <w:tcW w:w="454" w:type="pct"/>
            <w:tcBorders>
              <w:top w:val="single" w:sz="4" w:space="0" w:color="auto"/>
              <w:left w:val="single" w:sz="4" w:space="0" w:color="auto"/>
              <w:bottom w:val="single" w:sz="4" w:space="0" w:color="auto"/>
              <w:right w:val="single" w:sz="4" w:space="0" w:color="auto"/>
            </w:tcBorders>
            <w:vAlign w:val="center"/>
          </w:tcPr>
          <w:p w14:paraId="33EDF280"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-2,3</w:t>
            </w:r>
          </w:p>
        </w:tc>
        <w:tc>
          <w:tcPr>
            <w:tcW w:w="457" w:type="pct"/>
            <w:tcBorders>
              <w:top w:val="single" w:sz="4" w:space="0" w:color="auto"/>
              <w:left w:val="single" w:sz="4" w:space="0" w:color="auto"/>
              <w:bottom w:val="single" w:sz="4" w:space="0" w:color="auto"/>
              <w:right w:val="single" w:sz="4" w:space="0" w:color="auto"/>
            </w:tcBorders>
            <w:vAlign w:val="center"/>
          </w:tcPr>
          <w:p w14:paraId="4A7CEBD2"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-1,6</w:t>
            </w:r>
          </w:p>
        </w:tc>
        <w:tc>
          <w:tcPr>
            <w:tcW w:w="471" w:type="pct"/>
            <w:tcBorders>
              <w:top w:val="single" w:sz="4" w:space="0" w:color="auto"/>
              <w:left w:val="single" w:sz="4" w:space="0" w:color="auto"/>
              <w:bottom w:val="single" w:sz="4" w:space="0" w:color="auto"/>
              <w:right w:val="single" w:sz="4" w:space="0" w:color="auto"/>
            </w:tcBorders>
            <w:vAlign w:val="center"/>
          </w:tcPr>
          <w:p w14:paraId="356FB088"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w:t>
            </w:r>
          </w:p>
        </w:tc>
      </w:tr>
    </w:tbl>
    <w:p w14:paraId="1AB7ADA9"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138DF7A0" w14:textId="77777777" w:rsidR="008B0630" w:rsidRPr="008B0630" w:rsidRDefault="008B0630" w:rsidP="008B0630">
      <w:pPr>
        <w:keepNext/>
        <w:keepLines/>
        <w:spacing w:before="240" w:after="240"/>
        <w:ind w:firstLine="0"/>
        <w:jc w:val="center"/>
        <w:outlineLvl w:val="3"/>
        <w:rPr>
          <w:rFonts w:eastAsia="Times New Roman" w:cs="Times New Roman"/>
          <w:b/>
          <w:sz w:val="28"/>
          <w:lang w:eastAsia="en-US"/>
        </w:rPr>
      </w:pPr>
      <w:bookmarkStart w:id="114" w:name="_Toc84756426"/>
      <w:bookmarkStart w:id="115" w:name="_Hlk82805101"/>
      <w:r w:rsidRPr="008B0630">
        <w:rPr>
          <w:rFonts w:eastAsia="Times New Roman" w:cs="Times New Roman"/>
          <w:b/>
          <w:sz w:val="28"/>
          <w:lang w:eastAsia="en-US"/>
        </w:rPr>
        <w:t>Pievienotās vērtības nodoklis</w:t>
      </w:r>
    </w:p>
    <w:p w14:paraId="486176B0" w14:textId="77777777" w:rsidR="008B0630" w:rsidRPr="008B0630" w:rsidRDefault="008B0630" w:rsidP="008B0630">
      <w:pPr>
        <w:rPr>
          <w:rFonts w:eastAsia="Calibri" w:cs="Times New Roman"/>
          <w:szCs w:val="24"/>
        </w:rPr>
      </w:pPr>
      <w:r w:rsidRPr="008B0630">
        <w:rPr>
          <w:rFonts w:eastAsia="Calibri" w:cs="Times New Roman"/>
          <w:szCs w:val="24"/>
        </w:rPr>
        <w:t>PVN ir patēriņa nodoklis, ko faktiski maksā gala patērētājs, iegādājoties preces vai saņemot pakalpojumus, un ir lielākais valsts pamatbudžeta nodokļu ieņēmumu avots. 2025. gada 1. pusgadā PVN ieņēmumi bija 1 932,5 milj. </w:t>
      </w:r>
      <w:r w:rsidRPr="008B0630">
        <w:rPr>
          <w:rFonts w:eastAsia="Calibri" w:cs="Times New Roman"/>
          <w:i/>
          <w:iCs/>
          <w:szCs w:val="24"/>
        </w:rPr>
        <w:t>euro</w:t>
      </w:r>
      <w:r w:rsidRPr="008B0630">
        <w:rPr>
          <w:rFonts w:eastAsia="Calibri" w:cs="Times New Roman"/>
          <w:szCs w:val="24"/>
        </w:rPr>
        <w:t>, kas ir par 76,1 milj. </w:t>
      </w:r>
      <w:r w:rsidRPr="008B0630">
        <w:rPr>
          <w:rFonts w:eastAsia="Calibri" w:cs="Times New Roman"/>
          <w:i/>
          <w:iCs/>
          <w:szCs w:val="24"/>
        </w:rPr>
        <w:t>euro</w:t>
      </w:r>
      <w:r w:rsidRPr="008B0630">
        <w:rPr>
          <w:rFonts w:eastAsia="Calibri" w:cs="Times New Roman"/>
          <w:szCs w:val="24"/>
        </w:rPr>
        <w:t xml:space="preserve"> jeb 4,1 % vairāk nekā 2024. gada attiecīgajā periodā. PVN ieņēmumi 2025. gada 1. pusgadā bija par 40,9 milj. </w:t>
      </w:r>
      <w:r w:rsidRPr="008B0630">
        <w:rPr>
          <w:rFonts w:eastAsia="Calibri" w:cs="Times New Roman"/>
          <w:i/>
          <w:szCs w:val="24"/>
        </w:rPr>
        <w:t>euro</w:t>
      </w:r>
      <w:r w:rsidRPr="008B0630">
        <w:rPr>
          <w:rFonts w:eastAsia="Calibri" w:cs="Times New Roman"/>
          <w:szCs w:val="24"/>
        </w:rPr>
        <w:t xml:space="preserve"> jeb par 2,1 % mazāki nekā iepriekš tika plānots. PVN ieņēmumu neizpilde saistīta galvenokārt ar vājāku iekšzemes pieprasījuma attīstību nekā iepriekš tika prognozēts.</w:t>
      </w:r>
    </w:p>
    <w:p w14:paraId="5E13154D" w14:textId="77777777" w:rsidR="008B0630" w:rsidRPr="008B0630" w:rsidRDefault="008B0630" w:rsidP="008B0630">
      <w:pPr>
        <w:rPr>
          <w:rFonts w:eastAsia="Calibri" w:cs="Times New Roman"/>
          <w:szCs w:val="24"/>
        </w:rPr>
      </w:pPr>
      <w:r w:rsidRPr="008B0630">
        <w:rPr>
          <w:rFonts w:eastAsia="Calibri" w:cs="Times New Roman"/>
          <w:szCs w:val="24"/>
        </w:rPr>
        <w:t>Saskaņā ar likumprojektu “Par valsts budžetu 2026. gadam un budžeta ietvaru 2026., 2027. un 2028. gadam” PVN ieņēmumi tiek prognozēti šādi: 2026. gadā – 4 330,0 milj. </w:t>
      </w:r>
      <w:r w:rsidRPr="008B0630">
        <w:rPr>
          <w:rFonts w:eastAsia="Calibri" w:cs="Times New Roman"/>
          <w:i/>
          <w:szCs w:val="24"/>
        </w:rPr>
        <w:t>euro</w:t>
      </w:r>
      <w:r w:rsidRPr="008B0630">
        <w:rPr>
          <w:rFonts w:eastAsia="Calibri" w:cs="Times New Roman"/>
          <w:szCs w:val="24"/>
        </w:rPr>
        <w:t>; 2027. gadā – 4 547,8 milj. </w:t>
      </w:r>
      <w:r w:rsidRPr="008B0630">
        <w:rPr>
          <w:rFonts w:eastAsia="Calibri" w:cs="Times New Roman"/>
          <w:i/>
          <w:szCs w:val="24"/>
        </w:rPr>
        <w:t>euro</w:t>
      </w:r>
      <w:r w:rsidRPr="008B0630">
        <w:rPr>
          <w:rFonts w:eastAsia="Calibri" w:cs="Times New Roman"/>
          <w:szCs w:val="24"/>
        </w:rPr>
        <w:t>; un 2028. gadā – 4 784,4 milj. </w:t>
      </w:r>
      <w:r w:rsidRPr="008B0630">
        <w:rPr>
          <w:rFonts w:eastAsia="Calibri" w:cs="Times New Roman"/>
          <w:i/>
          <w:szCs w:val="24"/>
        </w:rPr>
        <w:t>euro</w:t>
      </w:r>
      <w:r w:rsidRPr="008B0630">
        <w:rPr>
          <w:rFonts w:eastAsia="Calibri" w:cs="Times New Roman"/>
          <w:szCs w:val="24"/>
        </w:rPr>
        <w:t xml:space="preserve"> (skat. 3.11. tabulu). PVN ieņēmumu prognozi vidējā termiņā pamatā nosaka prognozētā galapatēriņa izdevumu dinamika faktiskajās cenās, 2025. gadā sagaidāmā izpilde, kā arī 3.1. sadaļā minētie pasākumi.</w:t>
      </w:r>
    </w:p>
    <w:p w14:paraId="1D25233C"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lastRenderedPageBreak/>
        <w:t>3.11. tabula. PVN ieņēmumi</w:t>
      </w: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667"/>
        <w:gridCol w:w="851"/>
        <w:gridCol w:w="851"/>
        <w:gridCol w:w="851"/>
        <w:gridCol w:w="852"/>
      </w:tblGrid>
      <w:tr w:rsidR="008B0630" w:rsidRPr="008B0630" w14:paraId="0B523F45" w14:textId="77777777" w:rsidTr="00E03828">
        <w:trPr>
          <w:cantSplit/>
          <w:trHeight w:hRule="exact" w:val="227"/>
          <w:jc w:val="center"/>
        </w:trPr>
        <w:tc>
          <w:tcPr>
            <w:tcW w:w="5667" w:type="dxa"/>
            <w:shd w:val="clear" w:color="auto" w:fill="9CC2E5" w:themeFill="accent1" w:themeFillTint="99"/>
            <w:noWrap/>
            <w:tcMar>
              <w:left w:w="28" w:type="dxa"/>
              <w:right w:w="28" w:type="dxa"/>
            </w:tcMar>
            <w:vAlign w:val="center"/>
            <w:hideMark/>
          </w:tcPr>
          <w:p w14:paraId="34C57CBB"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p>
        </w:tc>
        <w:tc>
          <w:tcPr>
            <w:tcW w:w="851" w:type="dxa"/>
            <w:shd w:val="clear" w:color="auto" w:fill="9CC2E5" w:themeFill="accent1" w:themeFillTint="99"/>
            <w:tcMar>
              <w:left w:w="28" w:type="dxa"/>
              <w:right w:w="28" w:type="dxa"/>
            </w:tcMar>
            <w:vAlign w:val="center"/>
          </w:tcPr>
          <w:p w14:paraId="174ED3CC"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2025</w:t>
            </w:r>
          </w:p>
        </w:tc>
        <w:tc>
          <w:tcPr>
            <w:tcW w:w="851" w:type="dxa"/>
            <w:shd w:val="clear" w:color="auto" w:fill="9CC2E5" w:themeFill="accent1" w:themeFillTint="99"/>
            <w:tcMar>
              <w:left w:w="28" w:type="dxa"/>
              <w:right w:w="28" w:type="dxa"/>
            </w:tcMar>
            <w:vAlign w:val="center"/>
          </w:tcPr>
          <w:p w14:paraId="462005FC"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2026</w:t>
            </w:r>
          </w:p>
        </w:tc>
        <w:tc>
          <w:tcPr>
            <w:tcW w:w="851" w:type="dxa"/>
            <w:shd w:val="clear" w:color="auto" w:fill="9CC2E5" w:themeFill="accent1" w:themeFillTint="99"/>
            <w:noWrap/>
            <w:tcMar>
              <w:left w:w="28" w:type="dxa"/>
              <w:right w:w="28" w:type="dxa"/>
            </w:tcMar>
            <w:vAlign w:val="center"/>
            <w:hideMark/>
          </w:tcPr>
          <w:p w14:paraId="55927C52"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2027</w:t>
            </w:r>
          </w:p>
        </w:tc>
        <w:tc>
          <w:tcPr>
            <w:tcW w:w="852" w:type="dxa"/>
            <w:shd w:val="clear" w:color="auto" w:fill="9CC2E5" w:themeFill="accent1" w:themeFillTint="99"/>
            <w:tcMar>
              <w:left w:w="28" w:type="dxa"/>
              <w:right w:w="28" w:type="dxa"/>
            </w:tcMar>
            <w:vAlign w:val="center"/>
          </w:tcPr>
          <w:p w14:paraId="6FB84594"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2028</w:t>
            </w:r>
          </w:p>
        </w:tc>
      </w:tr>
      <w:tr w:rsidR="008B0630" w:rsidRPr="008B0630" w14:paraId="1A74FC4A" w14:textId="77777777" w:rsidTr="00E03828">
        <w:trPr>
          <w:cantSplit/>
          <w:trHeight w:hRule="exact" w:val="454"/>
          <w:jc w:val="center"/>
        </w:trPr>
        <w:tc>
          <w:tcPr>
            <w:tcW w:w="5667" w:type="dxa"/>
            <w:tcMar>
              <w:left w:w="28" w:type="dxa"/>
              <w:right w:w="28" w:type="dxa"/>
            </w:tcMar>
            <w:hideMark/>
          </w:tcPr>
          <w:p w14:paraId="6D520152"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Saskaņā ar likumprojektu “Par valsts budžetu 2026. gadam un budžeta ietvaru 2026., 2027. un 2028. gadam”, milj. </w:t>
            </w:r>
            <w:r w:rsidRPr="008B0630">
              <w:rPr>
                <w:rFonts w:cs="Times New Roman"/>
                <w:i/>
                <w:iCs/>
                <w:sz w:val="18"/>
                <w:szCs w:val="18"/>
              </w:rPr>
              <w:t>euro</w:t>
            </w:r>
            <w:r w:rsidRPr="008B0630">
              <w:rPr>
                <w:rFonts w:cs="Times New Roman"/>
                <w:sz w:val="18"/>
                <w:szCs w:val="18"/>
              </w:rPr>
              <w:t xml:space="preserve"> </w:t>
            </w:r>
          </w:p>
        </w:tc>
        <w:tc>
          <w:tcPr>
            <w:tcW w:w="851" w:type="dxa"/>
            <w:noWrap/>
            <w:tcMar>
              <w:left w:w="28" w:type="dxa"/>
              <w:right w:w="28" w:type="dxa"/>
            </w:tcMar>
            <w:vAlign w:val="center"/>
          </w:tcPr>
          <w:p w14:paraId="7E099D06"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4 165,3</w:t>
            </w:r>
            <w:r w:rsidRPr="008B0630">
              <w:rPr>
                <w:rFonts w:cs="Times New Roman"/>
                <w:noProof/>
                <w:sz w:val="18"/>
                <w:szCs w:val="18"/>
                <w:vertAlign w:val="superscript"/>
              </w:rPr>
              <w:t>1</w:t>
            </w:r>
          </w:p>
        </w:tc>
        <w:tc>
          <w:tcPr>
            <w:tcW w:w="851" w:type="dxa"/>
            <w:noWrap/>
            <w:tcMar>
              <w:left w:w="28" w:type="dxa"/>
              <w:right w:w="28" w:type="dxa"/>
            </w:tcMar>
            <w:vAlign w:val="center"/>
          </w:tcPr>
          <w:p w14:paraId="51D9E14B"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4 330,0</w:t>
            </w:r>
          </w:p>
        </w:tc>
        <w:tc>
          <w:tcPr>
            <w:tcW w:w="851" w:type="dxa"/>
            <w:noWrap/>
            <w:tcMar>
              <w:left w:w="28" w:type="dxa"/>
              <w:right w:w="28" w:type="dxa"/>
            </w:tcMar>
            <w:vAlign w:val="center"/>
          </w:tcPr>
          <w:p w14:paraId="2EA4ECAA"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4 547,8</w:t>
            </w:r>
          </w:p>
        </w:tc>
        <w:tc>
          <w:tcPr>
            <w:tcW w:w="852" w:type="dxa"/>
            <w:tcMar>
              <w:left w:w="28" w:type="dxa"/>
              <w:right w:w="28" w:type="dxa"/>
            </w:tcMar>
            <w:vAlign w:val="center"/>
          </w:tcPr>
          <w:p w14:paraId="0817F740"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4 784,4</w:t>
            </w:r>
          </w:p>
        </w:tc>
      </w:tr>
      <w:tr w:rsidR="008B0630" w:rsidRPr="008B0630" w14:paraId="735323F2" w14:textId="77777777" w:rsidTr="00E03828">
        <w:trPr>
          <w:cantSplit/>
          <w:trHeight w:hRule="exact" w:val="227"/>
          <w:jc w:val="center"/>
        </w:trPr>
        <w:tc>
          <w:tcPr>
            <w:tcW w:w="5667" w:type="dxa"/>
            <w:noWrap/>
            <w:tcMar>
              <w:left w:w="28" w:type="dxa"/>
              <w:right w:w="28" w:type="dxa"/>
            </w:tcMar>
            <w:hideMark/>
          </w:tcPr>
          <w:p w14:paraId="14FF528A" w14:textId="77777777" w:rsidR="008B0630" w:rsidRPr="008B0630" w:rsidRDefault="008B0630" w:rsidP="008B0630">
            <w:pPr>
              <w:keepNext/>
              <w:keepLines/>
              <w:ind w:left="425" w:firstLine="0"/>
              <w:jc w:val="left"/>
              <w:rPr>
                <w:rFonts w:cs="Times New Roman"/>
                <w:i/>
                <w:iCs/>
                <w:noProof/>
                <w:sz w:val="18"/>
                <w:szCs w:val="18"/>
              </w:rPr>
            </w:pPr>
            <w:r w:rsidRPr="008B0630">
              <w:rPr>
                <w:rFonts w:cs="Times New Roman"/>
                <w:i/>
                <w:iCs/>
                <w:sz w:val="18"/>
                <w:szCs w:val="18"/>
              </w:rPr>
              <w:t>pret IKP, %</w:t>
            </w:r>
          </w:p>
        </w:tc>
        <w:tc>
          <w:tcPr>
            <w:tcW w:w="851" w:type="dxa"/>
            <w:noWrap/>
            <w:tcMar>
              <w:left w:w="28" w:type="dxa"/>
              <w:right w:w="28" w:type="dxa"/>
            </w:tcMar>
          </w:tcPr>
          <w:p w14:paraId="220E3FB1"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9,9</w:t>
            </w:r>
          </w:p>
        </w:tc>
        <w:tc>
          <w:tcPr>
            <w:tcW w:w="851" w:type="dxa"/>
            <w:noWrap/>
            <w:tcMar>
              <w:left w:w="28" w:type="dxa"/>
              <w:right w:w="28" w:type="dxa"/>
            </w:tcMar>
          </w:tcPr>
          <w:p w14:paraId="17AE2EB0"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9,9</w:t>
            </w:r>
          </w:p>
        </w:tc>
        <w:tc>
          <w:tcPr>
            <w:tcW w:w="851" w:type="dxa"/>
            <w:noWrap/>
            <w:tcMar>
              <w:left w:w="28" w:type="dxa"/>
              <w:right w:w="28" w:type="dxa"/>
            </w:tcMar>
          </w:tcPr>
          <w:p w14:paraId="1041D10F"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9,9</w:t>
            </w:r>
          </w:p>
        </w:tc>
        <w:tc>
          <w:tcPr>
            <w:tcW w:w="852" w:type="dxa"/>
            <w:tcMar>
              <w:left w:w="28" w:type="dxa"/>
              <w:right w:w="28" w:type="dxa"/>
            </w:tcMar>
          </w:tcPr>
          <w:p w14:paraId="47FDEBFD"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9,9</w:t>
            </w:r>
          </w:p>
        </w:tc>
      </w:tr>
      <w:tr w:rsidR="008B0630" w:rsidRPr="008B0630" w14:paraId="477B1E34" w14:textId="77777777" w:rsidTr="00E03828">
        <w:trPr>
          <w:cantSplit/>
          <w:trHeight w:hRule="exact" w:val="454"/>
          <w:jc w:val="center"/>
        </w:trPr>
        <w:tc>
          <w:tcPr>
            <w:tcW w:w="5667" w:type="dxa"/>
            <w:tcMar>
              <w:left w:w="28" w:type="dxa"/>
              <w:right w:w="28" w:type="dxa"/>
            </w:tcMar>
            <w:hideMark/>
          </w:tcPr>
          <w:p w14:paraId="5796EF5A"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milj. </w:t>
            </w:r>
            <w:r w:rsidRPr="008B0630">
              <w:rPr>
                <w:rFonts w:cs="Times New Roman"/>
                <w:i/>
                <w:iCs/>
                <w:sz w:val="18"/>
                <w:szCs w:val="18"/>
              </w:rPr>
              <w:t>euro</w:t>
            </w:r>
          </w:p>
        </w:tc>
        <w:tc>
          <w:tcPr>
            <w:tcW w:w="851" w:type="dxa"/>
            <w:noWrap/>
            <w:tcMar>
              <w:left w:w="28" w:type="dxa"/>
              <w:right w:w="28" w:type="dxa"/>
            </w:tcMar>
            <w:vAlign w:val="center"/>
          </w:tcPr>
          <w:p w14:paraId="54693406"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-80,2</w:t>
            </w:r>
          </w:p>
        </w:tc>
        <w:tc>
          <w:tcPr>
            <w:tcW w:w="851" w:type="dxa"/>
            <w:noWrap/>
            <w:tcMar>
              <w:left w:w="28" w:type="dxa"/>
              <w:right w:w="28" w:type="dxa"/>
            </w:tcMar>
            <w:vAlign w:val="center"/>
          </w:tcPr>
          <w:p w14:paraId="62FDAC55"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-111,5</w:t>
            </w:r>
          </w:p>
        </w:tc>
        <w:tc>
          <w:tcPr>
            <w:tcW w:w="851" w:type="dxa"/>
            <w:noWrap/>
            <w:tcMar>
              <w:left w:w="28" w:type="dxa"/>
              <w:right w:w="28" w:type="dxa"/>
            </w:tcMar>
            <w:vAlign w:val="center"/>
          </w:tcPr>
          <w:p w14:paraId="38C93722"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-86,6</w:t>
            </w:r>
          </w:p>
        </w:tc>
        <w:tc>
          <w:tcPr>
            <w:tcW w:w="852" w:type="dxa"/>
            <w:tcMar>
              <w:left w:w="28" w:type="dxa"/>
              <w:right w:w="28" w:type="dxa"/>
            </w:tcMar>
            <w:vAlign w:val="center"/>
          </w:tcPr>
          <w:p w14:paraId="1A54EFAA"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w:t>
            </w:r>
          </w:p>
        </w:tc>
      </w:tr>
      <w:tr w:rsidR="008B0630" w:rsidRPr="008B0630" w14:paraId="56A1EBC2" w14:textId="77777777" w:rsidTr="00E03828">
        <w:trPr>
          <w:cantSplit/>
          <w:trHeight w:hRule="exact" w:val="454"/>
          <w:jc w:val="center"/>
        </w:trPr>
        <w:tc>
          <w:tcPr>
            <w:tcW w:w="5667" w:type="dxa"/>
            <w:tcMar>
              <w:left w:w="28" w:type="dxa"/>
              <w:right w:w="28" w:type="dxa"/>
            </w:tcMar>
            <w:hideMark/>
          </w:tcPr>
          <w:p w14:paraId="59429BBD"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w:t>
            </w:r>
          </w:p>
        </w:tc>
        <w:tc>
          <w:tcPr>
            <w:tcW w:w="851" w:type="dxa"/>
            <w:noWrap/>
            <w:tcMar>
              <w:left w:w="28" w:type="dxa"/>
              <w:right w:w="28" w:type="dxa"/>
            </w:tcMar>
            <w:vAlign w:val="center"/>
          </w:tcPr>
          <w:p w14:paraId="6B5D7C3F"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-1,9</w:t>
            </w:r>
          </w:p>
        </w:tc>
        <w:tc>
          <w:tcPr>
            <w:tcW w:w="851" w:type="dxa"/>
            <w:noWrap/>
            <w:tcMar>
              <w:left w:w="28" w:type="dxa"/>
              <w:right w:w="28" w:type="dxa"/>
            </w:tcMar>
            <w:vAlign w:val="center"/>
          </w:tcPr>
          <w:p w14:paraId="7C746DE0"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-2,5</w:t>
            </w:r>
          </w:p>
        </w:tc>
        <w:tc>
          <w:tcPr>
            <w:tcW w:w="851" w:type="dxa"/>
            <w:noWrap/>
            <w:tcMar>
              <w:left w:w="28" w:type="dxa"/>
              <w:right w:w="28" w:type="dxa"/>
            </w:tcMar>
            <w:vAlign w:val="center"/>
          </w:tcPr>
          <w:p w14:paraId="19A82748"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-1,9</w:t>
            </w:r>
          </w:p>
        </w:tc>
        <w:tc>
          <w:tcPr>
            <w:tcW w:w="852" w:type="dxa"/>
            <w:tcMar>
              <w:left w:w="28" w:type="dxa"/>
              <w:right w:w="28" w:type="dxa"/>
            </w:tcMar>
            <w:vAlign w:val="center"/>
          </w:tcPr>
          <w:p w14:paraId="62F7C733"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w:t>
            </w:r>
          </w:p>
        </w:tc>
      </w:tr>
    </w:tbl>
    <w:p w14:paraId="1CDE5176"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17E7E97F" w14:textId="77777777" w:rsidR="008B0630" w:rsidRPr="008B0630" w:rsidRDefault="008B0630" w:rsidP="008B0630">
      <w:pPr>
        <w:keepNext/>
        <w:keepLines/>
        <w:spacing w:before="240" w:after="240"/>
        <w:ind w:firstLine="0"/>
        <w:jc w:val="center"/>
        <w:outlineLvl w:val="3"/>
        <w:rPr>
          <w:rFonts w:eastAsia="Times New Roman" w:cs="Times New Roman"/>
          <w:b/>
          <w:sz w:val="28"/>
          <w:lang w:eastAsia="en-US"/>
        </w:rPr>
      </w:pPr>
      <w:r w:rsidRPr="008B0630">
        <w:rPr>
          <w:rFonts w:eastAsia="Times New Roman" w:cs="Times New Roman"/>
          <w:b/>
          <w:sz w:val="28"/>
          <w:lang w:eastAsia="en-US"/>
        </w:rPr>
        <w:t>Akcīzes nodoklis</w:t>
      </w:r>
      <w:bookmarkEnd w:id="114"/>
    </w:p>
    <w:p w14:paraId="36F56782" w14:textId="2518E690" w:rsidR="008B0630" w:rsidRPr="008B0630" w:rsidRDefault="008B0630" w:rsidP="008B0630">
      <w:pPr>
        <w:rPr>
          <w:rFonts w:eastAsia="Calibri" w:cs="Times New Roman"/>
          <w:szCs w:val="24"/>
        </w:rPr>
      </w:pPr>
      <w:bookmarkStart w:id="116" w:name="_Toc150840178"/>
      <w:bookmarkStart w:id="117" w:name="_Toc150941368"/>
      <w:bookmarkStart w:id="118" w:name="_Toc150840180"/>
      <w:bookmarkStart w:id="119" w:name="_Toc150941370"/>
      <w:bookmarkStart w:id="120" w:name="_Toc126236664"/>
      <w:bookmarkEnd w:id="115"/>
      <w:r w:rsidRPr="008B0630">
        <w:rPr>
          <w:rFonts w:eastAsia="Calibri" w:cs="Times New Roman"/>
          <w:szCs w:val="24"/>
        </w:rPr>
        <w:t xml:space="preserve">2025. gada 1. pusgadā kopējie </w:t>
      </w:r>
      <w:r w:rsidR="003F5E29">
        <w:rPr>
          <w:rFonts w:eastAsia="Calibri" w:cs="Times New Roman"/>
          <w:szCs w:val="24"/>
        </w:rPr>
        <w:t>AN</w:t>
      </w:r>
      <w:r w:rsidRPr="008B0630">
        <w:rPr>
          <w:rFonts w:eastAsia="Calibri" w:cs="Times New Roman"/>
          <w:szCs w:val="24"/>
        </w:rPr>
        <w:t xml:space="preserve"> ieņēmumi bija 602,4 milj. </w:t>
      </w:r>
      <w:r w:rsidRPr="008B0630">
        <w:rPr>
          <w:rFonts w:eastAsia="Calibri" w:cs="Times New Roman"/>
          <w:i/>
          <w:szCs w:val="24"/>
        </w:rPr>
        <w:t>euro</w:t>
      </w:r>
      <w:r w:rsidRPr="008B0630">
        <w:rPr>
          <w:rFonts w:eastAsia="Calibri" w:cs="Times New Roman"/>
          <w:szCs w:val="24"/>
        </w:rPr>
        <w:t>. Salīdzinājumā ar 2024. gada 1. pusgadu, tie palielinājās par 24,1 milj. </w:t>
      </w:r>
      <w:r w:rsidRPr="008B0630">
        <w:rPr>
          <w:rFonts w:eastAsia="Calibri" w:cs="Times New Roman"/>
          <w:i/>
          <w:szCs w:val="24"/>
        </w:rPr>
        <w:t>euro</w:t>
      </w:r>
      <w:r w:rsidRPr="008B0630">
        <w:rPr>
          <w:rFonts w:eastAsia="Calibri" w:cs="Times New Roman"/>
          <w:szCs w:val="24"/>
        </w:rPr>
        <w:t xml:space="preserve"> jeb 4,2 %, bet salīdzinājumā ar plānoto tika iekasēts par 30,7 milj. </w:t>
      </w:r>
      <w:r w:rsidRPr="008B0630">
        <w:rPr>
          <w:rFonts w:eastAsia="Calibri" w:cs="Times New Roman"/>
          <w:i/>
          <w:szCs w:val="24"/>
        </w:rPr>
        <w:t>euro</w:t>
      </w:r>
      <w:r w:rsidRPr="008B0630">
        <w:rPr>
          <w:rFonts w:eastAsia="Calibri" w:cs="Times New Roman"/>
          <w:szCs w:val="24"/>
        </w:rPr>
        <w:t xml:space="preserve"> jeb 4,8 % mazāk, ko noteica </w:t>
      </w:r>
      <w:r w:rsidR="003F5E29">
        <w:rPr>
          <w:rFonts w:eastAsia="Calibri" w:cs="Times New Roman"/>
          <w:szCs w:val="24"/>
        </w:rPr>
        <w:t>AN</w:t>
      </w:r>
      <w:r w:rsidRPr="008B0630">
        <w:rPr>
          <w:rFonts w:eastAsia="Calibri" w:cs="Times New Roman"/>
          <w:szCs w:val="24"/>
        </w:rPr>
        <w:t xml:space="preserve"> plāna neizpilde visās galvenajās kategorijās, izņemot dabasgāzi.</w:t>
      </w:r>
    </w:p>
    <w:p w14:paraId="7F90ACCE" w14:textId="0E646047" w:rsidR="008B0630" w:rsidRPr="008B0630" w:rsidRDefault="008B0630" w:rsidP="008B0630">
      <w:pPr>
        <w:rPr>
          <w:rFonts w:eastAsia="Calibri" w:cs="Times New Roman"/>
          <w:szCs w:val="24"/>
        </w:rPr>
      </w:pPr>
      <w:r w:rsidRPr="008B0630">
        <w:rPr>
          <w:rFonts w:eastAsia="Calibri" w:cs="Times New Roman"/>
          <w:szCs w:val="24"/>
        </w:rPr>
        <w:t xml:space="preserve">Sagatavojot 2026.–2028. gada </w:t>
      </w:r>
      <w:r w:rsidR="003F5E29">
        <w:rPr>
          <w:rFonts w:eastAsia="Calibri" w:cs="Times New Roman"/>
          <w:szCs w:val="24"/>
        </w:rPr>
        <w:t>AN</w:t>
      </w:r>
      <w:r w:rsidRPr="008B0630">
        <w:rPr>
          <w:rFonts w:eastAsia="Calibri" w:cs="Times New Roman"/>
          <w:szCs w:val="24"/>
        </w:rPr>
        <w:t xml:space="preserve"> ieņēmumu prognozes, tika ņemti vērā šādi faktori:</w:t>
      </w:r>
    </w:p>
    <w:p w14:paraId="6C425F15" w14:textId="77777777" w:rsidR="008B0630" w:rsidRPr="008B0630" w:rsidRDefault="008B0630" w:rsidP="008B0630">
      <w:pPr>
        <w:numPr>
          <w:ilvl w:val="0"/>
          <w:numId w:val="24"/>
        </w:numPr>
        <w:contextualSpacing/>
        <w:rPr>
          <w:rFonts w:eastAsia="Calibri" w:cs="Times New Roman"/>
          <w:szCs w:val="24"/>
        </w:rPr>
      </w:pPr>
      <w:r w:rsidRPr="008B0630">
        <w:rPr>
          <w:rFonts w:eastAsia="Calibri" w:cs="Times New Roman"/>
          <w:szCs w:val="24"/>
        </w:rPr>
        <w:t xml:space="preserve">prognozētā IKP, darba samaksas un privātā patēriņa dinamika; </w:t>
      </w:r>
    </w:p>
    <w:p w14:paraId="49469965" w14:textId="77777777" w:rsidR="008B0630" w:rsidRPr="008B0630" w:rsidRDefault="008B0630" w:rsidP="008B0630">
      <w:pPr>
        <w:numPr>
          <w:ilvl w:val="0"/>
          <w:numId w:val="24"/>
        </w:numPr>
        <w:contextualSpacing/>
        <w:rPr>
          <w:rFonts w:eastAsia="Calibri" w:cs="Times New Roman"/>
          <w:szCs w:val="24"/>
        </w:rPr>
      </w:pPr>
      <w:r w:rsidRPr="008B0630">
        <w:rPr>
          <w:rFonts w:eastAsia="Calibri" w:cs="Times New Roman"/>
          <w:szCs w:val="24"/>
        </w:rPr>
        <w:t xml:space="preserve">sagaidāmā 2025. gada izpilde; </w:t>
      </w:r>
    </w:p>
    <w:p w14:paraId="34779FC5" w14:textId="77777777" w:rsidR="008B0630" w:rsidRPr="008B0630" w:rsidRDefault="008B0630" w:rsidP="008B0630">
      <w:pPr>
        <w:numPr>
          <w:ilvl w:val="0"/>
          <w:numId w:val="24"/>
        </w:numPr>
        <w:contextualSpacing/>
        <w:rPr>
          <w:rFonts w:eastAsia="Calibri" w:cs="Times New Roman"/>
          <w:szCs w:val="24"/>
        </w:rPr>
      </w:pPr>
      <w:r w:rsidRPr="008B0630">
        <w:rPr>
          <w:rFonts w:eastAsia="Calibri" w:cs="Times New Roman"/>
          <w:szCs w:val="24"/>
        </w:rPr>
        <w:t xml:space="preserve">plānotie grozījumi normatīvajos aktos (skat. 3.1. sadaļu); </w:t>
      </w:r>
    </w:p>
    <w:p w14:paraId="6C390781" w14:textId="77777777" w:rsidR="008B0630" w:rsidRPr="008B0630" w:rsidRDefault="008B0630" w:rsidP="008B0630">
      <w:pPr>
        <w:numPr>
          <w:ilvl w:val="0"/>
          <w:numId w:val="24"/>
        </w:numPr>
        <w:contextualSpacing/>
        <w:rPr>
          <w:rFonts w:eastAsia="Calibri" w:cs="Times New Roman"/>
          <w:szCs w:val="24"/>
        </w:rPr>
      </w:pPr>
      <w:r w:rsidRPr="008B0630">
        <w:rPr>
          <w:rFonts w:eastAsia="Calibri" w:cs="Times New Roman"/>
          <w:szCs w:val="24"/>
        </w:rPr>
        <w:t xml:space="preserve">piešķirtie termiņu pagarinājumi; </w:t>
      </w:r>
    </w:p>
    <w:p w14:paraId="62E1CFE1" w14:textId="038DE2CF" w:rsidR="008B0630" w:rsidRPr="008B0630" w:rsidRDefault="003F5E29" w:rsidP="005831B4">
      <w:pPr>
        <w:numPr>
          <w:ilvl w:val="0"/>
          <w:numId w:val="24"/>
        </w:numPr>
        <w:spacing w:after="240"/>
        <w:ind w:left="1434" w:hanging="357"/>
        <w:contextualSpacing/>
        <w:rPr>
          <w:rFonts w:eastAsia="Calibri" w:cs="Times New Roman"/>
          <w:szCs w:val="24"/>
        </w:rPr>
      </w:pPr>
      <w:r>
        <w:rPr>
          <w:rFonts w:eastAsia="Calibri" w:cs="Times New Roman"/>
          <w:szCs w:val="24"/>
        </w:rPr>
        <w:t>AN</w:t>
      </w:r>
      <w:r w:rsidR="008B0630" w:rsidRPr="008B0630">
        <w:rPr>
          <w:rFonts w:eastAsia="Calibri" w:cs="Times New Roman"/>
          <w:szCs w:val="24"/>
        </w:rPr>
        <w:t xml:space="preserve"> politika Baltijas valstīs.</w:t>
      </w:r>
    </w:p>
    <w:p w14:paraId="0BF0D9DC" w14:textId="64952C4B" w:rsidR="008B0630" w:rsidRPr="008B0630" w:rsidRDefault="008B0630" w:rsidP="008B0630">
      <w:pPr>
        <w:rPr>
          <w:rFonts w:eastAsia="Calibri" w:cs="Times New Roman"/>
          <w:szCs w:val="24"/>
        </w:rPr>
      </w:pPr>
      <w:r w:rsidRPr="008B0630">
        <w:rPr>
          <w:rFonts w:eastAsia="Calibri" w:cs="Times New Roman"/>
          <w:szCs w:val="24"/>
        </w:rPr>
        <w:t xml:space="preserve">Saskaņā ar likumprojektu “Par valsts budžetu 2026. gadam un budžeta ietvaru 2026., 2027. un 2028. gadam” kopējie </w:t>
      </w:r>
      <w:r w:rsidR="003F5E29">
        <w:rPr>
          <w:rFonts w:eastAsia="Calibri" w:cs="Times New Roman"/>
          <w:szCs w:val="24"/>
        </w:rPr>
        <w:t>AN</w:t>
      </w:r>
      <w:r w:rsidRPr="008B0630">
        <w:rPr>
          <w:rFonts w:eastAsia="Calibri" w:cs="Times New Roman"/>
          <w:szCs w:val="24"/>
        </w:rPr>
        <w:t xml:space="preserve"> ieņēmumi tiek prognozēti šādi: 2026. gadā – 1 380,8 milj. </w:t>
      </w:r>
      <w:r w:rsidRPr="008B0630">
        <w:rPr>
          <w:rFonts w:eastAsia="Calibri" w:cs="Times New Roman"/>
          <w:i/>
          <w:szCs w:val="24"/>
        </w:rPr>
        <w:t>euro</w:t>
      </w:r>
      <w:r w:rsidRPr="008B0630">
        <w:rPr>
          <w:rFonts w:eastAsia="Calibri" w:cs="Times New Roman"/>
          <w:szCs w:val="24"/>
        </w:rPr>
        <w:t>; 2027. gadā – 1 409,8 milj. </w:t>
      </w:r>
      <w:r w:rsidRPr="008B0630">
        <w:rPr>
          <w:rFonts w:eastAsia="Calibri" w:cs="Times New Roman"/>
          <w:i/>
          <w:szCs w:val="24"/>
        </w:rPr>
        <w:t>euro</w:t>
      </w:r>
      <w:r w:rsidRPr="008B0630">
        <w:rPr>
          <w:rFonts w:eastAsia="Calibri" w:cs="Times New Roman"/>
          <w:szCs w:val="24"/>
        </w:rPr>
        <w:t>; un 2028. gadā – 1 453,6 milj. </w:t>
      </w:r>
      <w:r w:rsidRPr="008B0630">
        <w:rPr>
          <w:rFonts w:eastAsia="Calibri" w:cs="Times New Roman"/>
          <w:i/>
          <w:szCs w:val="24"/>
        </w:rPr>
        <w:t>euro</w:t>
      </w:r>
      <w:r w:rsidRPr="008B0630">
        <w:rPr>
          <w:rFonts w:eastAsia="Calibri" w:cs="Times New Roman"/>
          <w:szCs w:val="24"/>
        </w:rPr>
        <w:t xml:space="preserve"> (skat. 3.12. tabulu).</w:t>
      </w:r>
    </w:p>
    <w:p w14:paraId="31E28EB6" w14:textId="1FA25886" w:rsidR="008B0630" w:rsidRPr="008B0630" w:rsidRDefault="008B0630" w:rsidP="008B0630">
      <w:pPr>
        <w:keepNext/>
        <w:keepLines/>
        <w:spacing w:before="240" w:after="0"/>
        <w:ind w:firstLine="0"/>
        <w:jc w:val="right"/>
        <w:rPr>
          <w:rFonts w:eastAsia="Calibri" w:cs="Times New Roman"/>
          <w:b/>
          <w:i/>
          <w:szCs w:val="24"/>
        </w:rPr>
      </w:pPr>
      <w:bookmarkStart w:id="121" w:name="_Hlk178865425"/>
      <w:r w:rsidRPr="008B0630">
        <w:rPr>
          <w:rFonts w:eastAsia="Calibri" w:cs="Times New Roman"/>
          <w:b/>
          <w:i/>
          <w:szCs w:val="24"/>
        </w:rPr>
        <w:t xml:space="preserve">3.12. tabula. </w:t>
      </w:r>
      <w:r w:rsidR="003F5E29">
        <w:rPr>
          <w:rFonts w:eastAsia="Calibri" w:cs="Times New Roman"/>
          <w:b/>
          <w:i/>
          <w:szCs w:val="24"/>
        </w:rPr>
        <w:t>AN</w:t>
      </w:r>
      <w:r w:rsidRPr="008B0630">
        <w:rPr>
          <w:rFonts w:eastAsia="Calibri" w:cs="Times New Roman"/>
          <w:b/>
          <w:i/>
          <w:szCs w:val="24"/>
        </w:rPr>
        <w:t xml:space="preserve"> ieņēmumi</w:t>
      </w:r>
    </w:p>
    <w:bookmarkEnd w:id="121"/>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75"/>
        <w:gridCol w:w="976"/>
        <w:gridCol w:w="910"/>
        <w:gridCol w:w="1205"/>
        <w:gridCol w:w="890"/>
      </w:tblGrid>
      <w:tr w:rsidR="008B0630" w:rsidRPr="008B0630" w14:paraId="64BDCFB5" w14:textId="77777777" w:rsidTr="00E03828">
        <w:trPr>
          <w:cantSplit/>
          <w:trHeight w:hRule="exact" w:val="227"/>
          <w:jc w:val="center"/>
        </w:trPr>
        <w:tc>
          <w:tcPr>
            <w:tcW w:w="2777" w:type="pct"/>
            <w:shd w:val="clear" w:color="auto" w:fill="9CC2E5" w:themeFill="accent1" w:themeFillTint="99"/>
            <w:vAlign w:val="center"/>
          </w:tcPr>
          <w:p w14:paraId="5B89A206"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p>
        </w:tc>
        <w:tc>
          <w:tcPr>
            <w:tcW w:w="545" w:type="pct"/>
            <w:shd w:val="clear" w:color="auto" w:fill="9CC2E5" w:themeFill="accent1" w:themeFillTint="99"/>
            <w:vAlign w:val="center"/>
          </w:tcPr>
          <w:p w14:paraId="4A19AC13"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2025</w:t>
            </w:r>
          </w:p>
        </w:tc>
        <w:tc>
          <w:tcPr>
            <w:tcW w:w="508" w:type="pct"/>
            <w:shd w:val="clear" w:color="auto" w:fill="9CC2E5" w:themeFill="accent1" w:themeFillTint="99"/>
            <w:vAlign w:val="center"/>
          </w:tcPr>
          <w:p w14:paraId="55EB4452"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2026</w:t>
            </w:r>
          </w:p>
        </w:tc>
        <w:tc>
          <w:tcPr>
            <w:tcW w:w="673" w:type="pct"/>
            <w:shd w:val="clear" w:color="auto" w:fill="9CC2E5" w:themeFill="accent1" w:themeFillTint="99"/>
            <w:vAlign w:val="center"/>
          </w:tcPr>
          <w:p w14:paraId="3DA8DB73"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2027</w:t>
            </w:r>
          </w:p>
        </w:tc>
        <w:tc>
          <w:tcPr>
            <w:tcW w:w="497" w:type="pct"/>
            <w:shd w:val="clear" w:color="auto" w:fill="9CC2E5" w:themeFill="accent1" w:themeFillTint="99"/>
            <w:vAlign w:val="center"/>
          </w:tcPr>
          <w:p w14:paraId="11F7A691"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2028</w:t>
            </w:r>
          </w:p>
        </w:tc>
      </w:tr>
      <w:tr w:rsidR="008B0630" w:rsidRPr="008B0630" w14:paraId="7BA5005D" w14:textId="77777777" w:rsidTr="00E03828">
        <w:trPr>
          <w:cantSplit/>
          <w:trHeight w:hRule="exact" w:val="454"/>
          <w:jc w:val="center"/>
        </w:trPr>
        <w:tc>
          <w:tcPr>
            <w:tcW w:w="2777" w:type="pct"/>
          </w:tcPr>
          <w:p w14:paraId="60D63416" w14:textId="77777777" w:rsidR="008B0630" w:rsidRPr="008B0630" w:rsidRDefault="008B0630" w:rsidP="008B0630">
            <w:pPr>
              <w:keepNext/>
              <w:keepLines/>
              <w:spacing w:after="0"/>
              <w:ind w:firstLine="0"/>
              <w:jc w:val="left"/>
              <w:rPr>
                <w:rFonts w:cs="Times New Roman"/>
                <w:i/>
                <w:noProof/>
                <w:sz w:val="18"/>
                <w:szCs w:val="18"/>
              </w:rPr>
            </w:pPr>
            <w:r w:rsidRPr="008B0630">
              <w:rPr>
                <w:rFonts w:cs="Times New Roman"/>
                <w:noProof/>
                <w:sz w:val="18"/>
                <w:szCs w:val="18"/>
              </w:rPr>
              <w:t>Saskaņā ar likumprojektu “Par valsts budžetu 2026. gadam un budžeta ietvaru 2026., 2027. un 2028. gadam”, milj. </w:t>
            </w:r>
            <w:r w:rsidRPr="008B0630">
              <w:rPr>
                <w:rFonts w:cs="Times New Roman"/>
                <w:i/>
                <w:iCs/>
                <w:noProof/>
                <w:sz w:val="18"/>
                <w:szCs w:val="18"/>
              </w:rPr>
              <w:t>euro</w:t>
            </w:r>
            <w:r w:rsidRPr="008B0630">
              <w:rPr>
                <w:rFonts w:cs="Times New Roman"/>
                <w:noProof/>
                <w:sz w:val="18"/>
                <w:szCs w:val="18"/>
              </w:rPr>
              <w:t xml:space="preserve"> </w:t>
            </w:r>
          </w:p>
        </w:tc>
        <w:tc>
          <w:tcPr>
            <w:tcW w:w="545" w:type="pct"/>
            <w:vAlign w:val="center"/>
          </w:tcPr>
          <w:p w14:paraId="149907F6"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18"/>
              </w:rPr>
              <w:t>1 277,5</w:t>
            </w:r>
            <w:r w:rsidRPr="008B0630">
              <w:rPr>
                <w:rFonts w:cs="Times New Roman"/>
                <w:noProof/>
                <w:sz w:val="18"/>
                <w:szCs w:val="18"/>
                <w:vertAlign w:val="superscript"/>
              </w:rPr>
              <w:t>1</w:t>
            </w:r>
          </w:p>
        </w:tc>
        <w:tc>
          <w:tcPr>
            <w:tcW w:w="508" w:type="pct"/>
            <w:vAlign w:val="center"/>
          </w:tcPr>
          <w:p w14:paraId="4DD32549"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18"/>
              </w:rPr>
              <w:t>1 380,8</w:t>
            </w:r>
          </w:p>
        </w:tc>
        <w:tc>
          <w:tcPr>
            <w:tcW w:w="673" w:type="pct"/>
            <w:vAlign w:val="center"/>
          </w:tcPr>
          <w:p w14:paraId="384A2ED9"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18"/>
              </w:rPr>
              <w:t>1 409,8</w:t>
            </w:r>
          </w:p>
        </w:tc>
        <w:tc>
          <w:tcPr>
            <w:tcW w:w="497" w:type="pct"/>
            <w:vAlign w:val="center"/>
          </w:tcPr>
          <w:p w14:paraId="10F3FFB2"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18"/>
              </w:rPr>
              <w:t>1 453,6</w:t>
            </w:r>
          </w:p>
        </w:tc>
      </w:tr>
      <w:tr w:rsidR="008B0630" w:rsidRPr="008B0630" w14:paraId="5FD58849" w14:textId="77777777" w:rsidTr="00E03828">
        <w:trPr>
          <w:cantSplit/>
          <w:trHeight w:hRule="exact" w:val="227"/>
          <w:jc w:val="center"/>
        </w:trPr>
        <w:tc>
          <w:tcPr>
            <w:tcW w:w="2777" w:type="pct"/>
          </w:tcPr>
          <w:p w14:paraId="040BF28A" w14:textId="77777777" w:rsidR="008B0630" w:rsidRPr="008B0630" w:rsidRDefault="008B0630" w:rsidP="008B0630">
            <w:pPr>
              <w:keepNext/>
              <w:keepLines/>
              <w:ind w:left="425" w:firstLine="0"/>
              <w:jc w:val="left"/>
              <w:rPr>
                <w:rFonts w:cs="Times New Roman"/>
                <w:i/>
                <w:iCs/>
                <w:sz w:val="18"/>
                <w:szCs w:val="18"/>
              </w:rPr>
            </w:pPr>
            <w:r w:rsidRPr="008B0630">
              <w:rPr>
                <w:rFonts w:cs="Times New Roman"/>
                <w:i/>
                <w:iCs/>
                <w:sz w:val="18"/>
                <w:szCs w:val="18"/>
              </w:rPr>
              <w:t>pret IKP, %</w:t>
            </w:r>
          </w:p>
        </w:tc>
        <w:tc>
          <w:tcPr>
            <w:tcW w:w="545" w:type="pct"/>
            <w:tcBorders>
              <w:top w:val="single" w:sz="4" w:space="0" w:color="auto"/>
              <w:left w:val="single" w:sz="4" w:space="0" w:color="auto"/>
              <w:bottom w:val="single" w:sz="4" w:space="0" w:color="auto"/>
              <w:right w:val="single" w:sz="4" w:space="0" w:color="auto"/>
            </w:tcBorders>
          </w:tcPr>
          <w:p w14:paraId="59644A42"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3,0</w:t>
            </w:r>
          </w:p>
        </w:tc>
        <w:tc>
          <w:tcPr>
            <w:tcW w:w="508" w:type="pct"/>
            <w:tcBorders>
              <w:top w:val="single" w:sz="4" w:space="0" w:color="auto"/>
              <w:left w:val="nil"/>
              <w:bottom w:val="single" w:sz="4" w:space="0" w:color="auto"/>
              <w:right w:val="single" w:sz="4" w:space="0" w:color="auto"/>
            </w:tcBorders>
          </w:tcPr>
          <w:p w14:paraId="7781B3AB"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3,1</w:t>
            </w:r>
          </w:p>
        </w:tc>
        <w:tc>
          <w:tcPr>
            <w:tcW w:w="673" w:type="pct"/>
            <w:tcBorders>
              <w:top w:val="single" w:sz="4" w:space="0" w:color="auto"/>
              <w:left w:val="nil"/>
              <w:bottom w:val="single" w:sz="4" w:space="0" w:color="auto"/>
              <w:right w:val="single" w:sz="4" w:space="0" w:color="auto"/>
            </w:tcBorders>
          </w:tcPr>
          <w:p w14:paraId="45D6A454"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3,1</w:t>
            </w:r>
          </w:p>
        </w:tc>
        <w:tc>
          <w:tcPr>
            <w:tcW w:w="497" w:type="pct"/>
            <w:tcBorders>
              <w:top w:val="single" w:sz="4" w:space="0" w:color="auto"/>
              <w:left w:val="nil"/>
              <w:bottom w:val="single" w:sz="4" w:space="0" w:color="auto"/>
              <w:right w:val="single" w:sz="4" w:space="0" w:color="auto"/>
            </w:tcBorders>
          </w:tcPr>
          <w:p w14:paraId="566AF212"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3,0</w:t>
            </w:r>
          </w:p>
        </w:tc>
      </w:tr>
      <w:tr w:rsidR="008B0630" w:rsidRPr="008B0630" w14:paraId="2C9ECCA3" w14:textId="77777777" w:rsidTr="00E03828">
        <w:trPr>
          <w:cantSplit/>
          <w:trHeight w:hRule="exact" w:val="454"/>
          <w:jc w:val="center"/>
        </w:trPr>
        <w:tc>
          <w:tcPr>
            <w:tcW w:w="2777" w:type="pct"/>
          </w:tcPr>
          <w:p w14:paraId="1DDA3A01"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noProof/>
                <w:sz w:val="18"/>
                <w:szCs w:val="18"/>
              </w:rPr>
              <w:t>Salīdzinājumā ar likumu “Par valsts budžetu 2025. gadam un budžeta ietvaru 2025., 2026. un 2027. gadam”, milj. </w:t>
            </w:r>
            <w:r w:rsidRPr="008B0630">
              <w:rPr>
                <w:rFonts w:cs="Times New Roman"/>
                <w:i/>
                <w:iCs/>
                <w:noProof/>
                <w:sz w:val="18"/>
                <w:szCs w:val="18"/>
              </w:rPr>
              <w:t>euro</w:t>
            </w:r>
          </w:p>
        </w:tc>
        <w:tc>
          <w:tcPr>
            <w:tcW w:w="545" w:type="pct"/>
          </w:tcPr>
          <w:p w14:paraId="57EFF7E7"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-36,5</w:t>
            </w:r>
          </w:p>
        </w:tc>
        <w:tc>
          <w:tcPr>
            <w:tcW w:w="508" w:type="pct"/>
          </w:tcPr>
          <w:p w14:paraId="2C0633F5"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-26,7</w:t>
            </w:r>
          </w:p>
        </w:tc>
        <w:tc>
          <w:tcPr>
            <w:tcW w:w="673" w:type="pct"/>
          </w:tcPr>
          <w:p w14:paraId="05040C15"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-13,2</w:t>
            </w:r>
          </w:p>
        </w:tc>
        <w:tc>
          <w:tcPr>
            <w:tcW w:w="497" w:type="pct"/>
          </w:tcPr>
          <w:p w14:paraId="07503F73"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w:t>
            </w:r>
          </w:p>
        </w:tc>
      </w:tr>
      <w:tr w:rsidR="008B0630" w:rsidRPr="008B0630" w14:paraId="79217EE5" w14:textId="77777777" w:rsidTr="00E03828">
        <w:trPr>
          <w:cantSplit/>
          <w:trHeight w:hRule="exact" w:val="454"/>
          <w:jc w:val="center"/>
        </w:trPr>
        <w:tc>
          <w:tcPr>
            <w:tcW w:w="2777" w:type="pct"/>
          </w:tcPr>
          <w:p w14:paraId="631D42FC"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noProof/>
                <w:sz w:val="18"/>
                <w:szCs w:val="18"/>
              </w:rPr>
              <w:t>Salīdzinājumā ar likumu “Par valsts budžetu 2025. gadam un budžeta ietvaru 2025., 2026. un 2027. gadam”, %</w:t>
            </w:r>
          </w:p>
        </w:tc>
        <w:tc>
          <w:tcPr>
            <w:tcW w:w="545" w:type="pct"/>
          </w:tcPr>
          <w:p w14:paraId="749F991B"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-2,8</w:t>
            </w:r>
          </w:p>
        </w:tc>
        <w:tc>
          <w:tcPr>
            <w:tcW w:w="508" w:type="pct"/>
          </w:tcPr>
          <w:p w14:paraId="29C19FAA"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-1,9</w:t>
            </w:r>
          </w:p>
        </w:tc>
        <w:tc>
          <w:tcPr>
            <w:tcW w:w="673" w:type="pct"/>
          </w:tcPr>
          <w:p w14:paraId="0417042B"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-0,9</w:t>
            </w:r>
          </w:p>
        </w:tc>
        <w:tc>
          <w:tcPr>
            <w:tcW w:w="497" w:type="pct"/>
          </w:tcPr>
          <w:p w14:paraId="02079D12"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18"/>
              </w:rPr>
              <w:t>—</w:t>
            </w:r>
          </w:p>
        </w:tc>
      </w:tr>
    </w:tbl>
    <w:p w14:paraId="150E22B7"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5A5672E9" w14:textId="77777777" w:rsidR="008B0630" w:rsidRPr="008B0630" w:rsidRDefault="008B0630" w:rsidP="008B0630">
      <w:pPr>
        <w:keepNext/>
        <w:keepLines/>
        <w:spacing w:before="240" w:after="240"/>
        <w:ind w:firstLine="0"/>
        <w:jc w:val="center"/>
        <w:outlineLvl w:val="4"/>
        <w:rPr>
          <w:rFonts w:eastAsia="Calibri" w:cs="Times New Roman"/>
          <w:b/>
          <w:bCs/>
          <w:noProof/>
          <w:szCs w:val="24"/>
          <w:lang w:eastAsia="en-US"/>
        </w:rPr>
      </w:pPr>
      <w:r w:rsidRPr="008B0630">
        <w:rPr>
          <w:rFonts w:eastAsia="Calibri" w:cs="Times New Roman"/>
          <w:b/>
          <w:bCs/>
          <w:noProof/>
          <w:szCs w:val="24"/>
          <w:lang w:eastAsia="en-US"/>
        </w:rPr>
        <w:t>Akcīzes nodoklis naftas produktiem</w:t>
      </w:r>
    </w:p>
    <w:p w14:paraId="418349D5" w14:textId="0AB45608" w:rsidR="008B0630" w:rsidRPr="008B0630" w:rsidRDefault="008B0630" w:rsidP="008B0630">
      <w:pPr>
        <w:rPr>
          <w:rFonts w:cs="Times New Roman"/>
        </w:rPr>
      </w:pPr>
      <w:r w:rsidRPr="008B0630">
        <w:rPr>
          <w:rFonts w:cs="Times New Roman"/>
        </w:rPr>
        <w:t xml:space="preserve">2025. gada 1. pusgadā </w:t>
      </w:r>
      <w:r w:rsidR="003F5E29">
        <w:rPr>
          <w:rFonts w:cs="Times New Roman"/>
        </w:rPr>
        <w:t>AN</w:t>
      </w:r>
      <w:r w:rsidRPr="008B0630">
        <w:rPr>
          <w:rFonts w:cs="Times New Roman"/>
        </w:rPr>
        <w:t xml:space="preserve"> ieņēmumi no naftas produktiem bija 296,9 milj. </w:t>
      </w:r>
      <w:r w:rsidRPr="008B0630">
        <w:rPr>
          <w:rFonts w:cs="Times New Roman"/>
          <w:i/>
        </w:rPr>
        <w:t>euro</w:t>
      </w:r>
      <w:r w:rsidRPr="008B0630">
        <w:rPr>
          <w:rFonts w:cs="Times New Roman"/>
        </w:rPr>
        <w:t xml:space="preserve">. </w:t>
      </w:r>
      <w:r w:rsidRPr="008B0630">
        <w:rPr>
          <w:rFonts w:eastAsia="Calibri" w:cs="Times New Roman"/>
          <w:szCs w:val="24"/>
        </w:rPr>
        <w:t xml:space="preserve">Salīdzinājumā </w:t>
      </w:r>
      <w:r w:rsidRPr="008B0630">
        <w:rPr>
          <w:rFonts w:cs="Times New Roman"/>
        </w:rPr>
        <w:t>ar 2024. gada 1. pusgadu, tie palielinājās par 15,7 milj. </w:t>
      </w:r>
      <w:r w:rsidRPr="008B0630">
        <w:rPr>
          <w:rFonts w:cs="Times New Roman"/>
          <w:i/>
        </w:rPr>
        <w:t>euro</w:t>
      </w:r>
      <w:r w:rsidRPr="008B0630">
        <w:rPr>
          <w:rFonts w:cs="Times New Roman"/>
        </w:rPr>
        <w:t xml:space="preserve"> jeb 5,6 %, bet </w:t>
      </w:r>
      <w:r w:rsidRPr="008B0630">
        <w:rPr>
          <w:rFonts w:eastAsia="Calibri" w:cs="Times New Roman"/>
          <w:szCs w:val="24"/>
        </w:rPr>
        <w:t xml:space="preserve">salīdzinājumā </w:t>
      </w:r>
      <w:r w:rsidRPr="008B0630">
        <w:rPr>
          <w:rFonts w:cs="Times New Roman"/>
        </w:rPr>
        <w:t>ar plānoto tika iekasēts par 11,1 milj. </w:t>
      </w:r>
      <w:r w:rsidRPr="008B0630">
        <w:rPr>
          <w:rFonts w:cs="Times New Roman"/>
          <w:i/>
        </w:rPr>
        <w:t>euro</w:t>
      </w:r>
      <w:r w:rsidRPr="008B0630">
        <w:rPr>
          <w:rFonts w:cs="Times New Roman"/>
        </w:rPr>
        <w:t xml:space="preserve"> jeb 3,6 % mazāk. </w:t>
      </w:r>
      <w:r w:rsidRPr="008B0630">
        <w:rPr>
          <w:rFonts w:eastAsia="Calibri" w:cs="Times New Roman"/>
          <w:szCs w:val="24"/>
        </w:rPr>
        <w:t xml:space="preserve">Ieņēmumu dinamiku noteica divi faktori: </w:t>
      </w:r>
      <w:r w:rsidRPr="008B0630">
        <w:rPr>
          <w:rFonts w:cs="Times New Roman"/>
        </w:rPr>
        <w:t xml:space="preserve">naftas produktu </w:t>
      </w:r>
      <w:r w:rsidRPr="008B0630">
        <w:rPr>
          <w:rFonts w:eastAsia="Calibri" w:cs="Times New Roman"/>
          <w:szCs w:val="24"/>
        </w:rPr>
        <w:t xml:space="preserve">patēriņam nodotā daudzuma dinamika un šogad veiktā likmju paaugstināšana. </w:t>
      </w:r>
      <w:r w:rsidRPr="008B0630">
        <w:rPr>
          <w:rFonts w:cs="Times New Roman"/>
        </w:rPr>
        <w:t>Saskaņā ar VID informāciju</w:t>
      </w:r>
      <w:r w:rsidRPr="008B0630">
        <w:rPr>
          <w:rFonts w:eastAsia="Calibri" w:cs="Times New Roman"/>
          <w:szCs w:val="24"/>
        </w:rPr>
        <w:t xml:space="preserve">, 2025. gada pārskata periodā </w:t>
      </w:r>
      <w:r w:rsidRPr="008B0630">
        <w:rPr>
          <w:rFonts w:cs="Times New Roman"/>
        </w:rPr>
        <w:t>(</w:t>
      </w:r>
      <w:r w:rsidRPr="008B0630">
        <w:rPr>
          <w:rFonts w:eastAsia="Calibri" w:cs="Times New Roman"/>
          <w:szCs w:val="24"/>
        </w:rPr>
        <w:t xml:space="preserve">iepriekšējā gada decembris un tekošā gada pieci mēneši), salīdzinājumā ar 2024. gada pārskata periodu, </w:t>
      </w:r>
      <w:bookmarkStart w:id="122" w:name="_Hlk148433258"/>
      <w:r w:rsidRPr="008B0630">
        <w:rPr>
          <w:rFonts w:cs="Times New Roman"/>
        </w:rPr>
        <w:t xml:space="preserve">kopējais naftas produktu </w:t>
      </w:r>
      <w:r w:rsidRPr="008B0630">
        <w:rPr>
          <w:rFonts w:eastAsia="Calibri" w:cs="Times New Roman"/>
          <w:szCs w:val="24"/>
        </w:rPr>
        <w:t>patēriņam nodotais daudzums</w:t>
      </w:r>
      <w:r w:rsidRPr="008B0630">
        <w:rPr>
          <w:rFonts w:cs="Times New Roman"/>
        </w:rPr>
        <w:t xml:space="preserve"> </w:t>
      </w:r>
      <w:bookmarkEnd w:id="122"/>
      <w:r w:rsidRPr="008B0630">
        <w:rPr>
          <w:rFonts w:cs="Times New Roman"/>
        </w:rPr>
        <w:t xml:space="preserve">samazinājās par 2,5 %, tostarp: dīzeļdegvielas </w:t>
      </w:r>
      <w:r w:rsidRPr="008B0630">
        <w:rPr>
          <w:rFonts w:eastAsia="Calibri" w:cs="Times New Roman"/>
          <w:szCs w:val="24"/>
        </w:rPr>
        <w:t>patēriņam nodotais daudzums</w:t>
      </w:r>
      <w:r w:rsidRPr="008B0630">
        <w:rPr>
          <w:rFonts w:cs="Times New Roman"/>
        </w:rPr>
        <w:t xml:space="preserve"> palielinājās par 0,6 %; sašķidrinātās naftas gāzes </w:t>
      </w:r>
      <w:r w:rsidRPr="008B0630">
        <w:rPr>
          <w:rFonts w:eastAsia="Calibri" w:cs="Times New Roman"/>
          <w:szCs w:val="24"/>
        </w:rPr>
        <w:t>patēriņam nodotais daudzums</w:t>
      </w:r>
      <w:r w:rsidRPr="008B0630">
        <w:rPr>
          <w:rFonts w:cs="Times New Roman"/>
        </w:rPr>
        <w:t xml:space="preserve"> samazinājās par 15,2 %; kopējais benzīna </w:t>
      </w:r>
      <w:r w:rsidRPr="008B0630">
        <w:rPr>
          <w:rFonts w:eastAsia="Calibri" w:cs="Times New Roman"/>
          <w:szCs w:val="24"/>
        </w:rPr>
        <w:t>patēriņam nodotais daudzums</w:t>
      </w:r>
      <w:r w:rsidRPr="008B0630">
        <w:rPr>
          <w:rFonts w:cs="Times New Roman"/>
        </w:rPr>
        <w:t xml:space="preserve"> palielinājās par 2,6%; degvieleļļas un petrolejas </w:t>
      </w:r>
      <w:r w:rsidRPr="008B0630">
        <w:rPr>
          <w:rFonts w:eastAsia="Calibri" w:cs="Times New Roman"/>
          <w:szCs w:val="24"/>
        </w:rPr>
        <w:t>patēriņam nodotais daudzums</w:t>
      </w:r>
      <w:r w:rsidRPr="008B0630">
        <w:rPr>
          <w:rFonts w:cs="Times New Roman"/>
        </w:rPr>
        <w:t xml:space="preserve"> samazinājās attiecīgi par 33,0 % un 5,6%.</w:t>
      </w:r>
    </w:p>
    <w:p w14:paraId="64B44D83" w14:textId="2D2BE0B0" w:rsidR="008B0630" w:rsidRPr="008B0630" w:rsidRDefault="008B0630" w:rsidP="008B0630">
      <w:pPr>
        <w:rPr>
          <w:rFonts w:eastAsia="Calibri" w:cs="Times New Roman"/>
          <w:szCs w:val="24"/>
          <w:highlight w:val="yellow"/>
        </w:rPr>
      </w:pPr>
      <w:r w:rsidRPr="008B0630">
        <w:rPr>
          <w:rFonts w:cs="Times New Roman"/>
        </w:rPr>
        <w:t xml:space="preserve">Saskaņā ar likumprojektu “Par valsts budžetu 2026. gadam un budžeta ietvaru 2026., 2027. un 2028. gadam” </w:t>
      </w:r>
      <w:r w:rsidR="003F5E29">
        <w:rPr>
          <w:rFonts w:cs="Times New Roman"/>
        </w:rPr>
        <w:t>AN</w:t>
      </w:r>
      <w:r w:rsidRPr="008B0630">
        <w:rPr>
          <w:rFonts w:cs="Times New Roman"/>
        </w:rPr>
        <w:t xml:space="preserve"> ieņēmumi no naftas produktiem </w:t>
      </w:r>
      <w:r w:rsidRPr="008B0630">
        <w:rPr>
          <w:rFonts w:eastAsia="Calibri" w:cs="Times New Roman"/>
          <w:szCs w:val="24"/>
        </w:rPr>
        <w:t xml:space="preserve">tiek prognozēti šādi: </w:t>
      </w:r>
      <w:r w:rsidRPr="008B0630">
        <w:rPr>
          <w:rFonts w:cs="Times New Roman"/>
        </w:rPr>
        <w:t xml:space="preserve">2026. gadā – </w:t>
      </w:r>
      <w:r w:rsidRPr="008B0630">
        <w:rPr>
          <w:rFonts w:cs="Times New Roman"/>
        </w:rPr>
        <w:lastRenderedPageBreak/>
        <w:t>678,8 </w:t>
      </w:r>
      <w:r w:rsidRPr="008B0630">
        <w:rPr>
          <w:rFonts w:eastAsia="Calibri" w:cs="Times New Roman"/>
          <w:szCs w:val="24"/>
        </w:rPr>
        <w:t>milj. </w:t>
      </w:r>
      <w:r w:rsidRPr="008B0630">
        <w:rPr>
          <w:rFonts w:eastAsia="Calibri" w:cs="Times New Roman"/>
          <w:i/>
          <w:szCs w:val="24"/>
        </w:rPr>
        <w:t>euro</w:t>
      </w:r>
      <w:r w:rsidRPr="008B0630">
        <w:rPr>
          <w:rFonts w:cs="Times New Roman"/>
        </w:rPr>
        <w:t>; 2027. gadā – 674,2 </w:t>
      </w:r>
      <w:r w:rsidRPr="008B0630">
        <w:rPr>
          <w:rFonts w:eastAsia="Calibri" w:cs="Times New Roman"/>
          <w:szCs w:val="24"/>
        </w:rPr>
        <w:t>milj. </w:t>
      </w:r>
      <w:r w:rsidRPr="008B0630">
        <w:rPr>
          <w:rFonts w:eastAsia="Calibri" w:cs="Times New Roman"/>
          <w:i/>
          <w:szCs w:val="24"/>
        </w:rPr>
        <w:t>euro</w:t>
      </w:r>
      <w:r w:rsidRPr="008B0630">
        <w:rPr>
          <w:rFonts w:cs="Times New Roman"/>
        </w:rPr>
        <w:t>; un 2028. gadā – 696,3 </w:t>
      </w:r>
      <w:r w:rsidRPr="008B0630">
        <w:rPr>
          <w:rFonts w:eastAsia="Calibri" w:cs="Times New Roman"/>
          <w:szCs w:val="24"/>
        </w:rPr>
        <w:t>milj. </w:t>
      </w:r>
      <w:r w:rsidRPr="008B0630">
        <w:rPr>
          <w:rFonts w:eastAsia="Calibri" w:cs="Times New Roman"/>
          <w:i/>
          <w:szCs w:val="24"/>
        </w:rPr>
        <w:t>euro</w:t>
      </w:r>
      <w:r w:rsidRPr="008B0630">
        <w:rPr>
          <w:rFonts w:cs="Times New Roman"/>
        </w:rPr>
        <w:t>. I</w:t>
      </w:r>
      <w:r w:rsidRPr="008B0630">
        <w:rPr>
          <w:rFonts w:eastAsia="Calibri" w:cs="Times New Roman"/>
          <w:szCs w:val="24"/>
        </w:rPr>
        <w:t xml:space="preserve">eņēmumu prognozi vidējā termiņā pamatā nosaka prognozētā naftas produktu patēriņa dinamika un 3.1. sadaļā minētie pasākumi. Prognozēs tiek ņemta vērā Lietuvas un Igaunijas </w:t>
      </w:r>
      <w:r w:rsidR="003F5E29">
        <w:rPr>
          <w:rFonts w:eastAsia="Calibri" w:cs="Times New Roman"/>
          <w:szCs w:val="24"/>
        </w:rPr>
        <w:t>AN</w:t>
      </w:r>
      <w:r w:rsidRPr="008B0630">
        <w:rPr>
          <w:rFonts w:eastAsia="Calibri" w:cs="Times New Roman"/>
          <w:szCs w:val="24"/>
        </w:rPr>
        <w:t xml:space="preserve"> politika attiecībā uz naftas produktiem.</w:t>
      </w:r>
    </w:p>
    <w:p w14:paraId="740E9253" w14:textId="77777777" w:rsidR="008B0630" w:rsidRPr="008B0630" w:rsidRDefault="008B0630" w:rsidP="008B0630">
      <w:pPr>
        <w:keepNext/>
        <w:keepLines/>
        <w:spacing w:before="240" w:after="240"/>
        <w:ind w:firstLine="0"/>
        <w:jc w:val="center"/>
        <w:outlineLvl w:val="4"/>
        <w:rPr>
          <w:rFonts w:eastAsia="Times New Roman" w:cs="Times New Roman"/>
          <w:b/>
          <w:iCs/>
          <w:szCs w:val="18"/>
          <w:lang w:eastAsia="en-US"/>
        </w:rPr>
      </w:pPr>
      <w:bookmarkStart w:id="123" w:name="_Hlk125024981"/>
      <w:r w:rsidRPr="008B0630">
        <w:rPr>
          <w:rFonts w:eastAsia="Times New Roman" w:cs="Times New Roman"/>
          <w:b/>
          <w:iCs/>
          <w:szCs w:val="18"/>
          <w:lang w:eastAsia="en-US"/>
        </w:rPr>
        <w:t>Akcīzes nodoklis alkoholiskajiem dzērieniem un alum</w:t>
      </w:r>
    </w:p>
    <w:p w14:paraId="6E105E07" w14:textId="0480D36E" w:rsidR="008B0630" w:rsidRPr="008B0630" w:rsidRDefault="008B0630" w:rsidP="008B0630">
      <w:pPr>
        <w:rPr>
          <w:rFonts w:eastAsia="Calibri" w:cs="Times New Roman"/>
          <w:szCs w:val="24"/>
        </w:rPr>
      </w:pPr>
      <w:r w:rsidRPr="008B0630">
        <w:rPr>
          <w:rFonts w:eastAsia="Calibri" w:cs="Times New Roman"/>
          <w:szCs w:val="24"/>
        </w:rPr>
        <w:t xml:space="preserve">2025. gada 1. pusgadā </w:t>
      </w:r>
      <w:r w:rsidR="003F5E29">
        <w:rPr>
          <w:rFonts w:eastAsia="Calibri" w:cs="Times New Roman"/>
          <w:szCs w:val="24"/>
        </w:rPr>
        <w:t>AN</w:t>
      </w:r>
      <w:r w:rsidRPr="008B0630">
        <w:rPr>
          <w:rFonts w:eastAsia="Calibri" w:cs="Times New Roman"/>
          <w:szCs w:val="24"/>
        </w:rPr>
        <w:t xml:space="preserve"> ieņēmumi no alkoholiskajiem dzērieniem un alum bija 131,9 milj. </w:t>
      </w:r>
      <w:r w:rsidRPr="008B0630">
        <w:rPr>
          <w:rFonts w:eastAsia="Calibri" w:cs="Times New Roman"/>
          <w:i/>
          <w:iCs/>
          <w:szCs w:val="24"/>
        </w:rPr>
        <w:t>euro</w:t>
      </w:r>
      <w:r w:rsidRPr="008B0630">
        <w:rPr>
          <w:rFonts w:eastAsia="Calibri" w:cs="Times New Roman"/>
          <w:szCs w:val="24"/>
        </w:rPr>
        <w:t xml:space="preserve">. Salīdzinājumā ar 2024. gada 1. pusgadu, tie </w:t>
      </w:r>
      <w:r w:rsidRPr="008B0630">
        <w:rPr>
          <w:rFonts w:cs="Times New Roman"/>
        </w:rPr>
        <w:t xml:space="preserve">samazinājās </w:t>
      </w:r>
      <w:r w:rsidRPr="008B0630">
        <w:rPr>
          <w:rFonts w:eastAsia="Calibri" w:cs="Times New Roman"/>
          <w:szCs w:val="24"/>
        </w:rPr>
        <w:t>par 0,2 milj. </w:t>
      </w:r>
      <w:r w:rsidRPr="008B0630">
        <w:rPr>
          <w:rFonts w:eastAsia="Calibri" w:cs="Times New Roman"/>
          <w:i/>
          <w:iCs/>
          <w:szCs w:val="24"/>
        </w:rPr>
        <w:t>euro</w:t>
      </w:r>
      <w:r w:rsidRPr="008B0630">
        <w:rPr>
          <w:rFonts w:eastAsia="Calibri" w:cs="Times New Roman"/>
          <w:szCs w:val="24"/>
        </w:rPr>
        <w:t xml:space="preserve"> jeb 0,2%, bet salīdzinājumā ar plānoto tika iekasēts par 11,3 milj. </w:t>
      </w:r>
      <w:r w:rsidRPr="008B0630">
        <w:rPr>
          <w:rFonts w:eastAsia="Calibri" w:cs="Times New Roman"/>
          <w:i/>
          <w:iCs/>
          <w:szCs w:val="24"/>
        </w:rPr>
        <w:t>euro</w:t>
      </w:r>
      <w:r w:rsidRPr="008B0630">
        <w:rPr>
          <w:rFonts w:eastAsia="Calibri" w:cs="Times New Roman"/>
          <w:szCs w:val="24"/>
        </w:rPr>
        <w:t xml:space="preserve"> jeb 7,9% mazāk. Ieņēmumu dinamiku noteica divi faktori: alkoholisko dzērienu un alus patēriņam nodotā daudzuma dinamika un šogad veiktā likmju paaugstināšana. Saskaņā ar VID informāciju, 2025. gada pārskata periodā, salīdzinājumā ar 2024. gada pārskata periodu, alkoholisko dzērienu (neieskaitot alu) patēriņam nodotais apjoms (dekalitros) bija par 7,2% mazāks, tostarp: pārējo alkoholisko dzērienu patēriņam nodotais apjoms </w:t>
      </w:r>
      <w:bookmarkStart w:id="124" w:name="_Hlk210295419"/>
      <w:r w:rsidRPr="008B0630">
        <w:rPr>
          <w:rFonts w:eastAsia="Calibri" w:cs="Times New Roman"/>
          <w:szCs w:val="24"/>
        </w:rPr>
        <w:t xml:space="preserve">samazinājās </w:t>
      </w:r>
      <w:bookmarkEnd w:id="124"/>
      <w:r w:rsidRPr="008B0630">
        <w:rPr>
          <w:rFonts w:eastAsia="Calibri" w:cs="Times New Roman"/>
          <w:szCs w:val="24"/>
        </w:rPr>
        <w:t xml:space="preserve">par 8,6%; starpproduktu – par 12,2%; bet vīna un raudzēto dzērienu – par 4,6%. Savukārt alus patēriņam nodotais daudzums minētajā periodā samazinājās par 4,2%. </w:t>
      </w:r>
    </w:p>
    <w:p w14:paraId="04F437B2" w14:textId="1B0A43D2" w:rsidR="008B0630" w:rsidRPr="008B0630" w:rsidRDefault="008B0630" w:rsidP="008B0630">
      <w:pPr>
        <w:rPr>
          <w:rFonts w:eastAsia="Calibri" w:cs="Times New Roman"/>
          <w:szCs w:val="24"/>
        </w:rPr>
      </w:pPr>
      <w:r w:rsidRPr="008B0630">
        <w:rPr>
          <w:rFonts w:cs="Times New Roman"/>
        </w:rPr>
        <w:t xml:space="preserve">Saskaņā ar likumprojektu “Par valsts budžetu 2026. gadam un budžeta ietvaru 2026., 2027. un 2028. gadam” </w:t>
      </w:r>
      <w:r w:rsidR="003F5E29">
        <w:rPr>
          <w:rFonts w:eastAsia="Calibri" w:cs="Times New Roman"/>
          <w:szCs w:val="24"/>
        </w:rPr>
        <w:t>AN</w:t>
      </w:r>
      <w:r w:rsidRPr="008B0630">
        <w:rPr>
          <w:rFonts w:eastAsia="Calibri" w:cs="Times New Roman"/>
          <w:szCs w:val="24"/>
        </w:rPr>
        <w:t xml:space="preserve"> ieņēmumi no alkoholiskajiem dzērieniem un alum tiek prognozēti šādi: 2026. gadā</w:t>
      </w:r>
      <w:r w:rsidRPr="008B0630">
        <w:rPr>
          <w:rFonts w:cs="Times New Roman"/>
        </w:rPr>
        <w:t xml:space="preserve"> – </w:t>
      </w:r>
      <w:r w:rsidRPr="008B0630">
        <w:rPr>
          <w:rFonts w:eastAsia="Calibri" w:cs="Times New Roman"/>
          <w:szCs w:val="24"/>
        </w:rPr>
        <w:t>311,5 milj. </w:t>
      </w:r>
      <w:r w:rsidRPr="008B0630">
        <w:rPr>
          <w:rFonts w:eastAsia="Calibri" w:cs="Times New Roman"/>
          <w:i/>
          <w:szCs w:val="24"/>
        </w:rPr>
        <w:t>euro</w:t>
      </w:r>
      <w:r w:rsidRPr="008B0630">
        <w:rPr>
          <w:rFonts w:eastAsia="Calibri" w:cs="Times New Roman"/>
          <w:szCs w:val="24"/>
        </w:rPr>
        <w:t>; 2027. gadā</w:t>
      </w:r>
      <w:r w:rsidRPr="008B0630">
        <w:rPr>
          <w:rFonts w:cs="Times New Roman"/>
        </w:rPr>
        <w:t xml:space="preserve"> – </w:t>
      </w:r>
      <w:r w:rsidRPr="008B0630">
        <w:rPr>
          <w:rFonts w:eastAsia="Calibri" w:cs="Times New Roman"/>
          <w:szCs w:val="24"/>
        </w:rPr>
        <w:t>328,4  milj. </w:t>
      </w:r>
      <w:r w:rsidRPr="008B0630">
        <w:rPr>
          <w:rFonts w:eastAsia="Calibri" w:cs="Times New Roman"/>
          <w:i/>
          <w:szCs w:val="24"/>
        </w:rPr>
        <w:t>euro</w:t>
      </w:r>
      <w:r w:rsidRPr="008B0630">
        <w:rPr>
          <w:rFonts w:eastAsia="Calibri" w:cs="Times New Roman"/>
          <w:szCs w:val="24"/>
        </w:rPr>
        <w:t>; un 2028. gadā</w:t>
      </w:r>
      <w:r w:rsidRPr="008B0630">
        <w:rPr>
          <w:rFonts w:cs="Times New Roman"/>
        </w:rPr>
        <w:t xml:space="preserve"> – </w:t>
      </w:r>
      <w:r w:rsidRPr="008B0630">
        <w:rPr>
          <w:rFonts w:eastAsia="Calibri" w:cs="Times New Roman"/>
          <w:szCs w:val="24"/>
        </w:rPr>
        <w:t>337,2  milj. </w:t>
      </w:r>
      <w:r w:rsidRPr="008B0630">
        <w:rPr>
          <w:rFonts w:eastAsia="Calibri" w:cs="Times New Roman"/>
          <w:i/>
          <w:szCs w:val="24"/>
        </w:rPr>
        <w:t>euro</w:t>
      </w:r>
      <w:r w:rsidRPr="008B0630">
        <w:rPr>
          <w:rFonts w:eastAsia="Calibri" w:cs="Times New Roman"/>
          <w:szCs w:val="24"/>
        </w:rPr>
        <w:t xml:space="preserve">. </w:t>
      </w:r>
      <w:r w:rsidRPr="008B0630">
        <w:rPr>
          <w:rFonts w:cs="Times New Roman"/>
        </w:rPr>
        <w:t>I</w:t>
      </w:r>
      <w:r w:rsidRPr="008B0630">
        <w:rPr>
          <w:rFonts w:eastAsia="Calibri" w:cs="Times New Roman"/>
          <w:szCs w:val="24"/>
        </w:rPr>
        <w:t xml:space="preserve">eņēmumu prognozi vidējā termiņā pamatā nosaka prognozētā alkoholisko dzērienu un alus patēriņa dinamika un 3.1. sadaļā minētie pasākumi. Prognozēs tiek ņemta vērā Lietuvas un Igaunijas </w:t>
      </w:r>
      <w:r w:rsidR="003F5E29">
        <w:rPr>
          <w:rFonts w:eastAsia="Calibri" w:cs="Times New Roman"/>
          <w:szCs w:val="24"/>
        </w:rPr>
        <w:t>AN</w:t>
      </w:r>
      <w:r w:rsidRPr="008B0630">
        <w:rPr>
          <w:rFonts w:eastAsia="Calibri" w:cs="Times New Roman"/>
          <w:szCs w:val="24"/>
        </w:rPr>
        <w:t xml:space="preserve"> politika attiecībā uz alkoholiskajiem dzērieniem un alum.</w:t>
      </w:r>
    </w:p>
    <w:bookmarkEnd w:id="123"/>
    <w:p w14:paraId="2809529A" w14:textId="77777777" w:rsidR="008B0630" w:rsidRPr="008B0630" w:rsidRDefault="008B0630" w:rsidP="008B0630">
      <w:pPr>
        <w:keepNext/>
        <w:keepLines/>
        <w:spacing w:before="240" w:after="240"/>
        <w:ind w:firstLine="0"/>
        <w:jc w:val="center"/>
        <w:outlineLvl w:val="4"/>
        <w:rPr>
          <w:rFonts w:eastAsia="Times New Roman" w:cs="Times New Roman"/>
          <w:b/>
          <w:iCs/>
          <w:szCs w:val="18"/>
          <w:lang w:eastAsia="en-US"/>
        </w:rPr>
      </w:pPr>
      <w:r w:rsidRPr="008B0630">
        <w:rPr>
          <w:rFonts w:eastAsia="Times New Roman" w:cs="Times New Roman"/>
          <w:b/>
          <w:iCs/>
          <w:szCs w:val="18"/>
          <w:lang w:eastAsia="en-US"/>
        </w:rPr>
        <w:t>Akcīzes nodoklis tabakas izstrādājumiem</w:t>
      </w:r>
    </w:p>
    <w:p w14:paraId="08B2947F" w14:textId="3A05FF6E" w:rsidR="008B0630" w:rsidRPr="008B0630" w:rsidRDefault="008B0630" w:rsidP="008B0630">
      <w:pPr>
        <w:spacing w:before="120"/>
        <w:rPr>
          <w:rFonts w:eastAsia="Calibri" w:cs="Times New Roman"/>
          <w:szCs w:val="24"/>
        </w:rPr>
      </w:pPr>
      <w:r w:rsidRPr="008B0630">
        <w:rPr>
          <w:rFonts w:eastAsia="Calibri" w:cs="Times New Roman"/>
          <w:szCs w:val="24"/>
        </w:rPr>
        <w:t xml:space="preserve">2025. gada 1. pusgadā </w:t>
      </w:r>
      <w:r w:rsidR="003F5E29">
        <w:rPr>
          <w:rFonts w:eastAsia="Calibri" w:cs="Times New Roman"/>
          <w:szCs w:val="24"/>
        </w:rPr>
        <w:t>AN</w:t>
      </w:r>
      <w:r w:rsidRPr="008B0630">
        <w:rPr>
          <w:rFonts w:eastAsia="Calibri" w:cs="Times New Roman"/>
          <w:szCs w:val="24"/>
        </w:rPr>
        <w:t xml:space="preserve"> ieņēmumi no tabakas izstrādājumiem bija 141,6 milj. </w:t>
      </w:r>
      <w:r w:rsidRPr="008B0630">
        <w:rPr>
          <w:rFonts w:eastAsia="Calibri" w:cs="Times New Roman"/>
          <w:i/>
          <w:iCs/>
          <w:szCs w:val="24"/>
        </w:rPr>
        <w:t>euro</w:t>
      </w:r>
      <w:r w:rsidRPr="008B0630">
        <w:rPr>
          <w:rFonts w:eastAsia="Calibri" w:cs="Times New Roman"/>
          <w:szCs w:val="24"/>
        </w:rPr>
        <w:t>. Salīdzinājumā ar 2024. gada 1. pusgadu, tie palielinājās par 6,3 milj. </w:t>
      </w:r>
      <w:r w:rsidRPr="008B0630">
        <w:rPr>
          <w:rFonts w:eastAsia="Calibri" w:cs="Times New Roman"/>
          <w:i/>
          <w:iCs/>
          <w:szCs w:val="24"/>
        </w:rPr>
        <w:t>euro</w:t>
      </w:r>
      <w:r w:rsidRPr="008B0630">
        <w:rPr>
          <w:rFonts w:eastAsia="Calibri" w:cs="Times New Roman"/>
          <w:szCs w:val="24"/>
        </w:rPr>
        <w:t xml:space="preserve"> jeb 4,6%, bet salīdzinājumā ar plānoto tika iekasēts par 3,9 milj. </w:t>
      </w:r>
      <w:r w:rsidRPr="008B0630">
        <w:rPr>
          <w:rFonts w:eastAsia="Calibri" w:cs="Times New Roman"/>
          <w:i/>
          <w:iCs/>
          <w:szCs w:val="24"/>
        </w:rPr>
        <w:t>euro</w:t>
      </w:r>
      <w:r w:rsidRPr="008B0630">
        <w:rPr>
          <w:rFonts w:eastAsia="Calibri" w:cs="Times New Roman"/>
          <w:szCs w:val="24"/>
        </w:rPr>
        <w:t xml:space="preserve"> jeb 2,7% mazāk. Ieņēmumu dinamiku noteica divi faktori: tabakas izstrādājumu patēriņam nodotā daudzuma dinamika un šogad veiktā likmju paaugstināšana. Saskaņā ar VID informāciju, 2025. gada pārskata periodā, salīdzinājumā ar 2024. gada pārskata periodu, cigarešu patēriņam nodotais daudzums samazinājās par 9,1 %; cigāru un cigarillu daudzums </w:t>
      </w:r>
      <w:r w:rsidRPr="008B0630">
        <w:rPr>
          <w:rFonts w:cs="Times New Roman"/>
          <w:sz w:val="18"/>
          <w:szCs w:val="18"/>
        </w:rPr>
        <w:t xml:space="preserve">– </w:t>
      </w:r>
      <w:r w:rsidRPr="008B0630">
        <w:rPr>
          <w:rFonts w:eastAsia="Calibri" w:cs="Times New Roman"/>
          <w:szCs w:val="24"/>
        </w:rPr>
        <w:t>par 17,7%; smēķējamās tabakas – par 4,0%; un karsējamās tabakas – par 2,5%.</w:t>
      </w:r>
    </w:p>
    <w:p w14:paraId="45F7889B" w14:textId="34695606" w:rsidR="008B0630" w:rsidRPr="008B0630" w:rsidRDefault="008B0630" w:rsidP="008B0630">
      <w:pPr>
        <w:rPr>
          <w:rFonts w:eastAsia="Calibri" w:cs="Times New Roman"/>
          <w:szCs w:val="24"/>
        </w:rPr>
      </w:pPr>
      <w:r w:rsidRPr="008B0630">
        <w:rPr>
          <w:rFonts w:cs="Times New Roman"/>
        </w:rPr>
        <w:t xml:space="preserve">Saskaņā ar likumprojektu “Par valsts budžetu 2026. gadam un budžeta ietvaru 2026., 2027. un 2028. gadam” </w:t>
      </w:r>
      <w:r w:rsidR="003F5E29">
        <w:rPr>
          <w:rFonts w:eastAsia="Calibri" w:cs="Times New Roman"/>
          <w:szCs w:val="24"/>
        </w:rPr>
        <w:t>AN</w:t>
      </w:r>
      <w:r w:rsidRPr="008B0630">
        <w:rPr>
          <w:rFonts w:eastAsia="Calibri" w:cs="Times New Roman"/>
          <w:szCs w:val="24"/>
        </w:rPr>
        <w:t xml:space="preserve"> ieņēmumi no </w:t>
      </w:r>
      <w:r w:rsidRPr="008B0630">
        <w:rPr>
          <w:rFonts w:eastAsia="Calibri" w:cs="Times New Roman"/>
          <w:bCs/>
          <w:szCs w:val="24"/>
        </w:rPr>
        <w:t>tabakas izstrādājumiem</w:t>
      </w:r>
      <w:r w:rsidRPr="008B0630">
        <w:rPr>
          <w:rFonts w:eastAsia="Calibri" w:cs="Times New Roman"/>
          <w:szCs w:val="24"/>
        </w:rPr>
        <w:t xml:space="preserve"> tiek prognozēti šādi: 2026. gadā – 317,6 milj. </w:t>
      </w:r>
      <w:r w:rsidRPr="008B0630">
        <w:rPr>
          <w:rFonts w:eastAsia="Calibri" w:cs="Times New Roman"/>
          <w:i/>
          <w:szCs w:val="24"/>
        </w:rPr>
        <w:t>euro</w:t>
      </w:r>
      <w:r w:rsidRPr="008B0630">
        <w:rPr>
          <w:rFonts w:eastAsia="Calibri" w:cs="Times New Roman"/>
          <w:iCs/>
          <w:szCs w:val="24"/>
        </w:rPr>
        <w:t>;</w:t>
      </w:r>
      <w:r w:rsidRPr="008B0630">
        <w:rPr>
          <w:rFonts w:eastAsia="Calibri" w:cs="Times New Roman"/>
          <w:szCs w:val="24"/>
        </w:rPr>
        <w:t xml:space="preserve"> 2027. gadā – </w:t>
      </w:r>
      <w:r w:rsidR="005831B4" w:rsidRPr="005831B4">
        <w:rPr>
          <w:rFonts w:eastAsia="Calibri" w:cs="Times New Roman"/>
          <w:szCs w:val="24"/>
        </w:rPr>
        <w:t xml:space="preserve">335,0 </w:t>
      </w:r>
      <w:r w:rsidRPr="008B0630">
        <w:rPr>
          <w:rFonts w:eastAsia="Calibri" w:cs="Times New Roman"/>
          <w:szCs w:val="24"/>
        </w:rPr>
        <w:t>milj. </w:t>
      </w:r>
      <w:r w:rsidRPr="008B0630">
        <w:rPr>
          <w:rFonts w:eastAsia="Calibri" w:cs="Times New Roman"/>
          <w:i/>
          <w:szCs w:val="24"/>
        </w:rPr>
        <w:t>euro</w:t>
      </w:r>
      <w:r w:rsidRPr="008B0630">
        <w:rPr>
          <w:rFonts w:eastAsia="Calibri" w:cs="Times New Roman"/>
          <w:szCs w:val="24"/>
        </w:rPr>
        <w:t xml:space="preserve">; un 2028. gadā – </w:t>
      </w:r>
      <w:r w:rsidR="005831B4" w:rsidRPr="005831B4">
        <w:rPr>
          <w:rFonts w:eastAsia="Calibri" w:cs="Times New Roman"/>
          <w:szCs w:val="24"/>
        </w:rPr>
        <w:t xml:space="preserve">346,49 </w:t>
      </w:r>
      <w:r w:rsidRPr="008B0630">
        <w:rPr>
          <w:rFonts w:eastAsia="Calibri" w:cs="Times New Roman"/>
          <w:szCs w:val="24"/>
        </w:rPr>
        <w:t>milj. </w:t>
      </w:r>
      <w:r w:rsidRPr="008B0630">
        <w:rPr>
          <w:rFonts w:eastAsia="Calibri" w:cs="Times New Roman"/>
          <w:i/>
          <w:szCs w:val="24"/>
        </w:rPr>
        <w:t>euro</w:t>
      </w:r>
      <w:r w:rsidRPr="008B0630">
        <w:rPr>
          <w:rFonts w:eastAsia="Calibri" w:cs="Times New Roman"/>
          <w:iCs/>
          <w:szCs w:val="24"/>
        </w:rPr>
        <w:t xml:space="preserve">. </w:t>
      </w:r>
      <w:r w:rsidRPr="008B0630">
        <w:rPr>
          <w:rFonts w:cs="Times New Roman"/>
        </w:rPr>
        <w:t>I</w:t>
      </w:r>
      <w:r w:rsidRPr="008B0630">
        <w:rPr>
          <w:rFonts w:eastAsia="Calibri" w:cs="Times New Roman"/>
          <w:szCs w:val="24"/>
        </w:rPr>
        <w:t xml:space="preserve">eņēmumu prognozi vidējā termiņā pamatā nosaka prognozētā tabakas izstrādājumu patēriņa dinamika un 3.1. sadaļā minētie pasākumi. Prognozēs tiek ņemta vērā Lietuvas un Igaunijas </w:t>
      </w:r>
      <w:r w:rsidR="003F5E29">
        <w:rPr>
          <w:rFonts w:eastAsia="Calibri" w:cs="Times New Roman"/>
          <w:szCs w:val="24"/>
        </w:rPr>
        <w:t>AN</w:t>
      </w:r>
      <w:r w:rsidRPr="008B0630">
        <w:rPr>
          <w:rFonts w:eastAsia="Calibri" w:cs="Times New Roman"/>
          <w:szCs w:val="24"/>
        </w:rPr>
        <w:t xml:space="preserve"> politika attiecībā uz tabakas izstrādājumiem.</w:t>
      </w:r>
    </w:p>
    <w:p w14:paraId="44406C30" w14:textId="77777777" w:rsidR="008B0630" w:rsidRPr="008B0630" w:rsidRDefault="008B0630" w:rsidP="008B0630">
      <w:pPr>
        <w:keepNext/>
        <w:keepLines/>
        <w:spacing w:before="240" w:after="240"/>
        <w:ind w:firstLine="0"/>
        <w:jc w:val="center"/>
        <w:outlineLvl w:val="4"/>
        <w:rPr>
          <w:rFonts w:eastAsia="Times New Roman" w:cs="Times New Roman"/>
          <w:b/>
          <w:iCs/>
          <w:szCs w:val="18"/>
          <w:lang w:eastAsia="en-US"/>
        </w:rPr>
      </w:pPr>
      <w:r w:rsidRPr="008B0630">
        <w:rPr>
          <w:rFonts w:eastAsia="Times New Roman" w:cs="Times New Roman"/>
          <w:b/>
          <w:iCs/>
          <w:szCs w:val="18"/>
          <w:lang w:eastAsia="en-US"/>
        </w:rPr>
        <w:t>Akcīzes nodoklis dabasgāzei</w:t>
      </w:r>
    </w:p>
    <w:p w14:paraId="76834B05" w14:textId="5E876DE9" w:rsidR="008B0630" w:rsidRPr="008B0630" w:rsidRDefault="008B0630" w:rsidP="008B0630">
      <w:pPr>
        <w:spacing w:before="120"/>
        <w:rPr>
          <w:rFonts w:eastAsia="Calibri" w:cs="Times New Roman"/>
          <w:szCs w:val="24"/>
        </w:rPr>
      </w:pPr>
      <w:r w:rsidRPr="008B0630">
        <w:rPr>
          <w:rFonts w:eastAsia="Calibri" w:cs="Times New Roman"/>
          <w:szCs w:val="24"/>
        </w:rPr>
        <w:t xml:space="preserve">2025. gada 1. pusgadā </w:t>
      </w:r>
      <w:r w:rsidR="003F5E29">
        <w:rPr>
          <w:rFonts w:eastAsia="Calibri" w:cs="Times New Roman"/>
          <w:szCs w:val="24"/>
        </w:rPr>
        <w:t>AN</w:t>
      </w:r>
      <w:r w:rsidRPr="008B0630">
        <w:rPr>
          <w:rFonts w:eastAsia="Calibri" w:cs="Times New Roman"/>
          <w:szCs w:val="24"/>
        </w:rPr>
        <w:t xml:space="preserve"> ieņēmumi no dabasgāzes bija 13,7 milj. </w:t>
      </w:r>
      <w:r w:rsidRPr="008B0630">
        <w:rPr>
          <w:rFonts w:eastAsia="Calibri" w:cs="Times New Roman"/>
          <w:i/>
          <w:iCs/>
          <w:szCs w:val="24"/>
        </w:rPr>
        <w:t>euro</w:t>
      </w:r>
      <w:r w:rsidRPr="008B0630">
        <w:rPr>
          <w:rFonts w:eastAsia="Calibri" w:cs="Times New Roman"/>
          <w:szCs w:val="24"/>
        </w:rPr>
        <w:t>. Salīdzinājumā ar 2024. gada 1. pusgadu, tie palielinājās par 4,3 milj. </w:t>
      </w:r>
      <w:r w:rsidRPr="008B0630">
        <w:rPr>
          <w:rFonts w:eastAsia="Calibri" w:cs="Times New Roman"/>
          <w:i/>
          <w:iCs/>
          <w:szCs w:val="24"/>
        </w:rPr>
        <w:t>euro</w:t>
      </w:r>
      <w:r w:rsidRPr="008B0630">
        <w:rPr>
          <w:rFonts w:eastAsia="Calibri" w:cs="Times New Roman"/>
          <w:szCs w:val="24"/>
        </w:rPr>
        <w:t xml:space="preserve"> jeb 46,2 %, bet salīdzinājumā ar plānoto tika iekasēts par 0,7 milj. </w:t>
      </w:r>
      <w:r w:rsidRPr="008B0630">
        <w:rPr>
          <w:rFonts w:eastAsia="Calibri" w:cs="Times New Roman"/>
          <w:i/>
          <w:iCs/>
          <w:szCs w:val="24"/>
        </w:rPr>
        <w:t>euro</w:t>
      </w:r>
      <w:r w:rsidRPr="008B0630">
        <w:rPr>
          <w:rFonts w:eastAsia="Calibri" w:cs="Times New Roman"/>
          <w:szCs w:val="24"/>
        </w:rPr>
        <w:t xml:space="preserve"> jeb 5,2 % vairāk. Ieņēmumu dinamiku noteica divi faktori: dabasgāzes patēriņa dinamika un šogad veiktā likmju paaugstināšana. Saskaņā ar VID informāciju, 2025. gada pārskata periodā, salīdzinājumā ar 2024. gada pārskata periodu, dabasgāzes daudzums, ko izmanto par kurināmo, samazinājās par 6,9%, savukārt dabasgāzes daudzums, ko izmanto par degvielu, palielinājās par 6,9%. </w:t>
      </w:r>
    </w:p>
    <w:p w14:paraId="25E1FA00" w14:textId="42B07204" w:rsidR="008B0630" w:rsidRPr="008B0630" w:rsidRDefault="008B0630" w:rsidP="008B0630">
      <w:pPr>
        <w:rPr>
          <w:rFonts w:eastAsia="Calibri" w:cs="Times New Roman"/>
          <w:szCs w:val="24"/>
        </w:rPr>
      </w:pPr>
      <w:r w:rsidRPr="008B0630">
        <w:rPr>
          <w:rFonts w:cs="Times New Roman"/>
        </w:rPr>
        <w:lastRenderedPageBreak/>
        <w:t xml:space="preserve">Saskaņā ar likumprojektu “Par valsts budžetu 2026. gadam un budžeta ietvaru 2026., 2027. un 2028. gadam” </w:t>
      </w:r>
      <w:r w:rsidR="003F5E29">
        <w:rPr>
          <w:rFonts w:eastAsia="Calibri" w:cs="Times New Roman"/>
          <w:szCs w:val="24"/>
        </w:rPr>
        <w:t>AN</w:t>
      </w:r>
      <w:r w:rsidRPr="008B0630">
        <w:rPr>
          <w:rFonts w:eastAsia="Calibri" w:cs="Times New Roman"/>
          <w:szCs w:val="24"/>
        </w:rPr>
        <w:t xml:space="preserve"> ieņēmumi no </w:t>
      </w:r>
      <w:r w:rsidRPr="008B0630">
        <w:rPr>
          <w:rFonts w:eastAsia="Calibri" w:cs="Times New Roman"/>
          <w:bCs/>
          <w:szCs w:val="24"/>
        </w:rPr>
        <w:t>dabasgāzes</w:t>
      </w:r>
      <w:r w:rsidRPr="008B0630">
        <w:rPr>
          <w:rFonts w:eastAsia="Calibri" w:cs="Times New Roman"/>
          <w:szCs w:val="24"/>
        </w:rPr>
        <w:t xml:space="preserve"> tiek prognozēti šādi: 2026. gadā – 26,6 milj. </w:t>
      </w:r>
      <w:r w:rsidRPr="008B0630">
        <w:rPr>
          <w:rFonts w:eastAsia="Calibri" w:cs="Times New Roman"/>
          <w:i/>
          <w:szCs w:val="24"/>
        </w:rPr>
        <w:t>euro</w:t>
      </w:r>
      <w:r w:rsidRPr="008B0630">
        <w:rPr>
          <w:rFonts w:eastAsia="Calibri" w:cs="Times New Roman"/>
          <w:iCs/>
          <w:szCs w:val="24"/>
        </w:rPr>
        <w:t>;</w:t>
      </w:r>
      <w:r w:rsidRPr="008B0630">
        <w:rPr>
          <w:rFonts w:eastAsia="Calibri" w:cs="Times New Roman"/>
          <w:szCs w:val="24"/>
        </w:rPr>
        <w:t xml:space="preserve"> 2027. gadā – 23,8 milj. </w:t>
      </w:r>
      <w:r w:rsidRPr="008B0630">
        <w:rPr>
          <w:rFonts w:eastAsia="Calibri" w:cs="Times New Roman"/>
          <w:i/>
          <w:szCs w:val="24"/>
        </w:rPr>
        <w:t>euro</w:t>
      </w:r>
      <w:r w:rsidRPr="008B0630">
        <w:rPr>
          <w:rFonts w:eastAsia="Calibri" w:cs="Times New Roman"/>
          <w:szCs w:val="24"/>
        </w:rPr>
        <w:t>; un 2028. gadā – 22,1 milj. </w:t>
      </w:r>
      <w:r w:rsidRPr="008B0630">
        <w:rPr>
          <w:rFonts w:eastAsia="Calibri" w:cs="Times New Roman"/>
          <w:i/>
          <w:szCs w:val="24"/>
        </w:rPr>
        <w:t>euro</w:t>
      </w:r>
      <w:r w:rsidRPr="008B0630">
        <w:rPr>
          <w:rFonts w:eastAsia="Calibri" w:cs="Times New Roman"/>
          <w:iCs/>
          <w:szCs w:val="24"/>
        </w:rPr>
        <w:t xml:space="preserve">. </w:t>
      </w:r>
      <w:r w:rsidRPr="008B0630">
        <w:rPr>
          <w:rFonts w:cs="Times New Roman"/>
        </w:rPr>
        <w:t>I</w:t>
      </w:r>
      <w:r w:rsidRPr="008B0630">
        <w:rPr>
          <w:rFonts w:eastAsia="Calibri" w:cs="Times New Roman"/>
          <w:szCs w:val="24"/>
        </w:rPr>
        <w:t>eņēmumu prognozi vidējā termiņā pamatā nosaka prognozētā dabasgāzes patēriņa dinamika, kā arī 3.1. sadaļā minētie pasākumi.</w:t>
      </w:r>
    </w:p>
    <w:p w14:paraId="69409D27" w14:textId="77777777" w:rsidR="008B0630" w:rsidRPr="008B0630" w:rsidRDefault="008B0630" w:rsidP="008B0630">
      <w:pPr>
        <w:keepNext/>
        <w:keepLines/>
        <w:spacing w:before="240" w:after="240"/>
        <w:ind w:firstLine="0"/>
        <w:jc w:val="center"/>
        <w:outlineLvl w:val="4"/>
        <w:rPr>
          <w:rFonts w:eastAsia="Times New Roman" w:cs="Times New Roman"/>
          <w:b/>
          <w:iCs/>
          <w:szCs w:val="18"/>
          <w:lang w:eastAsia="en-US"/>
        </w:rPr>
      </w:pPr>
      <w:r w:rsidRPr="008B0630">
        <w:rPr>
          <w:rFonts w:eastAsia="Times New Roman" w:cs="Times New Roman"/>
          <w:b/>
          <w:iCs/>
          <w:szCs w:val="18"/>
          <w:lang w:eastAsia="en-US"/>
        </w:rPr>
        <w:t>Akcīzes nodoklis pārējām akcīzes precēm</w:t>
      </w:r>
    </w:p>
    <w:bookmarkEnd w:id="116"/>
    <w:bookmarkEnd w:id="117"/>
    <w:bookmarkEnd w:id="118"/>
    <w:bookmarkEnd w:id="119"/>
    <w:p w14:paraId="6ED9C21F" w14:textId="4565BF8E" w:rsidR="008B0630" w:rsidRPr="008B0630" w:rsidRDefault="008B0630" w:rsidP="008B0630">
      <w:pPr>
        <w:rPr>
          <w:rFonts w:eastAsia="Calibri" w:cs="Times New Roman"/>
          <w:szCs w:val="24"/>
        </w:rPr>
      </w:pPr>
      <w:r w:rsidRPr="008B0630">
        <w:rPr>
          <w:rFonts w:eastAsia="Calibri" w:cs="Times New Roman"/>
          <w:szCs w:val="24"/>
        </w:rPr>
        <w:t xml:space="preserve">2025. gada 1. pusgadā </w:t>
      </w:r>
      <w:r w:rsidR="003F5E29">
        <w:rPr>
          <w:rFonts w:eastAsia="Calibri" w:cs="Times New Roman"/>
          <w:szCs w:val="24"/>
        </w:rPr>
        <w:t>AN</w:t>
      </w:r>
      <w:r w:rsidRPr="008B0630">
        <w:rPr>
          <w:rFonts w:eastAsia="Calibri" w:cs="Times New Roman"/>
          <w:szCs w:val="24"/>
        </w:rPr>
        <w:t xml:space="preserve"> ieņēmumi no pārējām akcīzes precēm – kafijas, bezalkoholiskajiem dzērieniem, elektroniskajās cigaretēs izmantojamajiem šķidrumiem un tabakas aizstājējproduktiem – bija 18,4 milj. </w:t>
      </w:r>
      <w:r w:rsidRPr="008B0630">
        <w:rPr>
          <w:rFonts w:eastAsia="Calibri" w:cs="Times New Roman"/>
          <w:i/>
          <w:iCs/>
          <w:szCs w:val="24"/>
        </w:rPr>
        <w:t>euro</w:t>
      </w:r>
      <w:r w:rsidRPr="008B0630">
        <w:rPr>
          <w:rFonts w:eastAsia="Calibri" w:cs="Times New Roman"/>
          <w:szCs w:val="24"/>
        </w:rPr>
        <w:t>. Salīdzinājumā ar 2024. gada 1. pusgadu tie samazinājās par 2,0 milj. </w:t>
      </w:r>
      <w:r w:rsidRPr="008B0630">
        <w:rPr>
          <w:rFonts w:eastAsia="Calibri" w:cs="Times New Roman"/>
          <w:i/>
          <w:iCs/>
          <w:szCs w:val="24"/>
        </w:rPr>
        <w:t>euro</w:t>
      </w:r>
      <w:r w:rsidRPr="008B0630">
        <w:rPr>
          <w:rFonts w:eastAsia="Calibri" w:cs="Times New Roman"/>
          <w:szCs w:val="24"/>
        </w:rPr>
        <w:t xml:space="preserve"> jeb 9,8%, bet salīdzinājumā ar plānoto tika iekasēts par 5,0 milj. </w:t>
      </w:r>
      <w:r w:rsidRPr="008B0630">
        <w:rPr>
          <w:rFonts w:eastAsia="Calibri" w:cs="Times New Roman"/>
          <w:i/>
          <w:iCs/>
          <w:szCs w:val="24"/>
        </w:rPr>
        <w:t>euro</w:t>
      </w:r>
      <w:r w:rsidRPr="008B0630">
        <w:rPr>
          <w:rFonts w:eastAsia="Calibri" w:cs="Times New Roman"/>
          <w:szCs w:val="24"/>
        </w:rPr>
        <w:t xml:space="preserve"> jeb 21,5% mazāk. Ieņēmumu dinamiku noteica divi faktori: minēto akcīzes preču patēriņam nodotā daudzuma dinamika un šogad veiktā likmju paaugstināšana. Saskaņā ar VID informāciju, 2025. gada pārskata periodā, salīdzinājumā ar 2024. gada pārskata periodu, bezalkoholisko dzērienu patēriņam nodotais daudzums samazinājās par 0,3%, tostarp: bezalkoholisko dzērienu ar cukura saturu līdz 8g uz 100ml – samazinājās par 1,8%, bet bezalkoholisko dzērienu ar cukura saturu no 8g (ieskaitot) uz 100ml un enerģijas dzērieniem tas palielinājās par 2,4%. Tabakas aizstājējproduktu patēriņam nodotais daudzums minētajā periodā samazinājās par 60,1%, bet elektronisko cigarešu uzpildes šķidrumu patēriņam nodotais daudzums samazinājās par 42,0%. </w:t>
      </w:r>
    </w:p>
    <w:p w14:paraId="32F9211D" w14:textId="73773BC7" w:rsidR="008B0630" w:rsidRPr="008B0630" w:rsidRDefault="008B0630" w:rsidP="008B0630">
      <w:pPr>
        <w:rPr>
          <w:rFonts w:eastAsia="Calibri" w:cs="Times New Roman"/>
          <w:szCs w:val="24"/>
        </w:rPr>
      </w:pPr>
      <w:r w:rsidRPr="008B0630">
        <w:rPr>
          <w:rFonts w:cs="Times New Roman"/>
        </w:rPr>
        <w:t xml:space="preserve">Saskaņā ar likumprojektu “Par valsts budžetu 2026. gadam un budžeta ietvaru 2026., 2027. un 2028. gadam” </w:t>
      </w:r>
      <w:r w:rsidR="003F5E29">
        <w:rPr>
          <w:rFonts w:eastAsia="Calibri" w:cs="Times New Roman"/>
          <w:szCs w:val="24"/>
        </w:rPr>
        <w:t>AN</w:t>
      </w:r>
      <w:r w:rsidRPr="008B0630">
        <w:rPr>
          <w:rFonts w:eastAsia="Calibri" w:cs="Times New Roman"/>
          <w:szCs w:val="24"/>
        </w:rPr>
        <w:t xml:space="preserve"> ieņēmumi no </w:t>
      </w:r>
      <w:r w:rsidRPr="008B0630">
        <w:rPr>
          <w:rFonts w:eastAsia="Calibri" w:cs="Times New Roman"/>
          <w:bCs/>
          <w:szCs w:val="24"/>
        </w:rPr>
        <w:t>pārējām akcīzes precēm</w:t>
      </w:r>
      <w:r w:rsidRPr="008B0630">
        <w:rPr>
          <w:rFonts w:eastAsia="Calibri" w:cs="Times New Roman"/>
          <w:szCs w:val="24"/>
        </w:rPr>
        <w:t xml:space="preserve"> tiek prognozēti šādi: 2026. gadā – 46,4 milj. </w:t>
      </w:r>
      <w:r w:rsidRPr="008B0630">
        <w:rPr>
          <w:rFonts w:eastAsia="Calibri" w:cs="Times New Roman"/>
          <w:i/>
          <w:szCs w:val="24"/>
        </w:rPr>
        <w:t>euro</w:t>
      </w:r>
      <w:r w:rsidRPr="008B0630">
        <w:rPr>
          <w:rFonts w:eastAsia="Calibri" w:cs="Times New Roman"/>
          <w:iCs/>
          <w:szCs w:val="24"/>
        </w:rPr>
        <w:t>;</w:t>
      </w:r>
      <w:r w:rsidRPr="008B0630">
        <w:rPr>
          <w:rFonts w:eastAsia="Calibri" w:cs="Times New Roman"/>
          <w:szCs w:val="24"/>
        </w:rPr>
        <w:t xml:space="preserve"> 2027. gadā – </w:t>
      </w:r>
      <w:r w:rsidR="00C95E0F" w:rsidRPr="00C95E0F">
        <w:rPr>
          <w:rFonts w:eastAsia="Calibri" w:cs="Times New Roman"/>
          <w:szCs w:val="24"/>
        </w:rPr>
        <w:t xml:space="preserve">48,4 </w:t>
      </w:r>
      <w:r w:rsidRPr="008B0630">
        <w:rPr>
          <w:rFonts w:eastAsia="Calibri" w:cs="Times New Roman"/>
          <w:szCs w:val="24"/>
        </w:rPr>
        <w:t>milj. </w:t>
      </w:r>
      <w:r w:rsidRPr="008B0630">
        <w:rPr>
          <w:rFonts w:eastAsia="Calibri" w:cs="Times New Roman"/>
          <w:i/>
          <w:szCs w:val="24"/>
        </w:rPr>
        <w:t>euro</w:t>
      </w:r>
      <w:r w:rsidRPr="008B0630">
        <w:rPr>
          <w:rFonts w:eastAsia="Calibri" w:cs="Times New Roman"/>
          <w:szCs w:val="24"/>
        </w:rPr>
        <w:t xml:space="preserve">; un 2028. gadā – </w:t>
      </w:r>
      <w:r w:rsidR="00C95E0F" w:rsidRPr="00C95E0F">
        <w:rPr>
          <w:rFonts w:eastAsia="Calibri" w:cs="Times New Roman"/>
          <w:szCs w:val="24"/>
        </w:rPr>
        <w:t xml:space="preserve">51,7 </w:t>
      </w:r>
      <w:r w:rsidRPr="008B0630">
        <w:rPr>
          <w:rFonts w:eastAsia="Calibri" w:cs="Times New Roman"/>
          <w:szCs w:val="24"/>
        </w:rPr>
        <w:t>milj. </w:t>
      </w:r>
      <w:r w:rsidRPr="008B0630">
        <w:rPr>
          <w:rFonts w:eastAsia="Calibri" w:cs="Times New Roman"/>
          <w:i/>
          <w:szCs w:val="24"/>
        </w:rPr>
        <w:t>euro</w:t>
      </w:r>
      <w:r w:rsidRPr="008B0630">
        <w:rPr>
          <w:rFonts w:eastAsia="Calibri" w:cs="Times New Roman"/>
          <w:iCs/>
          <w:szCs w:val="24"/>
        </w:rPr>
        <w:t xml:space="preserve">. </w:t>
      </w:r>
      <w:r w:rsidRPr="008B0630">
        <w:rPr>
          <w:rFonts w:cs="Times New Roman"/>
        </w:rPr>
        <w:t>I</w:t>
      </w:r>
      <w:r w:rsidRPr="008B0630">
        <w:rPr>
          <w:rFonts w:eastAsia="Calibri" w:cs="Times New Roman"/>
          <w:szCs w:val="24"/>
        </w:rPr>
        <w:t>eņēmumu prognozi vidējā termiņā pamatā nosaka prognozētā pārējo akcīzes preču patēriņa dinamika un 3.1. sadaļā minētie pasākumi.</w:t>
      </w:r>
    </w:p>
    <w:p w14:paraId="1A782722" w14:textId="77777777" w:rsidR="008B0630" w:rsidRPr="008B0630" w:rsidRDefault="008B0630" w:rsidP="008B0630">
      <w:pPr>
        <w:keepNext/>
        <w:keepLines/>
        <w:spacing w:before="240" w:after="240"/>
        <w:ind w:firstLine="0"/>
        <w:jc w:val="center"/>
        <w:outlineLvl w:val="4"/>
        <w:rPr>
          <w:rFonts w:eastAsia="Times New Roman" w:cs="Times New Roman"/>
          <w:b/>
          <w:iCs/>
          <w:szCs w:val="18"/>
          <w:lang w:eastAsia="en-US"/>
        </w:rPr>
      </w:pPr>
      <w:r w:rsidRPr="008B0630">
        <w:rPr>
          <w:rFonts w:eastAsia="Times New Roman" w:cs="Times New Roman"/>
          <w:b/>
          <w:iCs/>
          <w:szCs w:val="18"/>
          <w:lang w:eastAsia="en-US"/>
        </w:rPr>
        <w:t>Transportlīdzekļu ekspluatācijas nodoklis</w:t>
      </w:r>
    </w:p>
    <w:p w14:paraId="0E8215C7" w14:textId="78DDF1FD" w:rsidR="008B0630" w:rsidRPr="008B0630" w:rsidRDefault="008B0630" w:rsidP="008B0630">
      <w:pPr>
        <w:rPr>
          <w:rFonts w:eastAsia="Calibri" w:cs="Times New Roman"/>
          <w:szCs w:val="24"/>
        </w:rPr>
      </w:pPr>
      <w:r w:rsidRPr="008B0630">
        <w:rPr>
          <w:rFonts w:eastAsia="Calibri" w:cs="Times New Roman"/>
          <w:szCs w:val="24"/>
        </w:rPr>
        <w:t xml:space="preserve">2025. gada 1. pusgadā </w:t>
      </w:r>
      <w:r w:rsidR="003F5E29">
        <w:rPr>
          <w:rFonts w:eastAsia="Calibri" w:cs="Times New Roman"/>
          <w:szCs w:val="24"/>
        </w:rPr>
        <w:t>TEN</w:t>
      </w:r>
      <w:r w:rsidRPr="008B0630">
        <w:rPr>
          <w:rFonts w:eastAsia="Calibri" w:cs="Times New Roman"/>
          <w:szCs w:val="24"/>
        </w:rPr>
        <w:t xml:space="preserve"> ieņēmumi bija 60,9 milj. </w:t>
      </w:r>
      <w:r w:rsidRPr="008B0630">
        <w:rPr>
          <w:rFonts w:eastAsia="Calibri" w:cs="Times New Roman"/>
          <w:i/>
          <w:iCs/>
          <w:szCs w:val="24"/>
        </w:rPr>
        <w:t>euro</w:t>
      </w:r>
      <w:r w:rsidRPr="008B0630">
        <w:rPr>
          <w:rFonts w:eastAsia="Calibri" w:cs="Times New Roman"/>
          <w:szCs w:val="24"/>
        </w:rPr>
        <w:t>. Salīdzinājumā ar 2024. gada 1. pusgadu, tie palielinājās par 5,6 milj. </w:t>
      </w:r>
      <w:r w:rsidRPr="008B0630">
        <w:rPr>
          <w:rFonts w:eastAsia="Calibri" w:cs="Times New Roman"/>
          <w:i/>
          <w:iCs/>
          <w:szCs w:val="24"/>
        </w:rPr>
        <w:t>euro</w:t>
      </w:r>
      <w:r w:rsidRPr="008B0630">
        <w:rPr>
          <w:rFonts w:eastAsia="Calibri" w:cs="Times New Roman"/>
          <w:szCs w:val="24"/>
        </w:rPr>
        <w:t xml:space="preserve"> jeb 10,1 %, bet salīdzinājumā ar plānoto tika iekasēts par 1,8 milj. </w:t>
      </w:r>
      <w:r w:rsidRPr="008B0630">
        <w:rPr>
          <w:rFonts w:eastAsia="Calibri" w:cs="Times New Roman"/>
          <w:i/>
          <w:iCs/>
          <w:szCs w:val="24"/>
        </w:rPr>
        <w:t>euro</w:t>
      </w:r>
      <w:r w:rsidRPr="008B0630">
        <w:rPr>
          <w:rFonts w:eastAsia="Calibri" w:cs="Times New Roman"/>
          <w:szCs w:val="24"/>
        </w:rPr>
        <w:t xml:space="preserve"> jeb 2,9 % mazāk. Plāna neizpildi ietekmēja negatīvāka pamatpārbaudi veikušo transportlīdzekļu skaita dinamika, nekā tika prognozēts.</w:t>
      </w:r>
    </w:p>
    <w:p w14:paraId="2F8A1F47" w14:textId="07742E33" w:rsidR="008B0630" w:rsidRPr="008B0630" w:rsidRDefault="008B0630" w:rsidP="008B0630">
      <w:pPr>
        <w:rPr>
          <w:rFonts w:eastAsia="Calibri" w:cs="Times New Roman"/>
          <w:szCs w:val="24"/>
        </w:rPr>
      </w:pPr>
      <w:r w:rsidRPr="008B0630">
        <w:rPr>
          <w:rFonts w:eastAsia="Calibri" w:cs="Times New Roman"/>
          <w:szCs w:val="24"/>
        </w:rPr>
        <w:t xml:space="preserve">Saskaņā ar likumprojektu “Par valsts budžetu 2026. gadam un budžeta ietvaru 2026., 2027. un 2028. gadam” </w:t>
      </w:r>
      <w:r w:rsidR="006A771A">
        <w:rPr>
          <w:rFonts w:eastAsia="Calibri" w:cs="Times New Roman"/>
          <w:szCs w:val="24"/>
        </w:rPr>
        <w:t>TEN</w:t>
      </w:r>
      <w:r w:rsidRPr="008B0630">
        <w:rPr>
          <w:rFonts w:eastAsia="Calibri" w:cs="Times New Roman"/>
          <w:szCs w:val="24"/>
        </w:rPr>
        <w:t xml:space="preserve"> ieņēmumi tiek prognozēti šādi: 2026. gadā – 123,5 milj. </w:t>
      </w:r>
      <w:r w:rsidRPr="008B0630">
        <w:rPr>
          <w:rFonts w:eastAsia="Calibri" w:cs="Times New Roman"/>
          <w:i/>
          <w:szCs w:val="24"/>
        </w:rPr>
        <w:t>euro</w:t>
      </w:r>
      <w:r w:rsidRPr="008B0630">
        <w:rPr>
          <w:rFonts w:eastAsia="Calibri" w:cs="Times New Roman"/>
          <w:szCs w:val="24"/>
        </w:rPr>
        <w:t>; 2027. gadā – 125,5 milj. </w:t>
      </w:r>
      <w:r w:rsidRPr="008B0630">
        <w:rPr>
          <w:rFonts w:eastAsia="Calibri" w:cs="Times New Roman"/>
          <w:i/>
          <w:szCs w:val="24"/>
        </w:rPr>
        <w:t>euro</w:t>
      </w:r>
      <w:r w:rsidRPr="008B0630">
        <w:rPr>
          <w:rFonts w:eastAsia="Calibri" w:cs="Times New Roman"/>
          <w:szCs w:val="24"/>
        </w:rPr>
        <w:t>; un 2028. gadā – 132,2 milj. </w:t>
      </w:r>
      <w:r w:rsidRPr="008B0630">
        <w:rPr>
          <w:rFonts w:eastAsia="Calibri" w:cs="Times New Roman"/>
          <w:i/>
          <w:szCs w:val="24"/>
        </w:rPr>
        <w:t>euro</w:t>
      </w:r>
      <w:r w:rsidRPr="008B0630">
        <w:rPr>
          <w:rFonts w:eastAsia="Calibri" w:cs="Times New Roman"/>
          <w:szCs w:val="24"/>
        </w:rPr>
        <w:t xml:space="preserve"> (skat. 3.13. tabulu). </w:t>
      </w:r>
      <w:r w:rsidR="006A771A">
        <w:rPr>
          <w:rFonts w:eastAsia="Calibri" w:cs="Times New Roman"/>
          <w:szCs w:val="24"/>
        </w:rPr>
        <w:t>TEN</w:t>
      </w:r>
      <w:r w:rsidRPr="008B0630">
        <w:rPr>
          <w:rFonts w:eastAsia="Calibri" w:cs="Times New Roman"/>
          <w:szCs w:val="24"/>
        </w:rPr>
        <w:t xml:space="preserve"> ieņēmumu prognozi vidējā termiņā pamatā nosaka prognozētais ar nodokli apliekamo transportlīdzekļu skaits un struktūra un 2025. gadā sagaidāmā izpilde.</w:t>
      </w:r>
    </w:p>
    <w:p w14:paraId="60DEB22B" w14:textId="09311B73"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 xml:space="preserve">3.13. tabula. </w:t>
      </w:r>
      <w:r w:rsidR="006A771A">
        <w:rPr>
          <w:rFonts w:eastAsia="Calibri" w:cs="Times New Roman"/>
          <w:b/>
          <w:i/>
          <w:szCs w:val="24"/>
        </w:rPr>
        <w:t>TEN</w:t>
      </w:r>
      <w:r w:rsidRPr="008B0630">
        <w:rPr>
          <w:rFonts w:eastAsia="Calibri" w:cs="Times New Roman"/>
          <w:b/>
          <w:i/>
          <w:szCs w:val="24"/>
        </w:rPr>
        <w:t xml:space="preserve"> ieņēmumi</w:t>
      </w: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667"/>
        <w:gridCol w:w="851"/>
        <w:gridCol w:w="851"/>
        <w:gridCol w:w="851"/>
        <w:gridCol w:w="852"/>
      </w:tblGrid>
      <w:tr w:rsidR="008B0630" w:rsidRPr="008B0630" w14:paraId="7F9C9A54" w14:textId="77777777" w:rsidTr="00E03828">
        <w:trPr>
          <w:cantSplit/>
          <w:trHeight w:hRule="exact" w:val="227"/>
          <w:jc w:val="center"/>
        </w:trPr>
        <w:tc>
          <w:tcPr>
            <w:tcW w:w="5667" w:type="dxa"/>
            <w:shd w:val="clear" w:color="auto" w:fill="9CC2E5" w:themeFill="accent1" w:themeFillTint="99"/>
            <w:noWrap/>
            <w:tcMar>
              <w:left w:w="28" w:type="dxa"/>
              <w:right w:w="28" w:type="dxa"/>
            </w:tcMar>
            <w:vAlign w:val="center"/>
            <w:hideMark/>
          </w:tcPr>
          <w:p w14:paraId="5A66117B"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p>
        </w:tc>
        <w:tc>
          <w:tcPr>
            <w:tcW w:w="851" w:type="dxa"/>
            <w:shd w:val="clear" w:color="auto" w:fill="9CC2E5" w:themeFill="accent1" w:themeFillTint="99"/>
            <w:tcMar>
              <w:left w:w="28" w:type="dxa"/>
              <w:right w:w="28" w:type="dxa"/>
            </w:tcMar>
            <w:vAlign w:val="center"/>
          </w:tcPr>
          <w:p w14:paraId="18B9912D"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2025</w:t>
            </w:r>
          </w:p>
        </w:tc>
        <w:tc>
          <w:tcPr>
            <w:tcW w:w="851" w:type="dxa"/>
            <w:shd w:val="clear" w:color="auto" w:fill="9CC2E5" w:themeFill="accent1" w:themeFillTint="99"/>
            <w:tcMar>
              <w:left w:w="28" w:type="dxa"/>
              <w:right w:w="28" w:type="dxa"/>
            </w:tcMar>
            <w:vAlign w:val="center"/>
          </w:tcPr>
          <w:p w14:paraId="220317A2"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2026</w:t>
            </w:r>
          </w:p>
        </w:tc>
        <w:tc>
          <w:tcPr>
            <w:tcW w:w="851" w:type="dxa"/>
            <w:shd w:val="clear" w:color="auto" w:fill="9CC2E5" w:themeFill="accent1" w:themeFillTint="99"/>
            <w:noWrap/>
            <w:tcMar>
              <w:left w:w="28" w:type="dxa"/>
              <w:right w:w="28" w:type="dxa"/>
            </w:tcMar>
            <w:vAlign w:val="center"/>
            <w:hideMark/>
          </w:tcPr>
          <w:p w14:paraId="6BAE62BD"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2027</w:t>
            </w:r>
          </w:p>
        </w:tc>
        <w:tc>
          <w:tcPr>
            <w:tcW w:w="852" w:type="dxa"/>
            <w:shd w:val="clear" w:color="auto" w:fill="9CC2E5" w:themeFill="accent1" w:themeFillTint="99"/>
            <w:tcMar>
              <w:left w:w="28" w:type="dxa"/>
              <w:right w:w="28" w:type="dxa"/>
            </w:tcMar>
            <w:vAlign w:val="center"/>
          </w:tcPr>
          <w:p w14:paraId="1C0ED20A"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2028</w:t>
            </w:r>
          </w:p>
        </w:tc>
      </w:tr>
      <w:tr w:rsidR="008B0630" w:rsidRPr="008B0630" w14:paraId="75778FFF" w14:textId="77777777" w:rsidTr="00E03828">
        <w:trPr>
          <w:cantSplit/>
          <w:trHeight w:hRule="exact" w:val="454"/>
          <w:jc w:val="center"/>
        </w:trPr>
        <w:tc>
          <w:tcPr>
            <w:tcW w:w="5667" w:type="dxa"/>
            <w:tcMar>
              <w:left w:w="28" w:type="dxa"/>
              <w:right w:w="28" w:type="dxa"/>
            </w:tcMar>
            <w:hideMark/>
          </w:tcPr>
          <w:p w14:paraId="35D97A68"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Saskaņā ar likumprojektu “Par valsts budžetu 2026. gadam un budžeta ietvaru 2026., 2027. un 2028. gadam”, milj. </w:t>
            </w:r>
            <w:r w:rsidRPr="008B0630">
              <w:rPr>
                <w:rFonts w:cs="Times New Roman"/>
                <w:i/>
                <w:iCs/>
                <w:sz w:val="18"/>
                <w:szCs w:val="18"/>
              </w:rPr>
              <w:t>euro</w:t>
            </w:r>
            <w:r w:rsidRPr="008B0630">
              <w:rPr>
                <w:rFonts w:cs="Times New Roman"/>
                <w:sz w:val="18"/>
                <w:szCs w:val="18"/>
              </w:rPr>
              <w:t xml:space="preserve"> </w:t>
            </w:r>
          </w:p>
        </w:tc>
        <w:tc>
          <w:tcPr>
            <w:tcW w:w="851" w:type="dxa"/>
            <w:noWrap/>
            <w:tcMar>
              <w:left w:w="28" w:type="dxa"/>
              <w:right w:w="28" w:type="dxa"/>
            </w:tcMar>
            <w:vAlign w:val="center"/>
          </w:tcPr>
          <w:p w14:paraId="7339C537"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117,0</w:t>
            </w:r>
            <w:r w:rsidRPr="008B0630">
              <w:rPr>
                <w:rFonts w:cs="Times New Roman"/>
                <w:noProof/>
                <w:sz w:val="18"/>
                <w:szCs w:val="18"/>
                <w:vertAlign w:val="superscript"/>
              </w:rPr>
              <w:t>1</w:t>
            </w:r>
          </w:p>
        </w:tc>
        <w:tc>
          <w:tcPr>
            <w:tcW w:w="851" w:type="dxa"/>
            <w:noWrap/>
            <w:tcMar>
              <w:left w:w="28" w:type="dxa"/>
              <w:right w:w="28" w:type="dxa"/>
            </w:tcMar>
            <w:vAlign w:val="center"/>
          </w:tcPr>
          <w:p w14:paraId="0A4FBC3B"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123,5</w:t>
            </w:r>
          </w:p>
        </w:tc>
        <w:tc>
          <w:tcPr>
            <w:tcW w:w="851" w:type="dxa"/>
            <w:noWrap/>
            <w:tcMar>
              <w:left w:w="28" w:type="dxa"/>
              <w:right w:w="28" w:type="dxa"/>
            </w:tcMar>
            <w:vAlign w:val="center"/>
          </w:tcPr>
          <w:p w14:paraId="2FF4D09E"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125,5</w:t>
            </w:r>
          </w:p>
        </w:tc>
        <w:tc>
          <w:tcPr>
            <w:tcW w:w="852" w:type="dxa"/>
            <w:tcMar>
              <w:left w:w="28" w:type="dxa"/>
              <w:right w:w="28" w:type="dxa"/>
            </w:tcMar>
            <w:vAlign w:val="center"/>
          </w:tcPr>
          <w:p w14:paraId="5DF4052E"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132,2</w:t>
            </w:r>
          </w:p>
        </w:tc>
      </w:tr>
      <w:tr w:rsidR="008B0630" w:rsidRPr="008B0630" w14:paraId="1BE01DF2" w14:textId="77777777" w:rsidTr="00E03828">
        <w:trPr>
          <w:cantSplit/>
          <w:trHeight w:hRule="exact" w:val="227"/>
          <w:jc w:val="center"/>
        </w:trPr>
        <w:tc>
          <w:tcPr>
            <w:tcW w:w="5667" w:type="dxa"/>
            <w:noWrap/>
            <w:tcMar>
              <w:left w:w="28" w:type="dxa"/>
              <w:right w:w="28" w:type="dxa"/>
            </w:tcMar>
            <w:hideMark/>
          </w:tcPr>
          <w:p w14:paraId="06DC251F" w14:textId="77777777" w:rsidR="008B0630" w:rsidRPr="008B0630" w:rsidRDefault="008B0630" w:rsidP="008B0630">
            <w:pPr>
              <w:keepNext/>
              <w:keepLines/>
              <w:ind w:left="425" w:firstLine="0"/>
              <w:jc w:val="left"/>
              <w:rPr>
                <w:rFonts w:cs="Times New Roman"/>
                <w:i/>
                <w:iCs/>
                <w:noProof/>
                <w:sz w:val="18"/>
                <w:szCs w:val="18"/>
              </w:rPr>
            </w:pPr>
            <w:r w:rsidRPr="008B0630">
              <w:rPr>
                <w:rFonts w:cs="Times New Roman"/>
                <w:i/>
                <w:iCs/>
                <w:sz w:val="18"/>
                <w:szCs w:val="18"/>
              </w:rPr>
              <w:t>pret IKP, %</w:t>
            </w:r>
          </w:p>
        </w:tc>
        <w:tc>
          <w:tcPr>
            <w:tcW w:w="851" w:type="dxa"/>
            <w:noWrap/>
            <w:tcMar>
              <w:left w:w="28" w:type="dxa"/>
              <w:right w:w="28" w:type="dxa"/>
            </w:tcMar>
          </w:tcPr>
          <w:p w14:paraId="4688D6ED"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0,3</w:t>
            </w:r>
          </w:p>
        </w:tc>
        <w:tc>
          <w:tcPr>
            <w:tcW w:w="851" w:type="dxa"/>
            <w:noWrap/>
            <w:tcMar>
              <w:left w:w="28" w:type="dxa"/>
              <w:right w:w="28" w:type="dxa"/>
            </w:tcMar>
          </w:tcPr>
          <w:p w14:paraId="0AAA1293"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0,3</w:t>
            </w:r>
          </w:p>
        </w:tc>
        <w:tc>
          <w:tcPr>
            <w:tcW w:w="851" w:type="dxa"/>
            <w:noWrap/>
            <w:tcMar>
              <w:left w:w="28" w:type="dxa"/>
              <w:right w:w="28" w:type="dxa"/>
            </w:tcMar>
          </w:tcPr>
          <w:p w14:paraId="39974807"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0,3</w:t>
            </w:r>
          </w:p>
        </w:tc>
        <w:tc>
          <w:tcPr>
            <w:tcW w:w="852" w:type="dxa"/>
            <w:tcMar>
              <w:left w:w="28" w:type="dxa"/>
              <w:right w:w="28" w:type="dxa"/>
            </w:tcMar>
          </w:tcPr>
          <w:p w14:paraId="7BB2F7FA"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0,3</w:t>
            </w:r>
          </w:p>
        </w:tc>
      </w:tr>
      <w:tr w:rsidR="008B0630" w:rsidRPr="008B0630" w14:paraId="47C084D3" w14:textId="77777777" w:rsidTr="00E03828">
        <w:trPr>
          <w:cantSplit/>
          <w:trHeight w:hRule="exact" w:val="454"/>
          <w:jc w:val="center"/>
        </w:trPr>
        <w:tc>
          <w:tcPr>
            <w:tcW w:w="5667" w:type="dxa"/>
            <w:tcMar>
              <w:left w:w="28" w:type="dxa"/>
              <w:right w:w="28" w:type="dxa"/>
            </w:tcMar>
            <w:hideMark/>
          </w:tcPr>
          <w:p w14:paraId="7FE98495"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milj. </w:t>
            </w:r>
            <w:r w:rsidRPr="008B0630">
              <w:rPr>
                <w:rFonts w:cs="Times New Roman"/>
                <w:i/>
                <w:iCs/>
                <w:sz w:val="18"/>
                <w:szCs w:val="18"/>
              </w:rPr>
              <w:t>euro</w:t>
            </w:r>
          </w:p>
        </w:tc>
        <w:tc>
          <w:tcPr>
            <w:tcW w:w="851" w:type="dxa"/>
            <w:noWrap/>
            <w:tcMar>
              <w:left w:w="28" w:type="dxa"/>
              <w:right w:w="28" w:type="dxa"/>
            </w:tcMar>
            <w:vAlign w:val="center"/>
          </w:tcPr>
          <w:p w14:paraId="3C9046C2"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-1,9</w:t>
            </w:r>
          </w:p>
        </w:tc>
        <w:tc>
          <w:tcPr>
            <w:tcW w:w="851" w:type="dxa"/>
            <w:noWrap/>
            <w:tcMar>
              <w:left w:w="28" w:type="dxa"/>
              <w:right w:w="28" w:type="dxa"/>
            </w:tcMar>
            <w:vAlign w:val="center"/>
          </w:tcPr>
          <w:p w14:paraId="05F7596C"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-1,0</w:t>
            </w:r>
          </w:p>
        </w:tc>
        <w:tc>
          <w:tcPr>
            <w:tcW w:w="851" w:type="dxa"/>
            <w:noWrap/>
            <w:tcMar>
              <w:left w:w="28" w:type="dxa"/>
              <w:right w:w="28" w:type="dxa"/>
            </w:tcMar>
            <w:vAlign w:val="center"/>
          </w:tcPr>
          <w:p w14:paraId="7D2E28A5"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-0,5</w:t>
            </w:r>
          </w:p>
        </w:tc>
        <w:tc>
          <w:tcPr>
            <w:tcW w:w="852" w:type="dxa"/>
            <w:tcMar>
              <w:left w:w="28" w:type="dxa"/>
              <w:right w:w="28" w:type="dxa"/>
            </w:tcMar>
            <w:vAlign w:val="center"/>
          </w:tcPr>
          <w:p w14:paraId="6EDA4CC8"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w:t>
            </w:r>
          </w:p>
        </w:tc>
      </w:tr>
      <w:tr w:rsidR="008B0630" w:rsidRPr="008B0630" w14:paraId="31EDF395" w14:textId="77777777" w:rsidTr="00E03828">
        <w:trPr>
          <w:cantSplit/>
          <w:trHeight w:hRule="exact" w:val="454"/>
          <w:jc w:val="center"/>
        </w:trPr>
        <w:tc>
          <w:tcPr>
            <w:tcW w:w="5667" w:type="dxa"/>
            <w:tcMar>
              <w:left w:w="28" w:type="dxa"/>
              <w:right w:w="28" w:type="dxa"/>
            </w:tcMar>
            <w:hideMark/>
          </w:tcPr>
          <w:p w14:paraId="3FB46958"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w:t>
            </w:r>
          </w:p>
        </w:tc>
        <w:tc>
          <w:tcPr>
            <w:tcW w:w="851" w:type="dxa"/>
            <w:noWrap/>
            <w:tcMar>
              <w:left w:w="28" w:type="dxa"/>
              <w:right w:w="28" w:type="dxa"/>
            </w:tcMar>
            <w:vAlign w:val="center"/>
          </w:tcPr>
          <w:p w14:paraId="073A34E1"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-1,6</w:t>
            </w:r>
          </w:p>
        </w:tc>
        <w:tc>
          <w:tcPr>
            <w:tcW w:w="851" w:type="dxa"/>
            <w:noWrap/>
            <w:tcMar>
              <w:left w:w="28" w:type="dxa"/>
              <w:right w:w="28" w:type="dxa"/>
            </w:tcMar>
            <w:vAlign w:val="center"/>
          </w:tcPr>
          <w:p w14:paraId="5F0B6265"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-0,8</w:t>
            </w:r>
          </w:p>
        </w:tc>
        <w:tc>
          <w:tcPr>
            <w:tcW w:w="851" w:type="dxa"/>
            <w:noWrap/>
            <w:tcMar>
              <w:left w:w="28" w:type="dxa"/>
              <w:right w:w="28" w:type="dxa"/>
            </w:tcMar>
            <w:vAlign w:val="center"/>
          </w:tcPr>
          <w:p w14:paraId="52CAA18B"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-0,4</w:t>
            </w:r>
          </w:p>
        </w:tc>
        <w:tc>
          <w:tcPr>
            <w:tcW w:w="852" w:type="dxa"/>
            <w:tcMar>
              <w:left w:w="28" w:type="dxa"/>
              <w:right w:w="28" w:type="dxa"/>
            </w:tcMar>
            <w:vAlign w:val="center"/>
          </w:tcPr>
          <w:p w14:paraId="42A43E11"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w:t>
            </w:r>
          </w:p>
        </w:tc>
      </w:tr>
    </w:tbl>
    <w:p w14:paraId="10A67A11"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5DA596F8" w14:textId="77777777" w:rsidR="008B0630" w:rsidRPr="008B0630" w:rsidRDefault="008B0630" w:rsidP="008B0630">
      <w:pPr>
        <w:keepNext/>
        <w:keepLines/>
        <w:spacing w:before="240" w:after="240"/>
        <w:ind w:firstLine="0"/>
        <w:jc w:val="center"/>
        <w:outlineLvl w:val="3"/>
        <w:rPr>
          <w:rFonts w:eastAsia="Times New Roman" w:cs="Times New Roman"/>
          <w:b/>
          <w:szCs w:val="20"/>
          <w:lang w:eastAsia="en-US"/>
        </w:rPr>
      </w:pPr>
      <w:r w:rsidRPr="008B0630">
        <w:rPr>
          <w:rFonts w:eastAsia="Times New Roman" w:cs="Times New Roman"/>
          <w:b/>
          <w:szCs w:val="20"/>
          <w:lang w:eastAsia="en-US"/>
        </w:rPr>
        <w:lastRenderedPageBreak/>
        <w:t>Uzņēmumu vieglo transportlīdzekļu nodoklis</w:t>
      </w:r>
    </w:p>
    <w:p w14:paraId="349D9C29" w14:textId="77777777" w:rsidR="008B0630" w:rsidRPr="008B0630" w:rsidRDefault="008B0630" w:rsidP="008B0630">
      <w:pPr>
        <w:rPr>
          <w:rFonts w:cs="Times New Roman"/>
          <w:highlight w:val="yellow"/>
        </w:rPr>
      </w:pPr>
      <w:r w:rsidRPr="008B0630">
        <w:rPr>
          <w:rFonts w:eastAsia="Calibri" w:cs="Times New Roman"/>
          <w:szCs w:val="24"/>
        </w:rPr>
        <w:t>2025. gada 1. pusgadā u</w:t>
      </w:r>
      <w:r w:rsidRPr="008B0630">
        <w:rPr>
          <w:rFonts w:cs="Times New Roman"/>
        </w:rPr>
        <w:t>zņēmumu vieglo transportlīdzekļu nodokļa ieņēmumi bija 14,2 milj. </w:t>
      </w:r>
      <w:r w:rsidRPr="008B0630">
        <w:rPr>
          <w:rFonts w:cs="Times New Roman"/>
          <w:i/>
          <w:iCs/>
        </w:rPr>
        <w:t>euro</w:t>
      </w:r>
      <w:r w:rsidRPr="008B0630">
        <w:rPr>
          <w:rFonts w:cs="Times New Roman"/>
        </w:rPr>
        <w:t xml:space="preserve">. </w:t>
      </w:r>
      <w:r w:rsidRPr="008B0630">
        <w:rPr>
          <w:rFonts w:eastAsia="Calibri" w:cs="Times New Roman"/>
          <w:szCs w:val="24"/>
        </w:rPr>
        <w:t xml:space="preserve">Salīdzinājumā ar 2024. gada 1. pusgadu, tie palielinājās </w:t>
      </w:r>
      <w:r w:rsidRPr="008B0630">
        <w:rPr>
          <w:rFonts w:cs="Times New Roman"/>
        </w:rPr>
        <w:t>par 0,7 milj. </w:t>
      </w:r>
      <w:r w:rsidRPr="008B0630">
        <w:rPr>
          <w:rFonts w:cs="Times New Roman"/>
          <w:i/>
          <w:iCs/>
        </w:rPr>
        <w:t>euro</w:t>
      </w:r>
      <w:r w:rsidRPr="008B0630">
        <w:rPr>
          <w:rFonts w:cs="Times New Roman"/>
        </w:rPr>
        <w:t xml:space="preserve"> jeb 5,1 %, </w:t>
      </w:r>
      <w:r w:rsidRPr="008B0630">
        <w:rPr>
          <w:rFonts w:eastAsia="Calibri" w:cs="Times New Roman"/>
          <w:szCs w:val="24"/>
        </w:rPr>
        <w:t xml:space="preserve">bet salīdzinājumā ar plānoto tika iekasēts par </w:t>
      </w:r>
      <w:r w:rsidRPr="008B0630">
        <w:rPr>
          <w:rFonts w:cs="Times New Roman"/>
        </w:rPr>
        <w:t>1,3 milj. </w:t>
      </w:r>
      <w:r w:rsidRPr="008B0630">
        <w:rPr>
          <w:rFonts w:cs="Times New Roman"/>
          <w:i/>
          <w:iCs/>
        </w:rPr>
        <w:t>euro</w:t>
      </w:r>
      <w:r w:rsidRPr="008B0630">
        <w:rPr>
          <w:rFonts w:cs="Times New Roman"/>
        </w:rPr>
        <w:t xml:space="preserve"> jeb 9,7 % vairāk. Plāna pārpildi ietekmēja lielāks ar nodokli apliekamo transportlīdzekļu skaits,</w:t>
      </w:r>
      <w:r w:rsidRPr="008B0630" w:rsidDel="004F3CC1">
        <w:rPr>
          <w:rFonts w:cs="Times New Roman"/>
        </w:rPr>
        <w:t xml:space="preserve"> </w:t>
      </w:r>
      <w:r w:rsidRPr="008B0630">
        <w:rPr>
          <w:rFonts w:eastAsia="Calibri" w:cs="Times New Roman"/>
          <w:szCs w:val="24"/>
        </w:rPr>
        <w:t>nekā tika prognozēts.</w:t>
      </w:r>
    </w:p>
    <w:p w14:paraId="1D7C923C" w14:textId="77777777" w:rsidR="008B0630" w:rsidRPr="008B0630" w:rsidRDefault="008B0630" w:rsidP="008B0630">
      <w:pPr>
        <w:rPr>
          <w:rFonts w:cs="Times New Roman"/>
        </w:rPr>
      </w:pPr>
      <w:r w:rsidRPr="008B0630">
        <w:rPr>
          <w:rFonts w:eastAsia="Calibri" w:cs="Times New Roman"/>
          <w:szCs w:val="24"/>
        </w:rPr>
        <w:t xml:space="preserve">Saskaņā ar likumprojektu “Par valsts budžetu 2026. gadam un budžeta ietvaru 2026., 2027. un 2028. gadam” </w:t>
      </w:r>
      <w:r w:rsidRPr="008B0630">
        <w:rPr>
          <w:rFonts w:cs="Times New Roman"/>
        </w:rPr>
        <w:t xml:space="preserve">uzņēmumu vieglo transportlīdzekļu nodokļa ieņēmumi </w:t>
      </w:r>
      <w:r w:rsidRPr="008B0630">
        <w:rPr>
          <w:rFonts w:eastAsia="Calibri" w:cs="Times New Roman"/>
          <w:szCs w:val="24"/>
        </w:rPr>
        <w:t>tiek prognozēti šādi: 2026. gadā – 33,3 milj. </w:t>
      </w:r>
      <w:r w:rsidRPr="008B0630">
        <w:rPr>
          <w:rFonts w:eastAsia="Calibri" w:cs="Times New Roman"/>
          <w:i/>
          <w:szCs w:val="24"/>
        </w:rPr>
        <w:t>euro</w:t>
      </w:r>
      <w:r w:rsidRPr="008B0630">
        <w:rPr>
          <w:rFonts w:eastAsia="Calibri" w:cs="Times New Roman"/>
          <w:szCs w:val="24"/>
        </w:rPr>
        <w:t>; 2027. gadā – 36,4 milj. </w:t>
      </w:r>
      <w:r w:rsidRPr="008B0630">
        <w:rPr>
          <w:rFonts w:eastAsia="Calibri" w:cs="Times New Roman"/>
          <w:i/>
          <w:szCs w:val="24"/>
        </w:rPr>
        <w:t>euro</w:t>
      </w:r>
      <w:r w:rsidRPr="008B0630">
        <w:rPr>
          <w:rFonts w:eastAsia="Calibri" w:cs="Times New Roman"/>
          <w:szCs w:val="24"/>
        </w:rPr>
        <w:t>; un 2028. gadā – 37,5 milj. </w:t>
      </w:r>
      <w:r w:rsidRPr="008B0630">
        <w:rPr>
          <w:rFonts w:eastAsia="Calibri" w:cs="Times New Roman"/>
          <w:i/>
          <w:szCs w:val="24"/>
        </w:rPr>
        <w:t>euro</w:t>
      </w:r>
      <w:r w:rsidRPr="008B0630">
        <w:rPr>
          <w:rFonts w:eastAsia="Calibri" w:cs="Times New Roman"/>
          <w:szCs w:val="24"/>
        </w:rPr>
        <w:t xml:space="preserve"> </w:t>
      </w:r>
      <w:r w:rsidRPr="008B0630">
        <w:rPr>
          <w:rFonts w:cs="Times New Roman"/>
        </w:rPr>
        <w:t xml:space="preserve">(skat. 3.14. tabulu). Uzņēmumu vieglo transportlīdzekļu nodokļa ieņēmumu </w:t>
      </w:r>
      <w:r w:rsidRPr="008B0630">
        <w:rPr>
          <w:rFonts w:eastAsia="Calibri" w:cs="Times New Roman"/>
          <w:szCs w:val="24"/>
        </w:rPr>
        <w:t xml:space="preserve">prognozi vidējā termiņā pamatā nosaka </w:t>
      </w:r>
      <w:r w:rsidRPr="008B0630">
        <w:rPr>
          <w:rFonts w:cs="Times New Roman"/>
        </w:rPr>
        <w:t xml:space="preserve">prognozētais ar nodokli apliekamo transportlīdzekļu skaits un struktūra un 2025. gadā sagaidāmā izpilde. </w:t>
      </w:r>
    </w:p>
    <w:p w14:paraId="4F02CA42"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3.14. tabula. Uzņēmumu vieglo transportlīdzekļu nodokļa ieņēmumi</w:t>
      </w: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667"/>
        <w:gridCol w:w="851"/>
        <w:gridCol w:w="851"/>
        <w:gridCol w:w="851"/>
        <w:gridCol w:w="852"/>
      </w:tblGrid>
      <w:tr w:rsidR="008B0630" w:rsidRPr="008B0630" w14:paraId="56D450F9" w14:textId="77777777" w:rsidTr="00E03828">
        <w:trPr>
          <w:cantSplit/>
          <w:trHeight w:hRule="exact" w:val="227"/>
          <w:jc w:val="center"/>
        </w:trPr>
        <w:tc>
          <w:tcPr>
            <w:tcW w:w="5667" w:type="dxa"/>
            <w:shd w:val="clear" w:color="auto" w:fill="9CC2E5" w:themeFill="accent1" w:themeFillTint="99"/>
            <w:noWrap/>
            <w:tcMar>
              <w:left w:w="28" w:type="dxa"/>
              <w:right w:w="28" w:type="dxa"/>
            </w:tcMar>
            <w:vAlign w:val="center"/>
            <w:hideMark/>
          </w:tcPr>
          <w:p w14:paraId="3916243D"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p>
        </w:tc>
        <w:tc>
          <w:tcPr>
            <w:tcW w:w="851" w:type="dxa"/>
            <w:shd w:val="clear" w:color="auto" w:fill="9CC2E5" w:themeFill="accent1" w:themeFillTint="99"/>
            <w:tcMar>
              <w:left w:w="28" w:type="dxa"/>
              <w:right w:w="28" w:type="dxa"/>
            </w:tcMar>
            <w:vAlign w:val="center"/>
          </w:tcPr>
          <w:p w14:paraId="2178FEF8"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2025</w:t>
            </w:r>
          </w:p>
        </w:tc>
        <w:tc>
          <w:tcPr>
            <w:tcW w:w="851" w:type="dxa"/>
            <w:shd w:val="clear" w:color="auto" w:fill="9CC2E5" w:themeFill="accent1" w:themeFillTint="99"/>
            <w:tcMar>
              <w:left w:w="28" w:type="dxa"/>
              <w:right w:w="28" w:type="dxa"/>
            </w:tcMar>
            <w:vAlign w:val="center"/>
          </w:tcPr>
          <w:p w14:paraId="39DA3C85"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2026</w:t>
            </w:r>
          </w:p>
        </w:tc>
        <w:tc>
          <w:tcPr>
            <w:tcW w:w="851" w:type="dxa"/>
            <w:shd w:val="clear" w:color="auto" w:fill="9CC2E5" w:themeFill="accent1" w:themeFillTint="99"/>
            <w:noWrap/>
            <w:tcMar>
              <w:left w:w="28" w:type="dxa"/>
              <w:right w:w="28" w:type="dxa"/>
            </w:tcMar>
            <w:vAlign w:val="center"/>
            <w:hideMark/>
          </w:tcPr>
          <w:p w14:paraId="04509EA6"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2027</w:t>
            </w:r>
          </w:p>
        </w:tc>
        <w:tc>
          <w:tcPr>
            <w:tcW w:w="852" w:type="dxa"/>
            <w:shd w:val="clear" w:color="auto" w:fill="9CC2E5" w:themeFill="accent1" w:themeFillTint="99"/>
            <w:tcMar>
              <w:left w:w="28" w:type="dxa"/>
              <w:right w:w="28" w:type="dxa"/>
            </w:tcMar>
            <w:vAlign w:val="center"/>
          </w:tcPr>
          <w:p w14:paraId="23E30219"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2028</w:t>
            </w:r>
          </w:p>
        </w:tc>
      </w:tr>
      <w:tr w:rsidR="008B0630" w:rsidRPr="008B0630" w14:paraId="4E723D26" w14:textId="77777777" w:rsidTr="00E03828">
        <w:trPr>
          <w:cantSplit/>
          <w:trHeight w:hRule="exact" w:val="454"/>
          <w:jc w:val="center"/>
        </w:trPr>
        <w:tc>
          <w:tcPr>
            <w:tcW w:w="5667" w:type="dxa"/>
            <w:tcMar>
              <w:left w:w="28" w:type="dxa"/>
              <w:right w:w="28" w:type="dxa"/>
            </w:tcMar>
            <w:hideMark/>
          </w:tcPr>
          <w:p w14:paraId="2A333CC5"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Saskaņā ar likumprojektu “Par valsts budžetu 2026. gadam un budžeta ietvaru 2026., 2027. un 2028. gadam”, milj. </w:t>
            </w:r>
            <w:r w:rsidRPr="008B0630">
              <w:rPr>
                <w:rFonts w:cs="Times New Roman"/>
                <w:i/>
                <w:iCs/>
                <w:sz w:val="18"/>
                <w:szCs w:val="18"/>
              </w:rPr>
              <w:t>euro</w:t>
            </w:r>
            <w:r w:rsidRPr="008B0630">
              <w:rPr>
                <w:rFonts w:cs="Times New Roman"/>
                <w:sz w:val="18"/>
                <w:szCs w:val="18"/>
              </w:rPr>
              <w:t xml:space="preserve"> </w:t>
            </w:r>
          </w:p>
        </w:tc>
        <w:tc>
          <w:tcPr>
            <w:tcW w:w="851" w:type="dxa"/>
            <w:noWrap/>
            <w:tcMar>
              <w:left w:w="28" w:type="dxa"/>
              <w:right w:w="28" w:type="dxa"/>
            </w:tcMar>
            <w:vAlign w:val="center"/>
          </w:tcPr>
          <w:p w14:paraId="0AAF2304"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33,1</w:t>
            </w:r>
            <w:r w:rsidRPr="008B0630">
              <w:rPr>
                <w:rFonts w:cs="Times New Roman"/>
                <w:noProof/>
                <w:sz w:val="18"/>
                <w:szCs w:val="18"/>
                <w:vertAlign w:val="superscript"/>
              </w:rPr>
              <w:t>1</w:t>
            </w:r>
          </w:p>
        </w:tc>
        <w:tc>
          <w:tcPr>
            <w:tcW w:w="851" w:type="dxa"/>
            <w:noWrap/>
            <w:tcMar>
              <w:left w:w="28" w:type="dxa"/>
              <w:right w:w="28" w:type="dxa"/>
            </w:tcMar>
            <w:vAlign w:val="center"/>
          </w:tcPr>
          <w:p w14:paraId="7BDF14EF"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33,3</w:t>
            </w:r>
          </w:p>
        </w:tc>
        <w:tc>
          <w:tcPr>
            <w:tcW w:w="851" w:type="dxa"/>
            <w:noWrap/>
            <w:tcMar>
              <w:left w:w="28" w:type="dxa"/>
              <w:right w:w="28" w:type="dxa"/>
            </w:tcMar>
            <w:vAlign w:val="center"/>
          </w:tcPr>
          <w:p w14:paraId="383315C7"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36,4</w:t>
            </w:r>
          </w:p>
        </w:tc>
        <w:tc>
          <w:tcPr>
            <w:tcW w:w="852" w:type="dxa"/>
            <w:tcMar>
              <w:left w:w="28" w:type="dxa"/>
              <w:right w:w="28" w:type="dxa"/>
            </w:tcMar>
            <w:vAlign w:val="center"/>
          </w:tcPr>
          <w:p w14:paraId="1AD73E00"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37,5</w:t>
            </w:r>
          </w:p>
        </w:tc>
      </w:tr>
      <w:tr w:rsidR="008B0630" w:rsidRPr="008B0630" w14:paraId="47088CBA" w14:textId="77777777" w:rsidTr="00E03828">
        <w:trPr>
          <w:cantSplit/>
          <w:trHeight w:hRule="exact" w:val="227"/>
          <w:jc w:val="center"/>
        </w:trPr>
        <w:tc>
          <w:tcPr>
            <w:tcW w:w="5667" w:type="dxa"/>
            <w:noWrap/>
            <w:tcMar>
              <w:left w:w="28" w:type="dxa"/>
              <w:right w:w="28" w:type="dxa"/>
            </w:tcMar>
            <w:hideMark/>
          </w:tcPr>
          <w:p w14:paraId="0FA0A8A9" w14:textId="77777777" w:rsidR="008B0630" w:rsidRPr="008B0630" w:rsidRDefault="008B0630" w:rsidP="008B0630">
            <w:pPr>
              <w:keepNext/>
              <w:keepLines/>
              <w:ind w:left="425" w:firstLine="0"/>
              <w:jc w:val="left"/>
              <w:rPr>
                <w:rFonts w:cs="Times New Roman"/>
                <w:i/>
                <w:iCs/>
                <w:noProof/>
                <w:sz w:val="18"/>
                <w:szCs w:val="18"/>
              </w:rPr>
            </w:pPr>
            <w:r w:rsidRPr="008B0630">
              <w:rPr>
                <w:rFonts w:cs="Times New Roman"/>
                <w:i/>
                <w:iCs/>
                <w:sz w:val="18"/>
                <w:szCs w:val="18"/>
              </w:rPr>
              <w:t>pret IKP, %</w:t>
            </w:r>
          </w:p>
        </w:tc>
        <w:tc>
          <w:tcPr>
            <w:tcW w:w="851" w:type="dxa"/>
            <w:noWrap/>
            <w:tcMar>
              <w:left w:w="28" w:type="dxa"/>
              <w:right w:w="28" w:type="dxa"/>
            </w:tcMar>
          </w:tcPr>
          <w:p w14:paraId="2173044F"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0,1</w:t>
            </w:r>
          </w:p>
        </w:tc>
        <w:tc>
          <w:tcPr>
            <w:tcW w:w="851" w:type="dxa"/>
            <w:noWrap/>
            <w:tcMar>
              <w:left w:w="28" w:type="dxa"/>
              <w:right w:w="28" w:type="dxa"/>
            </w:tcMar>
          </w:tcPr>
          <w:p w14:paraId="547904EB"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0,1</w:t>
            </w:r>
          </w:p>
        </w:tc>
        <w:tc>
          <w:tcPr>
            <w:tcW w:w="851" w:type="dxa"/>
            <w:noWrap/>
            <w:tcMar>
              <w:left w:w="28" w:type="dxa"/>
              <w:right w:w="28" w:type="dxa"/>
            </w:tcMar>
          </w:tcPr>
          <w:p w14:paraId="41BE8A61"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0,1</w:t>
            </w:r>
          </w:p>
        </w:tc>
        <w:tc>
          <w:tcPr>
            <w:tcW w:w="852" w:type="dxa"/>
            <w:tcMar>
              <w:left w:w="28" w:type="dxa"/>
              <w:right w:w="28" w:type="dxa"/>
            </w:tcMar>
          </w:tcPr>
          <w:p w14:paraId="45CF915E"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0,1</w:t>
            </w:r>
          </w:p>
        </w:tc>
      </w:tr>
      <w:tr w:rsidR="008B0630" w:rsidRPr="008B0630" w14:paraId="72120B6F" w14:textId="77777777" w:rsidTr="00E03828">
        <w:trPr>
          <w:cantSplit/>
          <w:trHeight w:hRule="exact" w:val="454"/>
          <w:jc w:val="center"/>
        </w:trPr>
        <w:tc>
          <w:tcPr>
            <w:tcW w:w="5667" w:type="dxa"/>
            <w:tcMar>
              <w:left w:w="28" w:type="dxa"/>
              <w:right w:w="28" w:type="dxa"/>
            </w:tcMar>
            <w:hideMark/>
          </w:tcPr>
          <w:p w14:paraId="2E0BA3A6"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milj. </w:t>
            </w:r>
            <w:r w:rsidRPr="008B0630">
              <w:rPr>
                <w:rFonts w:cs="Times New Roman"/>
                <w:i/>
                <w:iCs/>
                <w:sz w:val="18"/>
                <w:szCs w:val="18"/>
              </w:rPr>
              <w:t>euro</w:t>
            </w:r>
          </w:p>
        </w:tc>
        <w:tc>
          <w:tcPr>
            <w:tcW w:w="851" w:type="dxa"/>
            <w:noWrap/>
            <w:tcMar>
              <w:left w:w="28" w:type="dxa"/>
              <w:right w:w="28" w:type="dxa"/>
            </w:tcMar>
            <w:vAlign w:val="center"/>
          </w:tcPr>
          <w:p w14:paraId="0F91D63F"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+2,5</w:t>
            </w:r>
          </w:p>
        </w:tc>
        <w:tc>
          <w:tcPr>
            <w:tcW w:w="851" w:type="dxa"/>
            <w:noWrap/>
            <w:tcMar>
              <w:left w:w="28" w:type="dxa"/>
              <w:right w:w="28" w:type="dxa"/>
            </w:tcMar>
            <w:vAlign w:val="center"/>
          </w:tcPr>
          <w:p w14:paraId="68D4F88A"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+2,0</w:t>
            </w:r>
          </w:p>
        </w:tc>
        <w:tc>
          <w:tcPr>
            <w:tcW w:w="851" w:type="dxa"/>
            <w:noWrap/>
            <w:tcMar>
              <w:left w:w="28" w:type="dxa"/>
              <w:right w:w="28" w:type="dxa"/>
            </w:tcMar>
            <w:vAlign w:val="center"/>
          </w:tcPr>
          <w:p w14:paraId="4D4FB52D"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+1,6</w:t>
            </w:r>
          </w:p>
        </w:tc>
        <w:tc>
          <w:tcPr>
            <w:tcW w:w="852" w:type="dxa"/>
            <w:tcMar>
              <w:left w:w="28" w:type="dxa"/>
              <w:right w:w="28" w:type="dxa"/>
            </w:tcMar>
            <w:vAlign w:val="center"/>
          </w:tcPr>
          <w:p w14:paraId="05E66089"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w:t>
            </w:r>
          </w:p>
        </w:tc>
      </w:tr>
      <w:tr w:rsidR="008B0630" w:rsidRPr="008B0630" w14:paraId="52892C1B" w14:textId="77777777" w:rsidTr="00E03828">
        <w:trPr>
          <w:cantSplit/>
          <w:trHeight w:hRule="exact" w:val="454"/>
          <w:jc w:val="center"/>
        </w:trPr>
        <w:tc>
          <w:tcPr>
            <w:tcW w:w="5667" w:type="dxa"/>
            <w:tcMar>
              <w:left w:w="28" w:type="dxa"/>
              <w:right w:w="28" w:type="dxa"/>
            </w:tcMar>
            <w:hideMark/>
          </w:tcPr>
          <w:p w14:paraId="394D8CD9"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w:t>
            </w:r>
          </w:p>
        </w:tc>
        <w:tc>
          <w:tcPr>
            <w:tcW w:w="851" w:type="dxa"/>
            <w:noWrap/>
            <w:tcMar>
              <w:left w:w="28" w:type="dxa"/>
              <w:right w:w="28" w:type="dxa"/>
            </w:tcMar>
            <w:vAlign w:val="center"/>
          </w:tcPr>
          <w:p w14:paraId="6F212D7B"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+8,2</w:t>
            </w:r>
          </w:p>
        </w:tc>
        <w:tc>
          <w:tcPr>
            <w:tcW w:w="851" w:type="dxa"/>
            <w:noWrap/>
            <w:tcMar>
              <w:left w:w="28" w:type="dxa"/>
              <w:right w:w="28" w:type="dxa"/>
            </w:tcMar>
            <w:vAlign w:val="center"/>
          </w:tcPr>
          <w:p w14:paraId="66DAC0EA"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+6,4</w:t>
            </w:r>
          </w:p>
        </w:tc>
        <w:tc>
          <w:tcPr>
            <w:tcW w:w="851" w:type="dxa"/>
            <w:noWrap/>
            <w:tcMar>
              <w:left w:w="28" w:type="dxa"/>
              <w:right w:w="28" w:type="dxa"/>
            </w:tcMar>
            <w:vAlign w:val="center"/>
          </w:tcPr>
          <w:p w14:paraId="7127CD50"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+4,5</w:t>
            </w:r>
          </w:p>
        </w:tc>
        <w:tc>
          <w:tcPr>
            <w:tcW w:w="852" w:type="dxa"/>
            <w:tcMar>
              <w:left w:w="28" w:type="dxa"/>
              <w:right w:w="28" w:type="dxa"/>
            </w:tcMar>
            <w:vAlign w:val="center"/>
          </w:tcPr>
          <w:p w14:paraId="1EFC5D04"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w:t>
            </w:r>
          </w:p>
        </w:tc>
      </w:tr>
    </w:tbl>
    <w:p w14:paraId="736DF6D9"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5CA3EA60" w14:textId="77777777" w:rsidR="008B0630" w:rsidRPr="008B0630" w:rsidRDefault="008B0630" w:rsidP="008B0630">
      <w:pPr>
        <w:keepNext/>
        <w:keepLines/>
        <w:spacing w:before="240" w:after="240"/>
        <w:ind w:firstLine="0"/>
        <w:jc w:val="center"/>
        <w:outlineLvl w:val="3"/>
        <w:rPr>
          <w:rFonts w:eastAsia="Times New Roman" w:cs="Times New Roman"/>
          <w:b/>
          <w:szCs w:val="20"/>
          <w:lang w:eastAsia="en-US"/>
        </w:rPr>
      </w:pPr>
      <w:r w:rsidRPr="008B0630">
        <w:rPr>
          <w:rFonts w:eastAsia="Times New Roman" w:cs="Times New Roman"/>
          <w:b/>
          <w:szCs w:val="20"/>
          <w:lang w:eastAsia="en-US"/>
        </w:rPr>
        <w:t>Muitas nodoklis</w:t>
      </w:r>
    </w:p>
    <w:p w14:paraId="17635558" w14:textId="77777777" w:rsidR="008B0630" w:rsidRPr="008B0630" w:rsidRDefault="008B0630" w:rsidP="008B0630">
      <w:pPr>
        <w:rPr>
          <w:rFonts w:eastAsia="Calibri" w:cs="Times New Roman"/>
          <w:szCs w:val="24"/>
          <w:highlight w:val="yellow"/>
        </w:rPr>
      </w:pPr>
      <w:r w:rsidRPr="008B0630">
        <w:rPr>
          <w:rFonts w:eastAsia="Calibri" w:cs="Times New Roman"/>
          <w:szCs w:val="24"/>
        </w:rPr>
        <w:t>2025. gada 1. pusgadā muitas nodokļa ieņēmumi bija 35,1 milj. </w:t>
      </w:r>
      <w:r w:rsidRPr="008B0630">
        <w:rPr>
          <w:rFonts w:eastAsia="Calibri" w:cs="Times New Roman"/>
          <w:i/>
          <w:iCs/>
          <w:szCs w:val="24"/>
        </w:rPr>
        <w:t>euro</w:t>
      </w:r>
      <w:r w:rsidRPr="008B0630">
        <w:rPr>
          <w:rFonts w:eastAsia="Calibri" w:cs="Times New Roman"/>
          <w:szCs w:val="24"/>
        </w:rPr>
        <w:t>. Salīdzinājumā ar 2024. gada 1. pusgadu, tie palielinājās par 4,1 milj. </w:t>
      </w:r>
      <w:r w:rsidRPr="008B0630">
        <w:rPr>
          <w:rFonts w:eastAsia="Calibri" w:cs="Times New Roman"/>
          <w:i/>
          <w:iCs/>
          <w:szCs w:val="24"/>
        </w:rPr>
        <w:t>euro</w:t>
      </w:r>
      <w:r w:rsidRPr="008B0630">
        <w:rPr>
          <w:rFonts w:eastAsia="Calibri" w:cs="Times New Roman"/>
          <w:szCs w:val="24"/>
        </w:rPr>
        <w:t xml:space="preserve"> jeb 13,3 %, bet salīdzinājumā ar plānoto tika iekasēts par 2,3 milj. </w:t>
      </w:r>
      <w:r w:rsidRPr="008B0630">
        <w:rPr>
          <w:rFonts w:eastAsia="Calibri" w:cs="Times New Roman"/>
          <w:i/>
          <w:iCs/>
          <w:szCs w:val="24"/>
        </w:rPr>
        <w:t>euro</w:t>
      </w:r>
      <w:r w:rsidRPr="008B0630">
        <w:rPr>
          <w:rFonts w:eastAsia="Calibri" w:cs="Times New Roman"/>
          <w:szCs w:val="24"/>
        </w:rPr>
        <w:t xml:space="preserve"> jeb 7,0 % vairāk. Plāna pārpildi ietekmēja dinamiskāka ārējā tirdzniecība ar ārpussavienības valstīm, nekā tika prognozēts.</w:t>
      </w:r>
    </w:p>
    <w:p w14:paraId="58CDDD18" w14:textId="77777777" w:rsidR="008B0630" w:rsidRPr="008B0630" w:rsidRDefault="008B0630" w:rsidP="008B0630">
      <w:pPr>
        <w:rPr>
          <w:rFonts w:eastAsia="Calibri" w:cs="Times New Roman"/>
          <w:szCs w:val="24"/>
        </w:rPr>
      </w:pPr>
      <w:r w:rsidRPr="008B0630">
        <w:rPr>
          <w:rFonts w:eastAsia="Calibri" w:cs="Times New Roman"/>
          <w:szCs w:val="24"/>
        </w:rPr>
        <w:t>Saskaņā ar likumprojektu “Par valsts budžetu 2026. gadam un budžeta ietvaru 2026., 2027. un 2028. gadam” muitas nodokļa ieņēmumi tiek prognozēti šādi: 2026. gadā – 70,9 milj. </w:t>
      </w:r>
      <w:r w:rsidRPr="008B0630">
        <w:rPr>
          <w:rFonts w:eastAsia="Calibri" w:cs="Times New Roman"/>
          <w:i/>
          <w:szCs w:val="24"/>
        </w:rPr>
        <w:t>euro</w:t>
      </w:r>
      <w:r w:rsidRPr="008B0630">
        <w:rPr>
          <w:rFonts w:eastAsia="Calibri" w:cs="Times New Roman"/>
          <w:szCs w:val="24"/>
        </w:rPr>
        <w:t>; 2027. gadā – 74,5 milj. </w:t>
      </w:r>
      <w:r w:rsidRPr="008B0630">
        <w:rPr>
          <w:rFonts w:eastAsia="Calibri" w:cs="Times New Roman"/>
          <w:i/>
          <w:szCs w:val="24"/>
        </w:rPr>
        <w:t>euro</w:t>
      </w:r>
      <w:r w:rsidRPr="008B0630">
        <w:rPr>
          <w:rFonts w:eastAsia="Calibri" w:cs="Times New Roman"/>
          <w:szCs w:val="24"/>
        </w:rPr>
        <w:t>; un 2028. gadā – 79,3 milj. </w:t>
      </w:r>
      <w:r w:rsidRPr="008B0630">
        <w:rPr>
          <w:rFonts w:eastAsia="Calibri" w:cs="Times New Roman"/>
          <w:i/>
          <w:szCs w:val="24"/>
        </w:rPr>
        <w:t>euro</w:t>
      </w:r>
      <w:r w:rsidRPr="008B0630">
        <w:rPr>
          <w:rFonts w:eastAsia="Calibri" w:cs="Times New Roman"/>
          <w:szCs w:val="24"/>
        </w:rPr>
        <w:t xml:space="preserve"> (skat. 3.15. tabulu). Muitas nodokļa ieņēmumu prognozi vidējā termiņā nosaka prognozētā importa no ārpussavienības valstīm dinamika faktiskajās cenās un 2025. gadā sagaidāmā izpilde.</w:t>
      </w:r>
    </w:p>
    <w:p w14:paraId="6CA7D089"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3.15. tabula. Muitas nodokļa ieņēmumi</w:t>
      </w: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667"/>
        <w:gridCol w:w="851"/>
        <w:gridCol w:w="851"/>
        <w:gridCol w:w="851"/>
        <w:gridCol w:w="852"/>
      </w:tblGrid>
      <w:tr w:rsidR="008B0630" w:rsidRPr="008B0630" w14:paraId="2523B367" w14:textId="77777777" w:rsidTr="00E03828">
        <w:trPr>
          <w:cantSplit/>
          <w:trHeight w:hRule="exact" w:val="227"/>
          <w:jc w:val="center"/>
        </w:trPr>
        <w:tc>
          <w:tcPr>
            <w:tcW w:w="5667" w:type="dxa"/>
            <w:shd w:val="clear" w:color="auto" w:fill="9CC2E5" w:themeFill="accent1" w:themeFillTint="99"/>
            <w:noWrap/>
            <w:tcMar>
              <w:left w:w="28" w:type="dxa"/>
              <w:right w:w="28" w:type="dxa"/>
            </w:tcMar>
            <w:vAlign w:val="center"/>
            <w:hideMark/>
          </w:tcPr>
          <w:p w14:paraId="7CF80A68" w14:textId="77777777" w:rsidR="008B0630" w:rsidRPr="008B0630" w:rsidRDefault="008B0630" w:rsidP="008B0630">
            <w:pPr>
              <w:keepNext/>
              <w:keepLines/>
              <w:spacing w:after="0"/>
              <w:ind w:firstLine="0"/>
              <w:contextualSpacing/>
              <w:jc w:val="center"/>
              <w:rPr>
                <w:rFonts w:eastAsia="Times New Roman" w:cs="Times New Roman"/>
                <w:b/>
                <w:bCs/>
                <w:sz w:val="18"/>
                <w:szCs w:val="18"/>
              </w:rPr>
            </w:pPr>
          </w:p>
        </w:tc>
        <w:tc>
          <w:tcPr>
            <w:tcW w:w="851" w:type="dxa"/>
            <w:shd w:val="clear" w:color="auto" w:fill="9CC2E5" w:themeFill="accent1" w:themeFillTint="99"/>
            <w:tcMar>
              <w:left w:w="28" w:type="dxa"/>
              <w:right w:w="28" w:type="dxa"/>
            </w:tcMar>
            <w:vAlign w:val="center"/>
          </w:tcPr>
          <w:p w14:paraId="52B434B0"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2025</w:t>
            </w:r>
          </w:p>
        </w:tc>
        <w:tc>
          <w:tcPr>
            <w:tcW w:w="851" w:type="dxa"/>
            <w:shd w:val="clear" w:color="auto" w:fill="9CC2E5" w:themeFill="accent1" w:themeFillTint="99"/>
            <w:tcMar>
              <w:left w:w="28" w:type="dxa"/>
              <w:right w:w="28" w:type="dxa"/>
            </w:tcMar>
            <w:vAlign w:val="center"/>
          </w:tcPr>
          <w:p w14:paraId="665615FB"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2026</w:t>
            </w:r>
          </w:p>
        </w:tc>
        <w:tc>
          <w:tcPr>
            <w:tcW w:w="851" w:type="dxa"/>
            <w:shd w:val="clear" w:color="auto" w:fill="9CC2E5" w:themeFill="accent1" w:themeFillTint="99"/>
            <w:noWrap/>
            <w:tcMar>
              <w:left w:w="28" w:type="dxa"/>
              <w:right w:w="28" w:type="dxa"/>
            </w:tcMar>
            <w:vAlign w:val="center"/>
            <w:hideMark/>
          </w:tcPr>
          <w:p w14:paraId="0F963A6B"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2027</w:t>
            </w:r>
          </w:p>
        </w:tc>
        <w:tc>
          <w:tcPr>
            <w:tcW w:w="852" w:type="dxa"/>
            <w:shd w:val="clear" w:color="auto" w:fill="9CC2E5" w:themeFill="accent1" w:themeFillTint="99"/>
            <w:tcMar>
              <w:left w:w="28" w:type="dxa"/>
              <w:right w:w="28" w:type="dxa"/>
            </w:tcMar>
            <w:vAlign w:val="center"/>
          </w:tcPr>
          <w:p w14:paraId="114BD47E"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2028</w:t>
            </w:r>
          </w:p>
        </w:tc>
      </w:tr>
      <w:tr w:rsidR="008B0630" w:rsidRPr="008B0630" w14:paraId="225AF567" w14:textId="77777777" w:rsidTr="00E03828">
        <w:trPr>
          <w:cantSplit/>
          <w:trHeight w:hRule="exact" w:val="454"/>
          <w:jc w:val="center"/>
        </w:trPr>
        <w:tc>
          <w:tcPr>
            <w:tcW w:w="5667" w:type="dxa"/>
            <w:tcMar>
              <w:left w:w="28" w:type="dxa"/>
              <w:right w:w="28" w:type="dxa"/>
            </w:tcMar>
            <w:hideMark/>
          </w:tcPr>
          <w:p w14:paraId="65A630C9"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Saskaņā ar likumprojektu “Par valsts budžetu 2026. gadam un budžeta ietvaru 2026., 2027. un 2028. gadam”, milj. </w:t>
            </w:r>
            <w:r w:rsidRPr="008B0630">
              <w:rPr>
                <w:rFonts w:cs="Times New Roman"/>
                <w:i/>
                <w:iCs/>
                <w:sz w:val="18"/>
                <w:szCs w:val="18"/>
              </w:rPr>
              <w:t>euro</w:t>
            </w:r>
            <w:r w:rsidRPr="008B0630">
              <w:rPr>
                <w:rFonts w:cs="Times New Roman"/>
                <w:sz w:val="18"/>
                <w:szCs w:val="18"/>
              </w:rPr>
              <w:t xml:space="preserve"> </w:t>
            </w:r>
          </w:p>
        </w:tc>
        <w:tc>
          <w:tcPr>
            <w:tcW w:w="851" w:type="dxa"/>
            <w:noWrap/>
            <w:tcMar>
              <w:left w:w="28" w:type="dxa"/>
              <w:right w:w="28" w:type="dxa"/>
            </w:tcMar>
            <w:vAlign w:val="center"/>
          </w:tcPr>
          <w:p w14:paraId="33AA7BF7"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68,1</w:t>
            </w:r>
            <w:r w:rsidRPr="008B0630">
              <w:rPr>
                <w:rFonts w:cs="Times New Roman"/>
                <w:noProof/>
                <w:sz w:val="18"/>
                <w:szCs w:val="18"/>
                <w:vertAlign w:val="superscript"/>
              </w:rPr>
              <w:t>1</w:t>
            </w:r>
          </w:p>
        </w:tc>
        <w:tc>
          <w:tcPr>
            <w:tcW w:w="851" w:type="dxa"/>
            <w:noWrap/>
            <w:tcMar>
              <w:left w:w="28" w:type="dxa"/>
              <w:right w:w="28" w:type="dxa"/>
            </w:tcMar>
            <w:vAlign w:val="center"/>
          </w:tcPr>
          <w:p w14:paraId="2E62909E"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70,9</w:t>
            </w:r>
          </w:p>
        </w:tc>
        <w:tc>
          <w:tcPr>
            <w:tcW w:w="851" w:type="dxa"/>
            <w:noWrap/>
            <w:tcMar>
              <w:left w:w="28" w:type="dxa"/>
              <w:right w:w="28" w:type="dxa"/>
            </w:tcMar>
            <w:vAlign w:val="center"/>
          </w:tcPr>
          <w:p w14:paraId="1652C7BB"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74,5</w:t>
            </w:r>
          </w:p>
        </w:tc>
        <w:tc>
          <w:tcPr>
            <w:tcW w:w="852" w:type="dxa"/>
            <w:tcMar>
              <w:left w:w="28" w:type="dxa"/>
              <w:right w:w="28" w:type="dxa"/>
            </w:tcMar>
            <w:vAlign w:val="center"/>
          </w:tcPr>
          <w:p w14:paraId="00C50B9B"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79,3</w:t>
            </w:r>
          </w:p>
        </w:tc>
      </w:tr>
      <w:tr w:rsidR="008B0630" w:rsidRPr="008B0630" w14:paraId="5B47ECC7" w14:textId="77777777" w:rsidTr="00E03828">
        <w:trPr>
          <w:cantSplit/>
          <w:trHeight w:hRule="exact" w:val="227"/>
          <w:jc w:val="center"/>
        </w:trPr>
        <w:tc>
          <w:tcPr>
            <w:tcW w:w="5667" w:type="dxa"/>
            <w:noWrap/>
            <w:tcMar>
              <w:left w:w="28" w:type="dxa"/>
              <w:right w:w="28" w:type="dxa"/>
            </w:tcMar>
            <w:hideMark/>
          </w:tcPr>
          <w:p w14:paraId="16853DD3" w14:textId="77777777" w:rsidR="008B0630" w:rsidRPr="008B0630" w:rsidRDefault="008B0630" w:rsidP="008B0630">
            <w:pPr>
              <w:keepNext/>
              <w:keepLines/>
              <w:ind w:left="425" w:firstLine="0"/>
              <w:jc w:val="left"/>
              <w:rPr>
                <w:rFonts w:cs="Times New Roman"/>
                <w:i/>
                <w:iCs/>
                <w:noProof/>
                <w:sz w:val="18"/>
                <w:szCs w:val="18"/>
              </w:rPr>
            </w:pPr>
            <w:r w:rsidRPr="008B0630">
              <w:rPr>
                <w:rFonts w:cs="Times New Roman"/>
                <w:i/>
                <w:iCs/>
                <w:sz w:val="18"/>
                <w:szCs w:val="18"/>
              </w:rPr>
              <w:t>pret IKP, %</w:t>
            </w:r>
          </w:p>
        </w:tc>
        <w:tc>
          <w:tcPr>
            <w:tcW w:w="851" w:type="dxa"/>
            <w:noWrap/>
            <w:tcMar>
              <w:left w:w="28" w:type="dxa"/>
              <w:right w:w="28" w:type="dxa"/>
            </w:tcMar>
          </w:tcPr>
          <w:p w14:paraId="10A1789F"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0,2</w:t>
            </w:r>
          </w:p>
        </w:tc>
        <w:tc>
          <w:tcPr>
            <w:tcW w:w="851" w:type="dxa"/>
            <w:noWrap/>
            <w:tcMar>
              <w:left w:w="28" w:type="dxa"/>
              <w:right w:w="28" w:type="dxa"/>
            </w:tcMar>
          </w:tcPr>
          <w:p w14:paraId="1D9D26FF"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0,2</w:t>
            </w:r>
          </w:p>
        </w:tc>
        <w:tc>
          <w:tcPr>
            <w:tcW w:w="851" w:type="dxa"/>
            <w:noWrap/>
            <w:tcMar>
              <w:left w:w="28" w:type="dxa"/>
              <w:right w:w="28" w:type="dxa"/>
            </w:tcMar>
          </w:tcPr>
          <w:p w14:paraId="30EDBB73"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0,2</w:t>
            </w:r>
          </w:p>
        </w:tc>
        <w:tc>
          <w:tcPr>
            <w:tcW w:w="852" w:type="dxa"/>
            <w:tcMar>
              <w:left w:w="28" w:type="dxa"/>
              <w:right w:w="28" w:type="dxa"/>
            </w:tcMar>
          </w:tcPr>
          <w:p w14:paraId="2B3CEC74"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0,2</w:t>
            </w:r>
          </w:p>
        </w:tc>
      </w:tr>
      <w:tr w:rsidR="008B0630" w:rsidRPr="008B0630" w14:paraId="0B6F646E" w14:textId="77777777" w:rsidTr="00E03828">
        <w:trPr>
          <w:cantSplit/>
          <w:trHeight w:hRule="exact" w:val="454"/>
          <w:jc w:val="center"/>
        </w:trPr>
        <w:tc>
          <w:tcPr>
            <w:tcW w:w="5667" w:type="dxa"/>
            <w:tcMar>
              <w:left w:w="28" w:type="dxa"/>
              <w:right w:w="28" w:type="dxa"/>
            </w:tcMar>
            <w:hideMark/>
          </w:tcPr>
          <w:p w14:paraId="71536D30"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milj. </w:t>
            </w:r>
            <w:r w:rsidRPr="008B0630">
              <w:rPr>
                <w:rFonts w:cs="Times New Roman"/>
                <w:i/>
                <w:iCs/>
                <w:sz w:val="18"/>
                <w:szCs w:val="18"/>
              </w:rPr>
              <w:t>euro</w:t>
            </w:r>
          </w:p>
        </w:tc>
        <w:tc>
          <w:tcPr>
            <w:tcW w:w="851" w:type="dxa"/>
            <w:noWrap/>
            <w:tcMar>
              <w:left w:w="28" w:type="dxa"/>
              <w:right w:w="28" w:type="dxa"/>
            </w:tcMar>
            <w:vAlign w:val="center"/>
          </w:tcPr>
          <w:p w14:paraId="2890B955"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+0,8</w:t>
            </w:r>
          </w:p>
        </w:tc>
        <w:tc>
          <w:tcPr>
            <w:tcW w:w="851" w:type="dxa"/>
            <w:noWrap/>
            <w:tcMar>
              <w:left w:w="28" w:type="dxa"/>
              <w:right w:w="28" w:type="dxa"/>
            </w:tcMar>
            <w:vAlign w:val="center"/>
          </w:tcPr>
          <w:p w14:paraId="5322C520"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0,0</w:t>
            </w:r>
          </w:p>
        </w:tc>
        <w:tc>
          <w:tcPr>
            <w:tcW w:w="851" w:type="dxa"/>
            <w:noWrap/>
            <w:tcMar>
              <w:left w:w="28" w:type="dxa"/>
              <w:right w:w="28" w:type="dxa"/>
            </w:tcMar>
            <w:vAlign w:val="center"/>
          </w:tcPr>
          <w:p w14:paraId="77F12EE5"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0,0</w:t>
            </w:r>
          </w:p>
        </w:tc>
        <w:tc>
          <w:tcPr>
            <w:tcW w:w="852" w:type="dxa"/>
            <w:tcMar>
              <w:left w:w="28" w:type="dxa"/>
              <w:right w:w="28" w:type="dxa"/>
            </w:tcMar>
            <w:vAlign w:val="center"/>
          </w:tcPr>
          <w:p w14:paraId="7AA0F1F6"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w:t>
            </w:r>
          </w:p>
        </w:tc>
      </w:tr>
      <w:tr w:rsidR="008B0630" w:rsidRPr="008B0630" w14:paraId="61E5C6D1" w14:textId="77777777" w:rsidTr="00E03828">
        <w:trPr>
          <w:cantSplit/>
          <w:trHeight w:hRule="exact" w:val="454"/>
          <w:jc w:val="center"/>
        </w:trPr>
        <w:tc>
          <w:tcPr>
            <w:tcW w:w="5667" w:type="dxa"/>
            <w:tcMar>
              <w:left w:w="28" w:type="dxa"/>
              <w:right w:w="28" w:type="dxa"/>
            </w:tcMar>
            <w:hideMark/>
          </w:tcPr>
          <w:p w14:paraId="4B6C7F64"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w:t>
            </w:r>
          </w:p>
        </w:tc>
        <w:tc>
          <w:tcPr>
            <w:tcW w:w="851" w:type="dxa"/>
            <w:noWrap/>
            <w:tcMar>
              <w:left w:w="28" w:type="dxa"/>
              <w:right w:w="28" w:type="dxa"/>
            </w:tcMar>
            <w:vAlign w:val="center"/>
          </w:tcPr>
          <w:p w14:paraId="1C5FF858"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+1,2</w:t>
            </w:r>
          </w:p>
        </w:tc>
        <w:tc>
          <w:tcPr>
            <w:tcW w:w="851" w:type="dxa"/>
            <w:noWrap/>
            <w:tcMar>
              <w:left w:w="28" w:type="dxa"/>
              <w:right w:w="28" w:type="dxa"/>
            </w:tcMar>
            <w:vAlign w:val="center"/>
          </w:tcPr>
          <w:p w14:paraId="28C719B8"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0,0</w:t>
            </w:r>
          </w:p>
        </w:tc>
        <w:tc>
          <w:tcPr>
            <w:tcW w:w="851" w:type="dxa"/>
            <w:noWrap/>
            <w:tcMar>
              <w:left w:w="28" w:type="dxa"/>
              <w:right w:w="28" w:type="dxa"/>
            </w:tcMar>
            <w:vAlign w:val="center"/>
          </w:tcPr>
          <w:p w14:paraId="793261D6"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0,0</w:t>
            </w:r>
          </w:p>
        </w:tc>
        <w:tc>
          <w:tcPr>
            <w:tcW w:w="852" w:type="dxa"/>
            <w:tcMar>
              <w:left w:w="28" w:type="dxa"/>
              <w:right w:w="28" w:type="dxa"/>
            </w:tcMar>
            <w:vAlign w:val="center"/>
          </w:tcPr>
          <w:p w14:paraId="1CE03F36"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w:t>
            </w:r>
          </w:p>
        </w:tc>
      </w:tr>
    </w:tbl>
    <w:p w14:paraId="470935B7"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475E75A3" w14:textId="77777777" w:rsidR="008B0630" w:rsidRPr="008B0630" w:rsidRDefault="008B0630" w:rsidP="008B0630">
      <w:pPr>
        <w:spacing w:before="240" w:after="240"/>
        <w:ind w:firstLine="0"/>
        <w:jc w:val="center"/>
        <w:outlineLvl w:val="2"/>
        <w:rPr>
          <w:rFonts w:eastAsia="Times New Roman" w:cs="Times New Roman"/>
          <w:b/>
          <w:sz w:val="32"/>
          <w:szCs w:val="20"/>
          <w:lang w:eastAsia="en-US"/>
        </w:rPr>
      </w:pPr>
      <w:r w:rsidRPr="008B0630">
        <w:rPr>
          <w:rFonts w:eastAsia="Times New Roman" w:cs="Times New Roman"/>
          <w:b/>
          <w:sz w:val="32"/>
          <w:szCs w:val="20"/>
          <w:lang w:eastAsia="en-US"/>
        </w:rPr>
        <w:t>3.2.3. Pārējie nodokļi</w:t>
      </w:r>
      <w:bookmarkEnd w:id="120"/>
    </w:p>
    <w:p w14:paraId="0DD3C4FC" w14:textId="173A9C41" w:rsidR="008B0630" w:rsidRPr="008B0630" w:rsidRDefault="008B0630" w:rsidP="008B0630">
      <w:pPr>
        <w:rPr>
          <w:rFonts w:eastAsia="Calibri" w:cs="Times New Roman"/>
          <w:szCs w:val="24"/>
        </w:rPr>
      </w:pPr>
      <w:r w:rsidRPr="008B0630">
        <w:rPr>
          <w:rFonts w:eastAsia="Calibri" w:cs="Times New Roman"/>
          <w:szCs w:val="24"/>
        </w:rPr>
        <w:t>2025. gada 1. pusgadā pārējo nodokļu ieņēmumi bija 60,8 milj. </w:t>
      </w:r>
      <w:r w:rsidRPr="008B0630">
        <w:rPr>
          <w:rFonts w:eastAsia="Calibri" w:cs="Times New Roman"/>
          <w:i/>
          <w:iCs/>
          <w:szCs w:val="24"/>
        </w:rPr>
        <w:t>euro</w:t>
      </w:r>
      <w:r w:rsidRPr="008B0630">
        <w:rPr>
          <w:rFonts w:eastAsia="Calibri" w:cs="Times New Roman"/>
          <w:szCs w:val="24"/>
        </w:rPr>
        <w:t>, kas salīdzinot ar plānu, ir par 13,6 milj. </w:t>
      </w:r>
      <w:r w:rsidRPr="008B0630">
        <w:rPr>
          <w:rFonts w:eastAsia="Calibri" w:cs="Times New Roman"/>
          <w:i/>
          <w:iCs/>
          <w:szCs w:val="24"/>
        </w:rPr>
        <w:t>euro</w:t>
      </w:r>
      <w:r w:rsidRPr="008B0630">
        <w:rPr>
          <w:rFonts w:eastAsia="Calibri" w:cs="Times New Roman"/>
          <w:szCs w:val="24"/>
        </w:rPr>
        <w:t xml:space="preserve"> jeb 18,3 % mazāk, neizpildi pamatā noteica </w:t>
      </w:r>
      <w:r w:rsidR="003F5E29">
        <w:rPr>
          <w:rFonts w:eastAsia="Calibri" w:cs="Times New Roman"/>
          <w:szCs w:val="24"/>
        </w:rPr>
        <w:t>DRN</w:t>
      </w:r>
      <w:r w:rsidRPr="008B0630">
        <w:rPr>
          <w:rFonts w:eastAsia="Calibri" w:cs="Times New Roman"/>
          <w:szCs w:val="24"/>
        </w:rPr>
        <w:t>, kurš atpaliek arī no iepriekšējā gada attiecīgā perioda ieņēmumiem, tādējādi, salīdzinot ar 2024. gada attiecīgo periodu, pārējo nodokļu ieņēmumi tika iekasēti par 3,1 milj. </w:t>
      </w:r>
      <w:r w:rsidRPr="008B0630">
        <w:rPr>
          <w:rFonts w:eastAsia="Calibri" w:cs="Times New Roman"/>
          <w:i/>
          <w:iCs/>
          <w:szCs w:val="24"/>
        </w:rPr>
        <w:t>euro</w:t>
      </w:r>
      <w:r w:rsidRPr="008B0630">
        <w:rPr>
          <w:rFonts w:eastAsia="Calibri" w:cs="Times New Roman"/>
          <w:szCs w:val="24"/>
        </w:rPr>
        <w:t xml:space="preserve"> jeb 4,9 % mazāk. </w:t>
      </w:r>
    </w:p>
    <w:p w14:paraId="1038B810" w14:textId="77777777" w:rsidR="008B0630" w:rsidRPr="008B0630" w:rsidRDefault="008B0630" w:rsidP="008B0630">
      <w:pPr>
        <w:rPr>
          <w:rFonts w:eastAsia="Calibri" w:cs="Times New Roman"/>
          <w:szCs w:val="24"/>
        </w:rPr>
      </w:pPr>
      <w:r w:rsidRPr="008B0630">
        <w:rPr>
          <w:rFonts w:eastAsia="Calibri" w:cs="Times New Roman"/>
          <w:szCs w:val="24"/>
        </w:rPr>
        <w:lastRenderedPageBreak/>
        <w:t>Saskaņā ar likumprojektu “Par valsts budžetu 2026. gadam un budžeta ietvaru 2026., 2027. un 2028. gadam” tiek plānots, ka 2026. gadā pārējo nodokļu ieņēmumi veidos 1,1 % no visiem kopbudžeta nodokļiem un to īpatsvars IKP tiek plānots 0,4%, kas ir par 0,1 pp vairāk nekā pērn.</w:t>
      </w:r>
    </w:p>
    <w:p w14:paraId="6AFA0059" w14:textId="77777777" w:rsidR="008B0630" w:rsidRPr="008B0630" w:rsidRDefault="008B0630" w:rsidP="008B0630">
      <w:pPr>
        <w:rPr>
          <w:rFonts w:eastAsia="Calibri" w:cs="Times New Roman"/>
          <w:szCs w:val="24"/>
        </w:rPr>
      </w:pPr>
      <w:r w:rsidRPr="008B0630">
        <w:rPr>
          <w:rFonts w:eastAsia="Calibri" w:cs="Times New Roman"/>
          <w:szCs w:val="24"/>
        </w:rPr>
        <w:t>Saskaņā ar likumprojektu “Par valsts budžetu 2026. gadam un budžeta ietvaru 2026., 2027. un 2028. gadam” 2026. gadā pārējo nodokļu ieņēmumi tiek plānoti 167,7 milj. </w:t>
      </w:r>
      <w:r w:rsidRPr="008B0630">
        <w:rPr>
          <w:rFonts w:eastAsia="Calibri" w:cs="Times New Roman"/>
          <w:i/>
          <w:iCs/>
          <w:szCs w:val="24"/>
        </w:rPr>
        <w:t>euro</w:t>
      </w:r>
      <w:r w:rsidRPr="008B0630">
        <w:rPr>
          <w:rFonts w:eastAsia="Calibri" w:cs="Times New Roman"/>
          <w:szCs w:val="24"/>
        </w:rPr>
        <w:t>, 2027. gadā 191,6 milj. </w:t>
      </w:r>
      <w:r w:rsidRPr="008B0630">
        <w:rPr>
          <w:rFonts w:eastAsia="Calibri" w:cs="Times New Roman"/>
          <w:i/>
          <w:iCs/>
          <w:szCs w:val="24"/>
        </w:rPr>
        <w:t>euro</w:t>
      </w:r>
      <w:r w:rsidRPr="008B0630">
        <w:rPr>
          <w:rFonts w:eastAsia="Calibri" w:cs="Times New Roman"/>
          <w:szCs w:val="24"/>
        </w:rPr>
        <w:t xml:space="preserve"> un 2028. gadā 211,2 milj. </w:t>
      </w:r>
      <w:r w:rsidRPr="008B0630">
        <w:rPr>
          <w:rFonts w:eastAsia="Calibri" w:cs="Times New Roman"/>
          <w:i/>
          <w:iCs/>
          <w:szCs w:val="24"/>
        </w:rPr>
        <w:t>euro</w:t>
      </w:r>
      <w:r w:rsidRPr="008B0630">
        <w:rPr>
          <w:rFonts w:eastAsia="Calibri" w:cs="Times New Roman"/>
          <w:szCs w:val="24"/>
        </w:rPr>
        <w:t xml:space="preserve"> apmērā (skat. 3.16. tabulu).</w:t>
      </w:r>
    </w:p>
    <w:p w14:paraId="13EC3B90"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3.16. tabula. Pārējo nodokļu ieņēmumi, milj. euro</w:t>
      </w: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92"/>
        <w:gridCol w:w="684"/>
        <w:gridCol w:w="656"/>
        <w:gridCol w:w="656"/>
        <w:gridCol w:w="668"/>
      </w:tblGrid>
      <w:tr w:rsidR="008B0630" w:rsidRPr="008B0630" w14:paraId="789BD6EC" w14:textId="77777777" w:rsidTr="00E03828">
        <w:trPr>
          <w:cantSplit/>
          <w:trHeight w:hRule="exact" w:val="227"/>
          <w:jc w:val="center"/>
        </w:trPr>
        <w:tc>
          <w:tcPr>
            <w:tcW w:w="3513" w:type="pct"/>
            <w:shd w:val="clear" w:color="auto" w:fill="9CC2E5" w:themeFill="accent1" w:themeFillTint="99"/>
            <w:vAlign w:val="center"/>
          </w:tcPr>
          <w:p w14:paraId="68B5C612" w14:textId="77777777" w:rsidR="008B0630" w:rsidRPr="008B0630" w:rsidRDefault="008B0630" w:rsidP="008B0630">
            <w:pPr>
              <w:keepNext/>
              <w:keepLines/>
              <w:spacing w:after="0"/>
              <w:ind w:firstLine="0"/>
              <w:contextualSpacing/>
              <w:jc w:val="center"/>
              <w:rPr>
                <w:rFonts w:eastAsia="Times New Roman" w:cs="Times New Roman"/>
                <w:b/>
                <w:bCs/>
                <w:sz w:val="20"/>
                <w:szCs w:val="24"/>
              </w:rPr>
            </w:pPr>
          </w:p>
        </w:tc>
        <w:tc>
          <w:tcPr>
            <w:tcW w:w="382" w:type="pct"/>
            <w:shd w:val="clear" w:color="auto" w:fill="9CC2E5" w:themeFill="accent1" w:themeFillTint="99"/>
            <w:vAlign w:val="center"/>
          </w:tcPr>
          <w:p w14:paraId="207C9AAD"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2025</w:t>
            </w:r>
          </w:p>
        </w:tc>
        <w:tc>
          <w:tcPr>
            <w:tcW w:w="366" w:type="pct"/>
            <w:shd w:val="clear" w:color="auto" w:fill="9CC2E5" w:themeFill="accent1" w:themeFillTint="99"/>
            <w:vAlign w:val="center"/>
          </w:tcPr>
          <w:p w14:paraId="6746952B"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2026</w:t>
            </w:r>
          </w:p>
        </w:tc>
        <w:tc>
          <w:tcPr>
            <w:tcW w:w="366" w:type="pct"/>
            <w:shd w:val="clear" w:color="auto" w:fill="9CC2E5" w:themeFill="accent1" w:themeFillTint="99"/>
            <w:vAlign w:val="center"/>
          </w:tcPr>
          <w:p w14:paraId="19D586EA"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2027</w:t>
            </w:r>
          </w:p>
        </w:tc>
        <w:tc>
          <w:tcPr>
            <w:tcW w:w="373" w:type="pct"/>
            <w:shd w:val="clear" w:color="auto" w:fill="9CC2E5" w:themeFill="accent1" w:themeFillTint="99"/>
            <w:vAlign w:val="center"/>
          </w:tcPr>
          <w:p w14:paraId="2FA56EE3"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sz w:val="20"/>
                <w:szCs w:val="20"/>
              </w:rPr>
              <w:t>2028</w:t>
            </w:r>
          </w:p>
        </w:tc>
      </w:tr>
      <w:tr w:rsidR="008B0630" w:rsidRPr="008B0630" w14:paraId="5E8740A3" w14:textId="77777777" w:rsidTr="00E03828">
        <w:trPr>
          <w:cantSplit/>
          <w:trHeight w:hRule="exact" w:val="454"/>
          <w:jc w:val="center"/>
        </w:trPr>
        <w:tc>
          <w:tcPr>
            <w:tcW w:w="3513" w:type="pct"/>
          </w:tcPr>
          <w:p w14:paraId="0D91217C" w14:textId="77777777" w:rsidR="008B0630" w:rsidRPr="008B0630" w:rsidRDefault="008B0630" w:rsidP="008B0630">
            <w:pPr>
              <w:keepNext/>
              <w:keepLines/>
              <w:spacing w:after="0"/>
              <w:ind w:firstLine="0"/>
              <w:jc w:val="left"/>
              <w:rPr>
                <w:rFonts w:cs="Times New Roman"/>
                <w:i/>
                <w:noProof/>
                <w:sz w:val="18"/>
                <w:szCs w:val="18"/>
              </w:rPr>
            </w:pPr>
            <w:r w:rsidRPr="008B0630">
              <w:rPr>
                <w:rFonts w:cs="Times New Roman"/>
                <w:noProof/>
                <w:sz w:val="18"/>
                <w:szCs w:val="18"/>
              </w:rPr>
              <w:t>Saskaņā ar likumprojektu “Par valsts budžetu 2026. gadam un budžeta ietvaru 2026., 2027. un 2028. gadam”, milj. </w:t>
            </w:r>
            <w:r w:rsidRPr="008B0630">
              <w:rPr>
                <w:rFonts w:cs="Times New Roman"/>
                <w:i/>
                <w:iCs/>
                <w:noProof/>
                <w:sz w:val="18"/>
                <w:szCs w:val="18"/>
              </w:rPr>
              <w:t>euro</w:t>
            </w:r>
            <w:r w:rsidRPr="008B0630">
              <w:rPr>
                <w:rFonts w:cs="Times New Roman"/>
                <w:noProof/>
                <w:sz w:val="18"/>
                <w:szCs w:val="18"/>
              </w:rPr>
              <w:t xml:space="preserve"> </w:t>
            </w:r>
          </w:p>
        </w:tc>
        <w:tc>
          <w:tcPr>
            <w:tcW w:w="382" w:type="pct"/>
            <w:vAlign w:val="center"/>
          </w:tcPr>
          <w:p w14:paraId="13BE4E5E" w14:textId="77777777" w:rsidR="008B0630" w:rsidRPr="008B0630" w:rsidRDefault="008B0630" w:rsidP="008B0630">
            <w:pPr>
              <w:keepNext/>
              <w:keepLines/>
              <w:spacing w:after="0"/>
              <w:ind w:firstLine="0"/>
              <w:jc w:val="center"/>
              <w:rPr>
                <w:rFonts w:cs="Times New Roman"/>
                <w:noProof/>
                <w:sz w:val="18"/>
                <w:szCs w:val="18"/>
                <w:vertAlign w:val="superscript"/>
              </w:rPr>
            </w:pPr>
            <w:r w:rsidRPr="008B0630">
              <w:rPr>
                <w:rFonts w:cs="Times New Roman"/>
                <w:noProof/>
                <w:sz w:val="18"/>
                <w:szCs w:val="24"/>
              </w:rPr>
              <w:t>138,3</w:t>
            </w:r>
            <w:r w:rsidRPr="008B0630">
              <w:rPr>
                <w:rFonts w:cs="Times New Roman"/>
                <w:noProof/>
                <w:sz w:val="18"/>
                <w:szCs w:val="24"/>
                <w:vertAlign w:val="superscript"/>
              </w:rPr>
              <w:t>1</w:t>
            </w:r>
          </w:p>
        </w:tc>
        <w:tc>
          <w:tcPr>
            <w:tcW w:w="366" w:type="pct"/>
            <w:vAlign w:val="center"/>
          </w:tcPr>
          <w:p w14:paraId="06D12818"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24"/>
              </w:rPr>
              <w:t>167,7</w:t>
            </w:r>
          </w:p>
        </w:tc>
        <w:tc>
          <w:tcPr>
            <w:tcW w:w="366" w:type="pct"/>
            <w:vAlign w:val="center"/>
          </w:tcPr>
          <w:p w14:paraId="20FBE02F"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24"/>
              </w:rPr>
              <w:t>191,6</w:t>
            </w:r>
          </w:p>
        </w:tc>
        <w:tc>
          <w:tcPr>
            <w:tcW w:w="373" w:type="pct"/>
            <w:vAlign w:val="center"/>
          </w:tcPr>
          <w:p w14:paraId="79D43F24" w14:textId="77777777" w:rsidR="008B0630" w:rsidRPr="008B0630" w:rsidRDefault="008B0630" w:rsidP="008B0630">
            <w:pPr>
              <w:keepNext/>
              <w:keepLines/>
              <w:spacing w:after="0"/>
              <w:ind w:firstLine="0"/>
              <w:jc w:val="center"/>
              <w:rPr>
                <w:rFonts w:cs="Times New Roman"/>
                <w:noProof/>
                <w:sz w:val="18"/>
                <w:szCs w:val="18"/>
              </w:rPr>
            </w:pPr>
            <w:r w:rsidRPr="008B0630">
              <w:rPr>
                <w:rFonts w:cs="Times New Roman"/>
                <w:noProof/>
                <w:sz w:val="18"/>
                <w:szCs w:val="24"/>
              </w:rPr>
              <w:t>211,2</w:t>
            </w:r>
          </w:p>
        </w:tc>
      </w:tr>
      <w:tr w:rsidR="008B0630" w:rsidRPr="008B0630" w14:paraId="7D530A2B" w14:textId="77777777" w:rsidTr="00E03828">
        <w:trPr>
          <w:cantSplit/>
          <w:trHeight w:hRule="exact" w:val="227"/>
          <w:jc w:val="center"/>
        </w:trPr>
        <w:tc>
          <w:tcPr>
            <w:tcW w:w="3513" w:type="pct"/>
          </w:tcPr>
          <w:p w14:paraId="05C79119" w14:textId="77777777" w:rsidR="008B0630" w:rsidRPr="008B0630" w:rsidRDefault="008B0630" w:rsidP="008B0630">
            <w:pPr>
              <w:keepNext/>
              <w:keepLines/>
              <w:ind w:left="425" w:firstLine="0"/>
              <w:jc w:val="left"/>
              <w:rPr>
                <w:rFonts w:cs="Times New Roman"/>
                <w:i/>
                <w:iCs/>
                <w:szCs w:val="18"/>
              </w:rPr>
            </w:pPr>
            <w:r w:rsidRPr="008B0630">
              <w:rPr>
                <w:rFonts w:cs="Times New Roman"/>
                <w:i/>
                <w:iCs/>
                <w:sz w:val="18"/>
                <w:szCs w:val="18"/>
              </w:rPr>
              <w:t>pret IKP, %</w:t>
            </w:r>
          </w:p>
        </w:tc>
        <w:tc>
          <w:tcPr>
            <w:tcW w:w="382" w:type="pct"/>
            <w:tcBorders>
              <w:top w:val="single" w:sz="4" w:space="0" w:color="auto"/>
              <w:left w:val="single" w:sz="4" w:space="0" w:color="auto"/>
              <w:bottom w:val="single" w:sz="4" w:space="0" w:color="auto"/>
              <w:right w:val="single" w:sz="4" w:space="0" w:color="auto"/>
            </w:tcBorders>
            <w:vAlign w:val="center"/>
          </w:tcPr>
          <w:p w14:paraId="5416246D" w14:textId="77777777" w:rsidR="008B0630" w:rsidRPr="008B0630" w:rsidRDefault="008B0630" w:rsidP="008B0630">
            <w:pPr>
              <w:keepNext/>
              <w:keepLines/>
              <w:spacing w:after="0"/>
              <w:ind w:firstLine="0"/>
              <w:jc w:val="right"/>
              <w:rPr>
                <w:rFonts w:cs="Times New Roman"/>
                <w:i/>
                <w:iCs/>
                <w:noProof/>
                <w:color w:val="000000"/>
                <w:sz w:val="18"/>
                <w:szCs w:val="18"/>
              </w:rPr>
            </w:pPr>
            <w:r w:rsidRPr="008B0630">
              <w:rPr>
                <w:rFonts w:cs="Times New Roman"/>
                <w:i/>
                <w:iCs/>
                <w:noProof/>
                <w:sz w:val="18"/>
                <w:szCs w:val="24"/>
              </w:rPr>
              <w:t>0,3%</w:t>
            </w:r>
          </w:p>
        </w:tc>
        <w:tc>
          <w:tcPr>
            <w:tcW w:w="366" w:type="pct"/>
            <w:tcBorders>
              <w:top w:val="single" w:sz="4" w:space="0" w:color="auto"/>
              <w:left w:val="nil"/>
              <w:bottom w:val="single" w:sz="4" w:space="0" w:color="auto"/>
              <w:right w:val="single" w:sz="4" w:space="0" w:color="auto"/>
            </w:tcBorders>
            <w:vAlign w:val="center"/>
          </w:tcPr>
          <w:p w14:paraId="70805A36" w14:textId="77777777" w:rsidR="008B0630" w:rsidRPr="008B0630" w:rsidRDefault="008B0630" w:rsidP="008B0630">
            <w:pPr>
              <w:keepNext/>
              <w:keepLines/>
              <w:spacing w:after="0"/>
              <w:ind w:firstLine="0"/>
              <w:jc w:val="right"/>
              <w:rPr>
                <w:rFonts w:cs="Times New Roman"/>
                <w:i/>
                <w:iCs/>
                <w:noProof/>
                <w:color w:val="000000"/>
                <w:sz w:val="18"/>
                <w:szCs w:val="18"/>
              </w:rPr>
            </w:pPr>
            <w:r w:rsidRPr="008B0630">
              <w:rPr>
                <w:rFonts w:cs="Times New Roman"/>
                <w:i/>
                <w:iCs/>
                <w:noProof/>
                <w:sz w:val="18"/>
                <w:szCs w:val="24"/>
              </w:rPr>
              <w:t>0,4%</w:t>
            </w:r>
          </w:p>
        </w:tc>
        <w:tc>
          <w:tcPr>
            <w:tcW w:w="366" w:type="pct"/>
            <w:tcBorders>
              <w:top w:val="single" w:sz="4" w:space="0" w:color="auto"/>
              <w:left w:val="nil"/>
              <w:bottom w:val="single" w:sz="4" w:space="0" w:color="auto"/>
              <w:right w:val="single" w:sz="4" w:space="0" w:color="auto"/>
            </w:tcBorders>
            <w:vAlign w:val="center"/>
          </w:tcPr>
          <w:p w14:paraId="0711CA0C" w14:textId="77777777" w:rsidR="008B0630" w:rsidRPr="008B0630" w:rsidRDefault="008B0630" w:rsidP="008B0630">
            <w:pPr>
              <w:keepNext/>
              <w:keepLines/>
              <w:spacing w:after="0"/>
              <w:ind w:firstLine="0"/>
              <w:jc w:val="right"/>
              <w:rPr>
                <w:rFonts w:cs="Times New Roman"/>
                <w:i/>
                <w:iCs/>
                <w:noProof/>
                <w:color w:val="000000"/>
                <w:sz w:val="18"/>
                <w:szCs w:val="18"/>
              </w:rPr>
            </w:pPr>
            <w:r w:rsidRPr="008B0630">
              <w:rPr>
                <w:rFonts w:cs="Times New Roman"/>
                <w:i/>
                <w:iCs/>
                <w:noProof/>
                <w:sz w:val="18"/>
                <w:szCs w:val="24"/>
              </w:rPr>
              <w:t>0,4%</w:t>
            </w:r>
          </w:p>
        </w:tc>
        <w:tc>
          <w:tcPr>
            <w:tcW w:w="373" w:type="pct"/>
            <w:tcBorders>
              <w:top w:val="single" w:sz="4" w:space="0" w:color="auto"/>
              <w:left w:val="nil"/>
              <w:bottom w:val="single" w:sz="4" w:space="0" w:color="auto"/>
              <w:right w:val="single" w:sz="4" w:space="0" w:color="auto"/>
            </w:tcBorders>
            <w:vAlign w:val="center"/>
          </w:tcPr>
          <w:p w14:paraId="5080EEB9" w14:textId="77777777" w:rsidR="008B0630" w:rsidRPr="008B0630" w:rsidRDefault="008B0630" w:rsidP="008B0630">
            <w:pPr>
              <w:keepNext/>
              <w:keepLines/>
              <w:spacing w:after="0"/>
              <w:ind w:firstLine="0"/>
              <w:jc w:val="right"/>
              <w:rPr>
                <w:rFonts w:cs="Times New Roman"/>
                <w:i/>
                <w:iCs/>
                <w:noProof/>
                <w:color w:val="000000"/>
                <w:sz w:val="18"/>
                <w:szCs w:val="18"/>
              </w:rPr>
            </w:pPr>
            <w:r w:rsidRPr="008B0630">
              <w:rPr>
                <w:rFonts w:cs="Times New Roman"/>
                <w:i/>
                <w:iCs/>
                <w:noProof/>
                <w:sz w:val="18"/>
                <w:szCs w:val="24"/>
              </w:rPr>
              <w:t>0,4%</w:t>
            </w:r>
          </w:p>
        </w:tc>
      </w:tr>
      <w:tr w:rsidR="008B0630" w:rsidRPr="008B0630" w14:paraId="51EF7E32" w14:textId="77777777" w:rsidTr="00E03828">
        <w:trPr>
          <w:cantSplit/>
          <w:trHeight w:hRule="exact" w:val="454"/>
          <w:jc w:val="center"/>
        </w:trPr>
        <w:tc>
          <w:tcPr>
            <w:tcW w:w="3513" w:type="pct"/>
          </w:tcPr>
          <w:p w14:paraId="75BA0117"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noProof/>
                <w:sz w:val="18"/>
                <w:szCs w:val="18"/>
              </w:rPr>
              <w:t>Salīdzinājumā ar likumu “Par valsts budžetu 2025. gadam un budžeta ietvaru 2025., 2026. un 2027. gadam”, milj. </w:t>
            </w:r>
            <w:r w:rsidRPr="008B0630">
              <w:rPr>
                <w:rFonts w:cs="Times New Roman"/>
                <w:i/>
                <w:iCs/>
                <w:noProof/>
                <w:sz w:val="18"/>
                <w:szCs w:val="18"/>
              </w:rPr>
              <w:t>euro</w:t>
            </w:r>
          </w:p>
        </w:tc>
        <w:tc>
          <w:tcPr>
            <w:tcW w:w="382" w:type="pct"/>
            <w:vAlign w:val="center"/>
          </w:tcPr>
          <w:p w14:paraId="7BC8B7BA"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-14,4</w:t>
            </w:r>
          </w:p>
        </w:tc>
        <w:tc>
          <w:tcPr>
            <w:tcW w:w="366" w:type="pct"/>
            <w:vAlign w:val="center"/>
          </w:tcPr>
          <w:p w14:paraId="5E3D5BD2"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0,3</w:t>
            </w:r>
          </w:p>
        </w:tc>
        <w:tc>
          <w:tcPr>
            <w:tcW w:w="366" w:type="pct"/>
            <w:vAlign w:val="center"/>
          </w:tcPr>
          <w:p w14:paraId="72F86DDD"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9,1</w:t>
            </w:r>
          </w:p>
        </w:tc>
        <w:tc>
          <w:tcPr>
            <w:tcW w:w="373" w:type="pct"/>
            <w:vAlign w:val="center"/>
          </w:tcPr>
          <w:p w14:paraId="3F9BAAAD"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w:t>
            </w:r>
          </w:p>
        </w:tc>
      </w:tr>
      <w:tr w:rsidR="008B0630" w:rsidRPr="008B0630" w14:paraId="42A99C03" w14:textId="77777777" w:rsidTr="00E03828">
        <w:trPr>
          <w:cantSplit/>
          <w:trHeight w:hRule="exact" w:val="454"/>
          <w:jc w:val="center"/>
        </w:trPr>
        <w:tc>
          <w:tcPr>
            <w:tcW w:w="3513" w:type="pct"/>
          </w:tcPr>
          <w:p w14:paraId="6BC92BB6"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noProof/>
                <w:sz w:val="18"/>
                <w:szCs w:val="18"/>
              </w:rPr>
              <w:t>Salīdzinājumā ar likumu “Par valsts budžetu 2025. gadam un budžeta ietvaru 2025., 2026. un 2027. gadam”, %</w:t>
            </w:r>
          </w:p>
        </w:tc>
        <w:tc>
          <w:tcPr>
            <w:tcW w:w="382" w:type="pct"/>
            <w:vAlign w:val="center"/>
          </w:tcPr>
          <w:p w14:paraId="1F9EE65F"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-9,4</w:t>
            </w:r>
          </w:p>
        </w:tc>
        <w:tc>
          <w:tcPr>
            <w:tcW w:w="366" w:type="pct"/>
            <w:vAlign w:val="center"/>
          </w:tcPr>
          <w:p w14:paraId="2DF88ABA"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0,2</w:t>
            </w:r>
          </w:p>
        </w:tc>
        <w:tc>
          <w:tcPr>
            <w:tcW w:w="366" w:type="pct"/>
            <w:vAlign w:val="center"/>
          </w:tcPr>
          <w:p w14:paraId="32EECE99"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5,0</w:t>
            </w:r>
          </w:p>
        </w:tc>
        <w:tc>
          <w:tcPr>
            <w:tcW w:w="373" w:type="pct"/>
            <w:vAlign w:val="center"/>
          </w:tcPr>
          <w:p w14:paraId="0E7892EF" w14:textId="77777777" w:rsidR="008B0630" w:rsidRPr="008B0630" w:rsidRDefault="008B0630" w:rsidP="008B0630">
            <w:pPr>
              <w:keepNext/>
              <w:keepLines/>
              <w:spacing w:after="0"/>
              <w:ind w:firstLine="0"/>
              <w:jc w:val="right"/>
              <w:rPr>
                <w:rFonts w:cs="Times New Roman"/>
                <w:i/>
                <w:iCs/>
                <w:noProof/>
                <w:sz w:val="18"/>
                <w:szCs w:val="18"/>
              </w:rPr>
            </w:pPr>
            <w:r w:rsidRPr="008B0630">
              <w:rPr>
                <w:rFonts w:cs="Times New Roman"/>
                <w:i/>
                <w:iCs/>
                <w:noProof/>
                <w:sz w:val="18"/>
                <w:szCs w:val="24"/>
              </w:rPr>
              <w:t>—</w:t>
            </w:r>
          </w:p>
        </w:tc>
      </w:tr>
    </w:tbl>
    <w:p w14:paraId="7FD2F9F9"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5BCCD252" w14:textId="77777777" w:rsidR="008B0630" w:rsidRPr="008B0630" w:rsidRDefault="008B0630" w:rsidP="008B0630">
      <w:pPr>
        <w:keepNext/>
        <w:keepLines/>
        <w:spacing w:before="240" w:after="240"/>
        <w:ind w:firstLine="0"/>
        <w:jc w:val="center"/>
        <w:outlineLvl w:val="3"/>
        <w:rPr>
          <w:rFonts w:eastAsia="Times New Roman" w:cs="Times New Roman"/>
          <w:b/>
          <w:sz w:val="28"/>
          <w:lang w:eastAsia="en-US"/>
        </w:rPr>
      </w:pPr>
      <w:bookmarkStart w:id="125" w:name="_Toc84756430"/>
      <w:r w:rsidRPr="008B0630">
        <w:rPr>
          <w:rFonts w:eastAsia="Times New Roman" w:cs="Times New Roman"/>
          <w:b/>
          <w:sz w:val="28"/>
          <w:lang w:eastAsia="en-US"/>
        </w:rPr>
        <w:t>Dabas resursu nodoklis</w:t>
      </w:r>
    </w:p>
    <w:p w14:paraId="5BAD8035" w14:textId="08A56988" w:rsidR="008B0630" w:rsidRPr="008B0630" w:rsidRDefault="008B0630" w:rsidP="008B0630">
      <w:pPr>
        <w:rPr>
          <w:rFonts w:eastAsia="Calibri" w:cs="Times New Roman"/>
          <w:szCs w:val="24"/>
        </w:rPr>
      </w:pPr>
      <w:r w:rsidRPr="008B0630">
        <w:rPr>
          <w:rFonts w:eastAsia="Calibri" w:cs="Times New Roman"/>
          <w:szCs w:val="24"/>
        </w:rPr>
        <w:t xml:space="preserve">2024. gada 1. pusgadā </w:t>
      </w:r>
      <w:r w:rsidR="003F5E29">
        <w:rPr>
          <w:rFonts w:eastAsia="Calibri" w:cs="Times New Roman"/>
          <w:szCs w:val="24"/>
        </w:rPr>
        <w:t>DRN</w:t>
      </w:r>
      <w:r w:rsidRPr="008B0630">
        <w:rPr>
          <w:rFonts w:eastAsia="Calibri" w:cs="Times New Roman"/>
          <w:szCs w:val="24"/>
        </w:rPr>
        <w:t xml:space="preserve"> ieņēmumi bija 30,4 milj. </w:t>
      </w:r>
      <w:r w:rsidRPr="008B0630">
        <w:rPr>
          <w:rFonts w:eastAsia="Calibri" w:cs="Times New Roman"/>
          <w:i/>
          <w:iCs/>
          <w:szCs w:val="24"/>
        </w:rPr>
        <w:t>euro</w:t>
      </w:r>
      <w:r w:rsidRPr="008B0630">
        <w:rPr>
          <w:rFonts w:eastAsia="Calibri" w:cs="Times New Roman"/>
          <w:szCs w:val="24"/>
        </w:rPr>
        <w:t>. Salīdzinājumā ar 2024. gada 1. pusgadu, tie samazinājās par 3,6 milj. </w:t>
      </w:r>
      <w:r w:rsidRPr="008B0630">
        <w:rPr>
          <w:rFonts w:eastAsia="Calibri" w:cs="Times New Roman"/>
          <w:i/>
          <w:iCs/>
          <w:szCs w:val="24"/>
        </w:rPr>
        <w:t>euro</w:t>
      </w:r>
      <w:r w:rsidRPr="008B0630">
        <w:rPr>
          <w:rFonts w:eastAsia="Calibri" w:cs="Times New Roman"/>
          <w:szCs w:val="24"/>
        </w:rPr>
        <w:t xml:space="preserve"> jeb 10,6 %, bet salīdzinājumā ar plānoto tika iekasēts par 12,3 milj. </w:t>
      </w:r>
      <w:r w:rsidRPr="008B0630">
        <w:rPr>
          <w:rFonts w:eastAsia="Calibri" w:cs="Times New Roman"/>
          <w:i/>
          <w:iCs/>
          <w:szCs w:val="24"/>
        </w:rPr>
        <w:t>euro</w:t>
      </w:r>
      <w:r w:rsidRPr="008B0630">
        <w:rPr>
          <w:rFonts w:eastAsia="Calibri" w:cs="Times New Roman"/>
          <w:szCs w:val="24"/>
        </w:rPr>
        <w:t xml:space="preserve"> jeb 28,8 % mazāk. Plāna neizpildi ietekmēja zemāki nodokļa ieņēmumi no atkritumu apglabāšanas atkritumu poligonos un ūdens resursu lietošanas elektroenerģijas ražošanai hidroelektrostacijās. Šis samazinājums savukārt attiecīgi bija saistīts ar uzlabojumiem atkritumu pārstrādē un šķirošanā, kā arī ar nelabvēlīgiem laika apstākļiem elektroenerģijas ražošanai hidroelektrostacijās.</w:t>
      </w:r>
    </w:p>
    <w:p w14:paraId="2A1C6B17" w14:textId="2C0E81AB" w:rsidR="008B0630" w:rsidRPr="008B0630" w:rsidRDefault="008B0630" w:rsidP="008B0630">
      <w:pPr>
        <w:rPr>
          <w:rFonts w:eastAsia="Calibri" w:cs="Times New Roman"/>
          <w:szCs w:val="24"/>
        </w:rPr>
      </w:pPr>
      <w:r w:rsidRPr="008B0630">
        <w:rPr>
          <w:rFonts w:eastAsia="Calibri" w:cs="Times New Roman"/>
          <w:szCs w:val="24"/>
        </w:rPr>
        <w:t xml:space="preserve">Saskaņā ar likumprojektu “Par valsts budžetu 2026. gadam un budžeta ietvaru 2026., 2027. un 2028. gadam” </w:t>
      </w:r>
      <w:r w:rsidR="003F5E29">
        <w:rPr>
          <w:rFonts w:eastAsia="Calibri" w:cs="Times New Roman"/>
          <w:szCs w:val="24"/>
        </w:rPr>
        <w:t>DRN</w:t>
      </w:r>
      <w:r w:rsidRPr="008B0630">
        <w:rPr>
          <w:rFonts w:eastAsia="Calibri" w:cs="Times New Roman"/>
          <w:szCs w:val="24"/>
        </w:rPr>
        <w:t xml:space="preserve"> ieņēmumi tiek prognozēti šādi: 2026. gadā – 95,7 milj. </w:t>
      </w:r>
      <w:r w:rsidRPr="008B0630">
        <w:rPr>
          <w:rFonts w:eastAsia="Calibri" w:cs="Times New Roman"/>
          <w:i/>
          <w:szCs w:val="24"/>
        </w:rPr>
        <w:t>euro</w:t>
      </w:r>
      <w:r w:rsidRPr="008B0630">
        <w:rPr>
          <w:rFonts w:eastAsia="Calibri" w:cs="Times New Roman"/>
          <w:szCs w:val="24"/>
        </w:rPr>
        <w:t>, 2027. gadā – 119,8 milj. </w:t>
      </w:r>
      <w:r w:rsidRPr="008B0630">
        <w:rPr>
          <w:rFonts w:eastAsia="Calibri" w:cs="Times New Roman"/>
          <w:i/>
          <w:iCs/>
          <w:szCs w:val="24"/>
        </w:rPr>
        <w:t>euro</w:t>
      </w:r>
      <w:r w:rsidRPr="008B0630">
        <w:rPr>
          <w:rFonts w:eastAsia="Calibri" w:cs="Times New Roman"/>
          <w:szCs w:val="24"/>
        </w:rPr>
        <w:t xml:space="preserve">  un 2028. gadā – 138,9 milj. </w:t>
      </w:r>
      <w:r w:rsidRPr="008B0630">
        <w:rPr>
          <w:rFonts w:eastAsia="Calibri" w:cs="Times New Roman"/>
          <w:i/>
          <w:szCs w:val="24"/>
        </w:rPr>
        <w:t>euro</w:t>
      </w:r>
      <w:r w:rsidRPr="008B0630">
        <w:rPr>
          <w:rFonts w:eastAsia="Calibri" w:cs="Times New Roman"/>
          <w:szCs w:val="24"/>
        </w:rPr>
        <w:t xml:space="preserve"> (skat. 3.17. tabulu). </w:t>
      </w:r>
      <w:r w:rsidR="003F5E29">
        <w:rPr>
          <w:rFonts w:eastAsia="Calibri" w:cs="Times New Roman"/>
          <w:szCs w:val="24"/>
        </w:rPr>
        <w:t>DRN</w:t>
      </w:r>
      <w:r w:rsidRPr="008B0630">
        <w:rPr>
          <w:rFonts w:eastAsia="Calibri" w:cs="Times New Roman"/>
          <w:szCs w:val="24"/>
        </w:rPr>
        <w:t xml:space="preserve"> ieņēmumu plānu vidējā termiņā ietekmē prognozētā tautsaimniecības attīstības dinamika, 2025. gadā sagaidāmā izpilde, kā arī 3.1. sadaļā minētie pasākumi.</w:t>
      </w:r>
    </w:p>
    <w:p w14:paraId="1F45122C" w14:textId="3A3FF4FC" w:rsidR="008B0630" w:rsidRPr="008B0630" w:rsidRDefault="008B0630" w:rsidP="008B0630">
      <w:pPr>
        <w:keepNext/>
        <w:keepLines/>
        <w:spacing w:before="240" w:after="0"/>
        <w:ind w:firstLine="0"/>
        <w:jc w:val="right"/>
        <w:rPr>
          <w:rFonts w:eastAsia="Calibri" w:cs="Times New Roman"/>
          <w:b/>
          <w:i/>
          <w:szCs w:val="24"/>
        </w:rPr>
      </w:pPr>
      <w:bookmarkStart w:id="126" w:name="_Hlk147149897"/>
      <w:r w:rsidRPr="008B0630">
        <w:rPr>
          <w:rFonts w:eastAsia="Calibri" w:cs="Times New Roman"/>
          <w:b/>
          <w:i/>
          <w:szCs w:val="24"/>
        </w:rPr>
        <w:t>3.17. </w:t>
      </w:r>
      <w:r w:rsidRPr="008B0630">
        <w:rPr>
          <w:rFonts w:eastAsia="Calibri" w:cs="Times New Roman"/>
          <w:b/>
          <w:i/>
          <w:szCs w:val="24"/>
          <w:lang w:eastAsia="en-US"/>
        </w:rPr>
        <w:t>tabula</w:t>
      </w:r>
      <w:r w:rsidRPr="008B0630">
        <w:rPr>
          <w:rFonts w:eastAsia="Calibri" w:cs="Times New Roman"/>
          <w:b/>
          <w:i/>
          <w:szCs w:val="24"/>
        </w:rPr>
        <w:t xml:space="preserve">. </w:t>
      </w:r>
      <w:r w:rsidR="003F5E29">
        <w:rPr>
          <w:rFonts w:eastAsia="Calibri" w:cs="Times New Roman"/>
          <w:b/>
          <w:i/>
          <w:szCs w:val="24"/>
        </w:rPr>
        <w:t>DRN</w:t>
      </w:r>
      <w:r w:rsidRPr="008B0630">
        <w:rPr>
          <w:rFonts w:eastAsia="Calibri" w:cs="Times New Roman"/>
          <w:b/>
          <w:i/>
          <w:szCs w:val="24"/>
        </w:rPr>
        <w:t xml:space="preserve"> ieņēmumi</w:t>
      </w: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667"/>
        <w:gridCol w:w="851"/>
        <w:gridCol w:w="851"/>
        <w:gridCol w:w="851"/>
        <w:gridCol w:w="852"/>
      </w:tblGrid>
      <w:tr w:rsidR="008B0630" w:rsidRPr="008B0630" w14:paraId="20942C8B" w14:textId="77777777" w:rsidTr="00E03828">
        <w:trPr>
          <w:cantSplit/>
          <w:trHeight w:hRule="exact" w:val="227"/>
          <w:jc w:val="center"/>
        </w:trPr>
        <w:tc>
          <w:tcPr>
            <w:tcW w:w="5667" w:type="dxa"/>
            <w:shd w:val="clear" w:color="auto" w:fill="9CC2E5" w:themeFill="accent1" w:themeFillTint="99"/>
            <w:noWrap/>
            <w:tcMar>
              <w:left w:w="28" w:type="dxa"/>
              <w:right w:w="28" w:type="dxa"/>
            </w:tcMar>
            <w:vAlign w:val="center"/>
            <w:hideMark/>
          </w:tcPr>
          <w:p w14:paraId="37D6DA08"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bookmarkStart w:id="127" w:name="_Hlk147156831"/>
            <w:bookmarkEnd w:id="126"/>
          </w:p>
        </w:tc>
        <w:tc>
          <w:tcPr>
            <w:tcW w:w="851" w:type="dxa"/>
            <w:shd w:val="clear" w:color="auto" w:fill="9CC2E5" w:themeFill="accent1" w:themeFillTint="99"/>
            <w:tcMar>
              <w:left w:w="28" w:type="dxa"/>
              <w:right w:w="28" w:type="dxa"/>
            </w:tcMar>
            <w:vAlign w:val="center"/>
          </w:tcPr>
          <w:p w14:paraId="487739A6"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2025</w:t>
            </w:r>
          </w:p>
        </w:tc>
        <w:tc>
          <w:tcPr>
            <w:tcW w:w="851" w:type="dxa"/>
            <w:shd w:val="clear" w:color="auto" w:fill="9CC2E5" w:themeFill="accent1" w:themeFillTint="99"/>
            <w:tcMar>
              <w:left w:w="28" w:type="dxa"/>
              <w:right w:w="28" w:type="dxa"/>
            </w:tcMar>
            <w:vAlign w:val="center"/>
          </w:tcPr>
          <w:p w14:paraId="20EB7FDB"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2026</w:t>
            </w:r>
          </w:p>
        </w:tc>
        <w:tc>
          <w:tcPr>
            <w:tcW w:w="851" w:type="dxa"/>
            <w:shd w:val="clear" w:color="auto" w:fill="9CC2E5" w:themeFill="accent1" w:themeFillTint="99"/>
            <w:noWrap/>
            <w:tcMar>
              <w:left w:w="28" w:type="dxa"/>
              <w:right w:w="28" w:type="dxa"/>
            </w:tcMar>
            <w:vAlign w:val="center"/>
            <w:hideMark/>
          </w:tcPr>
          <w:p w14:paraId="0594B347"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2027</w:t>
            </w:r>
          </w:p>
        </w:tc>
        <w:tc>
          <w:tcPr>
            <w:tcW w:w="852" w:type="dxa"/>
            <w:shd w:val="clear" w:color="auto" w:fill="9CC2E5" w:themeFill="accent1" w:themeFillTint="99"/>
            <w:tcMar>
              <w:left w:w="28" w:type="dxa"/>
              <w:right w:w="28" w:type="dxa"/>
            </w:tcMar>
            <w:vAlign w:val="center"/>
          </w:tcPr>
          <w:p w14:paraId="34AE5F8B"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2028</w:t>
            </w:r>
          </w:p>
        </w:tc>
      </w:tr>
      <w:tr w:rsidR="008B0630" w:rsidRPr="008B0630" w14:paraId="2A2BFFF7" w14:textId="77777777" w:rsidTr="00E03828">
        <w:trPr>
          <w:cantSplit/>
          <w:trHeight w:hRule="exact" w:val="454"/>
          <w:jc w:val="center"/>
        </w:trPr>
        <w:tc>
          <w:tcPr>
            <w:tcW w:w="5667" w:type="dxa"/>
            <w:tcMar>
              <w:left w:w="28" w:type="dxa"/>
              <w:right w:w="28" w:type="dxa"/>
            </w:tcMar>
            <w:hideMark/>
          </w:tcPr>
          <w:p w14:paraId="6F7D8A30"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Saskaņā ar likumprojektu “Par valsts budžetu 2026. gadam un budžeta ietvaru 2026., 2027. un 2028. gadam”, milj. </w:t>
            </w:r>
            <w:r w:rsidRPr="008B0630">
              <w:rPr>
                <w:rFonts w:cs="Times New Roman"/>
                <w:i/>
                <w:iCs/>
                <w:sz w:val="18"/>
                <w:szCs w:val="18"/>
              </w:rPr>
              <w:t>euro</w:t>
            </w:r>
            <w:r w:rsidRPr="008B0630">
              <w:rPr>
                <w:rFonts w:cs="Times New Roman"/>
                <w:sz w:val="18"/>
                <w:szCs w:val="18"/>
              </w:rPr>
              <w:t xml:space="preserve"> </w:t>
            </w:r>
          </w:p>
        </w:tc>
        <w:tc>
          <w:tcPr>
            <w:tcW w:w="851" w:type="dxa"/>
            <w:noWrap/>
            <w:tcMar>
              <w:left w:w="28" w:type="dxa"/>
              <w:right w:w="28" w:type="dxa"/>
            </w:tcMar>
            <w:vAlign w:val="center"/>
          </w:tcPr>
          <w:p w14:paraId="3E2B4E65"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77,0</w:t>
            </w:r>
            <w:r w:rsidRPr="008B0630">
              <w:rPr>
                <w:rFonts w:cs="Times New Roman"/>
                <w:noProof/>
                <w:sz w:val="18"/>
                <w:szCs w:val="18"/>
                <w:vertAlign w:val="superscript"/>
              </w:rPr>
              <w:t>1</w:t>
            </w:r>
          </w:p>
        </w:tc>
        <w:tc>
          <w:tcPr>
            <w:tcW w:w="851" w:type="dxa"/>
            <w:noWrap/>
            <w:tcMar>
              <w:left w:w="28" w:type="dxa"/>
              <w:right w:w="28" w:type="dxa"/>
            </w:tcMar>
            <w:vAlign w:val="center"/>
          </w:tcPr>
          <w:p w14:paraId="1E6B5561"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sz w:val="18"/>
                <w:szCs w:val="18"/>
              </w:rPr>
              <w:t>95,7</w:t>
            </w:r>
          </w:p>
        </w:tc>
        <w:tc>
          <w:tcPr>
            <w:tcW w:w="851" w:type="dxa"/>
            <w:noWrap/>
            <w:tcMar>
              <w:left w:w="28" w:type="dxa"/>
              <w:right w:w="28" w:type="dxa"/>
            </w:tcMar>
            <w:vAlign w:val="center"/>
          </w:tcPr>
          <w:p w14:paraId="16B7382B"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sz w:val="18"/>
                <w:szCs w:val="18"/>
              </w:rPr>
              <w:t>119,8</w:t>
            </w:r>
          </w:p>
        </w:tc>
        <w:tc>
          <w:tcPr>
            <w:tcW w:w="852" w:type="dxa"/>
            <w:tcMar>
              <w:left w:w="28" w:type="dxa"/>
              <w:right w:w="28" w:type="dxa"/>
            </w:tcMar>
            <w:vAlign w:val="center"/>
          </w:tcPr>
          <w:p w14:paraId="0DF27981"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sz w:val="18"/>
                <w:szCs w:val="18"/>
              </w:rPr>
              <w:t>138,9</w:t>
            </w:r>
          </w:p>
        </w:tc>
      </w:tr>
      <w:tr w:rsidR="008B0630" w:rsidRPr="008B0630" w14:paraId="4DFEBB26" w14:textId="77777777" w:rsidTr="00E03828">
        <w:trPr>
          <w:cantSplit/>
          <w:trHeight w:hRule="exact" w:val="227"/>
          <w:jc w:val="center"/>
        </w:trPr>
        <w:tc>
          <w:tcPr>
            <w:tcW w:w="5667" w:type="dxa"/>
            <w:noWrap/>
            <w:tcMar>
              <w:left w:w="28" w:type="dxa"/>
              <w:right w:w="28" w:type="dxa"/>
            </w:tcMar>
            <w:hideMark/>
          </w:tcPr>
          <w:p w14:paraId="75075FBF" w14:textId="77777777" w:rsidR="008B0630" w:rsidRPr="008B0630" w:rsidRDefault="008B0630" w:rsidP="008B0630">
            <w:pPr>
              <w:keepNext/>
              <w:keepLines/>
              <w:ind w:left="425" w:firstLine="0"/>
              <w:jc w:val="left"/>
              <w:rPr>
                <w:rFonts w:cs="Times New Roman"/>
                <w:i/>
                <w:iCs/>
                <w:noProof/>
                <w:sz w:val="18"/>
                <w:szCs w:val="18"/>
              </w:rPr>
            </w:pPr>
            <w:r w:rsidRPr="008B0630">
              <w:rPr>
                <w:rFonts w:cs="Times New Roman"/>
                <w:i/>
                <w:iCs/>
                <w:sz w:val="18"/>
                <w:szCs w:val="18"/>
              </w:rPr>
              <w:t>pret IKP, %</w:t>
            </w:r>
          </w:p>
        </w:tc>
        <w:tc>
          <w:tcPr>
            <w:tcW w:w="851" w:type="dxa"/>
            <w:noWrap/>
            <w:tcMar>
              <w:left w:w="28" w:type="dxa"/>
              <w:right w:w="28" w:type="dxa"/>
            </w:tcMar>
          </w:tcPr>
          <w:p w14:paraId="36F12B5B"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0,2</w:t>
            </w:r>
          </w:p>
        </w:tc>
        <w:tc>
          <w:tcPr>
            <w:tcW w:w="851" w:type="dxa"/>
            <w:noWrap/>
            <w:tcMar>
              <w:left w:w="28" w:type="dxa"/>
              <w:right w:w="28" w:type="dxa"/>
            </w:tcMar>
            <w:vAlign w:val="center"/>
          </w:tcPr>
          <w:p w14:paraId="5D191D65"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i/>
                <w:iCs/>
                <w:sz w:val="18"/>
                <w:szCs w:val="18"/>
              </w:rPr>
              <w:t>0,2%</w:t>
            </w:r>
          </w:p>
        </w:tc>
        <w:tc>
          <w:tcPr>
            <w:tcW w:w="851" w:type="dxa"/>
            <w:noWrap/>
            <w:tcMar>
              <w:left w:w="28" w:type="dxa"/>
              <w:right w:w="28" w:type="dxa"/>
            </w:tcMar>
            <w:vAlign w:val="center"/>
          </w:tcPr>
          <w:p w14:paraId="278995A4"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i/>
                <w:iCs/>
                <w:sz w:val="18"/>
                <w:szCs w:val="18"/>
              </w:rPr>
              <w:t>0,3%</w:t>
            </w:r>
          </w:p>
        </w:tc>
        <w:tc>
          <w:tcPr>
            <w:tcW w:w="852" w:type="dxa"/>
            <w:tcMar>
              <w:left w:w="28" w:type="dxa"/>
              <w:right w:w="28" w:type="dxa"/>
            </w:tcMar>
            <w:vAlign w:val="center"/>
          </w:tcPr>
          <w:p w14:paraId="643E8845"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i/>
                <w:iCs/>
                <w:sz w:val="18"/>
                <w:szCs w:val="18"/>
              </w:rPr>
              <w:t>0,3%</w:t>
            </w:r>
          </w:p>
        </w:tc>
      </w:tr>
      <w:tr w:rsidR="008B0630" w:rsidRPr="008B0630" w14:paraId="31F1F5C9" w14:textId="77777777" w:rsidTr="00E03828">
        <w:trPr>
          <w:cantSplit/>
          <w:trHeight w:hRule="exact" w:val="454"/>
          <w:jc w:val="center"/>
        </w:trPr>
        <w:tc>
          <w:tcPr>
            <w:tcW w:w="5667" w:type="dxa"/>
            <w:tcMar>
              <w:left w:w="28" w:type="dxa"/>
              <w:right w:w="28" w:type="dxa"/>
            </w:tcMar>
            <w:hideMark/>
          </w:tcPr>
          <w:p w14:paraId="405E72DA"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milj. </w:t>
            </w:r>
            <w:r w:rsidRPr="008B0630">
              <w:rPr>
                <w:rFonts w:cs="Times New Roman"/>
                <w:i/>
                <w:iCs/>
                <w:sz w:val="18"/>
                <w:szCs w:val="18"/>
              </w:rPr>
              <w:t>euro</w:t>
            </w:r>
          </w:p>
        </w:tc>
        <w:tc>
          <w:tcPr>
            <w:tcW w:w="851" w:type="dxa"/>
            <w:noWrap/>
            <w:tcMar>
              <w:left w:w="28" w:type="dxa"/>
              <w:right w:w="28" w:type="dxa"/>
            </w:tcMar>
            <w:vAlign w:val="center"/>
          </w:tcPr>
          <w:p w14:paraId="0268EB11"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-12,3</w:t>
            </w:r>
          </w:p>
        </w:tc>
        <w:tc>
          <w:tcPr>
            <w:tcW w:w="851" w:type="dxa"/>
            <w:noWrap/>
            <w:tcMar>
              <w:left w:w="28" w:type="dxa"/>
              <w:right w:w="28" w:type="dxa"/>
            </w:tcMar>
            <w:vAlign w:val="center"/>
          </w:tcPr>
          <w:p w14:paraId="0E0EA4CD"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i/>
                <w:iCs/>
                <w:sz w:val="18"/>
                <w:szCs w:val="18"/>
              </w:rPr>
              <w:t>-6,8</w:t>
            </w:r>
          </w:p>
        </w:tc>
        <w:tc>
          <w:tcPr>
            <w:tcW w:w="851" w:type="dxa"/>
            <w:noWrap/>
            <w:tcMar>
              <w:left w:w="28" w:type="dxa"/>
              <w:right w:w="28" w:type="dxa"/>
            </w:tcMar>
            <w:vAlign w:val="center"/>
          </w:tcPr>
          <w:p w14:paraId="62D4F3BC"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i/>
                <w:iCs/>
                <w:sz w:val="18"/>
                <w:szCs w:val="18"/>
              </w:rPr>
              <w:t>13,2</w:t>
            </w:r>
          </w:p>
        </w:tc>
        <w:tc>
          <w:tcPr>
            <w:tcW w:w="852" w:type="dxa"/>
            <w:tcMar>
              <w:left w:w="28" w:type="dxa"/>
              <w:right w:w="28" w:type="dxa"/>
            </w:tcMar>
            <w:vAlign w:val="center"/>
          </w:tcPr>
          <w:p w14:paraId="1E976B09"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i/>
                <w:iCs/>
                <w:sz w:val="18"/>
                <w:szCs w:val="18"/>
              </w:rPr>
              <w:t>—</w:t>
            </w:r>
          </w:p>
        </w:tc>
      </w:tr>
      <w:tr w:rsidR="008B0630" w:rsidRPr="008B0630" w14:paraId="13A2A688" w14:textId="77777777" w:rsidTr="00E03828">
        <w:trPr>
          <w:cantSplit/>
          <w:trHeight w:hRule="exact" w:val="454"/>
          <w:jc w:val="center"/>
        </w:trPr>
        <w:tc>
          <w:tcPr>
            <w:tcW w:w="5667" w:type="dxa"/>
            <w:tcMar>
              <w:left w:w="28" w:type="dxa"/>
              <w:right w:w="28" w:type="dxa"/>
            </w:tcMar>
            <w:hideMark/>
          </w:tcPr>
          <w:p w14:paraId="2A6EFEBB"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w:t>
            </w:r>
          </w:p>
        </w:tc>
        <w:tc>
          <w:tcPr>
            <w:tcW w:w="851" w:type="dxa"/>
            <w:noWrap/>
            <w:tcMar>
              <w:left w:w="28" w:type="dxa"/>
              <w:right w:w="28" w:type="dxa"/>
            </w:tcMar>
            <w:vAlign w:val="center"/>
          </w:tcPr>
          <w:p w14:paraId="7F2F162F"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-13,8</w:t>
            </w:r>
          </w:p>
        </w:tc>
        <w:tc>
          <w:tcPr>
            <w:tcW w:w="851" w:type="dxa"/>
            <w:noWrap/>
            <w:tcMar>
              <w:left w:w="28" w:type="dxa"/>
              <w:right w:w="28" w:type="dxa"/>
            </w:tcMar>
            <w:vAlign w:val="center"/>
          </w:tcPr>
          <w:p w14:paraId="4C730980"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i/>
                <w:iCs/>
                <w:sz w:val="18"/>
                <w:szCs w:val="18"/>
              </w:rPr>
              <w:t>-6,7</w:t>
            </w:r>
          </w:p>
        </w:tc>
        <w:tc>
          <w:tcPr>
            <w:tcW w:w="851" w:type="dxa"/>
            <w:noWrap/>
            <w:tcMar>
              <w:left w:w="28" w:type="dxa"/>
              <w:right w:w="28" w:type="dxa"/>
            </w:tcMar>
            <w:vAlign w:val="center"/>
          </w:tcPr>
          <w:p w14:paraId="74405A39"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i/>
                <w:iCs/>
                <w:sz w:val="18"/>
                <w:szCs w:val="18"/>
              </w:rPr>
              <w:t>12,4</w:t>
            </w:r>
          </w:p>
        </w:tc>
        <w:tc>
          <w:tcPr>
            <w:tcW w:w="852" w:type="dxa"/>
            <w:tcMar>
              <w:left w:w="28" w:type="dxa"/>
              <w:right w:w="28" w:type="dxa"/>
            </w:tcMar>
            <w:vAlign w:val="center"/>
          </w:tcPr>
          <w:p w14:paraId="63D23E08"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i/>
                <w:iCs/>
                <w:sz w:val="18"/>
                <w:szCs w:val="18"/>
              </w:rPr>
              <w:t>—</w:t>
            </w:r>
          </w:p>
        </w:tc>
      </w:tr>
    </w:tbl>
    <w:p w14:paraId="61DB58EA"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bookmarkEnd w:id="127"/>
    </w:p>
    <w:p w14:paraId="36EEFAFA" w14:textId="77777777" w:rsidR="008B0630" w:rsidRPr="008B0630" w:rsidRDefault="008B0630" w:rsidP="008B0630">
      <w:pPr>
        <w:keepNext/>
        <w:keepLines/>
        <w:spacing w:before="240" w:after="240"/>
        <w:ind w:firstLine="0"/>
        <w:jc w:val="center"/>
        <w:outlineLvl w:val="3"/>
        <w:rPr>
          <w:rFonts w:eastAsia="Times New Roman" w:cs="Times New Roman"/>
          <w:b/>
          <w:sz w:val="28"/>
          <w:lang w:eastAsia="en-US"/>
        </w:rPr>
      </w:pPr>
      <w:bookmarkStart w:id="128" w:name="_Toc126236665"/>
      <w:bookmarkEnd w:id="108"/>
      <w:bookmarkEnd w:id="125"/>
      <w:r w:rsidRPr="008B0630">
        <w:rPr>
          <w:rFonts w:eastAsia="Times New Roman" w:cs="Times New Roman"/>
          <w:b/>
          <w:sz w:val="28"/>
          <w:lang w:eastAsia="en-US"/>
        </w:rPr>
        <w:t>Izložu un azartspēļu nodoklis</w:t>
      </w:r>
    </w:p>
    <w:p w14:paraId="091F06DD" w14:textId="7D321C8A" w:rsidR="008B0630" w:rsidRPr="008B0630" w:rsidRDefault="008B0630" w:rsidP="008B0630">
      <w:pPr>
        <w:rPr>
          <w:rFonts w:eastAsia="Calibri" w:cs="Times New Roman"/>
          <w:szCs w:val="24"/>
        </w:rPr>
      </w:pPr>
      <w:r w:rsidRPr="008B0630">
        <w:rPr>
          <w:rFonts w:eastAsia="Calibri" w:cs="Times New Roman"/>
          <w:szCs w:val="24"/>
        </w:rPr>
        <w:t xml:space="preserve">2025. gada 1. pusgadā </w:t>
      </w:r>
      <w:r w:rsidR="003F5E29">
        <w:rPr>
          <w:rFonts w:eastAsia="Calibri" w:cs="Times New Roman"/>
          <w:szCs w:val="24"/>
        </w:rPr>
        <w:t>IAN</w:t>
      </w:r>
      <w:r w:rsidRPr="008B0630">
        <w:rPr>
          <w:rFonts w:eastAsia="Calibri" w:cs="Times New Roman"/>
          <w:szCs w:val="24"/>
        </w:rPr>
        <w:t xml:space="preserve"> ieņēmumi bija 27,8 milj. </w:t>
      </w:r>
      <w:r w:rsidRPr="008B0630">
        <w:rPr>
          <w:rFonts w:eastAsia="Calibri" w:cs="Times New Roman"/>
          <w:i/>
          <w:iCs/>
          <w:szCs w:val="24"/>
        </w:rPr>
        <w:t>euro</w:t>
      </w:r>
      <w:r w:rsidRPr="008B0630">
        <w:rPr>
          <w:rFonts w:eastAsia="Calibri" w:cs="Times New Roman"/>
          <w:szCs w:val="24"/>
        </w:rPr>
        <w:t>. Salīdzinājumā ar 2024. gada 1. pusgadu, tie palielinājās par 0,4 milj. </w:t>
      </w:r>
      <w:r w:rsidRPr="008B0630">
        <w:rPr>
          <w:rFonts w:eastAsia="Calibri" w:cs="Times New Roman"/>
          <w:i/>
          <w:iCs/>
          <w:szCs w:val="24"/>
        </w:rPr>
        <w:t>euro</w:t>
      </w:r>
      <w:r w:rsidRPr="008B0630">
        <w:rPr>
          <w:rFonts w:eastAsia="Calibri" w:cs="Times New Roman"/>
          <w:szCs w:val="24"/>
        </w:rPr>
        <w:t xml:space="preserve"> jeb 1,6 %, bet salīdzinājumā ar plānoto tika iekasēts par 1,2 milj. </w:t>
      </w:r>
      <w:r w:rsidRPr="008B0630">
        <w:rPr>
          <w:rFonts w:eastAsia="Calibri" w:cs="Times New Roman"/>
          <w:i/>
          <w:iCs/>
          <w:szCs w:val="24"/>
        </w:rPr>
        <w:t>euro</w:t>
      </w:r>
      <w:r w:rsidRPr="008B0630">
        <w:rPr>
          <w:rFonts w:eastAsia="Calibri" w:cs="Times New Roman"/>
          <w:szCs w:val="24"/>
        </w:rPr>
        <w:t xml:space="preserve"> jeb 4,3 % mazāk.</w:t>
      </w:r>
    </w:p>
    <w:p w14:paraId="06570F0D" w14:textId="4D89D4FA" w:rsidR="008B0630" w:rsidRPr="008B0630" w:rsidRDefault="008B0630" w:rsidP="008B0630">
      <w:pPr>
        <w:rPr>
          <w:rFonts w:eastAsia="Calibri" w:cs="Times New Roman"/>
          <w:szCs w:val="24"/>
          <w:highlight w:val="yellow"/>
        </w:rPr>
      </w:pPr>
      <w:r w:rsidRPr="008B0630">
        <w:rPr>
          <w:rFonts w:eastAsia="Calibri" w:cs="Times New Roman"/>
          <w:szCs w:val="24"/>
        </w:rPr>
        <w:t xml:space="preserve">Saskaņā ar likumprojektu “Par valsts budžetu 2026. gadam un budžeta ietvaru 2026., 2027. un 2028. gadam” </w:t>
      </w:r>
      <w:r w:rsidR="003F5E29">
        <w:rPr>
          <w:rFonts w:eastAsia="Calibri" w:cs="Times New Roman"/>
          <w:szCs w:val="24"/>
        </w:rPr>
        <w:t>IAN</w:t>
      </w:r>
      <w:r w:rsidRPr="008B0630">
        <w:rPr>
          <w:rFonts w:eastAsia="Calibri" w:cs="Times New Roman"/>
          <w:szCs w:val="24"/>
        </w:rPr>
        <w:t xml:space="preserve"> ieņēmumi tiek prognozēti šādi: 2026. gadā – 66,8 milj. </w:t>
      </w:r>
      <w:r w:rsidRPr="008B0630">
        <w:rPr>
          <w:rFonts w:eastAsia="Calibri" w:cs="Times New Roman"/>
          <w:i/>
          <w:szCs w:val="24"/>
        </w:rPr>
        <w:t>euro</w:t>
      </w:r>
      <w:r w:rsidRPr="008B0630">
        <w:rPr>
          <w:rFonts w:eastAsia="Calibri" w:cs="Times New Roman"/>
          <w:szCs w:val="24"/>
        </w:rPr>
        <w:t>; 2027. gadā – 6</w:t>
      </w:r>
      <w:r w:rsidR="00C95E0F">
        <w:rPr>
          <w:rFonts w:eastAsia="Calibri" w:cs="Times New Roman"/>
          <w:szCs w:val="24"/>
        </w:rPr>
        <w:t>6</w:t>
      </w:r>
      <w:r w:rsidRPr="008B0630">
        <w:rPr>
          <w:rFonts w:eastAsia="Calibri" w:cs="Times New Roman"/>
          <w:szCs w:val="24"/>
        </w:rPr>
        <w:t>,</w:t>
      </w:r>
      <w:r w:rsidR="00C95E0F">
        <w:rPr>
          <w:rFonts w:eastAsia="Calibri" w:cs="Times New Roman"/>
          <w:szCs w:val="24"/>
        </w:rPr>
        <w:t>5</w:t>
      </w:r>
      <w:r w:rsidRPr="008B0630">
        <w:rPr>
          <w:rFonts w:eastAsia="Calibri" w:cs="Times New Roman"/>
          <w:szCs w:val="24"/>
        </w:rPr>
        <w:t> milj. </w:t>
      </w:r>
      <w:r w:rsidRPr="008B0630">
        <w:rPr>
          <w:rFonts w:eastAsia="Calibri" w:cs="Times New Roman"/>
          <w:i/>
          <w:szCs w:val="24"/>
        </w:rPr>
        <w:t>euro</w:t>
      </w:r>
      <w:r w:rsidRPr="008B0630">
        <w:rPr>
          <w:rFonts w:eastAsia="Calibri" w:cs="Times New Roman"/>
          <w:szCs w:val="24"/>
        </w:rPr>
        <w:t>; un 2028. gadā – 67,0 milj. </w:t>
      </w:r>
      <w:r w:rsidRPr="008B0630">
        <w:rPr>
          <w:rFonts w:eastAsia="Calibri" w:cs="Times New Roman"/>
          <w:i/>
          <w:szCs w:val="24"/>
        </w:rPr>
        <w:t>euro</w:t>
      </w:r>
      <w:r w:rsidRPr="008B0630">
        <w:rPr>
          <w:rFonts w:eastAsia="Calibri" w:cs="Times New Roman"/>
          <w:szCs w:val="24"/>
        </w:rPr>
        <w:t xml:space="preserve"> (skat. 3.18. tabulu). Sagatavojot </w:t>
      </w:r>
      <w:r w:rsidR="003F5E29">
        <w:rPr>
          <w:rFonts w:eastAsia="Calibri" w:cs="Times New Roman"/>
          <w:szCs w:val="24"/>
        </w:rPr>
        <w:lastRenderedPageBreak/>
        <w:t>IAN</w:t>
      </w:r>
      <w:r w:rsidRPr="008B0630">
        <w:rPr>
          <w:rFonts w:eastAsia="Calibri" w:cs="Times New Roman"/>
          <w:szCs w:val="24"/>
        </w:rPr>
        <w:t xml:space="preserve"> ieņēmumu plānu, tika ņemtas vērā nozares attīstības tendences</w:t>
      </w:r>
      <w:bookmarkStart w:id="129" w:name="_Hlk84236922"/>
      <w:r w:rsidRPr="008B0630">
        <w:rPr>
          <w:rFonts w:eastAsia="Calibri" w:cs="Times New Roman"/>
          <w:szCs w:val="24"/>
        </w:rPr>
        <w:t>,</w:t>
      </w:r>
      <w:bookmarkEnd w:id="129"/>
      <w:r w:rsidRPr="008B0630">
        <w:rPr>
          <w:rFonts w:eastAsia="Calibri" w:cs="Times New Roman"/>
          <w:szCs w:val="24"/>
        </w:rPr>
        <w:t xml:space="preserve"> 2025. gadā sagaidāmā izpilde, kā arī 3.1. sadaļā minētie pasākumi.</w:t>
      </w:r>
    </w:p>
    <w:p w14:paraId="54E91321" w14:textId="1641EB68" w:rsidR="008B0630" w:rsidRPr="008B0630" w:rsidRDefault="008B0630" w:rsidP="008B0630">
      <w:pPr>
        <w:keepNext/>
        <w:keepLines/>
        <w:spacing w:before="240" w:after="0"/>
        <w:ind w:firstLine="0"/>
        <w:jc w:val="right"/>
        <w:rPr>
          <w:rFonts w:cs="Times New Roman"/>
        </w:rPr>
      </w:pPr>
      <w:r w:rsidRPr="008B0630">
        <w:rPr>
          <w:rFonts w:eastAsia="Calibri" w:cs="Times New Roman"/>
          <w:b/>
          <w:i/>
          <w:szCs w:val="24"/>
        </w:rPr>
        <w:t xml:space="preserve">3.18. tabula. </w:t>
      </w:r>
      <w:r w:rsidR="003F5E29">
        <w:rPr>
          <w:rFonts w:eastAsia="Calibri" w:cs="Times New Roman"/>
          <w:b/>
          <w:i/>
          <w:szCs w:val="24"/>
        </w:rPr>
        <w:t>IAN</w:t>
      </w:r>
      <w:r w:rsidRPr="008B0630">
        <w:rPr>
          <w:rFonts w:eastAsia="Calibri" w:cs="Times New Roman"/>
          <w:b/>
          <w:i/>
          <w:szCs w:val="24"/>
        </w:rPr>
        <w:t xml:space="preserve"> ieņēmumi</w:t>
      </w:r>
    </w:p>
    <w:tbl>
      <w:tblPr>
        <w:tblW w:w="90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667"/>
        <w:gridCol w:w="851"/>
        <w:gridCol w:w="851"/>
        <w:gridCol w:w="851"/>
        <w:gridCol w:w="852"/>
      </w:tblGrid>
      <w:tr w:rsidR="008B0630" w:rsidRPr="008B0630" w14:paraId="272608E3" w14:textId="77777777" w:rsidTr="00E03828">
        <w:trPr>
          <w:cantSplit/>
          <w:trHeight w:hRule="exact" w:val="227"/>
          <w:jc w:val="center"/>
        </w:trPr>
        <w:tc>
          <w:tcPr>
            <w:tcW w:w="5667" w:type="dxa"/>
            <w:shd w:val="clear" w:color="auto" w:fill="9CC2E5" w:themeFill="accent1" w:themeFillTint="99"/>
            <w:noWrap/>
            <w:tcMar>
              <w:left w:w="28" w:type="dxa"/>
              <w:right w:w="28" w:type="dxa"/>
            </w:tcMar>
            <w:vAlign w:val="center"/>
            <w:hideMark/>
          </w:tcPr>
          <w:p w14:paraId="0C8FB5AE"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p>
        </w:tc>
        <w:tc>
          <w:tcPr>
            <w:tcW w:w="851" w:type="dxa"/>
            <w:shd w:val="clear" w:color="auto" w:fill="9CC2E5" w:themeFill="accent1" w:themeFillTint="99"/>
            <w:tcMar>
              <w:left w:w="28" w:type="dxa"/>
              <w:right w:w="28" w:type="dxa"/>
            </w:tcMar>
            <w:vAlign w:val="center"/>
          </w:tcPr>
          <w:p w14:paraId="00397BC7"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2025</w:t>
            </w:r>
          </w:p>
        </w:tc>
        <w:tc>
          <w:tcPr>
            <w:tcW w:w="851" w:type="dxa"/>
            <w:shd w:val="clear" w:color="auto" w:fill="9CC2E5" w:themeFill="accent1" w:themeFillTint="99"/>
            <w:tcMar>
              <w:left w:w="28" w:type="dxa"/>
              <w:right w:w="28" w:type="dxa"/>
            </w:tcMar>
            <w:vAlign w:val="center"/>
          </w:tcPr>
          <w:p w14:paraId="384E312C"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2026</w:t>
            </w:r>
          </w:p>
        </w:tc>
        <w:tc>
          <w:tcPr>
            <w:tcW w:w="851" w:type="dxa"/>
            <w:shd w:val="clear" w:color="auto" w:fill="9CC2E5" w:themeFill="accent1" w:themeFillTint="99"/>
            <w:noWrap/>
            <w:tcMar>
              <w:left w:w="28" w:type="dxa"/>
              <w:right w:w="28" w:type="dxa"/>
            </w:tcMar>
            <w:vAlign w:val="center"/>
            <w:hideMark/>
          </w:tcPr>
          <w:p w14:paraId="2AC14173"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2027</w:t>
            </w:r>
          </w:p>
        </w:tc>
        <w:tc>
          <w:tcPr>
            <w:tcW w:w="852" w:type="dxa"/>
            <w:shd w:val="clear" w:color="auto" w:fill="9CC2E5" w:themeFill="accent1" w:themeFillTint="99"/>
            <w:tcMar>
              <w:left w:w="28" w:type="dxa"/>
              <w:right w:w="28" w:type="dxa"/>
            </w:tcMar>
            <w:vAlign w:val="center"/>
          </w:tcPr>
          <w:p w14:paraId="52F8A02F"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cs="Times New Roman"/>
                <w:b/>
                <w:bCs/>
                <w:sz w:val="20"/>
                <w:szCs w:val="20"/>
              </w:rPr>
              <w:t>2028</w:t>
            </w:r>
          </w:p>
        </w:tc>
      </w:tr>
      <w:tr w:rsidR="008B0630" w:rsidRPr="008B0630" w14:paraId="69FE1727" w14:textId="77777777" w:rsidTr="00E03828">
        <w:trPr>
          <w:cantSplit/>
          <w:trHeight w:hRule="exact" w:val="454"/>
          <w:jc w:val="center"/>
        </w:trPr>
        <w:tc>
          <w:tcPr>
            <w:tcW w:w="5667" w:type="dxa"/>
            <w:tcMar>
              <w:left w:w="28" w:type="dxa"/>
              <w:right w:w="28" w:type="dxa"/>
            </w:tcMar>
            <w:hideMark/>
          </w:tcPr>
          <w:p w14:paraId="792FAFD2"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Saskaņā ar likumprojektu “Par valsts budžetu 2026. gadam un budžeta ietvaru 2026., 2027. un 2028. gadam”, milj. </w:t>
            </w:r>
            <w:r w:rsidRPr="008B0630">
              <w:rPr>
                <w:rFonts w:cs="Times New Roman"/>
                <w:i/>
                <w:iCs/>
                <w:sz w:val="18"/>
                <w:szCs w:val="18"/>
              </w:rPr>
              <w:t>euro</w:t>
            </w:r>
            <w:r w:rsidRPr="008B0630">
              <w:rPr>
                <w:rFonts w:cs="Times New Roman"/>
                <w:sz w:val="18"/>
                <w:szCs w:val="18"/>
              </w:rPr>
              <w:t xml:space="preserve"> </w:t>
            </w:r>
          </w:p>
        </w:tc>
        <w:tc>
          <w:tcPr>
            <w:tcW w:w="851" w:type="dxa"/>
            <w:noWrap/>
            <w:tcMar>
              <w:left w:w="28" w:type="dxa"/>
              <w:right w:w="28" w:type="dxa"/>
            </w:tcMar>
            <w:vAlign w:val="center"/>
          </w:tcPr>
          <w:p w14:paraId="357916CE"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56,1</w:t>
            </w:r>
            <w:r w:rsidRPr="008B0630">
              <w:rPr>
                <w:rFonts w:cs="Times New Roman"/>
                <w:noProof/>
                <w:sz w:val="18"/>
                <w:szCs w:val="18"/>
                <w:vertAlign w:val="superscript"/>
              </w:rPr>
              <w:t>1</w:t>
            </w:r>
          </w:p>
        </w:tc>
        <w:tc>
          <w:tcPr>
            <w:tcW w:w="851" w:type="dxa"/>
            <w:noWrap/>
            <w:tcMar>
              <w:left w:w="28" w:type="dxa"/>
              <w:right w:w="28" w:type="dxa"/>
            </w:tcMar>
            <w:vAlign w:val="center"/>
          </w:tcPr>
          <w:p w14:paraId="016CBF12"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66,8</w:t>
            </w:r>
          </w:p>
        </w:tc>
        <w:tc>
          <w:tcPr>
            <w:tcW w:w="851" w:type="dxa"/>
            <w:noWrap/>
            <w:tcMar>
              <w:left w:w="28" w:type="dxa"/>
              <w:right w:w="28" w:type="dxa"/>
            </w:tcMar>
            <w:vAlign w:val="center"/>
          </w:tcPr>
          <w:p w14:paraId="43EACE09"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66,5</w:t>
            </w:r>
          </w:p>
        </w:tc>
        <w:tc>
          <w:tcPr>
            <w:tcW w:w="852" w:type="dxa"/>
            <w:tcMar>
              <w:left w:w="28" w:type="dxa"/>
              <w:right w:w="28" w:type="dxa"/>
            </w:tcMar>
            <w:vAlign w:val="center"/>
          </w:tcPr>
          <w:p w14:paraId="21EF0777" w14:textId="77777777" w:rsidR="008B0630" w:rsidRPr="008B0630" w:rsidRDefault="008B0630" w:rsidP="008B0630">
            <w:pPr>
              <w:keepNext/>
              <w:keepLines/>
              <w:tabs>
                <w:tab w:val="decimal" w:pos="510"/>
              </w:tabs>
              <w:spacing w:after="0"/>
              <w:ind w:firstLine="0"/>
              <w:jc w:val="left"/>
              <w:rPr>
                <w:rFonts w:cs="Times New Roman"/>
                <w:noProof/>
                <w:sz w:val="18"/>
                <w:szCs w:val="18"/>
              </w:rPr>
            </w:pPr>
            <w:r w:rsidRPr="008B0630">
              <w:rPr>
                <w:rFonts w:cs="Times New Roman"/>
                <w:noProof/>
                <w:sz w:val="18"/>
                <w:szCs w:val="18"/>
              </w:rPr>
              <w:t>67,0</w:t>
            </w:r>
          </w:p>
        </w:tc>
      </w:tr>
      <w:tr w:rsidR="008B0630" w:rsidRPr="008B0630" w14:paraId="0C698C08" w14:textId="77777777" w:rsidTr="00E03828">
        <w:trPr>
          <w:cantSplit/>
          <w:trHeight w:hRule="exact" w:val="227"/>
          <w:jc w:val="center"/>
        </w:trPr>
        <w:tc>
          <w:tcPr>
            <w:tcW w:w="5667" w:type="dxa"/>
            <w:noWrap/>
            <w:tcMar>
              <w:left w:w="28" w:type="dxa"/>
              <w:right w:w="28" w:type="dxa"/>
            </w:tcMar>
            <w:hideMark/>
          </w:tcPr>
          <w:p w14:paraId="53CB127A" w14:textId="77777777" w:rsidR="008B0630" w:rsidRPr="008B0630" w:rsidRDefault="008B0630" w:rsidP="008B0630">
            <w:pPr>
              <w:keepNext/>
              <w:keepLines/>
              <w:ind w:left="425" w:firstLine="0"/>
              <w:jc w:val="left"/>
              <w:rPr>
                <w:rFonts w:cs="Times New Roman"/>
                <w:i/>
                <w:iCs/>
                <w:noProof/>
                <w:sz w:val="18"/>
                <w:szCs w:val="18"/>
              </w:rPr>
            </w:pPr>
            <w:r w:rsidRPr="008B0630">
              <w:rPr>
                <w:rFonts w:cs="Times New Roman"/>
                <w:i/>
                <w:iCs/>
                <w:sz w:val="18"/>
                <w:szCs w:val="18"/>
              </w:rPr>
              <w:t>pret IKP, %</w:t>
            </w:r>
          </w:p>
        </w:tc>
        <w:tc>
          <w:tcPr>
            <w:tcW w:w="851" w:type="dxa"/>
            <w:noWrap/>
            <w:tcMar>
              <w:left w:w="28" w:type="dxa"/>
              <w:right w:w="28" w:type="dxa"/>
            </w:tcMar>
          </w:tcPr>
          <w:p w14:paraId="3090ADF5"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0,1</w:t>
            </w:r>
          </w:p>
        </w:tc>
        <w:tc>
          <w:tcPr>
            <w:tcW w:w="851" w:type="dxa"/>
            <w:noWrap/>
            <w:tcMar>
              <w:left w:w="28" w:type="dxa"/>
              <w:right w:w="28" w:type="dxa"/>
            </w:tcMar>
          </w:tcPr>
          <w:p w14:paraId="396E6F77"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0,2</w:t>
            </w:r>
          </w:p>
        </w:tc>
        <w:tc>
          <w:tcPr>
            <w:tcW w:w="851" w:type="dxa"/>
            <w:noWrap/>
            <w:tcMar>
              <w:left w:w="28" w:type="dxa"/>
              <w:right w:w="28" w:type="dxa"/>
            </w:tcMar>
          </w:tcPr>
          <w:p w14:paraId="5CB6EB71"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0,1</w:t>
            </w:r>
          </w:p>
        </w:tc>
        <w:tc>
          <w:tcPr>
            <w:tcW w:w="852" w:type="dxa"/>
            <w:tcMar>
              <w:left w:w="28" w:type="dxa"/>
              <w:right w:w="28" w:type="dxa"/>
            </w:tcMar>
          </w:tcPr>
          <w:p w14:paraId="70732544"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0,1</w:t>
            </w:r>
          </w:p>
        </w:tc>
      </w:tr>
      <w:tr w:rsidR="008B0630" w:rsidRPr="008B0630" w14:paraId="17F36DB6" w14:textId="77777777" w:rsidTr="00E03828">
        <w:trPr>
          <w:cantSplit/>
          <w:trHeight w:hRule="exact" w:val="454"/>
          <w:jc w:val="center"/>
        </w:trPr>
        <w:tc>
          <w:tcPr>
            <w:tcW w:w="5667" w:type="dxa"/>
            <w:tcMar>
              <w:left w:w="28" w:type="dxa"/>
              <w:right w:w="28" w:type="dxa"/>
            </w:tcMar>
            <w:hideMark/>
          </w:tcPr>
          <w:p w14:paraId="482DB8CA"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milj. </w:t>
            </w:r>
            <w:r w:rsidRPr="008B0630">
              <w:rPr>
                <w:rFonts w:cs="Times New Roman"/>
                <w:i/>
                <w:iCs/>
                <w:sz w:val="18"/>
                <w:szCs w:val="18"/>
              </w:rPr>
              <w:t>euro</w:t>
            </w:r>
          </w:p>
        </w:tc>
        <w:tc>
          <w:tcPr>
            <w:tcW w:w="851" w:type="dxa"/>
            <w:noWrap/>
            <w:tcMar>
              <w:left w:w="28" w:type="dxa"/>
              <w:right w:w="28" w:type="dxa"/>
            </w:tcMar>
            <w:vAlign w:val="center"/>
          </w:tcPr>
          <w:p w14:paraId="1D170BD4"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-2,1</w:t>
            </w:r>
          </w:p>
        </w:tc>
        <w:tc>
          <w:tcPr>
            <w:tcW w:w="851" w:type="dxa"/>
            <w:noWrap/>
            <w:tcMar>
              <w:left w:w="28" w:type="dxa"/>
              <w:right w:w="28" w:type="dxa"/>
            </w:tcMar>
            <w:vAlign w:val="center"/>
          </w:tcPr>
          <w:p w14:paraId="182D93D1"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+7,2</w:t>
            </w:r>
          </w:p>
        </w:tc>
        <w:tc>
          <w:tcPr>
            <w:tcW w:w="851" w:type="dxa"/>
            <w:noWrap/>
            <w:tcMar>
              <w:left w:w="28" w:type="dxa"/>
              <w:right w:w="28" w:type="dxa"/>
            </w:tcMar>
            <w:vAlign w:val="center"/>
          </w:tcPr>
          <w:p w14:paraId="278C7D90"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-4,1</w:t>
            </w:r>
          </w:p>
        </w:tc>
        <w:tc>
          <w:tcPr>
            <w:tcW w:w="852" w:type="dxa"/>
            <w:tcMar>
              <w:left w:w="28" w:type="dxa"/>
              <w:right w:w="28" w:type="dxa"/>
            </w:tcMar>
            <w:vAlign w:val="center"/>
          </w:tcPr>
          <w:p w14:paraId="53B9BF79"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w:t>
            </w:r>
          </w:p>
        </w:tc>
      </w:tr>
      <w:tr w:rsidR="008B0630" w:rsidRPr="008B0630" w14:paraId="3CBA68E8" w14:textId="77777777" w:rsidTr="00E03828">
        <w:trPr>
          <w:cantSplit/>
          <w:trHeight w:hRule="exact" w:val="454"/>
          <w:jc w:val="center"/>
        </w:trPr>
        <w:tc>
          <w:tcPr>
            <w:tcW w:w="5667" w:type="dxa"/>
            <w:tcMar>
              <w:left w:w="28" w:type="dxa"/>
              <w:right w:w="28" w:type="dxa"/>
            </w:tcMar>
            <w:hideMark/>
          </w:tcPr>
          <w:p w14:paraId="70C4900B" w14:textId="77777777" w:rsidR="008B0630" w:rsidRPr="008B0630" w:rsidRDefault="008B0630" w:rsidP="008B0630">
            <w:pPr>
              <w:keepNext/>
              <w:keepLines/>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w:t>
            </w:r>
          </w:p>
        </w:tc>
        <w:tc>
          <w:tcPr>
            <w:tcW w:w="851" w:type="dxa"/>
            <w:noWrap/>
            <w:tcMar>
              <w:left w:w="28" w:type="dxa"/>
              <w:right w:w="28" w:type="dxa"/>
            </w:tcMar>
            <w:vAlign w:val="center"/>
          </w:tcPr>
          <w:p w14:paraId="3FD6E74A"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-3,5</w:t>
            </w:r>
          </w:p>
        </w:tc>
        <w:tc>
          <w:tcPr>
            <w:tcW w:w="851" w:type="dxa"/>
            <w:noWrap/>
            <w:tcMar>
              <w:left w:w="28" w:type="dxa"/>
              <w:right w:w="28" w:type="dxa"/>
            </w:tcMar>
            <w:vAlign w:val="center"/>
          </w:tcPr>
          <w:p w14:paraId="3273CDF0"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+12,0</w:t>
            </w:r>
          </w:p>
        </w:tc>
        <w:tc>
          <w:tcPr>
            <w:tcW w:w="851" w:type="dxa"/>
            <w:noWrap/>
            <w:tcMar>
              <w:left w:w="28" w:type="dxa"/>
              <w:right w:w="28" w:type="dxa"/>
            </w:tcMar>
            <w:vAlign w:val="center"/>
          </w:tcPr>
          <w:p w14:paraId="1FB031AD"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-5,8</w:t>
            </w:r>
          </w:p>
        </w:tc>
        <w:tc>
          <w:tcPr>
            <w:tcW w:w="852" w:type="dxa"/>
            <w:tcMar>
              <w:left w:w="28" w:type="dxa"/>
              <w:right w:w="28" w:type="dxa"/>
            </w:tcMar>
            <w:vAlign w:val="center"/>
          </w:tcPr>
          <w:p w14:paraId="456E8A3F" w14:textId="77777777" w:rsidR="008B0630" w:rsidRPr="008B0630" w:rsidRDefault="008B0630" w:rsidP="008B0630">
            <w:pPr>
              <w:keepNext/>
              <w:keepLines/>
              <w:tabs>
                <w:tab w:val="decimal" w:pos="510"/>
              </w:tabs>
              <w:spacing w:after="0"/>
              <w:ind w:firstLine="0"/>
              <w:jc w:val="left"/>
              <w:rPr>
                <w:rFonts w:cs="Times New Roman"/>
                <w:i/>
                <w:iCs/>
                <w:noProof/>
                <w:sz w:val="18"/>
                <w:szCs w:val="18"/>
              </w:rPr>
            </w:pPr>
            <w:r w:rsidRPr="008B0630">
              <w:rPr>
                <w:rFonts w:cs="Times New Roman"/>
                <w:i/>
                <w:iCs/>
                <w:noProof/>
                <w:sz w:val="18"/>
                <w:szCs w:val="18"/>
              </w:rPr>
              <w:t>—</w:t>
            </w:r>
          </w:p>
        </w:tc>
      </w:tr>
    </w:tbl>
    <w:p w14:paraId="565753D6"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6F38247D" w14:textId="77777777" w:rsidR="008B0630" w:rsidRPr="008B0630" w:rsidRDefault="008B0630" w:rsidP="008B0630">
      <w:pPr>
        <w:keepNext/>
        <w:keepLines/>
        <w:spacing w:before="240" w:after="240"/>
        <w:ind w:firstLine="0"/>
        <w:jc w:val="center"/>
        <w:outlineLvl w:val="3"/>
        <w:rPr>
          <w:rFonts w:eastAsia="Times New Roman" w:cs="Times New Roman"/>
          <w:b/>
          <w:sz w:val="28"/>
          <w:lang w:eastAsia="en-US"/>
        </w:rPr>
      </w:pPr>
      <w:r w:rsidRPr="008B0630">
        <w:rPr>
          <w:rFonts w:eastAsia="Times New Roman" w:cs="Times New Roman"/>
          <w:b/>
          <w:sz w:val="28"/>
          <w:lang w:eastAsia="en-US"/>
        </w:rPr>
        <w:t>Elektroenerģijas nodoklis</w:t>
      </w:r>
    </w:p>
    <w:p w14:paraId="57DCB0E4" w14:textId="77777777" w:rsidR="008B0630" w:rsidRPr="008B0630" w:rsidRDefault="008B0630" w:rsidP="008B0630">
      <w:pPr>
        <w:rPr>
          <w:rFonts w:eastAsia="Calibri" w:cs="Times New Roman"/>
          <w:szCs w:val="24"/>
        </w:rPr>
      </w:pPr>
      <w:r w:rsidRPr="008B0630">
        <w:rPr>
          <w:rFonts w:eastAsia="Calibri" w:cs="Times New Roman"/>
          <w:szCs w:val="24"/>
        </w:rPr>
        <w:t>Elektroenerģijas nodokļa ieņēmumi 2025. gada sešos mēnešos bija 2,6 milj. </w:t>
      </w:r>
      <w:r w:rsidRPr="008B0630">
        <w:rPr>
          <w:rFonts w:eastAsia="Times New Roman" w:cs="Times New Roman"/>
          <w:i/>
          <w:iCs/>
          <w:szCs w:val="24"/>
        </w:rPr>
        <w:t>euro</w:t>
      </w:r>
      <w:r w:rsidRPr="008B0630">
        <w:rPr>
          <w:rFonts w:eastAsia="Calibri" w:cs="Times New Roman"/>
          <w:szCs w:val="24"/>
        </w:rPr>
        <w:t>, kas, salīdzinot ar 2024. gada sešiem mēnešiem, bija par 0,1 milj. </w:t>
      </w:r>
      <w:r w:rsidRPr="008B0630">
        <w:rPr>
          <w:rFonts w:eastAsia="Times New Roman" w:cs="Times New Roman"/>
          <w:i/>
          <w:iCs/>
          <w:szCs w:val="24"/>
        </w:rPr>
        <w:t>euro</w:t>
      </w:r>
      <w:r w:rsidRPr="008B0630">
        <w:rPr>
          <w:rFonts w:eastAsia="Calibri" w:cs="Times New Roman"/>
          <w:szCs w:val="24"/>
        </w:rPr>
        <w:t xml:space="preserve"> jeb 2,2 % vairāk. Salīdzinājumā ar 2025. gada sešu mēnešu plānu, ieņēmumi ir par 0,1 milj. </w:t>
      </w:r>
      <w:r w:rsidRPr="008B0630">
        <w:rPr>
          <w:rFonts w:eastAsia="Times New Roman" w:cs="Times New Roman"/>
          <w:i/>
          <w:iCs/>
          <w:szCs w:val="24"/>
        </w:rPr>
        <w:t>euro</w:t>
      </w:r>
      <w:r w:rsidRPr="008B0630">
        <w:rPr>
          <w:rFonts w:eastAsia="Calibri" w:cs="Times New Roman"/>
          <w:szCs w:val="24"/>
        </w:rPr>
        <w:t xml:space="preserve"> jeb 2,6 % mazāki.</w:t>
      </w:r>
    </w:p>
    <w:p w14:paraId="487B00CE" w14:textId="77777777" w:rsidR="008B0630" w:rsidRPr="008B0630" w:rsidRDefault="008B0630" w:rsidP="008B0630">
      <w:pPr>
        <w:rPr>
          <w:rFonts w:eastAsia="Calibri" w:cs="Times New Roman"/>
          <w:szCs w:val="24"/>
        </w:rPr>
      </w:pPr>
      <w:r w:rsidRPr="008B0630">
        <w:rPr>
          <w:rFonts w:eastAsia="Calibri" w:cs="Times New Roman"/>
          <w:szCs w:val="24"/>
        </w:rPr>
        <w:t>Saskaņā ar likumprojektu  “Par valsts budžetu 2026. gadam un budžeta ietvaru 2026., 2027. un 2028. gadam” 2026., 2027. un 2028. gadā elektroenerģijas nodokļa ieņēmumi tiek plānoti 5,3 milj. </w:t>
      </w:r>
      <w:r w:rsidRPr="008B0630">
        <w:rPr>
          <w:rFonts w:eastAsia="Times New Roman" w:cs="Times New Roman"/>
          <w:i/>
          <w:iCs/>
          <w:szCs w:val="24"/>
        </w:rPr>
        <w:t>euro</w:t>
      </w:r>
      <w:r w:rsidRPr="008B0630">
        <w:rPr>
          <w:rFonts w:eastAsia="Calibri" w:cs="Times New Roman"/>
          <w:szCs w:val="24"/>
        </w:rPr>
        <w:t xml:space="preserve"> apmērā (skat. 3.19. tabulu).</w:t>
      </w:r>
    </w:p>
    <w:p w14:paraId="31DAC0D8"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3.19. tabula. Elektroenerģijas nodokļa ieņēmumi</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1"/>
        <w:gridCol w:w="681"/>
        <w:gridCol w:w="681"/>
        <w:gridCol w:w="681"/>
        <w:gridCol w:w="681"/>
      </w:tblGrid>
      <w:tr w:rsidR="008B0630" w:rsidRPr="008B0630" w14:paraId="75F271F9" w14:textId="77777777" w:rsidTr="00E03828">
        <w:trPr>
          <w:cantSplit/>
          <w:trHeight w:hRule="exact" w:val="227"/>
          <w:jc w:val="center"/>
        </w:trPr>
        <w:tc>
          <w:tcPr>
            <w:tcW w:w="3606" w:type="pct"/>
            <w:shd w:val="clear" w:color="auto" w:fill="9CC2E5" w:themeFill="accent1" w:themeFillTint="99"/>
            <w:noWrap/>
            <w:vAlign w:val="center"/>
            <w:hideMark/>
          </w:tcPr>
          <w:p w14:paraId="3024E86D" w14:textId="77777777" w:rsidR="008B0630" w:rsidRPr="008B0630" w:rsidRDefault="008B0630" w:rsidP="008B0630">
            <w:pPr>
              <w:keepNext/>
              <w:keepLines/>
              <w:spacing w:after="0"/>
              <w:ind w:firstLine="0"/>
              <w:contextualSpacing/>
              <w:jc w:val="center"/>
              <w:rPr>
                <w:rFonts w:eastAsia="Times New Roman" w:cs="Times New Roman"/>
                <w:b/>
                <w:bCs/>
                <w:sz w:val="18"/>
                <w:szCs w:val="18"/>
              </w:rPr>
            </w:pPr>
          </w:p>
        </w:tc>
        <w:tc>
          <w:tcPr>
            <w:tcW w:w="348" w:type="pct"/>
            <w:shd w:val="clear" w:color="auto" w:fill="9CC2E5" w:themeFill="accent1" w:themeFillTint="99"/>
            <w:vAlign w:val="center"/>
          </w:tcPr>
          <w:p w14:paraId="12F55BCB"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2025</w:t>
            </w:r>
          </w:p>
        </w:tc>
        <w:tc>
          <w:tcPr>
            <w:tcW w:w="348" w:type="pct"/>
            <w:shd w:val="clear" w:color="auto" w:fill="9CC2E5" w:themeFill="accent1" w:themeFillTint="99"/>
            <w:vAlign w:val="center"/>
          </w:tcPr>
          <w:p w14:paraId="69CF2514"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2026</w:t>
            </w:r>
          </w:p>
        </w:tc>
        <w:tc>
          <w:tcPr>
            <w:tcW w:w="348" w:type="pct"/>
            <w:shd w:val="clear" w:color="auto" w:fill="9CC2E5" w:themeFill="accent1" w:themeFillTint="99"/>
            <w:noWrap/>
            <w:vAlign w:val="center"/>
          </w:tcPr>
          <w:p w14:paraId="4ACE6228"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2027</w:t>
            </w:r>
          </w:p>
        </w:tc>
        <w:tc>
          <w:tcPr>
            <w:tcW w:w="348" w:type="pct"/>
            <w:shd w:val="clear" w:color="auto" w:fill="9CC2E5" w:themeFill="accent1" w:themeFillTint="99"/>
            <w:vAlign w:val="center"/>
          </w:tcPr>
          <w:p w14:paraId="6A9875F7"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2028</w:t>
            </w:r>
          </w:p>
        </w:tc>
      </w:tr>
      <w:tr w:rsidR="008B0630" w:rsidRPr="008B0630" w14:paraId="271A7415" w14:textId="77777777" w:rsidTr="00E03828">
        <w:trPr>
          <w:cantSplit/>
          <w:trHeight w:hRule="exact" w:val="454"/>
          <w:jc w:val="center"/>
        </w:trPr>
        <w:tc>
          <w:tcPr>
            <w:tcW w:w="3606" w:type="pct"/>
          </w:tcPr>
          <w:p w14:paraId="710B5736"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sz w:val="18"/>
                <w:szCs w:val="18"/>
              </w:rPr>
              <w:t>Saskaņā ar likumprojektu “Par valsts budžetu 2026. gadam un budžeta ietvaru 2026., 2027. un 2028. gadam”, milj. </w:t>
            </w:r>
            <w:r w:rsidRPr="008B0630">
              <w:rPr>
                <w:rFonts w:cs="Times New Roman"/>
                <w:i/>
                <w:iCs/>
                <w:sz w:val="18"/>
                <w:szCs w:val="18"/>
              </w:rPr>
              <w:t>euro</w:t>
            </w:r>
            <w:r w:rsidRPr="008B0630">
              <w:rPr>
                <w:rFonts w:cs="Times New Roman"/>
                <w:sz w:val="18"/>
                <w:szCs w:val="18"/>
              </w:rPr>
              <w:t xml:space="preserve"> </w:t>
            </w:r>
          </w:p>
        </w:tc>
        <w:tc>
          <w:tcPr>
            <w:tcW w:w="348" w:type="pct"/>
            <w:noWrap/>
            <w:vAlign w:val="center"/>
          </w:tcPr>
          <w:p w14:paraId="5B1DB943"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color w:val="000000"/>
                <w:sz w:val="18"/>
                <w:szCs w:val="18"/>
              </w:rPr>
              <w:t>5,2</w:t>
            </w:r>
            <w:r w:rsidRPr="008B0630">
              <w:rPr>
                <w:rFonts w:cs="Times New Roman"/>
                <w:color w:val="000000"/>
                <w:sz w:val="18"/>
                <w:szCs w:val="18"/>
                <w:vertAlign w:val="superscript"/>
              </w:rPr>
              <w:t>1</w:t>
            </w:r>
          </w:p>
        </w:tc>
        <w:tc>
          <w:tcPr>
            <w:tcW w:w="348" w:type="pct"/>
            <w:noWrap/>
            <w:vAlign w:val="center"/>
          </w:tcPr>
          <w:p w14:paraId="1E5928EB"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color w:val="000000"/>
                <w:sz w:val="18"/>
                <w:szCs w:val="18"/>
              </w:rPr>
              <w:t>5,3</w:t>
            </w:r>
          </w:p>
        </w:tc>
        <w:tc>
          <w:tcPr>
            <w:tcW w:w="348" w:type="pct"/>
            <w:noWrap/>
            <w:vAlign w:val="center"/>
          </w:tcPr>
          <w:p w14:paraId="5D837039"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color w:val="000000"/>
                <w:sz w:val="18"/>
                <w:szCs w:val="18"/>
              </w:rPr>
              <w:t>5,3</w:t>
            </w:r>
          </w:p>
        </w:tc>
        <w:tc>
          <w:tcPr>
            <w:tcW w:w="348" w:type="pct"/>
            <w:vAlign w:val="center"/>
          </w:tcPr>
          <w:p w14:paraId="16752508"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color w:val="000000"/>
                <w:sz w:val="18"/>
                <w:szCs w:val="18"/>
              </w:rPr>
              <w:t>5,3</w:t>
            </w:r>
          </w:p>
        </w:tc>
      </w:tr>
      <w:tr w:rsidR="008B0630" w:rsidRPr="008B0630" w14:paraId="065AABFA" w14:textId="77777777" w:rsidTr="00E03828">
        <w:trPr>
          <w:cantSplit/>
          <w:trHeight w:hRule="exact" w:val="227"/>
          <w:jc w:val="center"/>
        </w:trPr>
        <w:tc>
          <w:tcPr>
            <w:tcW w:w="3606" w:type="pct"/>
            <w:noWrap/>
          </w:tcPr>
          <w:p w14:paraId="3CE40ABE" w14:textId="77777777" w:rsidR="008B0630" w:rsidRPr="008B0630" w:rsidRDefault="008B0630" w:rsidP="008B0630">
            <w:pPr>
              <w:keepNext/>
              <w:keepLines/>
              <w:ind w:left="425" w:firstLine="0"/>
              <w:jc w:val="left"/>
              <w:rPr>
                <w:rFonts w:cs="Times New Roman"/>
                <w:noProof/>
                <w:sz w:val="18"/>
                <w:szCs w:val="18"/>
              </w:rPr>
            </w:pPr>
            <w:r w:rsidRPr="008B0630">
              <w:rPr>
                <w:rFonts w:cs="Times New Roman"/>
                <w:i/>
                <w:iCs/>
                <w:sz w:val="18"/>
                <w:szCs w:val="18"/>
              </w:rPr>
              <w:t>pret IKP, %</w:t>
            </w:r>
          </w:p>
        </w:tc>
        <w:tc>
          <w:tcPr>
            <w:tcW w:w="348" w:type="pct"/>
            <w:noWrap/>
            <w:vAlign w:val="center"/>
          </w:tcPr>
          <w:p w14:paraId="137CEEF2"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0,01%</w:t>
            </w:r>
          </w:p>
        </w:tc>
        <w:tc>
          <w:tcPr>
            <w:tcW w:w="348" w:type="pct"/>
            <w:noWrap/>
            <w:vAlign w:val="center"/>
          </w:tcPr>
          <w:p w14:paraId="3AE77E2D"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0,01%</w:t>
            </w:r>
          </w:p>
        </w:tc>
        <w:tc>
          <w:tcPr>
            <w:tcW w:w="348" w:type="pct"/>
            <w:noWrap/>
            <w:vAlign w:val="center"/>
          </w:tcPr>
          <w:p w14:paraId="5DE04A08"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0,01%</w:t>
            </w:r>
          </w:p>
        </w:tc>
        <w:tc>
          <w:tcPr>
            <w:tcW w:w="348" w:type="pct"/>
            <w:vAlign w:val="center"/>
          </w:tcPr>
          <w:p w14:paraId="0084EBE7"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0,01%</w:t>
            </w:r>
          </w:p>
        </w:tc>
      </w:tr>
      <w:tr w:rsidR="008B0630" w:rsidRPr="008B0630" w14:paraId="7D0661A0" w14:textId="77777777" w:rsidTr="00E03828">
        <w:trPr>
          <w:cantSplit/>
          <w:trHeight w:hRule="exact" w:val="454"/>
          <w:jc w:val="center"/>
        </w:trPr>
        <w:tc>
          <w:tcPr>
            <w:tcW w:w="3606" w:type="pct"/>
          </w:tcPr>
          <w:p w14:paraId="5F844BFE"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milj. </w:t>
            </w:r>
            <w:r w:rsidRPr="008B0630">
              <w:rPr>
                <w:rFonts w:cs="Times New Roman"/>
                <w:i/>
                <w:iCs/>
                <w:sz w:val="18"/>
                <w:szCs w:val="18"/>
              </w:rPr>
              <w:t>euro</w:t>
            </w:r>
          </w:p>
        </w:tc>
        <w:tc>
          <w:tcPr>
            <w:tcW w:w="348" w:type="pct"/>
            <w:noWrap/>
            <w:vAlign w:val="center"/>
          </w:tcPr>
          <w:p w14:paraId="7164411F"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0,0</w:t>
            </w:r>
          </w:p>
        </w:tc>
        <w:tc>
          <w:tcPr>
            <w:tcW w:w="348" w:type="pct"/>
            <w:noWrap/>
            <w:vAlign w:val="center"/>
          </w:tcPr>
          <w:p w14:paraId="2E2327CA"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0,0</w:t>
            </w:r>
          </w:p>
        </w:tc>
        <w:tc>
          <w:tcPr>
            <w:tcW w:w="348" w:type="pct"/>
            <w:noWrap/>
            <w:vAlign w:val="center"/>
          </w:tcPr>
          <w:p w14:paraId="15BA4F05"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0,0</w:t>
            </w:r>
          </w:p>
        </w:tc>
        <w:tc>
          <w:tcPr>
            <w:tcW w:w="348" w:type="pct"/>
            <w:vAlign w:val="center"/>
          </w:tcPr>
          <w:p w14:paraId="2776361B"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w:t>
            </w:r>
          </w:p>
        </w:tc>
      </w:tr>
      <w:tr w:rsidR="008B0630" w:rsidRPr="008B0630" w14:paraId="162A4D8A" w14:textId="77777777" w:rsidTr="00E03828">
        <w:trPr>
          <w:cantSplit/>
          <w:trHeight w:hRule="exact" w:val="454"/>
          <w:jc w:val="center"/>
        </w:trPr>
        <w:tc>
          <w:tcPr>
            <w:tcW w:w="3606" w:type="pct"/>
          </w:tcPr>
          <w:p w14:paraId="78DC43B0"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w:t>
            </w:r>
          </w:p>
        </w:tc>
        <w:tc>
          <w:tcPr>
            <w:tcW w:w="348" w:type="pct"/>
            <w:noWrap/>
            <w:vAlign w:val="center"/>
          </w:tcPr>
          <w:p w14:paraId="351DADDA"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0,0</w:t>
            </w:r>
          </w:p>
        </w:tc>
        <w:tc>
          <w:tcPr>
            <w:tcW w:w="348" w:type="pct"/>
            <w:noWrap/>
            <w:vAlign w:val="center"/>
          </w:tcPr>
          <w:p w14:paraId="4EA341DC"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0,0</w:t>
            </w:r>
          </w:p>
        </w:tc>
        <w:tc>
          <w:tcPr>
            <w:tcW w:w="348" w:type="pct"/>
            <w:noWrap/>
            <w:vAlign w:val="center"/>
          </w:tcPr>
          <w:p w14:paraId="68228191"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0,0</w:t>
            </w:r>
          </w:p>
        </w:tc>
        <w:tc>
          <w:tcPr>
            <w:tcW w:w="348" w:type="pct"/>
            <w:vAlign w:val="center"/>
          </w:tcPr>
          <w:p w14:paraId="0ED1800E"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w:t>
            </w:r>
          </w:p>
        </w:tc>
      </w:tr>
    </w:tbl>
    <w:p w14:paraId="6FED604D"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00945A85" w14:textId="77777777" w:rsidR="008B0630" w:rsidRPr="008B0630" w:rsidRDefault="008B0630" w:rsidP="008B0630">
      <w:pPr>
        <w:keepNext/>
        <w:keepLines/>
        <w:spacing w:before="240" w:after="240"/>
        <w:ind w:firstLine="0"/>
        <w:jc w:val="center"/>
        <w:outlineLvl w:val="1"/>
        <w:rPr>
          <w:rFonts w:eastAsia="Times New Roman" w:cs="Times New Roman"/>
          <w:b/>
          <w:bCs/>
          <w:color w:val="000000" w:themeColor="text1"/>
          <w:sz w:val="36"/>
          <w:szCs w:val="28"/>
        </w:rPr>
      </w:pPr>
      <w:bookmarkStart w:id="130" w:name="_Toc126236666"/>
      <w:bookmarkEnd w:id="128"/>
      <w:r w:rsidRPr="008B0630">
        <w:rPr>
          <w:rFonts w:eastAsia="Times New Roman" w:cs="Times New Roman"/>
          <w:b/>
          <w:bCs/>
          <w:color w:val="000000" w:themeColor="text1"/>
          <w:sz w:val="36"/>
          <w:szCs w:val="28"/>
        </w:rPr>
        <w:t>3.3. Valsts pamatbudžeta nenodokļu ieņēmumi</w:t>
      </w:r>
    </w:p>
    <w:p w14:paraId="56614D33" w14:textId="77777777" w:rsidR="008B0630" w:rsidRPr="008B0630" w:rsidRDefault="008B0630" w:rsidP="008B0630">
      <w:pPr>
        <w:rPr>
          <w:rFonts w:eastAsia="Calibri" w:cs="Times New Roman"/>
          <w:szCs w:val="24"/>
        </w:rPr>
      </w:pPr>
      <w:r w:rsidRPr="008B0630">
        <w:rPr>
          <w:rFonts w:eastAsia="Calibri" w:cs="Times New Roman"/>
          <w:szCs w:val="24"/>
        </w:rPr>
        <w:t>Pamatbudžeta nenodokļu ieņēmumi 2025. gada 1. pusgadā bija 602,3 milj. </w:t>
      </w:r>
      <w:r w:rsidRPr="008B0630">
        <w:rPr>
          <w:rFonts w:eastAsia="Times New Roman" w:cs="Times New Roman"/>
          <w:i/>
          <w:iCs/>
          <w:szCs w:val="24"/>
        </w:rPr>
        <w:t>euro</w:t>
      </w:r>
      <w:r w:rsidRPr="008B0630">
        <w:rPr>
          <w:rFonts w:eastAsia="Calibri" w:cs="Times New Roman"/>
          <w:szCs w:val="24"/>
        </w:rPr>
        <w:t>, kas ir par 1,1 milj. </w:t>
      </w:r>
      <w:r w:rsidRPr="008B0630">
        <w:rPr>
          <w:rFonts w:eastAsia="Times New Roman" w:cs="Times New Roman"/>
          <w:i/>
          <w:iCs/>
          <w:szCs w:val="24"/>
        </w:rPr>
        <w:t>euro</w:t>
      </w:r>
      <w:r w:rsidRPr="008B0630">
        <w:rPr>
          <w:rFonts w:eastAsia="Calibri" w:cs="Times New Roman"/>
          <w:szCs w:val="24"/>
        </w:rPr>
        <w:t xml:space="preserve"> jeb 0,2% vairāk kā plānots. Salīdzinot ar 2024. gada sešiem mēnešiem, nenodokļu ieņēmumi bija par 176,5 milj. </w:t>
      </w:r>
      <w:r w:rsidRPr="008B0630">
        <w:rPr>
          <w:rFonts w:eastAsia="Times New Roman" w:cs="Times New Roman"/>
          <w:i/>
          <w:iCs/>
          <w:szCs w:val="24"/>
        </w:rPr>
        <w:t>euro</w:t>
      </w:r>
      <w:r w:rsidRPr="008B0630">
        <w:rPr>
          <w:rFonts w:eastAsia="Calibri" w:cs="Times New Roman"/>
          <w:szCs w:val="24"/>
        </w:rPr>
        <w:t xml:space="preserve"> jeb 22,7% mazāk. Nenodokļu ieņēmumu plāna pārpildi pamatā nodrošināja ieņēmumi no procentu ieņēmumiem no depozītiem un kontu atlikumiem, kur plāna pārpilde bija 15,3 milj. </w:t>
      </w:r>
      <w:r w:rsidRPr="008B0630">
        <w:rPr>
          <w:rFonts w:eastAsia="Times New Roman" w:cs="Times New Roman"/>
          <w:i/>
          <w:iCs/>
          <w:szCs w:val="24"/>
        </w:rPr>
        <w:t>euro</w:t>
      </w:r>
      <w:r w:rsidRPr="008B0630">
        <w:rPr>
          <w:rFonts w:eastAsia="Calibri" w:cs="Times New Roman"/>
          <w:szCs w:val="24"/>
        </w:rPr>
        <w:t xml:space="preserve">. </w:t>
      </w:r>
    </w:p>
    <w:p w14:paraId="6DDB6FCC" w14:textId="77777777" w:rsidR="008B0630" w:rsidRPr="008B0630" w:rsidRDefault="008B0630" w:rsidP="008B0630">
      <w:pPr>
        <w:rPr>
          <w:rFonts w:eastAsia="Calibri" w:cs="Times New Roman"/>
          <w:szCs w:val="24"/>
        </w:rPr>
      </w:pPr>
      <w:r w:rsidRPr="008B0630">
        <w:rPr>
          <w:rFonts w:eastAsia="Calibri" w:cs="Times New Roman"/>
          <w:szCs w:val="24"/>
        </w:rPr>
        <w:t xml:space="preserve">Savukārt nozīmīga plāna neizpilde bija šādās nenodokļu pozīcijās: </w:t>
      </w:r>
    </w:p>
    <w:p w14:paraId="165CDB59" w14:textId="77777777" w:rsidR="008B0630" w:rsidRPr="008B0630" w:rsidRDefault="008B0630" w:rsidP="008B0630">
      <w:pPr>
        <w:numPr>
          <w:ilvl w:val="0"/>
          <w:numId w:val="15"/>
        </w:numPr>
        <w:contextualSpacing/>
        <w:rPr>
          <w:rFonts w:eastAsia="Calibri" w:cs="Times New Roman"/>
          <w:szCs w:val="24"/>
        </w:rPr>
      </w:pPr>
      <w:r w:rsidRPr="008B0630">
        <w:rPr>
          <w:rFonts w:eastAsia="Calibri" w:cs="Times New Roman"/>
          <w:szCs w:val="24"/>
        </w:rPr>
        <w:t>autoceļu lietošanas nodevai -10,4 milj. </w:t>
      </w:r>
      <w:r w:rsidRPr="008B0630">
        <w:rPr>
          <w:rFonts w:eastAsia="Times New Roman" w:cs="Times New Roman"/>
          <w:i/>
          <w:iCs/>
          <w:szCs w:val="24"/>
        </w:rPr>
        <w:t>euro</w:t>
      </w:r>
      <w:r w:rsidRPr="008B0630">
        <w:rPr>
          <w:rFonts w:eastAsia="Calibri" w:cs="Times New Roman"/>
          <w:szCs w:val="24"/>
        </w:rPr>
        <w:t xml:space="preserve"> jeb -35,7%, jo 2025. gadā </w:t>
      </w:r>
      <w:r w:rsidRPr="008B0630">
        <w:rPr>
          <w:rFonts w:eastAsia="Times New Roman" w:cs="Times New Roman"/>
          <w:lang w:eastAsia="en-US"/>
        </w:rPr>
        <w:t xml:space="preserve">tika plānots būtisks nodevas ieņēmumu pieaugums, jo ar </w:t>
      </w:r>
      <w:r w:rsidRPr="008B0630">
        <w:rPr>
          <w:rFonts w:eastAsia="Calibri" w:cs="Times New Roman"/>
          <w:szCs w:val="24"/>
        </w:rPr>
        <w:t xml:space="preserve">2025. gada 1. janvāri tika paaugstināta </w:t>
      </w:r>
      <w:r w:rsidRPr="008B0630">
        <w:rPr>
          <w:rFonts w:eastAsia="Times New Roman" w:cs="Times New Roman"/>
          <w:lang w:eastAsia="en-US"/>
        </w:rPr>
        <w:t xml:space="preserve">nodevas likme, bet daļa pārvadātāju sāka izmantot alternatīvus ceļa maršrutus, lai izvairītos no autoceļu posmu izmantošanas, par kuriem maksājama nodeva, līdz ar to </w:t>
      </w:r>
      <w:r w:rsidRPr="008B0630">
        <w:rPr>
          <w:rFonts w:eastAsia="Calibri" w:cs="Times New Roman"/>
          <w:szCs w:val="24"/>
        </w:rPr>
        <w:t>autoceļu lietošanas nodevai ir plāna neizpilde;</w:t>
      </w:r>
    </w:p>
    <w:p w14:paraId="0357B117" w14:textId="77777777" w:rsidR="008B0630" w:rsidRPr="008B0630" w:rsidRDefault="008B0630" w:rsidP="008B0630">
      <w:pPr>
        <w:numPr>
          <w:ilvl w:val="0"/>
          <w:numId w:val="15"/>
        </w:numPr>
        <w:contextualSpacing/>
        <w:rPr>
          <w:rFonts w:eastAsia="Calibri" w:cs="Times New Roman"/>
          <w:szCs w:val="24"/>
        </w:rPr>
      </w:pPr>
      <w:r w:rsidRPr="008B0630">
        <w:rPr>
          <w:rFonts w:eastAsia="Calibri" w:cs="Times New Roman"/>
          <w:szCs w:val="24"/>
        </w:rPr>
        <w:t>pārējie nenodokļu ieņēmumi un ieņēmumi no valsts (pašvaldības) īpašuma pārdošanas un nodokļu pamatparāda kapitalizācijas -10,7 milj. </w:t>
      </w:r>
      <w:r w:rsidRPr="008B0630">
        <w:rPr>
          <w:rFonts w:eastAsia="Times New Roman" w:cs="Times New Roman"/>
          <w:i/>
          <w:iCs/>
          <w:szCs w:val="24"/>
        </w:rPr>
        <w:t>euro</w:t>
      </w:r>
      <w:r w:rsidRPr="008B0630">
        <w:rPr>
          <w:rFonts w:eastAsia="Calibri" w:cs="Times New Roman"/>
          <w:szCs w:val="24"/>
        </w:rPr>
        <w:t xml:space="preserve"> jeb -23,2%, ko galvenokārt ietekmēja ieņēmumi no konfiscēto noziedzīgi iegūto līdzekļu un papildsoda – mantas konfiskācija – realizācijas, kur gada plāna izpilde sešos mēnešos bija vien 15,1%.</w:t>
      </w:r>
    </w:p>
    <w:p w14:paraId="563164F8" w14:textId="77777777" w:rsidR="008B0630" w:rsidRPr="008B0630" w:rsidRDefault="008B0630" w:rsidP="008B0630">
      <w:pPr>
        <w:rPr>
          <w:rFonts w:eastAsia="Calibri" w:cs="Times New Roman"/>
          <w:szCs w:val="24"/>
        </w:rPr>
      </w:pPr>
      <w:r w:rsidRPr="008B0630">
        <w:rPr>
          <w:rFonts w:eastAsia="Calibri" w:cs="Times New Roman"/>
          <w:szCs w:val="24"/>
        </w:rPr>
        <w:lastRenderedPageBreak/>
        <w:t>Saskaņā ar likumprojektu “Par valsts budžetu 2026. gadam un budžeta ietvaru 2026., 2027. un 2028. gadam” 2026. gadā valsts pamatbudžeta nenodokļu ieņēmumi tiek plānoti 856,4 milj. </w:t>
      </w:r>
      <w:r w:rsidRPr="008B0630">
        <w:rPr>
          <w:rFonts w:eastAsia="Times New Roman" w:cs="Times New Roman"/>
          <w:i/>
          <w:iCs/>
          <w:szCs w:val="24"/>
        </w:rPr>
        <w:t>euro</w:t>
      </w:r>
      <w:r w:rsidRPr="008B0630">
        <w:rPr>
          <w:rFonts w:eastAsia="Calibri" w:cs="Times New Roman"/>
          <w:szCs w:val="24"/>
        </w:rPr>
        <w:t>, 2027. gadā 841,8 milj. </w:t>
      </w:r>
      <w:r w:rsidRPr="008B0630">
        <w:rPr>
          <w:rFonts w:eastAsia="Times New Roman" w:cs="Times New Roman"/>
          <w:i/>
          <w:iCs/>
          <w:szCs w:val="24"/>
        </w:rPr>
        <w:t>euro</w:t>
      </w:r>
      <w:r w:rsidRPr="008B0630">
        <w:rPr>
          <w:rFonts w:eastAsia="Calibri" w:cs="Times New Roman"/>
          <w:szCs w:val="24"/>
        </w:rPr>
        <w:t xml:space="preserve"> un 2028. gadā 827,0 milj. </w:t>
      </w:r>
      <w:r w:rsidRPr="008B0630">
        <w:rPr>
          <w:rFonts w:eastAsia="Times New Roman" w:cs="Times New Roman"/>
          <w:i/>
          <w:iCs/>
          <w:szCs w:val="24"/>
        </w:rPr>
        <w:t>euro</w:t>
      </w:r>
      <w:r w:rsidRPr="008B0630">
        <w:rPr>
          <w:rFonts w:eastAsia="Calibri" w:cs="Times New Roman"/>
          <w:szCs w:val="24"/>
        </w:rPr>
        <w:t xml:space="preserve"> apmērā (skat. 3.20. tabulu).</w:t>
      </w:r>
    </w:p>
    <w:p w14:paraId="3FFB5EFA"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3.20. tabula. Valsts pamatbudžeta nenodokļu ieņēmumi</w:t>
      </w:r>
    </w:p>
    <w:tbl>
      <w:tblPr>
        <w:tblW w:w="5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212"/>
        <w:gridCol w:w="881"/>
        <w:gridCol w:w="849"/>
        <w:gridCol w:w="847"/>
        <w:gridCol w:w="709"/>
      </w:tblGrid>
      <w:tr w:rsidR="008B0630" w:rsidRPr="008B0630" w14:paraId="779A5D1A" w14:textId="77777777" w:rsidTr="00E03828">
        <w:trPr>
          <w:cantSplit/>
          <w:trHeight w:hRule="exact" w:val="227"/>
          <w:jc w:val="center"/>
        </w:trPr>
        <w:tc>
          <w:tcPr>
            <w:tcW w:w="3270" w:type="pct"/>
            <w:shd w:val="clear" w:color="auto" w:fill="9CC2E5" w:themeFill="accent1" w:themeFillTint="99"/>
            <w:vAlign w:val="center"/>
          </w:tcPr>
          <w:p w14:paraId="29777157" w14:textId="77777777" w:rsidR="008B0630" w:rsidRPr="008B0630" w:rsidRDefault="008B0630" w:rsidP="008B0630">
            <w:pPr>
              <w:keepNext/>
              <w:keepLines/>
              <w:spacing w:after="0"/>
              <w:ind w:firstLine="0"/>
              <w:contextualSpacing/>
              <w:jc w:val="center"/>
              <w:rPr>
                <w:rFonts w:eastAsia="Times New Roman" w:cs="Times New Roman"/>
                <w:b/>
                <w:bCs/>
                <w:sz w:val="18"/>
                <w:szCs w:val="18"/>
              </w:rPr>
            </w:pPr>
          </w:p>
        </w:tc>
        <w:tc>
          <w:tcPr>
            <w:tcW w:w="464" w:type="pct"/>
            <w:shd w:val="clear" w:color="auto" w:fill="9CC2E5" w:themeFill="accent1" w:themeFillTint="99"/>
            <w:vAlign w:val="center"/>
          </w:tcPr>
          <w:p w14:paraId="6643EC3F"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2025</w:t>
            </w:r>
          </w:p>
        </w:tc>
        <w:tc>
          <w:tcPr>
            <w:tcW w:w="447" w:type="pct"/>
            <w:shd w:val="clear" w:color="auto" w:fill="9CC2E5" w:themeFill="accent1" w:themeFillTint="99"/>
            <w:vAlign w:val="center"/>
          </w:tcPr>
          <w:p w14:paraId="56CB1E54"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2026</w:t>
            </w:r>
          </w:p>
        </w:tc>
        <w:tc>
          <w:tcPr>
            <w:tcW w:w="446" w:type="pct"/>
            <w:shd w:val="clear" w:color="auto" w:fill="9CC2E5" w:themeFill="accent1" w:themeFillTint="99"/>
            <w:vAlign w:val="center"/>
          </w:tcPr>
          <w:p w14:paraId="49575681"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2027</w:t>
            </w:r>
          </w:p>
        </w:tc>
        <w:tc>
          <w:tcPr>
            <w:tcW w:w="373" w:type="pct"/>
            <w:shd w:val="clear" w:color="auto" w:fill="9CC2E5" w:themeFill="accent1" w:themeFillTint="99"/>
            <w:vAlign w:val="center"/>
          </w:tcPr>
          <w:p w14:paraId="369E7279" w14:textId="77777777" w:rsidR="008B0630" w:rsidRPr="008B0630" w:rsidRDefault="008B0630" w:rsidP="008B0630">
            <w:pPr>
              <w:keepNext/>
              <w:keepLines/>
              <w:spacing w:after="0"/>
              <w:ind w:firstLine="0"/>
              <w:contextualSpacing/>
              <w:jc w:val="center"/>
              <w:rPr>
                <w:rFonts w:eastAsia="Times New Roman" w:cs="Times New Roman"/>
                <w:b/>
                <w:bCs/>
                <w:sz w:val="20"/>
                <w:szCs w:val="20"/>
              </w:rPr>
            </w:pPr>
            <w:r w:rsidRPr="008B0630">
              <w:rPr>
                <w:rFonts w:eastAsia="Times New Roman" w:cs="Times New Roman"/>
                <w:b/>
                <w:bCs/>
                <w:color w:val="000000"/>
                <w:sz w:val="20"/>
                <w:szCs w:val="20"/>
              </w:rPr>
              <w:t>2028</w:t>
            </w:r>
          </w:p>
        </w:tc>
      </w:tr>
      <w:tr w:rsidR="008B0630" w:rsidRPr="008B0630" w14:paraId="0ABFA645" w14:textId="77777777" w:rsidTr="00E03828">
        <w:trPr>
          <w:cantSplit/>
          <w:trHeight w:hRule="exact" w:val="454"/>
          <w:jc w:val="center"/>
        </w:trPr>
        <w:tc>
          <w:tcPr>
            <w:tcW w:w="3270" w:type="pct"/>
          </w:tcPr>
          <w:p w14:paraId="77F2A3C8"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sz w:val="18"/>
                <w:szCs w:val="18"/>
              </w:rPr>
              <w:t>Saskaņā ar likumprojektu “Par valsts budžetu 2026. gadam un budžeta ietvaru 2026., 2027. un 2028. gadam”, milj. </w:t>
            </w:r>
            <w:r w:rsidRPr="008B0630">
              <w:rPr>
                <w:rFonts w:cs="Times New Roman"/>
                <w:i/>
                <w:iCs/>
                <w:sz w:val="18"/>
                <w:szCs w:val="18"/>
              </w:rPr>
              <w:t>euro</w:t>
            </w:r>
            <w:r w:rsidRPr="008B0630">
              <w:rPr>
                <w:rFonts w:cs="Times New Roman"/>
                <w:sz w:val="18"/>
                <w:szCs w:val="18"/>
              </w:rPr>
              <w:t xml:space="preserve"> </w:t>
            </w:r>
          </w:p>
        </w:tc>
        <w:tc>
          <w:tcPr>
            <w:tcW w:w="464" w:type="pct"/>
            <w:vAlign w:val="center"/>
          </w:tcPr>
          <w:p w14:paraId="32821AE1"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color w:val="000000"/>
                <w:sz w:val="18"/>
                <w:szCs w:val="18"/>
              </w:rPr>
              <w:t>899,2</w:t>
            </w:r>
            <w:r w:rsidRPr="008B0630">
              <w:rPr>
                <w:rFonts w:cs="Times New Roman"/>
                <w:color w:val="000000"/>
                <w:sz w:val="18"/>
                <w:szCs w:val="18"/>
                <w:vertAlign w:val="superscript"/>
              </w:rPr>
              <w:t>1</w:t>
            </w:r>
          </w:p>
        </w:tc>
        <w:tc>
          <w:tcPr>
            <w:tcW w:w="447" w:type="pct"/>
            <w:vAlign w:val="center"/>
          </w:tcPr>
          <w:p w14:paraId="444E00E1"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color w:val="000000"/>
                <w:sz w:val="18"/>
                <w:szCs w:val="18"/>
              </w:rPr>
              <w:t>856,4</w:t>
            </w:r>
          </w:p>
        </w:tc>
        <w:tc>
          <w:tcPr>
            <w:tcW w:w="446" w:type="pct"/>
            <w:vAlign w:val="center"/>
          </w:tcPr>
          <w:p w14:paraId="7F849B17"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color w:val="000000"/>
                <w:sz w:val="18"/>
                <w:szCs w:val="18"/>
              </w:rPr>
              <w:t>841,8</w:t>
            </w:r>
          </w:p>
        </w:tc>
        <w:tc>
          <w:tcPr>
            <w:tcW w:w="373" w:type="pct"/>
            <w:vAlign w:val="center"/>
          </w:tcPr>
          <w:p w14:paraId="1D3EBC04"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color w:val="000000"/>
                <w:sz w:val="18"/>
                <w:szCs w:val="18"/>
              </w:rPr>
              <w:t>827,0</w:t>
            </w:r>
          </w:p>
        </w:tc>
      </w:tr>
      <w:tr w:rsidR="008B0630" w:rsidRPr="008B0630" w14:paraId="182A4343" w14:textId="77777777" w:rsidTr="00E03828">
        <w:trPr>
          <w:cantSplit/>
          <w:trHeight w:hRule="exact" w:val="227"/>
          <w:jc w:val="center"/>
        </w:trPr>
        <w:tc>
          <w:tcPr>
            <w:tcW w:w="3270" w:type="pct"/>
          </w:tcPr>
          <w:p w14:paraId="755A5D1C" w14:textId="77777777" w:rsidR="008B0630" w:rsidRPr="008B0630" w:rsidRDefault="008B0630" w:rsidP="008B0630">
            <w:pPr>
              <w:keepNext/>
              <w:keepLines/>
              <w:ind w:left="425" w:firstLine="0"/>
              <w:jc w:val="left"/>
              <w:rPr>
                <w:rFonts w:cs="Times New Roman"/>
                <w:noProof/>
                <w:sz w:val="18"/>
                <w:szCs w:val="18"/>
              </w:rPr>
            </w:pPr>
            <w:r w:rsidRPr="008B0630">
              <w:rPr>
                <w:rFonts w:cs="Times New Roman"/>
                <w:i/>
                <w:iCs/>
                <w:sz w:val="18"/>
                <w:szCs w:val="18"/>
              </w:rPr>
              <w:t>pret IKP, %</w:t>
            </w:r>
          </w:p>
        </w:tc>
        <w:tc>
          <w:tcPr>
            <w:tcW w:w="464" w:type="pct"/>
            <w:vAlign w:val="center"/>
          </w:tcPr>
          <w:p w14:paraId="26B2F648"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2,1%</w:t>
            </w:r>
          </w:p>
        </w:tc>
        <w:tc>
          <w:tcPr>
            <w:tcW w:w="447" w:type="pct"/>
            <w:vAlign w:val="center"/>
          </w:tcPr>
          <w:p w14:paraId="3A9EEC6B"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1,9%</w:t>
            </w:r>
          </w:p>
        </w:tc>
        <w:tc>
          <w:tcPr>
            <w:tcW w:w="446" w:type="pct"/>
            <w:vAlign w:val="center"/>
          </w:tcPr>
          <w:p w14:paraId="7DE08A8D"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1,8%</w:t>
            </w:r>
          </w:p>
        </w:tc>
        <w:tc>
          <w:tcPr>
            <w:tcW w:w="373" w:type="pct"/>
            <w:vAlign w:val="center"/>
          </w:tcPr>
          <w:p w14:paraId="2A304094"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1,7%</w:t>
            </w:r>
          </w:p>
        </w:tc>
      </w:tr>
      <w:tr w:rsidR="008B0630" w:rsidRPr="008B0630" w14:paraId="13824135" w14:textId="77777777" w:rsidTr="00E03828">
        <w:trPr>
          <w:cantSplit/>
          <w:trHeight w:hRule="exact" w:val="454"/>
          <w:jc w:val="center"/>
        </w:trPr>
        <w:tc>
          <w:tcPr>
            <w:tcW w:w="3270" w:type="pct"/>
          </w:tcPr>
          <w:p w14:paraId="28631E7C"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milj. </w:t>
            </w:r>
            <w:r w:rsidRPr="008B0630">
              <w:rPr>
                <w:rFonts w:cs="Times New Roman"/>
                <w:i/>
                <w:iCs/>
                <w:sz w:val="18"/>
                <w:szCs w:val="18"/>
              </w:rPr>
              <w:t>euro</w:t>
            </w:r>
          </w:p>
        </w:tc>
        <w:tc>
          <w:tcPr>
            <w:tcW w:w="464" w:type="pct"/>
            <w:vAlign w:val="center"/>
          </w:tcPr>
          <w:p w14:paraId="7D9536E9"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4,2</w:t>
            </w:r>
          </w:p>
        </w:tc>
        <w:tc>
          <w:tcPr>
            <w:tcW w:w="447" w:type="pct"/>
            <w:vAlign w:val="center"/>
          </w:tcPr>
          <w:p w14:paraId="60688DDE"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95,9</w:t>
            </w:r>
          </w:p>
        </w:tc>
        <w:tc>
          <w:tcPr>
            <w:tcW w:w="446" w:type="pct"/>
            <w:vAlign w:val="center"/>
          </w:tcPr>
          <w:p w14:paraId="261755FE"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89,1</w:t>
            </w:r>
          </w:p>
        </w:tc>
        <w:tc>
          <w:tcPr>
            <w:tcW w:w="373" w:type="pct"/>
            <w:vAlign w:val="center"/>
          </w:tcPr>
          <w:p w14:paraId="684AAAAB"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w:t>
            </w:r>
          </w:p>
        </w:tc>
      </w:tr>
      <w:tr w:rsidR="008B0630" w:rsidRPr="008B0630" w14:paraId="174A21DD" w14:textId="77777777" w:rsidTr="00E03828">
        <w:trPr>
          <w:cantSplit/>
          <w:trHeight w:hRule="exact" w:val="454"/>
          <w:jc w:val="center"/>
        </w:trPr>
        <w:tc>
          <w:tcPr>
            <w:tcW w:w="3270" w:type="pct"/>
          </w:tcPr>
          <w:p w14:paraId="070C54FD"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sz w:val="18"/>
                <w:szCs w:val="18"/>
              </w:rPr>
              <w:t>Salīdzinājumā ar likumu “Par valsts budžetu 2025. gadam un budžeta ietvaru 2025., 2026. un 2027. gadam”, %</w:t>
            </w:r>
          </w:p>
        </w:tc>
        <w:tc>
          <w:tcPr>
            <w:tcW w:w="464" w:type="pct"/>
            <w:vAlign w:val="center"/>
          </w:tcPr>
          <w:p w14:paraId="7F25335D"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0,5</w:t>
            </w:r>
          </w:p>
        </w:tc>
        <w:tc>
          <w:tcPr>
            <w:tcW w:w="447" w:type="pct"/>
            <w:vAlign w:val="center"/>
          </w:tcPr>
          <w:p w14:paraId="51308599"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12,6</w:t>
            </w:r>
          </w:p>
        </w:tc>
        <w:tc>
          <w:tcPr>
            <w:tcW w:w="446" w:type="pct"/>
            <w:vAlign w:val="center"/>
          </w:tcPr>
          <w:p w14:paraId="4D822083"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11,8</w:t>
            </w:r>
          </w:p>
        </w:tc>
        <w:tc>
          <w:tcPr>
            <w:tcW w:w="373" w:type="pct"/>
            <w:vAlign w:val="center"/>
          </w:tcPr>
          <w:p w14:paraId="14262AF1" w14:textId="77777777" w:rsidR="008B0630" w:rsidRPr="008B0630" w:rsidRDefault="008B0630" w:rsidP="008B0630">
            <w:pPr>
              <w:keepNext/>
              <w:keepLines/>
              <w:spacing w:after="0"/>
              <w:ind w:firstLine="0"/>
              <w:jc w:val="left"/>
              <w:rPr>
                <w:rFonts w:cs="Times New Roman"/>
                <w:noProof/>
                <w:sz w:val="18"/>
                <w:szCs w:val="18"/>
              </w:rPr>
            </w:pPr>
            <w:r w:rsidRPr="008B0630">
              <w:rPr>
                <w:rFonts w:cs="Times New Roman"/>
                <w:i/>
                <w:iCs/>
                <w:color w:val="000000"/>
                <w:sz w:val="18"/>
                <w:szCs w:val="18"/>
              </w:rPr>
              <w:t>—</w:t>
            </w:r>
          </w:p>
        </w:tc>
      </w:tr>
    </w:tbl>
    <w:p w14:paraId="1201EB9D"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Prognoze</w:t>
      </w:r>
    </w:p>
    <w:p w14:paraId="6EB88EB8" w14:textId="77777777" w:rsidR="008B0630" w:rsidRPr="008B0630" w:rsidRDefault="008B0630" w:rsidP="008B0630">
      <w:pPr>
        <w:rPr>
          <w:rFonts w:eastAsia="Calibri" w:cs="Times New Roman"/>
          <w:szCs w:val="24"/>
        </w:rPr>
      </w:pPr>
    </w:p>
    <w:p w14:paraId="39481AE3" w14:textId="77777777" w:rsidR="008B0630" w:rsidRPr="008B0630" w:rsidRDefault="008B0630" w:rsidP="008B0630">
      <w:pPr>
        <w:rPr>
          <w:rFonts w:eastAsia="Calibri" w:cs="Times New Roman"/>
          <w:szCs w:val="24"/>
        </w:rPr>
      </w:pPr>
      <w:r w:rsidRPr="008B0630">
        <w:rPr>
          <w:rFonts w:eastAsia="Calibri" w:cs="Times New Roman"/>
          <w:szCs w:val="24"/>
        </w:rPr>
        <w:t>Saskaņā ar likumprojektu “Par valsts budžetu 2026. gadam un budžeta ietvaru 2026., 2027. un 2028. gadam” 2026. gadā lielākais valsts pamatbudžeta nenodokļu ieņēmumu samazinājums 40,2 milj. </w:t>
      </w:r>
      <w:r w:rsidRPr="008B0630">
        <w:rPr>
          <w:rFonts w:eastAsia="Times New Roman" w:cs="Times New Roman"/>
          <w:i/>
          <w:iCs/>
          <w:szCs w:val="24"/>
        </w:rPr>
        <w:t>euro</w:t>
      </w:r>
      <w:r w:rsidRPr="008B0630">
        <w:rPr>
          <w:rFonts w:eastAsia="Calibri" w:cs="Times New Roman"/>
          <w:szCs w:val="24"/>
        </w:rPr>
        <w:t xml:space="preserve"> jeb 6,7 % apmērā tiek plānots no ieņēmumiem no uzņēmējdarbības un īpašuma (galvenokārt ieņēmumi no dividendēm un procentu ieņēmumiem) (skat. 3.3. attēlu).</w:t>
      </w:r>
    </w:p>
    <w:p w14:paraId="1E3C3BA0" w14:textId="77777777" w:rsidR="008B0630" w:rsidRPr="008B0630" w:rsidRDefault="008B0630" w:rsidP="008B0630">
      <w:pPr>
        <w:keepNext/>
        <w:keepLines/>
        <w:spacing w:before="240" w:after="0"/>
        <w:ind w:firstLine="0"/>
        <w:jc w:val="center"/>
        <w:rPr>
          <w:rFonts w:eastAsia="Calibri" w:cs="Times New Roman"/>
          <w:noProof/>
          <w:szCs w:val="24"/>
          <w:lang w:eastAsia="en-US"/>
        </w:rPr>
      </w:pPr>
      <w:r w:rsidRPr="008B0630">
        <w:rPr>
          <w:rFonts w:eastAsiaTheme="minorHAnsi" w:cs="Times New Roman"/>
          <w:noProof/>
        </w:rPr>
        <w:drawing>
          <wp:inline distT="0" distB="0" distL="0" distR="0" wp14:anchorId="4D72B594" wp14:editId="44ACC30F">
            <wp:extent cx="5760085" cy="1875155"/>
            <wp:effectExtent l="0" t="0" r="0" b="0"/>
            <wp:docPr id="395295736" name="Chart 1">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7C835B5" w14:textId="77777777" w:rsidR="008B0630" w:rsidRPr="008B0630" w:rsidRDefault="008B0630" w:rsidP="008B0630">
      <w:pPr>
        <w:ind w:left="425" w:firstLine="0"/>
        <w:jc w:val="center"/>
        <w:rPr>
          <w:rFonts w:eastAsia="Calibri" w:cs="Times New Roman"/>
          <w:b/>
          <w:i/>
          <w:szCs w:val="24"/>
          <w:lang w:eastAsia="en-US"/>
        </w:rPr>
      </w:pPr>
      <w:r w:rsidRPr="008B0630">
        <w:rPr>
          <w:rFonts w:eastAsia="Calibri" w:cs="Times New Roman"/>
          <w:b/>
          <w:i/>
          <w:szCs w:val="24"/>
          <w:lang w:eastAsia="en-US"/>
        </w:rPr>
        <w:t>3.3. att. Valsts pamatbudžeta nenodokļu ieņēmumi 2025. un 2026. gadā</w:t>
      </w:r>
    </w:p>
    <w:p w14:paraId="26C1064B" w14:textId="77777777" w:rsidR="008B0630" w:rsidRPr="008B0630" w:rsidRDefault="008B0630" w:rsidP="008B0630">
      <w:pPr>
        <w:rPr>
          <w:rFonts w:eastAsia="Calibri" w:cs="Times New Roman"/>
          <w:szCs w:val="24"/>
        </w:rPr>
      </w:pPr>
      <w:r w:rsidRPr="008B0630">
        <w:rPr>
          <w:rFonts w:eastAsia="Calibri" w:cs="Times New Roman"/>
          <w:szCs w:val="24"/>
        </w:rPr>
        <w:t>2026. gadā tiek plānots, ka ieņēmumi no uzņēmējdarbības un īpašuma veidos 65,1 % no kopējiem valsts pamatbudžeta nenodokļu ieņēmumiem. Turklāt šos ieņēmumus lielākoties (39,4 % apmērā) veidos ieņēmumi no dividendēm (skat. 3.4. attēlu).</w:t>
      </w:r>
    </w:p>
    <w:p w14:paraId="561B4529" w14:textId="77777777" w:rsidR="008B0630" w:rsidRPr="008B0630" w:rsidRDefault="008B0630" w:rsidP="008B0630">
      <w:pPr>
        <w:ind w:firstLine="0"/>
        <w:rPr>
          <w:rFonts w:eastAsia="Calibri" w:cs="Times New Roman"/>
          <w:szCs w:val="24"/>
        </w:rPr>
      </w:pPr>
      <w:r w:rsidRPr="008B0630">
        <w:rPr>
          <w:rFonts w:cs="Times New Roman"/>
          <w:noProof/>
        </w:rPr>
        <w:lastRenderedPageBreak/>
        <w:drawing>
          <wp:inline distT="0" distB="0" distL="0" distR="0" wp14:anchorId="32C3FD8D" wp14:editId="23E2E1AA">
            <wp:extent cx="5760085" cy="3005455"/>
            <wp:effectExtent l="0" t="0" r="0" b="4445"/>
            <wp:docPr id="6528755" name="Chart 1">
              <a:extLst xmlns:a="http://schemas.openxmlformats.org/drawingml/2006/main">
                <a:ext uri="{FF2B5EF4-FFF2-40B4-BE49-F238E27FC236}">
                  <a16:creationId xmlns:a16="http://schemas.microsoft.com/office/drawing/2014/main" id="{02060EED-196C-D91D-C592-8F23F41D8B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F390E88" w14:textId="77777777" w:rsidR="008B0630" w:rsidRPr="008B0630" w:rsidRDefault="008B0630" w:rsidP="008B0630">
      <w:pPr>
        <w:ind w:left="425" w:firstLine="0"/>
        <w:jc w:val="center"/>
        <w:rPr>
          <w:rFonts w:eastAsia="Calibri" w:cs="Times New Roman"/>
          <w:b/>
          <w:i/>
          <w:szCs w:val="24"/>
          <w:lang w:eastAsia="en-US"/>
        </w:rPr>
      </w:pPr>
      <w:r w:rsidRPr="008B0630">
        <w:rPr>
          <w:rFonts w:eastAsia="Calibri" w:cs="Times New Roman"/>
          <w:b/>
          <w:i/>
          <w:szCs w:val="24"/>
          <w:lang w:eastAsia="en-US"/>
        </w:rPr>
        <w:t>3.4. att. Valsts pamatbudžeta nenodokļu ieņēmumu sadalījums 2026. gadā, %</w:t>
      </w:r>
    </w:p>
    <w:p w14:paraId="7AEF7309" w14:textId="77777777" w:rsidR="008B0630" w:rsidRPr="008B0630" w:rsidRDefault="008B0630" w:rsidP="008B0630">
      <w:pPr>
        <w:rPr>
          <w:rFonts w:eastAsia="Calibri" w:cs="Times New Roman"/>
          <w:szCs w:val="24"/>
          <w:highlight w:val="yellow"/>
        </w:rPr>
      </w:pPr>
      <w:r w:rsidRPr="008B0630">
        <w:rPr>
          <w:rFonts w:eastAsia="Calibri" w:cs="Times New Roman"/>
          <w:szCs w:val="24"/>
        </w:rPr>
        <w:t>Ieņēmumi no dividendēm 2026. gadā tiek plānoti 341,1 milj. </w:t>
      </w:r>
      <w:r w:rsidRPr="008B0630">
        <w:rPr>
          <w:rFonts w:eastAsia="Times New Roman" w:cs="Times New Roman"/>
          <w:i/>
          <w:iCs/>
          <w:szCs w:val="24"/>
        </w:rPr>
        <w:t>euro</w:t>
      </w:r>
      <w:r w:rsidRPr="008B0630">
        <w:rPr>
          <w:rFonts w:eastAsia="Calibri" w:cs="Times New Roman"/>
          <w:szCs w:val="24"/>
        </w:rPr>
        <w:t>, 2027. gadā 338,2 milj. </w:t>
      </w:r>
      <w:r w:rsidRPr="008B0630">
        <w:rPr>
          <w:rFonts w:eastAsia="Times New Roman" w:cs="Times New Roman"/>
          <w:i/>
          <w:iCs/>
          <w:szCs w:val="24"/>
        </w:rPr>
        <w:t>euro</w:t>
      </w:r>
      <w:r w:rsidRPr="008B0630">
        <w:rPr>
          <w:rFonts w:eastAsia="Calibri" w:cs="Times New Roman"/>
          <w:szCs w:val="24"/>
        </w:rPr>
        <w:t xml:space="preserve"> un 2028. gadā 322,2 milj. </w:t>
      </w:r>
      <w:r w:rsidRPr="008B0630">
        <w:rPr>
          <w:rFonts w:eastAsia="Times New Roman" w:cs="Times New Roman"/>
          <w:i/>
          <w:iCs/>
          <w:szCs w:val="24"/>
        </w:rPr>
        <w:t>euro</w:t>
      </w:r>
      <w:r w:rsidRPr="008B0630">
        <w:rPr>
          <w:rFonts w:eastAsia="Calibri" w:cs="Times New Roman"/>
          <w:szCs w:val="24"/>
        </w:rPr>
        <w:t>. Prognoze veidota, pamatojoties uz lielāko valsts kapitālsabiedrību sniegtajām peļņas prognozēm vidējā termiņā, kā arī saskaņā ar 2025. gada 22. septembrī MK izskatīto informatīvo ziņojumu “Par valsts budžeta likumprojektā iekļaujamiem prioritārajiem pasākumiem 2026., 2027. un 2028. gadam”, kurā lemts par valstij dividendēs izmaksājamās daļas palielināšanu līdz 90%, nosakot atsevišķus priekšlikumus dividenžu apmēra noteikšanai attiecībā uz atsevišķām lielajām valsts kapitālsabiedrībām.</w:t>
      </w:r>
      <w:r w:rsidRPr="008B0630">
        <w:rPr>
          <w:rFonts w:eastAsia="Calibri" w:cs="Times New Roman"/>
          <w:szCs w:val="24"/>
          <w:highlight w:val="yellow"/>
        </w:rPr>
        <w:t xml:space="preserve"> </w:t>
      </w:r>
    </w:p>
    <w:p w14:paraId="4F1D1562" w14:textId="77777777" w:rsidR="008B0630" w:rsidRPr="008B0630" w:rsidRDefault="008B0630" w:rsidP="008B0630">
      <w:pPr>
        <w:rPr>
          <w:rFonts w:eastAsia="Calibri" w:cs="Times New Roman"/>
          <w:szCs w:val="24"/>
        </w:rPr>
      </w:pPr>
      <w:r w:rsidRPr="008B0630">
        <w:rPr>
          <w:rFonts w:eastAsia="Calibri" w:cs="Times New Roman"/>
          <w:szCs w:val="24"/>
        </w:rPr>
        <w:t>Nenodokļu ieņēmumus ietekmēs ne tikai valstij dividendēs izmaksājamās daļas palielināšana, bet arī 3.1. sadaļā minētie pasākumi.</w:t>
      </w:r>
    </w:p>
    <w:p w14:paraId="471B5FA6" w14:textId="77777777" w:rsidR="008B0630" w:rsidRPr="00286865" w:rsidRDefault="008B0630" w:rsidP="008B0630">
      <w:pPr>
        <w:pStyle w:val="Heading2"/>
        <w:rPr>
          <w:rFonts w:eastAsia="Times New Roman"/>
        </w:rPr>
      </w:pPr>
      <w:bookmarkStart w:id="131" w:name="_Toc179356103"/>
      <w:bookmarkStart w:id="132" w:name="_Toc126236667"/>
      <w:bookmarkEnd w:id="130"/>
      <w:r w:rsidRPr="00286865">
        <w:rPr>
          <w:rFonts w:eastAsia="Times New Roman"/>
        </w:rPr>
        <w:t>3.4. Pašu ieņēmumi un ārvalstu finanšu palīdzība</w:t>
      </w:r>
      <w:bookmarkEnd w:id="131"/>
    </w:p>
    <w:p w14:paraId="00314936" w14:textId="77777777" w:rsidR="008B0630" w:rsidRPr="00C74630" w:rsidRDefault="008B0630" w:rsidP="008B0630">
      <w:pPr>
        <w:rPr>
          <w:rFonts w:eastAsia="Times New Roman" w:cs="Times New Roman"/>
          <w:sz w:val="22"/>
          <w:szCs w:val="20"/>
          <w:lang w:eastAsia="en-US"/>
        </w:rPr>
      </w:pPr>
      <w:r w:rsidRPr="00C74630">
        <w:rPr>
          <w:rFonts w:eastAsia="Times New Roman" w:cs="Times New Roman"/>
          <w:szCs w:val="20"/>
          <w:lang w:eastAsia="en-US"/>
        </w:rPr>
        <w:t>Ieņēmumi no maksas pakalpojumiem un citiem pašu ieņēmumiem valsts pamat</w:t>
      </w:r>
      <w:r w:rsidRPr="00C74630">
        <w:rPr>
          <w:rFonts w:eastAsia="Times New Roman" w:cs="Times New Roman"/>
          <w:szCs w:val="20"/>
          <w:lang w:eastAsia="en-US"/>
        </w:rPr>
        <w:softHyphen/>
        <w:t>budžetā 202</w:t>
      </w:r>
      <w:r>
        <w:rPr>
          <w:rFonts w:eastAsia="Times New Roman" w:cs="Times New Roman"/>
          <w:szCs w:val="20"/>
          <w:lang w:eastAsia="en-US"/>
        </w:rPr>
        <w:t>6</w:t>
      </w:r>
      <w:r w:rsidRPr="00C74630">
        <w:rPr>
          <w:rFonts w:eastAsia="Times New Roman" w:cs="Times New Roman"/>
          <w:szCs w:val="20"/>
          <w:lang w:eastAsia="en-US"/>
        </w:rPr>
        <w:t>. gadā tiek plānoti 1</w:t>
      </w:r>
      <w:r>
        <w:rPr>
          <w:rFonts w:eastAsia="Times New Roman" w:cs="Times New Roman"/>
          <w:szCs w:val="20"/>
          <w:lang w:eastAsia="en-US"/>
        </w:rPr>
        <w:t>45</w:t>
      </w:r>
      <w:r w:rsidRPr="00C74630">
        <w:rPr>
          <w:rFonts w:eastAsia="Times New Roman" w:cs="Times New Roman"/>
          <w:szCs w:val="20"/>
          <w:lang w:eastAsia="en-US"/>
        </w:rPr>
        <w:t>,</w:t>
      </w:r>
      <w:r>
        <w:rPr>
          <w:rFonts w:eastAsia="Times New Roman" w:cs="Times New Roman"/>
          <w:szCs w:val="20"/>
          <w:lang w:eastAsia="en-US"/>
        </w:rPr>
        <w:t>9</w:t>
      </w:r>
      <w:r w:rsidRPr="00C74630">
        <w:rPr>
          <w:rFonts w:eastAsia="Times New Roman" w:cs="Times New Roman"/>
          <w:szCs w:val="20"/>
          <w:lang w:eastAsia="en-US"/>
        </w:rPr>
        <w:t xml:space="preserve"> milj. </w:t>
      </w:r>
      <w:r w:rsidRPr="00C74630">
        <w:rPr>
          <w:rFonts w:eastAsia="Times New Roman" w:cs="Times New Roman"/>
          <w:i/>
          <w:iCs/>
          <w:szCs w:val="20"/>
          <w:lang w:eastAsia="en-US"/>
        </w:rPr>
        <w:t>euro</w:t>
      </w:r>
      <w:r w:rsidRPr="00C74630">
        <w:rPr>
          <w:rFonts w:eastAsia="Times New Roman" w:cs="Times New Roman"/>
          <w:szCs w:val="20"/>
          <w:lang w:eastAsia="en-US"/>
        </w:rPr>
        <w:t xml:space="preserve"> apmērā, kas ir par </w:t>
      </w:r>
      <w:r>
        <w:rPr>
          <w:rFonts w:eastAsia="Times New Roman" w:cs="Times New Roman"/>
          <w:szCs w:val="20"/>
          <w:lang w:eastAsia="en-US"/>
        </w:rPr>
        <w:t>3</w:t>
      </w:r>
      <w:r w:rsidRPr="00C74630">
        <w:rPr>
          <w:rFonts w:eastAsia="Times New Roman" w:cs="Times New Roman"/>
          <w:szCs w:val="20"/>
          <w:lang w:eastAsia="en-US"/>
        </w:rPr>
        <w:t>,</w:t>
      </w:r>
      <w:r>
        <w:rPr>
          <w:rFonts w:eastAsia="Times New Roman" w:cs="Times New Roman"/>
          <w:szCs w:val="20"/>
          <w:lang w:eastAsia="en-US"/>
        </w:rPr>
        <w:t>8</w:t>
      </w:r>
      <w:r w:rsidRPr="00C74630">
        <w:rPr>
          <w:rFonts w:eastAsia="Times New Roman" w:cs="Times New Roman"/>
          <w:szCs w:val="20"/>
          <w:lang w:eastAsia="en-US"/>
        </w:rPr>
        <w:t xml:space="preserve"> milj. </w:t>
      </w:r>
      <w:r w:rsidRPr="00C74630">
        <w:rPr>
          <w:rFonts w:eastAsia="Times New Roman" w:cs="Times New Roman"/>
          <w:i/>
          <w:iCs/>
          <w:szCs w:val="20"/>
          <w:lang w:eastAsia="en-US"/>
        </w:rPr>
        <w:t>euro</w:t>
      </w:r>
      <w:r w:rsidRPr="00C74630">
        <w:rPr>
          <w:rFonts w:eastAsia="Times New Roman" w:cs="Times New Roman"/>
          <w:szCs w:val="20"/>
          <w:lang w:eastAsia="en-US"/>
        </w:rPr>
        <w:t xml:space="preserve"> jeb </w:t>
      </w:r>
      <w:r>
        <w:rPr>
          <w:rFonts w:eastAsia="Times New Roman" w:cs="Times New Roman"/>
          <w:szCs w:val="20"/>
          <w:lang w:eastAsia="en-US"/>
        </w:rPr>
        <w:t>2</w:t>
      </w:r>
      <w:r w:rsidRPr="00C74630">
        <w:rPr>
          <w:rFonts w:eastAsia="Times New Roman" w:cs="Times New Roman"/>
          <w:szCs w:val="20"/>
          <w:lang w:eastAsia="en-US"/>
        </w:rPr>
        <w:t>,</w:t>
      </w:r>
      <w:r>
        <w:rPr>
          <w:rFonts w:eastAsia="Times New Roman" w:cs="Times New Roman"/>
          <w:szCs w:val="20"/>
          <w:lang w:eastAsia="en-US"/>
        </w:rPr>
        <w:t>6</w:t>
      </w:r>
      <w:r w:rsidRPr="00C74630">
        <w:rPr>
          <w:rFonts w:eastAsia="Times New Roman" w:cs="Times New Roman"/>
          <w:szCs w:val="20"/>
          <w:lang w:eastAsia="en-US"/>
        </w:rPr>
        <w:t>% vairāk nekā plānots 202</w:t>
      </w:r>
      <w:r>
        <w:rPr>
          <w:rFonts w:eastAsia="Times New Roman" w:cs="Times New Roman"/>
          <w:szCs w:val="20"/>
          <w:lang w:eastAsia="en-US"/>
        </w:rPr>
        <w:t>5</w:t>
      </w:r>
      <w:r w:rsidRPr="00C74630">
        <w:rPr>
          <w:rFonts w:eastAsia="Times New Roman" w:cs="Times New Roman"/>
          <w:szCs w:val="20"/>
          <w:lang w:eastAsia="en-US"/>
        </w:rPr>
        <w:t>. gadā. 202</w:t>
      </w:r>
      <w:r>
        <w:rPr>
          <w:rFonts w:eastAsia="Times New Roman" w:cs="Times New Roman"/>
          <w:szCs w:val="20"/>
          <w:lang w:eastAsia="en-US"/>
        </w:rPr>
        <w:t>4</w:t>
      </w:r>
      <w:r w:rsidRPr="00C74630">
        <w:rPr>
          <w:rFonts w:eastAsia="Times New Roman" w:cs="Times New Roman"/>
          <w:szCs w:val="20"/>
          <w:lang w:eastAsia="en-US"/>
        </w:rPr>
        <w:t>. gadā valsts pamatbudžetā ieņēmumi no maksas pakal</w:t>
      </w:r>
      <w:r w:rsidRPr="00C74630">
        <w:rPr>
          <w:rFonts w:eastAsia="Times New Roman" w:cs="Times New Roman"/>
          <w:szCs w:val="20"/>
          <w:lang w:eastAsia="en-US"/>
        </w:rPr>
        <w:softHyphen/>
        <w:t>pojumiem un citiem pašu ieņēmumiem bija plānoti 1</w:t>
      </w:r>
      <w:r>
        <w:rPr>
          <w:rFonts w:eastAsia="Times New Roman" w:cs="Times New Roman"/>
          <w:szCs w:val="20"/>
          <w:lang w:eastAsia="en-US"/>
        </w:rPr>
        <w:t>25</w:t>
      </w:r>
      <w:r w:rsidRPr="00C74630">
        <w:rPr>
          <w:rFonts w:eastAsia="Times New Roman" w:cs="Times New Roman"/>
          <w:szCs w:val="20"/>
          <w:lang w:eastAsia="en-US"/>
        </w:rPr>
        <w:t>,</w:t>
      </w:r>
      <w:r>
        <w:rPr>
          <w:rFonts w:eastAsia="Times New Roman" w:cs="Times New Roman"/>
          <w:szCs w:val="20"/>
          <w:lang w:eastAsia="en-US"/>
        </w:rPr>
        <w:t>7</w:t>
      </w:r>
      <w:r w:rsidRPr="00C74630">
        <w:rPr>
          <w:rFonts w:eastAsia="Times New Roman" w:cs="Times New Roman"/>
          <w:szCs w:val="20"/>
          <w:lang w:eastAsia="en-US"/>
        </w:rPr>
        <w:t xml:space="preserve"> milj. </w:t>
      </w:r>
      <w:r w:rsidRPr="00C74630">
        <w:rPr>
          <w:rFonts w:eastAsia="Times New Roman" w:cs="Times New Roman"/>
          <w:i/>
          <w:iCs/>
          <w:szCs w:val="20"/>
          <w:lang w:eastAsia="en-US"/>
        </w:rPr>
        <w:t>euro</w:t>
      </w:r>
      <w:r w:rsidRPr="00C74630">
        <w:rPr>
          <w:rFonts w:eastAsia="Times New Roman" w:cs="Times New Roman"/>
          <w:szCs w:val="20"/>
          <w:lang w:eastAsia="en-US"/>
        </w:rPr>
        <w:t xml:space="preserve"> apmērā. Valsts speciālajā budžetā ieņēmumi no maksas pakalpojumiem un citiem pašu ieņēmumiem 202</w:t>
      </w:r>
      <w:r>
        <w:rPr>
          <w:rFonts w:eastAsia="Times New Roman" w:cs="Times New Roman"/>
          <w:szCs w:val="20"/>
          <w:lang w:eastAsia="en-US"/>
        </w:rPr>
        <w:t>6</w:t>
      </w:r>
      <w:r w:rsidRPr="00C74630">
        <w:rPr>
          <w:rFonts w:eastAsia="Times New Roman" w:cs="Times New Roman"/>
          <w:szCs w:val="20"/>
          <w:lang w:eastAsia="en-US"/>
        </w:rPr>
        <w:t xml:space="preserve">. gadā plānoti </w:t>
      </w:r>
      <w:r>
        <w:rPr>
          <w:rFonts w:eastAsia="Times New Roman" w:cs="Times New Roman"/>
          <w:szCs w:val="20"/>
          <w:lang w:eastAsia="en-US"/>
        </w:rPr>
        <w:t xml:space="preserve">0,08 milj. </w:t>
      </w:r>
      <w:r w:rsidRPr="004B7874">
        <w:rPr>
          <w:rFonts w:eastAsia="Times New Roman" w:cs="Times New Roman"/>
          <w:i/>
          <w:iCs/>
          <w:szCs w:val="20"/>
          <w:lang w:eastAsia="en-US"/>
        </w:rPr>
        <w:t>euro</w:t>
      </w:r>
      <w:r>
        <w:rPr>
          <w:rFonts w:eastAsia="Times New Roman" w:cs="Times New Roman"/>
          <w:szCs w:val="20"/>
          <w:lang w:eastAsia="en-US"/>
        </w:rPr>
        <w:t xml:space="preserve"> apmērā, </w:t>
      </w:r>
      <w:r w:rsidRPr="00C74630">
        <w:rPr>
          <w:rFonts w:eastAsia="Times New Roman" w:cs="Times New Roman"/>
          <w:szCs w:val="20"/>
          <w:lang w:eastAsia="en-US"/>
        </w:rPr>
        <w:t xml:space="preserve">kas ir par </w:t>
      </w:r>
      <w:r>
        <w:rPr>
          <w:rFonts w:eastAsia="Times New Roman" w:cs="Times New Roman"/>
          <w:szCs w:val="20"/>
          <w:lang w:eastAsia="en-US"/>
        </w:rPr>
        <w:t>0,02</w:t>
      </w:r>
      <w:r w:rsidRPr="00C74630">
        <w:rPr>
          <w:rFonts w:eastAsia="Times New Roman" w:cs="Times New Roman"/>
          <w:szCs w:val="20"/>
          <w:lang w:eastAsia="en-US"/>
        </w:rPr>
        <w:t xml:space="preserve"> milj. </w:t>
      </w:r>
      <w:r w:rsidRPr="00C74630">
        <w:rPr>
          <w:rFonts w:eastAsia="Times New Roman" w:cs="Times New Roman"/>
          <w:i/>
          <w:iCs/>
          <w:szCs w:val="20"/>
          <w:lang w:eastAsia="en-US"/>
        </w:rPr>
        <w:t>euro</w:t>
      </w:r>
      <w:r w:rsidRPr="00C74630">
        <w:rPr>
          <w:rFonts w:eastAsia="Times New Roman" w:cs="Times New Roman"/>
          <w:szCs w:val="20"/>
          <w:lang w:eastAsia="en-US"/>
        </w:rPr>
        <w:t xml:space="preserve"> jeb </w:t>
      </w:r>
      <w:r>
        <w:rPr>
          <w:rFonts w:eastAsia="Times New Roman" w:cs="Times New Roman"/>
          <w:szCs w:val="20"/>
          <w:lang w:eastAsia="en-US"/>
        </w:rPr>
        <w:t>35,7</w:t>
      </w:r>
      <w:r w:rsidRPr="00C74630">
        <w:rPr>
          <w:rFonts w:eastAsia="Times New Roman" w:cs="Times New Roman"/>
          <w:szCs w:val="20"/>
          <w:lang w:eastAsia="en-US"/>
        </w:rPr>
        <w:t>% vairāk nekā plānots 202</w:t>
      </w:r>
      <w:r>
        <w:rPr>
          <w:rFonts w:eastAsia="Times New Roman" w:cs="Times New Roman"/>
          <w:szCs w:val="20"/>
          <w:lang w:eastAsia="en-US"/>
        </w:rPr>
        <w:t>5</w:t>
      </w:r>
      <w:r w:rsidRPr="00C74630">
        <w:rPr>
          <w:rFonts w:eastAsia="Times New Roman" w:cs="Times New Roman"/>
          <w:szCs w:val="20"/>
          <w:lang w:eastAsia="en-US"/>
        </w:rPr>
        <w:t xml:space="preserve">. gadā. </w:t>
      </w:r>
      <w:r>
        <w:rPr>
          <w:rFonts w:eastAsia="Times New Roman" w:cs="Times New Roman"/>
          <w:szCs w:val="20"/>
          <w:lang w:eastAsia="en-US"/>
        </w:rPr>
        <w:t xml:space="preserve"> </w:t>
      </w:r>
      <w:r w:rsidRPr="00C74630">
        <w:rPr>
          <w:rFonts w:eastAsia="Times New Roman" w:cs="Times New Roman"/>
          <w:szCs w:val="20"/>
          <w:lang w:eastAsia="en-US"/>
        </w:rPr>
        <w:t>202</w:t>
      </w:r>
      <w:r>
        <w:rPr>
          <w:rFonts w:eastAsia="Times New Roman" w:cs="Times New Roman"/>
          <w:szCs w:val="20"/>
          <w:lang w:eastAsia="en-US"/>
        </w:rPr>
        <w:t>4</w:t>
      </w:r>
      <w:r w:rsidRPr="00C74630">
        <w:rPr>
          <w:rFonts w:eastAsia="Times New Roman" w:cs="Times New Roman"/>
          <w:szCs w:val="20"/>
          <w:lang w:eastAsia="en-US"/>
        </w:rPr>
        <w:t xml:space="preserve">. gadā </w:t>
      </w:r>
      <w:r>
        <w:rPr>
          <w:rFonts w:eastAsia="Times New Roman" w:cs="Times New Roman"/>
          <w:szCs w:val="20"/>
          <w:lang w:eastAsia="en-US"/>
        </w:rPr>
        <w:t xml:space="preserve">valsts speciālajā budžetā </w:t>
      </w:r>
      <w:r w:rsidRPr="00C74630">
        <w:rPr>
          <w:rFonts w:eastAsia="Times New Roman" w:cs="Times New Roman"/>
          <w:szCs w:val="20"/>
          <w:lang w:eastAsia="en-US"/>
        </w:rPr>
        <w:t>ieņēmumi no maksas pakal</w:t>
      </w:r>
      <w:r w:rsidRPr="00C74630">
        <w:rPr>
          <w:rFonts w:eastAsia="Times New Roman" w:cs="Times New Roman"/>
          <w:szCs w:val="20"/>
          <w:lang w:eastAsia="en-US"/>
        </w:rPr>
        <w:softHyphen/>
        <w:t xml:space="preserve">pojumiem un citiem pašu ieņēmumiem </w:t>
      </w:r>
      <w:r>
        <w:rPr>
          <w:rFonts w:eastAsia="Times New Roman" w:cs="Times New Roman"/>
          <w:szCs w:val="20"/>
          <w:lang w:eastAsia="en-US"/>
        </w:rPr>
        <w:t xml:space="preserve">bija plānoti </w:t>
      </w:r>
      <w:r w:rsidRPr="00C74630">
        <w:rPr>
          <w:rFonts w:eastAsia="Times New Roman" w:cs="Times New Roman"/>
          <w:szCs w:val="20"/>
          <w:lang w:eastAsia="en-US"/>
        </w:rPr>
        <w:t xml:space="preserve">0,06 milj. </w:t>
      </w:r>
      <w:r w:rsidRPr="00C74630">
        <w:rPr>
          <w:rFonts w:eastAsia="Times New Roman" w:cs="Times New Roman"/>
          <w:i/>
          <w:iCs/>
          <w:szCs w:val="20"/>
          <w:lang w:eastAsia="en-US"/>
        </w:rPr>
        <w:t>euro</w:t>
      </w:r>
      <w:r>
        <w:rPr>
          <w:rFonts w:eastAsia="Times New Roman" w:cs="Times New Roman"/>
          <w:i/>
          <w:iCs/>
          <w:szCs w:val="20"/>
          <w:lang w:eastAsia="en-US"/>
        </w:rPr>
        <w:t xml:space="preserve"> </w:t>
      </w:r>
      <w:r>
        <w:rPr>
          <w:rFonts w:eastAsia="Times New Roman" w:cs="Times New Roman"/>
          <w:szCs w:val="20"/>
          <w:lang w:eastAsia="en-US"/>
        </w:rPr>
        <w:t>apmērā</w:t>
      </w:r>
      <w:r w:rsidRPr="00C74630">
        <w:rPr>
          <w:rFonts w:eastAsia="Times New Roman" w:cs="Times New Roman"/>
          <w:szCs w:val="20"/>
          <w:lang w:eastAsia="en-US"/>
        </w:rPr>
        <w:t>.</w:t>
      </w:r>
    </w:p>
    <w:p w14:paraId="46631B72" w14:textId="64DAE257" w:rsidR="008B0630" w:rsidRPr="008B0630" w:rsidRDefault="008B0630" w:rsidP="008B0630">
      <w:pPr>
        <w:rPr>
          <w:rFonts w:eastAsia="Times New Roman" w:cs="Times New Roman"/>
          <w:szCs w:val="20"/>
          <w:lang w:eastAsia="en-US"/>
        </w:rPr>
      </w:pPr>
      <w:r w:rsidRPr="00C74630">
        <w:rPr>
          <w:rFonts w:eastAsia="Times New Roman" w:cs="Times New Roman"/>
          <w:szCs w:val="20"/>
          <w:lang w:eastAsia="en-US"/>
        </w:rPr>
        <w:t xml:space="preserve">Valsts pamatbudžetā ieņēmumi no </w:t>
      </w:r>
      <w:r>
        <w:rPr>
          <w:rFonts w:eastAsia="Times New Roman" w:cs="Times New Roman"/>
          <w:szCs w:val="20"/>
          <w:lang w:eastAsia="en-US"/>
        </w:rPr>
        <w:t>ĀFP</w:t>
      </w:r>
      <w:r w:rsidRPr="00C74630">
        <w:rPr>
          <w:rFonts w:eastAsia="Times New Roman" w:cs="Times New Roman"/>
          <w:szCs w:val="20"/>
          <w:lang w:eastAsia="en-US"/>
        </w:rPr>
        <w:t xml:space="preserve"> 202</w:t>
      </w:r>
      <w:r>
        <w:rPr>
          <w:rFonts w:eastAsia="Times New Roman" w:cs="Times New Roman"/>
          <w:szCs w:val="20"/>
          <w:lang w:eastAsia="en-US"/>
        </w:rPr>
        <w:t>6</w:t>
      </w:r>
      <w:r w:rsidRPr="00C74630">
        <w:rPr>
          <w:rFonts w:eastAsia="Times New Roman" w:cs="Times New Roman"/>
          <w:szCs w:val="20"/>
          <w:lang w:eastAsia="en-US"/>
        </w:rPr>
        <w:t xml:space="preserve">. gadā tiek plānoti </w:t>
      </w:r>
      <w:r>
        <w:rPr>
          <w:rFonts w:eastAsia="Times New Roman" w:cs="Times New Roman"/>
          <w:szCs w:val="20"/>
          <w:lang w:eastAsia="en-US"/>
        </w:rPr>
        <w:t>2 203</w:t>
      </w:r>
      <w:r w:rsidRPr="00C74630">
        <w:rPr>
          <w:rFonts w:eastAsia="Times New Roman" w:cs="Times New Roman"/>
          <w:szCs w:val="20"/>
          <w:lang w:eastAsia="en-US"/>
        </w:rPr>
        <w:t>,</w:t>
      </w:r>
      <w:r>
        <w:rPr>
          <w:rFonts w:eastAsia="Times New Roman" w:cs="Times New Roman"/>
          <w:szCs w:val="20"/>
          <w:lang w:eastAsia="en-US"/>
        </w:rPr>
        <w:t>3</w:t>
      </w:r>
      <w:r w:rsidRPr="00C74630">
        <w:rPr>
          <w:rFonts w:eastAsia="Times New Roman" w:cs="Times New Roman"/>
          <w:szCs w:val="20"/>
          <w:lang w:eastAsia="en-US"/>
        </w:rPr>
        <w:t xml:space="preserve"> milj. </w:t>
      </w:r>
      <w:r w:rsidRPr="00C74630">
        <w:rPr>
          <w:rFonts w:eastAsia="Times New Roman" w:cs="Times New Roman"/>
          <w:i/>
          <w:iCs/>
          <w:szCs w:val="20"/>
          <w:lang w:eastAsia="en-US"/>
        </w:rPr>
        <w:t>euro</w:t>
      </w:r>
      <w:r w:rsidRPr="00C74630">
        <w:rPr>
          <w:rFonts w:eastAsia="Times New Roman" w:cs="Times New Roman"/>
          <w:szCs w:val="20"/>
          <w:lang w:eastAsia="en-US"/>
        </w:rPr>
        <w:t xml:space="preserve"> apmērā, kas ir par </w:t>
      </w:r>
      <w:r>
        <w:rPr>
          <w:rFonts w:eastAsia="Times New Roman" w:cs="Times New Roman"/>
          <w:szCs w:val="20"/>
          <w:lang w:eastAsia="en-US"/>
        </w:rPr>
        <w:t>460,3</w:t>
      </w:r>
      <w:r w:rsidRPr="00C74630">
        <w:rPr>
          <w:rFonts w:eastAsia="Times New Roman" w:cs="Times New Roman"/>
          <w:szCs w:val="20"/>
          <w:lang w:eastAsia="en-US"/>
        </w:rPr>
        <w:t xml:space="preserve"> milj. </w:t>
      </w:r>
      <w:r w:rsidRPr="00C74630">
        <w:rPr>
          <w:rFonts w:eastAsia="Times New Roman" w:cs="Times New Roman"/>
          <w:i/>
          <w:iCs/>
          <w:szCs w:val="20"/>
          <w:lang w:eastAsia="en-US"/>
        </w:rPr>
        <w:t xml:space="preserve">euro </w:t>
      </w:r>
      <w:r w:rsidRPr="00C74630">
        <w:rPr>
          <w:rFonts w:eastAsia="Times New Roman" w:cs="Times New Roman"/>
          <w:szCs w:val="20"/>
          <w:lang w:eastAsia="en-US"/>
        </w:rPr>
        <w:t xml:space="preserve">jeb </w:t>
      </w:r>
      <w:r>
        <w:rPr>
          <w:rFonts w:eastAsia="Times New Roman" w:cs="Times New Roman"/>
          <w:szCs w:val="20"/>
          <w:lang w:eastAsia="en-US"/>
        </w:rPr>
        <w:t>26,4</w:t>
      </w:r>
      <w:r w:rsidRPr="00C74630">
        <w:rPr>
          <w:rFonts w:eastAsia="Times New Roman" w:cs="Times New Roman"/>
          <w:szCs w:val="20"/>
          <w:lang w:eastAsia="en-US"/>
        </w:rPr>
        <w:t xml:space="preserve">% </w:t>
      </w:r>
      <w:r>
        <w:rPr>
          <w:rFonts w:eastAsia="Times New Roman" w:cs="Times New Roman"/>
          <w:szCs w:val="20"/>
          <w:lang w:eastAsia="en-US"/>
        </w:rPr>
        <w:t>vairāk</w:t>
      </w:r>
      <w:r w:rsidRPr="00C74630">
        <w:rPr>
          <w:rFonts w:eastAsia="Times New Roman" w:cs="Times New Roman"/>
          <w:szCs w:val="20"/>
          <w:lang w:eastAsia="en-US"/>
        </w:rPr>
        <w:t xml:space="preserve"> nekā plānots 202</w:t>
      </w:r>
      <w:r>
        <w:rPr>
          <w:rFonts w:eastAsia="Times New Roman" w:cs="Times New Roman"/>
          <w:szCs w:val="20"/>
          <w:lang w:eastAsia="en-US"/>
        </w:rPr>
        <w:t>5</w:t>
      </w:r>
      <w:r w:rsidRPr="00C74630">
        <w:rPr>
          <w:rFonts w:eastAsia="Times New Roman" w:cs="Times New Roman"/>
          <w:szCs w:val="20"/>
          <w:lang w:eastAsia="en-US"/>
        </w:rPr>
        <w:t>. gadā. 202</w:t>
      </w:r>
      <w:r>
        <w:rPr>
          <w:rFonts w:eastAsia="Times New Roman" w:cs="Times New Roman"/>
          <w:szCs w:val="20"/>
          <w:lang w:eastAsia="en-US"/>
        </w:rPr>
        <w:t>4</w:t>
      </w:r>
      <w:r w:rsidRPr="00C74630">
        <w:rPr>
          <w:rFonts w:eastAsia="Times New Roman" w:cs="Times New Roman"/>
          <w:szCs w:val="20"/>
          <w:lang w:eastAsia="en-US"/>
        </w:rPr>
        <w:t xml:space="preserve">. gadā valsts pamatbudžetā ieņēmumi no </w:t>
      </w:r>
      <w:r>
        <w:rPr>
          <w:rFonts w:eastAsia="Times New Roman" w:cs="Times New Roman"/>
          <w:szCs w:val="20"/>
          <w:lang w:eastAsia="en-US"/>
        </w:rPr>
        <w:t>ĀFP</w:t>
      </w:r>
      <w:r w:rsidRPr="00C74630">
        <w:rPr>
          <w:rFonts w:eastAsia="Times New Roman" w:cs="Times New Roman"/>
          <w:szCs w:val="20"/>
          <w:lang w:eastAsia="en-US"/>
        </w:rPr>
        <w:t xml:space="preserve"> bija plānoti 1 </w:t>
      </w:r>
      <w:r>
        <w:rPr>
          <w:rFonts w:eastAsia="Times New Roman" w:cs="Times New Roman"/>
          <w:szCs w:val="20"/>
          <w:lang w:eastAsia="en-US"/>
        </w:rPr>
        <w:t>849</w:t>
      </w:r>
      <w:r w:rsidRPr="00C74630">
        <w:rPr>
          <w:rFonts w:eastAsia="Times New Roman" w:cs="Times New Roman"/>
          <w:szCs w:val="20"/>
          <w:lang w:eastAsia="en-US"/>
        </w:rPr>
        <w:t>,</w:t>
      </w:r>
      <w:r>
        <w:rPr>
          <w:rFonts w:eastAsia="Times New Roman" w:cs="Times New Roman"/>
          <w:szCs w:val="20"/>
          <w:lang w:eastAsia="en-US"/>
        </w:rPr>
        <w:t>4</w:t>
      </w:r>
      <w:r w:rsidRPr="00C74630">
        <w:rPr>
          <w:rFonts w:eastAsia="Times New Roman" w:cs="Times New Roman"/>
          <w:szCs w:val="20"/>
          <w:lang w:eastAsia="en-US"/>
        </w:rPr>
        <w:t xml:space="preserve"> milj. </w:t>
      </w:r>
      <w:r w:rsidRPr="00C74630">
        <w:rPr>
          <w:rFonts w:eastAsia="Times New Roman" w:cs="Times New Roman"/>
          <w:i/>
          <w:iCs/>
          <w:szCs w:val="20"/>
          <w:lang w:eastAsia="en-US"/>
        </w:rPr>
        <w:t>euro</w:t>
      </w:r>
      <w:r w:rsidRPr="00C74630">
        <w:rPr>
          <w:rFonts w:eastAsia="Times New Roman" w:cs="Times New Roman"/>
          <w:szCs w:val="20"/>
          <w:lang w:eastAsia="en-US"/>
        </w:rPr>
        <w:t xml:space="preserve"> apmērā.</w:t>
      </w:r>
    </w:p>
    <w:p w14:paraId="36FA55E4" w14:textId="77777777" w:rsidR="008B0630" w:rsidRDefault="008B0630">
      <w:pPr>
        <w:spacing w:after="0"/>
        <w:ind w:firstLine="0"/>
        <w:jc w:val="left"/>
        <w:rPr>
          <w:rFonts w:eastAsia="Times New Roman" w:cs="Times New Roman"/>
          <w:b/>
          <w:bCs/>
          <w:color w:val="000000" w:themeColor="text1"/>
          <w:sz w:val="36"/>
          <w:szCs w:val="28"/>
        </w:rPr>
      </w:pPr>
      <w:r>
        <w:rPr>
          <w:rFonts w:eastAsia="Times New Roman" w:cs="Times New Roman"/>
          <w:b/>
          <w:bCs/>
          <w:color w:val="000000" w:themeColor="text1"/>
          <w:sz w:val="36"/>
          <w:szCs w:val="28"/>
        </w:rPr>
        <w:br w:type="page"/>
      </w:r>
    </w:p>
    <w:p w14:paraId="4B4108EE" w14:textId="3C2A1F2A" w:rsidR="008B0630" w:rsidRPr="008B0630" w:rsidRDefault="008B0630" w:rsidP="008B0630">
      <w:pPr>
        <w:keepNext/>
        <w:keepLines/>
        <w:spacing w:before="240" w:after="240"/>
        <w:ind w:firstLine="0"/>
        <w:jc w:val="center"/>
        <w:outlineLvl w:val="1"/>
        <w:rPr>
          <w:rFonts w:eastAsia="Times New Roman" w:cs="Times New Roman"/>
          <w:b/>
          <w:bCs/>
          <w:color w:val="000000" w:themeColor="text1"/>
          <w:sz w:val="36"/>
          <w:szCs w:val="28"/>
        </w:rPr>
      </w:pPr>
      <w:r w:rsidRPr="008B0630">
        <w:rPr>
          <w:rFonts w:eastAsia="Times New Roman" w:cs="Times New Roman"/>
          <w:b/>
          <w:bCs/>
          <w:color w:val="000000" w:themeColor="text1"/>
          <w:sz w:val="36"/>
          <w:szCs w:val="28"/>
        </w:rPr>
        <w:lastRenderedPageBreak/>
        <w:t>3.5. Nodokļu atvieglojumu (atlaižu) un nodokļu parādu summas</w:t>
      </w:r>
      <w:bookmarkEnd w:id="132"/>
    </w:p>
    <w:p w14:paraId="190071D9" w14:textId="77777777" w:rsidR="008B0630" w:rsidRPr="008B0630" w:rsidRDefault="008B0630" w:rsidP="008B0630">
      <w:pPr>
        <w:spacing w:before="240" w:after="240"/>
        <w:ind w:firstLine="0"/>
        <w:jc w:val="center"/>
        <w:outlineLvl w:val="2"/>
        <w:rPr>
          <w:rFonts w:eastAsia="Times New Roman" w:cs="Times New Roman"/>
          <w:b/>
          <w:sz w:val="32"/>
          <w:szCs w:val="20"/>
          <w:lang w:eastAsia="en-US"/>
        </w:rPr>
      </w:pPr>
      <w:bookmarkStart w:id="133" w:name="_Toc126236668"/>
      <w:r w:rsidRPr="008B0630">
        <w:rPr>
          <w:rFonts w:eastAsia="Times New Roman" w:cs="Times New Roman"/>
          <w:b/>
          <w:sz w:val="32"/>
          <w:szCs w:val="20"/>
          <w:lang w:eastAsia="en-US"/>
        </w:rPr>
        <w:t>3.5.1. Nodokļu atvieglojumi un atlaides</w:t>
      </w:r>
      <w:bookmarkEnd w:id="133"/>
    </w:p>
    <w:p w14:paraId="411C4E13" w14:textId="77777777" w:rsidR="008B0630" w:rsidRPr="008B0630" w:rsidRDefault="008B0630" w:rsidP="008B0630">
      <w:pPr>
        <w:rPr>
          <w:rFonts w:eastAsia="Calibri" w:cs="Times New Roman"/>
          <w:szCs w:val="24"/>
        </w:rPr>
      </w:pPr>
      <w:r w:rsidRPr="008B0630">
        <w:rPr>
          <w:rFonts w:eastAsia="Calibri" w:cs="Times New Roman"/>
          <w:szCs w:val="24"/>
        </w:rPr>
        <w:t xml:space="preserve">Par nodokļu atvieglojumu var uzskatīt jebkuras novirzes no attiecīgās valsts likumos noteiktā vispārējā nodokļu režīma, kas kādam nodokļu maksātājam vai maksātāju grupai paredz nodokļa sloga samazinājumu vai izdevīgāku nodokļa nomaksas kārtību, vadoties pēc kritērija, ka nodokļu maksātājs vai to grupa atbilst nodokļu likumā noteiktai pazīmei (ienākumu apmērs, ģimenes stāvoklis, saimnieciskās darbības veids u.tml.). Nodokļu atvieglojumiem var būt dažādas formas: izņēmumi ar nodokli apliekamajā bāzē, ar nodokli neapliekamā bāzes daļa (piemēram, neapliekamais minimums), samazinātas likmes, atlikts nodokļa maksājums, samazinājums nodokļu saistībās. </w:t>
      </w:r>
    </w:p>
    <w:p w14:paraId="75EC0A3D" w14:textId="77777777" w:rsidR="008B0630" w:rsidRPr="008B0630" w:rsidRDefault="008B0630" w:rsidP="008B0630">
      <w:pPr>
        <w:rPr>
          <w:rFonts w:eastAsia="Calibri" w:cs="Times New Roman"/>
          <w:szCs w:val="24"/>
        </w:rPr>
      </w:pPr>
      <w:r w:rsidRPr="008B0630">
        <w:rPr>
          <w:rFonts w:eastAsia="Calibri" w:cs="Times New Roman"/>
          <w:szCs w:val="24"/>
        </w:rPr>
        <w:t>Tā kā nodokļu atvieglojumi nav faktiskie budžeta izdevumi, bet gan valsts neiegūtie ieņēmumi, kas veidojas piemērojot nodokļu atvieglojumus un atbrīvojumus, tad to apmērs tiek noteikts attiecībā pret vispārējā kārtībā apliekamo bāzi un piemērojamām nodokļu likmēm. Nodokļu atvieglojumi ir svarīgs instruments nodokļu politikas, kā arī valsts ilgtspējīgas attīstības un vides politikas mērķu īsteno</w:t>
      </w:r>
      <w:r w:rsidRPr="008B0630">
        <w:rPr>
          <w:rFonts w:eastAsia="Calibri" w:cs="Times New Roman"/>
          <w:szCs w:val="24"/>
        </w:rPr>
        <w:softHyphen/>
        <w:t xml:space="preserve">šanai, sniedzot vērā ņemamu atbalstu iedzīvotājiem, īpaši sociāli mazāk aizsargātiem iedzīvotājiem (piemēram, zemu ienākumu saņēmējiem, pensionāriem un personām, kurām apgādībā ir bērni). </w:t>
      </w:r>
    </w:p>
    <w:p w14:paraId="7B51B01B" w14:textId="77777777" w:rsidR="008B0630" w:rsidRPr="008B0630" w:rsidRDefault="008B0630" w:rsidP="008B0630">
      <w:pPr>
        <w:rPr>
          <w:rFonts w:eastAsia="Calibri" w:cs="Times New Roman"/>
          <w:szCs w:val="24"/>
        </w:rPr>
      </w:pPr>
      <w:r w:rsidRPr="008B0630">
        <w:rPr>
          <w:rFonts w:eastAsia="Calibri" w:cs="Times New Roman"/>
          <w:szCs w:val="24"/>
        </w:rPr>
        <w:t>Plašāka informācija par nodokļu atvieglojumiem pieejama FM mājaslapā pie nozares politikas “Nodokļu un nodevu politika” – sadaļā “Nodokļu atvieglojumi”, kā arī sadaļas “Noderīga informācija” apakšsadaļā “Informatīvie ziņojumi un pētījumi”, kur ir publicēta detalizētāka informācija par piemērotajiem nodokļu atvieglojumiem.</w:t>
      </w:r>
    </w:p>
    <w:p w14:paraId="07DDF605" w14:textId="358018B9" w:rsidR="008B0630" w:rsidRPr="008B0630" w:rsidRDefault="008B0630" w:rsidP="00A76934">
      <w:pPr>
        <w:spacing w:before="240"/>
        <w:ind w:firstLine="0"/>
        <w:jc w:val="center"/>
        <w:rPr>
          <w:rFonts w:cs="Times New Roman"/>
          <w:b/>
          <w:bCs/>
          <w:iCs/>
          <w:sz w:val="28"/>
          <w:szCs w:val="28"/>
        </w:rPr>
      </w:pPr>
      <w:r w:rsidRPr="008B0630">
        <w:rPr>
          <w:rFonts w:cs="Times New Roman"/>
          <w:b/>
          <w:bCs/>
          <w:iCs/>
          <w:sz w:val="28"/>
          <w:szCs w:val="28"/>
        </w:rPr>
        <w:t>Uzņēmumu ienākuma nodoklis</w:t>
      </w:r>
    </w:p>
    <w:p w14:paraId="6933DB2E" w14:textId="77777777" w:rsidR="008B0630" w:rsidRPr="008B0630" w:rsidRDefault="008B0630" w:rsidP="008B0630">
      <w:pPr>
        <w:spacing w:before="120"/>
        <w:ind w:firstLine="709"/>
        <w:rPr>
          <w:rFonts w:cs="Times New Roman"/>
          <w:szCs w:val="24"/>
        </w:rPr>
      </w:pPr>
      <w:r w:rsidRPr="008B0630">
        <w:rPr>
          <w:rFonts w:cs="Times New Roman"/>
          <w:szCs w:val="24"/>
        </w:rPr>
        <w:t>Saskaņā ar UIN deklarāciju datiem, aprēķinātās UIN atlaides 2024. gadā bija 72,3 milj. </w:t>
      </w:r>
      <w:r w:rsidRPr="008B0630">
        <w:rPr>
          <w:rFonts w:cs="Times New Roman"/>
          <w:i/>
          <w:iCs/>
          <w:szCs w:val="24"/>
        </w:rPr>
        <w:t>euro</w:t>
      </w:r>
      <w:r w:rsidRPr="008B0630">
        <w:rPr>
          <w:rFonts w:cs="Times New Roman"/>
          <w:szCs w:val="24"/>
        </w:rPr>
        <w:t>, kas ir par 20,6 milj. </w:t>
      </w:r>
      <w:r w:rsidRPr="008B0630">
        <w:rPr>
          <w:rFonts w:cs="Times New Roman"/>
          <w:i/>
          <w:iCs/>
          <w:szCs w:val="24"/>
        </w:rPr>
        <w:t>euro</w:t>
      </w:r>
      <w:r w:rsidRPr="008B0630">
        <w:rPr>
          <w:rFonts w:cs="Times New Roman"/>
          <w:szCs w:val="24"/>
        </w:rPr>
        <w:t xml:space="preserve"> jeb 40,0% vairāk nekā tika aprēķināts 2023. gadā (skatīt 3.21. tabulu).</w:t>
      </w:r>
    </w:p>
    <w:p w14:paraId="056C6ADA"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3.21. tabula. Nodokļu maksātāju iesniegto UIN 2023. un 2024. taksācijas gada deklarāciju rindu apkopojums</w:t>
      </w:r>
    </w:p>
    <w:tbl>
      <w:tblPr>
        <w:tblW w:w="5000" w:type="pct"/>
        <w:jc w:val="center"/>
        <w:tblCellMar>
          <w:left w:w="30" w:type="dxa"/>
          <w:right w:w="30" w:type="dxa"/>
        </w:tblCellMar>
        <w:tblLook w:val="0000" w:firstRow="0" w:lastRow="0" w:firstColumn="0" w:lastColumn="0" w:noHBand="0" w:noVBand="0"/>
      </w:tblPr>
      <w:tblGrid>
        <w:gridCol w:w="5369"/>
        <w:gridCol w:w="981"/>
        <w:gridCol w:w="840"/>
        <w:gridCol w:w="1241"/>
        <w:gridCol w:w="624"/>
      </w:tblGrid>
      <w:tr w:rsidR="008B0630" w:rsidRPr="008B0630" w14:paraId="555BA77B" w14:textId="77777777" w:rsidTr="00E03828">
        <w:trPr>
          <w:trHeight w:val="227"/>
          <w:tblHeader/>
          <w:jc w:val="center"/>
        </w:trPr>
        <w:tc>
          <w:tcPr>
            <w:tcW w:w="2971" w:type="pct"/>
            <w:vMerge w:val="restart"/>
            <w:tcBorders>
              <w:top w:val="single" w:sz="6" w:space="0" w:color="auto"/>
              <w:left w:val="single" w:sz="6" w:space="0" w:color="auto"/>
              <w:right w:val="single" w:sz="6" w:space="0" w:color="auto"/>
            </w:tcBorders>
            <w:shd w:val="clear" w:color="auto" w:fill="9CC2E5" w:themeFill="accent1" w:themeFillTint="99"/>
            <w:vAlign w:val="center"/>
          </w:tcPr>
          <w:p w14:paraId="2B4BD954" w14:textId="77777777" w:rsidR="008B0630" w:rsidRPr="008B0630" w:rsidRDefault="008B0630" w:rsidP="008B0630">
            <w:pPr>
              <w:keepNext/>
              <w:keepLines/>
              <w:spacing w:after="0"/>
              <w:ind w:firstLine="0"/>
              <w:jc w:val="center"/>
              <w:rPr>
                <w:rFonts w:eastAsia="Calibri" w:cs="Times New Roman"/>
                <w:b/>
                <w:bCs/>
                <w:sz w:val="20"/>
                <w:szCs w:val="24"/>
              </w:rPr>
            </w:pPr>
            <w:r w:rsidRPr="008B0630">
              <w:rPr>
                <w:rFonts w:eastAsia="Calibri" w:cs="Times New Roman"/>
                <w:b/>
                <w:bCs/>
                <w:sz w:val="20"/>
                <w:szCs w:val="24"/>
              </w:rPr>
              <w:t>Nodokļa atlaides/ atvieglojumi</w:t>
            </w:r>
          </w:p>
        </w:tc>
        <w:tc>
          <w:tcPr>
            <w:tcW w:w="1018" w:type="pct"/>
            <w:gridSpan w:val="2"/>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17DD44D5" w14:textId="77777777" w:rsidR="008B0630" w:rsidRPr="008B0630" w:rsidRDefault="008B0630" w:rsidP="008B0630">
            <w:pPr>
              <w:keepNext/>
              <w:keepLines/>
              <w:spacing w:after="0"/>
              <w:ind w:firstLine="0"/>
              <w:jc w:val="center"/>
              <w:rPr>
                <w:rFonts w:eastAsia="Calibri" w:cs="Times New Roman"/>
                <w:b/>
                <w:bCs/>
                <w:sz w:val="20"/>
                <w:szCs w:val="24"/>
              </w:rPr>
            </w:pPr>
            <w:r w:rsidRPr="008B0630">
              <w:rPr>
                <w:rFonts w:eastAsia="Calibri" w:cs="Times New Roman"/>
                <w:b/>
                <w:bCs/>
                <w:sz w:val="20"/>
                <w:szCs w:val="24"/>
              </w:rPr>
              <w:t>Deklarētā nodokļa atlaižu summa</w:t>
            </w:r>
            <w:r w:rsidRPr="008B0630">
              <w:rPr>
                <w:rFonts w:eastAsia="Calibri" w:cs="Times New Roman"/>
                <w:b/>
                <w:bCs/>
                <w:sz w:val="20"/>
                <w:szCs w:val="24"/>
                <w:vertAlign w:val="superscript"/>
              </w:rPr>
              <w:t>1</w:t>
            </w:r>
            <w:r w:rsidRPr="008B0630">
              <w:rPr>
                <w:rFonts w:eastAsia="Calibri" w:cs="Times New Roman"/>
                <w:b/>
                <w:bCs/>
                <w:sz w:val="20"/>
                <w:szCs w:val="24"/>
              </w:rPr>
              <w:t xml:space="preserve">, </w:t>
            </w:r>
          </w:p>
          <w:p w14:paraId="1EA666A3" w14:textId="77777777" w:rsidR="008B0630" w:rsidRPr="008B0630" w:rsidRDefault="008B0630" w:rsidP="008B0630">
            <w:pPr>
              <w:keepNext/>
              <w:keepLines/>
              <w:spacing w:after="0"/>
              <w:ind w:firstLine="0"/>
              <w:jc w:val="center"/>
              <w:rPr>
                <w:rFonts w:eastAsia="Calibri" w:cs="Times New Roman"/>
                <w:sz w:val="20"/>
                <w:szCs w:val="24"/>
              </w:rPr>
            </w:pPr>
            <w:r w:rsidRPr="008B0630">
              <w:rPr>
                <w:rFonts w:eastAsia="Calibri" w:cs="Times New Roman"/>
                <w:sz w:val="20"/>
                <w:szCs w:val="24"/>
              </w:rPr>
              <w:t>tūkst.</w:t>
            </w:r>
            <w:r w:rsidRPr="008B0630">
              <w:rPr>
                <w:rFonts w:eastAsia="Calibri" w:cs="Times New Roman"/>
                <w:i/>
                <w:iCs/>
                <w:sz w:val="20"/>
                <w:szCs w:val="24"/>
              </w:rPr>
              <w:t xml:space="preserve"> euro</w:t>
            </w:r>
          </w:p>
        </w:tc>
        <w:tc>
          <w:tcPr>
            <w:tcW w:w="1011" w:type="pct"/>
            <w:gridSpan w:val="2"/>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70BC4B16" w14:textId="77777777" w:rsidR="008B0630" w:rsidRPr="008B0630" w:rsidRDefault="008B0630" w:rsidP="008B0630">
            <w:pPr>
              <w:keepNext/>
              <w:keepLines/>
              <w:spacing w:after="0"/>
              <w:ind w:firstLine="0"/>
              <w:jc w:val="center"/>
              <w:rPr>
                <w:rFonts w:eastAsia="Calibri" w:cs="Times New Roman"/>
                <w:b/>
                <w:bCs/>
                <w:sz w:val="20"/>
                <w:szCs w:val="24"/>
              </w:rPr>
            </w:pPr>
            <w:r w:rsidRPr="008B0630">
              <w:rPr>
                <w:rFonts w:eastAsia="Calibri" w:cs="Times New Roman"/>
                <w:b/>
                <w:bCs/>
                <w:sz w:val="20"/>
                <w:szCs w:val="24"/>
              </w:rPr>
              <w:t>Izmaiņas</w:t>
            </w:r>
          </w:p>
          <w:p w14:paraId="02997CF6" w14:textId="77777777" w:rsidR="008B0630" w:rsidRPr="008B0630" w:rsidRDefault="008B0630" w:rsidP="008B0630">
            <w:pPr>
              <w:keepNext/>
              <w:keepLines/>
              <w:spacing w:after="0"/>
              <w:ind w:firstLine="0"/>
              <w:jc w:val="center"/>
              <w:rPr>
                <w:rFonts w:eastAsia="Calibri" w:cs="Times New Roman"/>
                <w:b/>
                <w:bCs/>
                <w:sz w:val="20"/>
                <w:szCs w:val="24"/>
              </w:rPr>
            </w:pPr>
            <w:r w:rsidRPr="008B0630">
              <w:rPr>
                <w:rFonts w:eastAsia="Calibri" w:cs="Times New Roman"/>
                <w:b/>
                <w:bCs/>
                <w:sz w:val="20"/>
                <w:szCs w:val="24"/>
              </w:rPr>
              <w:t>(2024. g. – 2023. g.)</w:t>
            </w:r>
          </w:p>
        </w:tc>
      </w:tr>
      <w:tr w:rsidR="008B0630" w:rsidRPr="008B0630" w14:paraId="45D1B58E" w14:textId="77777777" w:rsidTr="00E03828">
        <w:trPr>
          <w:trHeight w:val="227"/>
          <w:tblHeader/>
          <w:jc w:val="center"/>
        </w:trPr>
        <w:tc>
          <w:tcPr>
            <w:tcW w:w="2971" w:type="pct"/>
            <w:vMerge/>
            <w:tcBorders>
              <w:left w:val="single" w:sz="6" w:space="0" w:color="auto"/>
              <w:bottom w:val="single" w:sz="6" w:space="0" w:color="auto"/>
              <w:right w:val="single" w:sz="6" w:space="0" w:color="auto"/>
            </w:tcBorders>
            <w:shd w:val="clear" w:color="auto" w:fill="9CC2E5" w:themeFill="accent1" w:themeFillTint="99"/>
            <w:vAlign w:val="center"/>
          </w:tcPr>
          <w:p w14:paraId="383509C8" w14:textId="77777777" w:rsidR="008B0630" w:rsidRPr="008B0630" w:rsidRDefault="008B0630" w:rsidP="008B0630">
            <w:pPr>
              <w:keepNext/>
              <w:keepLines/>
              <w:spacing w:after="0"/>
              <w:ind w:firstLine="0"/>
              <w:jc w:val="center"/>
              <w:rPr>
                <w:rFonts w:eastAsia="Calibri" w:cs="Times New Roman"/>
                <w:b/>
                <w:bCs/>
                <w:sz w:val="20"/>
                <w:szCs w:val="24"/>
              </w:rPr>
            </w:pPr>
          </w:p>
        </w:tc>
        <w:tc>
          <w:tcPr>
            <w:tcW w:w="548"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65C4FDF1" w14:textId="77777777" w:rsidR="008B0630" w:rsidRPr="008B0630" w:rsidRDefault="008B0630" w:rsidP="008B0630">
            <w:pPr>
              <w:keepNext/>
              <w:keepLines/>
              <w:spacing w:after="0"/>
              <w:ind w:firstLine="0"/>
              <w:jc w:val="center"/>
              <w:rPr>
                <w:rFonts w:eastAsia="Calibri" w:cs="Times New Roman"/>
                <w:b/>
                <w:bCs/>
                <w:sz w:val="20"/>
                <w:szCs w:val="24"/>
              </w:rPr>
            </w:pPr>
            <w:r w:rsidRPr="008B0630">
              <w:rPr>
                <w:rFonts w:eastAsia="Calibri" w:cs="Times New Roman"/>
                <w:b/>
                <w:bCs/>
                <w:sz w:val="20"/>
                <w:szCs w:val="24"/>
              </w:rPr>
              <w:t>2023. g.</w:t>
            </w:r>
          </w:p>
        </w:tc>
        <w:tc>
          <w:tcPr>
            <w:tcW w:w="470"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514F00E8" w14:textId="77777777" w:rsidR="008B0630" w:rsidRPr="008B0630" w:rsidRDefault="008B0630" w:rsidP="008B0630">
            <w:pPr>
              <w:keepNext/>
              <w:keepLines/>
              <w:spacing w:after="0"/>
              <w:ind w:firstLine="0"/>
              <w:jc w:val="center"/>
              <w:rPr>
                <w:rFonts w:eastAsia="Calibri" w:cs="Times New Roman"/>
                <w:b/>
                <w:bCs/>
                <w:sz w:val="20"/>
                <w:szCs w:val="24"/>
              </w:rPr>
            </w:pPr>
            <w:r w:rsidRPr="008B0630">
              <w:rPr>
                <w:rFonts w:eastAsia="Calibri" w:cs="Times New Roman"/>
                <w:b/>
                <w:bCs/>
                <w:sz w:val="20"/>
                <w:szCs w:val="24"/>
              </w:rPr>
              <w:t>2024. g.</w:t>
            </w:r>
          </w:p>
        </w:tc>
        <w:tc>
          <w:tcPr>
            <w:tcW w:w="691"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5EE2B5DF" w14:textId="77777777" w:rsidR="008B0630" w:rsidRPr="008B0630" w:rsidRDefault="008B0630" w:rsidP="008B0630">
            <w:pPr>
              <w:keepNext/>
              <w:keepLines/>
              <w:spacing w:after="0"/>
              <w:ind w:firstLine="0"/>
              <w:jc w:val="center"/>
              <w:rPr>
                <w:rFonts w:eastAsia="Calibri" w:cs="Times New Roman"/>
                <w:b/>
                <w:bCs/>
                <w:sz w:val="20"/>
                <w:szCs w:val="24"/>
              </w:rPr>
            </w:pPr>
            <w:r w:rsidRPr="008B0630">
              <w:rPr>
                <w:rFonts w:eastAsia="Calibri" w:cs="Times New Roman"/>
                <w:b/>
                <w:bCs/>
                <w:sz w:val="20"/>
                <w:szCs w:val="24"/>
              </w:rPr>
              <w:t xml:space="preserve"> tūkst. </w:t>
            </w:r>
            <w:r w:rsidRPr="008B0630">
              <w:rPr>
                <w:rFonts w:eastAsia="Calibri" w:cs="Times New Roman"/>
                <w:b/>
                <w:bCs/>
                <w:i/>
                <w:iCs/>
                <w:sz w:val="20"/>
                <w:szCs w:val="24"/>
              </w:rPr>
              <w:t>euro</w:t>
            </w:r>
          </w:p>
        </w:tc>
        <w:tc>
          <w:tcPr>
            <w:tcW w:w="320"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3A6813F0" w14:textId="77777777" w:rsidR="008B0630" w:rsidRPr="008B0630" w:rsidRDefault="008B0630" w:rsidP="008B0630">
            <w:pPr>
              <w:keepNext/>
              <w:keepLines/>
              <w:spacing w:after="0"/>
              <w:ind w:firstLine="0"/>
              <w:jc w:val="center"/>
              <w:rPr>
                <w:rFonts w:eastAsia="Calibri" w:cs="Times New Roman"/>
                <w:b/>
                <w:bCs/>
                <w:sz w:val="20"/>
                <w:szCs w:val="24"/>
              </w:rPr>
            </w:pPr>
            <w:r w:rsidRPr="008B0630">
              <w:rPr>
                <w:rFonts w:eastAsia="Calibri" w:cs="Times New Roman"/>
                <w:b/>
                <w:bCs/>
                <w:sz w:val="20"/>
                <w:szCs w:val="24"/>
              </w:rPr>
              <w:t> %</w:t>
            </w:r>
          </w:p>
        </w:tc>
      </w:tr>
      <w:tr w:rsidR="008B0630" w:rsidRPr="008B0630" w14:paraId="34C9EBD5" w14:textId="77777777" w:rsidTr="00E03828">
        <w:trPr>
          <w:trHeight w:val="172"/>
          <w:jc w:val="center"/>
        </w:trPr>
        <w:tc>
          <w:tcPr>
            <w:tcW w:w="2971" w:type="pct"/>
            <w:tcBorders>
              <w:top w:val="single" w:sz="6" w:space="0" w:color="auto"/>
              <w:left w:val="single" w:sz="6" w:space="0" w:color="auto"/>
              <w:bottom w:val="single" w:sz="6" w:space="0" w:color="auto"/>
              <w:right w:val="single" w:sz="6" w:space="0" w:color="auto"/>
            </w:tcBorders>
            <w:vAlign w:val="center"/>
          </w:tcPr>
          <w:p w14:paraId="192EDA7C"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Nodokļa atlaide par veiktajiem ziedojumiem (</w:t>
            </w:r>
            <w:r w:rsidRPr="008B0630">
              <w:rPr>
                <w:rFonts w:eastAsia="Calibri" w:cs="Times New Roman"/>
                <w:i/>
                <w:iCs/>
                <w:noProof/>
                <w:sz w:val="18"/>
                <w:szCs w:val="24"/>
              </w:rPr>
              <w:t>85% no ziedotās summas</w:t>
            </w:r>
            <w:r w:rsidRPr="008B0630">
              <w:rPr>
                <w:rFonts w:eastAsia="Calibri" w:cs="Times New Roman"/>
                <w:noProof/>
                <w:sz w:val="18"/>
                <w:szCs w:val="24"/>
              </w:rPr>
              <w:t>)</w:t>
            </w:r>
          </w:p>
        </w:tc>
        <w:tc>
          <w:tcPr>
            <w:tcW w:w="548" w:type="pct"/>
            <w:tcBorders>
              <w:top w:val="single" w:sz="6" w:space="0" w:color="auto"/>
              <w:left w:val="single" w:sz="6" w:space="0" w:color="auto"/>
              <w:bottom w:val="single" w:sz="6" w:space="0" w:color="auto"/>
              <w:right w:val="single" w:sz="6" w:space="0" w:color="auto"/>
            </w:tcBorders>
            <w:vAlign w:val="center"/>
          </w:tcPr>
          <w:p w14:paraId="35808EFB"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13 720,0</w:t>
            </w:r>
          </w:p>
        </w:tc>
        <w:tc>
          <w:tcPr>
            <w:tcW w:w="470" w:type="pct"/>
            <w:tcBorders>
              <w:top w:val="single" w:sz="6" w:space="0" w:color="auto"/>
              <w:left w:val="single" w:sz="6" w:space="0" w:color="auto"/>
              <w:bottom w:val="single" w:sz="6" w:space="0" w:color="auto"/>
              <w:right w:val="single" w:sz="6" w:space="0" w:color="auto"/>
            </w:tcBorders>
            <w:vAlign w:val="center"/>
          </w:tcPr>
          <w:p w14:paraId="1FF9F50C"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27 544,2</w:t>
            </w:r>
          </w:p>
        </w:tc>
        <w:tc>
          <w:tcPr>
            <w:tcW w:w="691" w:type="pct"/>
            <w:tcBorders>
              <w:top w:val="single" w:sz="6" w:space="0" w:color="auto"/>
              <w:left w:val="single" w:sz="6" w:space="0" w:color="auto"/>
              <w:bottom w:val="single" w:sz="6" w:space="0" w:color="auto"/>
              <w:right w:val="single" w:sz="6" w:space="0" w:color="auto"/>
            </w:tcBorders>
            <w:vAlign w:val="center"/>
          </w:tcPr>
          <w:p w14:paraId="533A9A3C"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+13 824,1</w:t>
            </w:r>
          </w:p>
        </w:tc>
        <w:tc>
          <w:tcPr>
            <w:tcW w:w="320" w:type="pct"/>
            <w:tcBorders>
              <w:top w:val="single" w:sz="6" w:space="0" w:color="auto"/>
              <w:left w:val="single" w:sz="6" w:space="0" w:color="auto"/>
              <w:bottom w:val="single" w:sz="6" w:space="0" w:color="auto"/>
              <w:right w:val="single" w:sz="6" w:space="0" w:color="auto"/>
            </w:tcBorders>
            <w:vAlign w:val="center"/>
          </w:tcPr>
          <w:p w14:paraId="0A3BD793"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+100,8</w:t>
            </w:r>
          </w:p>
        </w:tc>
      </w:tr>
      <w:tr w:rsidR="008B0630" w:rsidRPr="008B0630" w14:paraId="083B125E" w14:textId="77777777" w:rsidTr="00E03828">
        <w:trPr>
          <w:trHeight w:val="284"/>
          <w:jc w:val="center"/>
        </w:trPr>
        <w:tc>
          <w:tcPr>
            <w:tcW w:w="2971" w:type="pct"/>
            <w:tcBorders>
              <w:top w:val="single" w:sz="6" w:space="0" w:color="auto"/>
              <w:left w:val="single" w:sz="6" w:space="0" w:color="auto"/>
              <w:bottom w:val="single" w:sz="6" w:space="0" w:color="auto"/>
              <w:right w:val="single" w:sz="6" w:space="0" w:color="auto"/>
            </w:tcBorders>
            <w:vAlign w:val="center"/>
          </w:tcPr>
          <w:p w14:paraId="41692485"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Atlaides summa, kuru aprēķina nodokļa maksātājs, kurš turpina piemērot UIN atlaidi saskaņā ar likuma "</w:t>
            </w:r>
            <w:r w:rsidRPr="008B0630">
              <w:rPr>
                <w:rFonts w:eastAsia="Calibri" w:cs="Times New Roman"/>
                <w:i/>
                <w:iCs/>
                <w:noProof/>
                <w:sz w:val="18"/>
                <w:szCs w:val="24"/>
              </w:rPr>
              <w:t>Par nodokļa piemērošanu brīvostās un speciālajās ekonomiskajās zonās</w:t>
            </w:r>
            <w:r w:rsidRPr="008B0630">
              <w:rPr>
                <w:rFonts w:eastAsia="Calibri" w:cs="Times New Roman"/>
                <w:noProof/>
                <w:sz w:val="18"/>
                <w:szCs w:val="24"/>
              </w:rPr>
              <w:t>"</w:t>
            </w:r>
          </w:p>
        </w:tc>
        <w:tc>
          <w:tcPr>
            <w:tcW w:w="548" w:type="pct"/>
            <w:tcBorders>
              <w:top w:val="single" w:sz="6" w:space="0" w:color="auto"/>
              <w:left w:val="single" w:sz="6" w:space="0" w:color="auto"/>
              <w:bottom w:val="single" w:sz="6" w:space="0" w:color="auto"/>
              <w:right w:val="single" w:sz="6" w:space="0" w:color="auto"/>
            </w:tcBorders>
            <w:vAlign w:val="center"/>
          </w:tcPr>
          <w:p w14:paraId="79AAC97F"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6 792,8</w:t>
            </w:r>
          </w:p>
        </w:tc>
        <w:tc>
          <w:tcPr>
            <w:tcW w:w="470" w:type="pct"/>
            <w:tcBorders>
              <w:top w:val="single" w:sz="6" w:space="0" w:color="auto"/>
              <w:left w:val="single" w:sz="6" w:space="0" w:color="auto"/>
              <w:bottom w:val="single" w:sz="6" w:space="0" w:color="auto"/>
              <w:right w:val="single" w:sz="6" w:space="0" w:color="auto"/>
            </w:tcBorders>
            <w:vAlign w:val="center"/>
          </w:tcPr>
          <w:p w14:paraId="2800FC68"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7 573,5</w:t>
            </w:r>
          </w:p>
        </w:tc>
        <w:tc>
          <w:tcPr>
            <w:tcW w:w="691" w:type="pct"/>
            <w:tcBorders>
              <w:top w:val="single" w:sz="6" w:space="0" w:color="auto"/>
              <w:left w:val="single" w:sz="6" w:space="0" w:color="auto"/>
              <w:bottom w:val="single" w:sz="6" w:space="0" w:color="auto"/>
              <w:right w:val="single" w:sz="6" w:space="0" w:color="auto"/>
            </w:tcBorders>
            <w:vAlign w:val="center"/>
          </w:tcPr>
          <w:p w14:paraId="48DFF194"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+780,7</w:t>
            </w:r>
          </w:p>
        </w:tc>
        <w:tc>
          <w:tcPr>
            <w:tcW w:w="320" w:type="pct"/>
            <w:tcBorders>
              <w:top w:val="single" w:sz="6" w:space="0" w:color="auto"/>
              <w:left w:val="single" w:sz="6" w:space="0" w:color="auto"/>
              <w:bottom w:val="single" w:sz="6" w:space="0" w:color="auto"/>
              <w:right w:val="single" w:sz="6" w:space="0" w:color="auto"/>
            </w:tcBorders>
            <w:vAlign w:val="center"/>
          </w:tcPr>
          <w:p w14:paraId="5243A5C3"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+11,5</w:t>
            </w:r>
          </w:p>
        </w:tc>
      </w:tr>
      <w:tr w:rsidR="008B0630" w:rsidRPr="008B0630" w14:paraId="39DCE283" w14:textId="77777777" w:rsidTr="00E03828">
        <w:trPr>
          <w:trHeight w:val="284"/>
          <w:jc w:val="center"/>
        </w:trPr>
        <w:tc>
          <w:tcPr>
            <w:tcW w:w="2971" w:type="pct"/>
            <w:tcBorders>
              <w:top w:val="single" w:sz="6" w:space="0" w:color="auto"/>
              <w:left w:val="single" w:sz="6" w:space="0" w:color="auto"/>
              <w:bottom w:val="single" w:sz="6" w:space="0" w:color="auto"/>
              <w:right w:val="single" w:sz="6" w:space="0" w:color="auto"/>
            </w:tcBorders>
            <w:vAlign w:val="center"/>
          </w:tcPr>
          <w:p w14:paraId="5D3C6289"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Atlaisdes summa, kuru aprēķina nodokļa maksātājs, kurš turpina piemērot UIN atlaidi saskaņā ar likuma "</w:t>
            </w:r>
            <w:r w:rsidRPr="008B0630">
              <w:rPr>
                <w:rFonts w:eastAsia="Calibri" w:cs="Times New Roman"/>
                <w:i/>
                <w:iCs/>
                <w:noProof/>
                <w:sz w:val="18"/>
                <w:szCs w:val="24"/>
              </w:rPr>
              <w:t>Par uzņēmumu ienākuma nodokli</w:t>
            </w:r>
            <w:r w:rsidRPr="008B0630">
              <w:rPr>
                <w:rFonts w:eastAsia="Calibri" w:cs="Times New Roman"/>
                <w:noProof/>
                <w:sz w:val="18"/>
                <w:szCs w:val="24"/>
              </w:rPr>
              <w:t>" 17.</w:t>
            </w:r>
            <w:r w:rsidRPr="008B0630">
              <w:rPr>
                <w:rFonts w:eastAsia="Calibri" w:cs="Times New Roman"/>
                <w:noProof/>
                <w:sz w:val="18"/>
                <w:szCs w:val="24"/>
                <w:vertAlign w:val="superscript"/>
              </w:rPr>
              <w:t>2</w:t>
            </w:r>
            <w:r w:rsidRPr="008B0630">
              <w:rPr>
                <w:rFonts w:eastAsia="Calibri" w:cs="Times New Roman"/>
                <w:noProof/>
                <w:sz w:val="18"/>
                <w:szCs w:val="24"/>
              </w:rPr>
              <w:t xml:space="preserve"> pantu (</w:t>
            </w:r>
            <w:r w:rsidRPr="008B0630">
              <w:rPr>
                <w:rFonts w:eastAsia="Calibri" w:cs="Times New Roman"/>
                <w:i/>
                <w:iCs/>
                <w:noProof/>
                <w:sz w:val="18"/>
                <w:szCs w:val="24"/>
              </w:rPr>
              <w:t>kas spēkā līdz 31.12.2017.</w:t>
            </w:r>
            <w:r w:rsidRPr="008B0630">
              <w:rPr>
                <w:rFonts w:eastAsia="Calibri" w:cs="Times New Roman"/>
                <w:noProof/>
                <w:sz w:val="18"/>
                <w:szCs w:val="24"/>
              </w:rPr>
              <w:t>)</w:t>
            </w:r>
          </w:p>
        </w:tc>
        <w:tc>
          <w:tcPr>
            <w:tcW w:w="548" w:type="pct"/>
            <w:tcBorders>
              <w:top w:val="single" w:sz="6" w:space="0" w:color="auto"/>
              <w:left w:val="single" w:sz="6" w:space="0" w:color="auto"/>
              <w:bottom w:val="single" w:sz="6" w:space="0" w:color="auto"/>
              <w:right w:val="single" w:sz="6" w:space="0" w:color="auto"/>
            </w:tcBorders>
            <w:vAlign w:val="center"/>
          </w:tcPr>
          <w:p w14:paraId="709CF90F"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4 970,7</w:t>
            </w:r>
          </w:p>
        </w:tc>
        <w:tc>
          <w:tcPr>
            <w:tcW w:w="470" w:type="pct"/>
            <w:tcBorders>
              <w:top w:val="single" w:sz="6" w:space="0" w:color="auto"/>
              <w:left w:val="single" w:sz="6" w:space="0" w:color="auto"/>
              <w:bottom w:val="single" w:sz="6" w:space="0" w:color="auto"/>
              <w:right w:val="single" w:sz="6" w:space="0" w:color="auto"/>
            </w:tcBorders>
            <w:vAlign w:val="center"/>
          </w:tcPr>
          <w:p w14:paraId="510BA5BD"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3 396,5</w:t>
            </w:r>
          </w:p>
        </w:tc>
        <w:tc>
          <w:tcPr>
            <w:tcW w:w="691" w:type="pct"/>
            <w:tcBorders>
              <w:top w:val="single" w:sz="6" w:space="0" w:color="auto"/>
              <w:left w:val="single" w:sz="6" w:space="0" w:color="auto"/>
              <w:bottom w:val="single" w:sz="6" w:space="0" w:color="auto"/>
              <w:right w:val="single" w:sz="6" w:space="0" w:color="auto"/>
            </w:tcBorders>
            <w:vAlign w:val="center"/>
          </w:tcPr>
          <w:p w14:paraId="46E23613"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-1 574,2</w:t>
            </w:r>
          </w:p>
        </w:tc>
        <w:tc>
          <w:tcPr>
            <w:tcW w:w="320" w:type="pct"/>
            <w:tcBorders>
              <w:top w:val="single" w:sz="6" w:space="0" w:color="auto"/>
              <w:left w:val="single" w:sz="6" w:space="0" w:color="auto"/>
              <w:bottom w:val="single" w:sz="6" w:space="0" w:color="auto"/>
              <w:right w:val="single" w:sz="6" w:space="0" w:color="auto"/>
            </w:tcBorders>
            <w:vAlign w:val="center"/>
          </w:tcPr>
          <w:p w14:paraId="6F415EC0"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-31,7</w:t>
            </w:r>
          </w:p>
        </w:tc>
      </w:tr>
      <w:tr w:rsidR="008B0630" w:rsidRPr="008B0630" w14:paraId="0C100286" w14:textId="77777777" w:rsidTr="00E03828">
        <w:trPr>
          <w:trHeight w:val="284"/>
          <w:jc w:val="center"/>
        </w:trPr>
        <w:tc>
          <w:tcPr>
            <w:tcW w:w="2971" w:type="pct"/>
            <w:tcBorders>
              <w:top w:val="single" w:sz="6" w:space="0" w:color="auto"/>
              <w:left w:val="single" w:sz="6" w:space="0" w:color="auto"/>
              <w:bottom w:val="single" w:sz="6" w:space="0" w:color="auto"/>
              <w:right w:val="single" w:sz="6" w:space="0" w:color="auto"/>
            </w:tcBorders>
            <w:vAlign w:val="center"/>
          </w:tcPr>
          <w:p w14:paraId="69EA91AE"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50 % no summas, kas saņemta subsīdiju veidā kā valsts atbalsts lauksaimniecībai vai ES atbalsts lauksaimniecībai un lauku attīstībai</w:t>
            </w:r>
          </w:p>
        </w:tc>
        <w:tc>
          <w:tcPr>
            <w:tcW w:w="548" w:type="pct"/>
            <w:tcBorders>
              <w:top w:val="single" w:sz="6" w:space="0" w:color="auto"/>
              <w:left w:val="single" w:sz="6" w:space="0" w:color="auto"/>
              <w:bottom w:val="single" w:sz="6" w:space="0" w:color="auto"/>
              <w:right w:val="single" w:sz="6" w:space="0" w:color="auto"/>
            </w:tcBorders>
            <w:vAlign w:val="center"/>
          </w:tcPr>
          <w:p w14:paraId="66E3B519"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23 535,0</w:t>
            </w:r>
          </w:p>
        </w:tc>
        <w:tc>
          <w:tcPr>
            <w:tcW w:w="470" w:type="pct"/>
            <w:tcBorders>
              <w:top w:val="single" w:sz="6" w:space="0" w:color="auto"/>
              <w:left w:val="single" w:sz="6" w:space="0" w:color="auto"/>
              <w:bottom w:val="single" w:sz="6" w:space="0" w:color="auto"/>
              <w:right w:val="single" w:sz="6" w:space="0" w:color="auto"/>
            </w:tcBorders>
            <w:vAlign w:val="center"/>
          </w:tcPr>
          <w:p w14:paraId="48A767B5"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31 374,4</w:t>
            </w:r>
          </w:p>
        </w:tc>
        <w:tc>
          <w:tcPr>
            <w:tcW w:w="691" w:type="pct"/>
            <w:tcBorders>
              <w:top w:val="single" w:sz="6" w:space="0" w:color="auto"/>
              <w:left w:val="single" w:sz="6" w:space="0" w:color="auto"/>
              <w:bottom w:val="single" w:sz="6" w:space="0" w:color="auto"/>
              <w:right w:val="single" w:sz="6" w:space="0" w:color="auto"/>
            </w:tcBorders>
            <w:vAlign w:val="center"/>
          </w:tcPr>
          <w:p w14:paraId="59426C9C"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+7 839,4</w:t>
            </w:r>
          </w:p>
        </w:tc>
        <w:tc>
          <w:tcPr>
            <w:tcW w:w="320" w:type="pct"/>
            <w:tcBorders>
              <w:top w:val="single" w:sz="6" w:space="0" w:color="auto"/>
              <w:left w:val="single" w:sz="6" w:space="0" w:color="auto"/>
              <w:bottom w:val="single" w:sz="6" w:space="0" w:color="auto"/>
              <w:right w:val="single" w:sz="6" w:space="0" w:color="auto"/>
            </w:tcBorders>
            <w:vAlign w:val="center"/>
          </w:tcPr>
          <w:p w14:paraId="644D7F0D" w14:textId="77777777" w:rsidR="008B0630" w:rsidRPr="008B0630" w:rsidRDefault="008B0630" w:rsidP="008B0630">
            <w:pPr>
              <w:spacing w:after="0"/>
              <w:ind w:right="57" w:firstLine="0"/>
              <w:jc w:val="right"/>
              <w:rPr>
                <w:rFonts w:eastAsia="Calibri" w:cs="Times New Roman"/>
                <w:noProof/>
                <w:sz w:val="18"/>
                <w:szCs w:val="18"/>
              </w:rPr>
            </w:pPr>
            <w:r w:rsidRPr="008B0630">
              <w:rPr>
                <w:rFonts w:cs="Times New Roman"/>
                <w:noProof/>
                <w:color w:val="333333"/>
                <w:sz w:val="18"/>
                <w:szCs w:val="18"/>
              </w:rPr>
              <w:t>+33,3</w:t>
            </w:r>
          </w:p>
        </w:tc>
      </w:tr>
      <w:tr w:rsidR="008B0630" w:rsidRPr="008B0630" w14:paraId="25585463" w14:textId="77777777" w:rsidTr="00E03828">
        <w:trPr>
          <w:trHeight w:val="284"/>
          <w:jc w:val="center"/>
        </w:trPr>
        <w:tc>
          <w:tcPr>
            <w:tcW w:w="2971" w:type="pct"/>
            <w:tcBorders>
              <w:top w:val="single" w:sz="6" w:space="0" w:color="auto"/>
              <w:left w:val="single" w:sz="6" w:space="0" w:color="auto"/>
              <w:bottom w:val="single" w:sz="6" w:space="0" w:color="auto"/>
              <w:right w:val="single" w:sz="6" w:space="0" w:color="auto"/>
            </w:tcBorders>
            <w:vAlign w:val="center"/>
          </w:tcPr>
          <w:p w14:paraId="5D3D7843" w14:textId="77777777" w:rsidR="008B0630" w:rsidRPr="008B0630" w:rsidRDefault="008B0630" w:rsidP="008B0630">
            <w:pPr>
              <w:keepNext/>
              <w:keepLines/>
              <w:spacing w:after="0"/>
              <w:ind w:firstLine="0"/>
              <w:jc w:val="left"/>
              <w:rPr>
                <w:rFonts w:eastAsia="Calibri" w:cs="Times New Roman"/>
                <w:b/>
                <w:bCs/>
                <w:noProof/>
                <w:sz w:val="18"/>
                <w:szCs w:val="24"/>
              </w:rPr>
            </w:pPr>
            <w:r w:rsidRPr="008B0630">
              <w:rPr>
                <w:rFonts w:eastAsia="Calibri" w:cs="Times New Roman"/>
                <w:b/>
                <w:bCs/>
                <w:noProof/>
                <w:sz w:val="18"/>
                <w:szCs w:val="24"/>
              </w:rPr>
              <w:t>Kopā</w:t>
            </w:r>
          </w:p>
        </w:tc>
        <w:tc>
          <w:tcPr>
            <w:tcW w:w="548" w:type="pct"/>
            <w:tcBorders>
              <w:top w:val="single" w:sz="6" w:space="0" w:color="auto"/>
              <w:left w:val="single" w:sz="6" w:space="0" w:color="auto"/>
              <w:bottom w:val="single" w:sz="6" w:space="0" w:color="auto"/>
              <w:right w:val="single" w:sz="6" w:space="0" w:color="auto"/>
            </w:tcBorders>
            <w:vAlign w:val="center"/>
          </w:tcPr>
          <w:p w14:paraId="1A3B9B47" w14:textId="77777777" w:rsidR="008B0630" w:rsidRPr="008B0630" w:rsidRDefault="008B0630" w:rsidP="008B0630">
            <w:pPr>
              <w:spacing w:after="0"/>
              <w:ind w:right="57" w:firstLine="0"/>
              <w:jc w:val="right"/>
              <w:rPr>
                <w:rFonts w:eastAsia="Calibri" w:cs="Times New Roman"/>
                <w:b/>
                <w:bCs/>
                <w:noProof/>
                <w:sz w:val="18"/>
                <w:szCs w:val="18"/>
              </w:rPr>
            </w:pPr>
            <w:r w:rsidRPr="008B0630">
              <w:rPr>
                <w:rFonts w:cs="Times New Roman"/>
                <w:b/>
                <w:bCs/>
                <w:noProof/>
                <w:color w:val="333333"/>
                <w:sz w:val="18"/>
                <w:szCs w:val="18"/>
              </w:rPr>
              <w:t>51 639,9</w:t>
            </w:r>
          </w:p>
        </w:tc>
        <w:tc>
          <w:tcPr>
            <w:tcW w:w="470" w:type="pct"/>
            <w:tcBorders>
              <w:top w:val="single" w:sz="6" w:space="0" w:color="auto"/>
              <w:left w:val="single" w:sz="6" w:space="0" w:color="auto"/>
              <w:bottom w:val="single" w:sz="6" w:space="0" w:color="auto"/>
              <w:right w:val="single" w:sz="6" w:space="0" w:color="auto"/>
            </w:tcBorders>
            <w:vAlign w:val="center"/>
          </w:tcPr>
          <w:p w14:paraId="7BC0ACB6" w14:textId="77777777" w:rsidR="008B0630" w:rsidRPr="008B0630" w:rsidRDefault="008B0630" w:rsidP="008B0630">
            <w:pPr>
              <w:spacing w:after="0"/>
              <w:ind w:right="57" w:firstLine="0"/>
              <w:jc w:val="right"/>
              <w:rPr>
                <w:rFonts w:eastAsia="Calibri" w:cs="Times New Roman"/>
                <w:b/>
                <w:bCs/>
                <w:noProof/>
                <w:sz w:val="18"/>
                <w:szCs w:val="18"/>
              </w:rPr>
            </w:pPr>
            <w:r w:rsidRPr="008B0630">
              <w:rPr>
                <w:rFonts w:cs="Times New Roman"/>
                <w:b/>
                <w:bCs/>
                <w:noProof/>
                <w:color w:val="333333"/>
                <w:sz w:val="18"/>
                <w:szCs w:val="18"/>
              </w:rPr>
              <w:t>72 277,3</w:t>
            </w:r>
          </w:p>
        </w:tc>
        <w:tc>
          <w:tcPr>
            <w:tcW w:w="691" w:type="pct"/>
            <w:tcBorders>
              <w:top w:val="single" w:sz="6" w:space="0" w:color="auto"/>
              <w:left w:val="single" w:sz="6" w:space="0" w:color="auto"/>
              <w:bottom w:val="single" w:sz="6" w:space="0" w:color="auto"/>
              <w:right w:val="single" w:sz="6" w:space="0" w:color="auto"/>
            </w:tcBorders>
            <w:vAlign w:val="center"/>
          </w:tcPr>
          <w:p w14:paraId="29AEAB9E" w14:textId="77777777" w:rsidR="008B0630" w:rsidRPr="008B0630" w:rsidRDefault="008B0630" w:rsidP="008B0630">
            <w:pPr>
              <w:spacing w:after="0"/>
              <w:ind w:right="57" w:firstLine="0"/>
              <w:jc w:val="right"/>
              <w:rPr>
                <w:rFonts w:eastAsia="Calibri" w:cs="Times New Roman"/>
                <w:b/>
                <w:bCs/>
                <w:noProof/>
                <w:sz w:val="18"/>
                <w:szCs w:val="18"/>
              </w:rPr>
            </w:pPr>
            <w:r w:rsidRPr="008B0630">
              <w:rPr>
                <w:rFonts w:cs="Times New Roman"/>
                <w:b/>
                <w:bCs/>
                <w:noProof/>
                <w:color w:val="333333"/>
                <w:sz w:val="18"/>
                <w:szCs w:val="18"/>
              </w:rPr>
              <w:t>+20 637,4</w:t>
            </w:r>
          </w:p>
        </w:tc>
        <w:tc>
          <w:tcPr>
            <w:tcW w:w="320" w:type="pct"/>
            <w:tcBorders>
              <w:top w:val="single" w:sz="6" w:space="0" w:color="auto"/>
              <w:left w:val="single" w:sz="6" w:space="0" w:color="auto"/>
              <w:bottom w:val="single" w:sz="6" w:space="0" w:color="auto"/>
              <w:right w:val="single" w:sz="6" w:space="0" w:color="auto"/>
            </w:tcBorders>
            <w:vAlign w:val="center"/>
          </w:tcPr>
          <w:p w14:paraId="2CFA9CA6" w14:textId="77777777" w:rsidR="008B0630" w:rsidRPr="008B0630" w:rsidRDefault="008B0630" w:rsidP="008B0630">
            <w:pPr>
              <w:spacing w:after="0"/>
              <w:ind w:right="57" w:firstLine="0"/>
              <w:jc w:val="right"/>
              <w:rPr>
                <w:rFonts w:eastAsia="Calibri" w:cs="Times New Roman"/>
                <w:b/>
                <w:bCs/>
                <w:noProof/>
                <w:sz w:val="18"/>
                <w:szCs w:val="18"/>
              </w:rPr>
            </w:pPr>
            <w:r w:rsidRPr="008B0630">
              <w:rPr>
                <w:rFonts w:cs="Times New Roman"/>
                <w:b/>
                <w:bCs/>
                <w:noProof/>
                <w:color w:val="333333"/>
                <w:sz w:val="18"/>
                <w:szCs w:val="18"/>
              </w:rPr>
              <w:t>+40,0</w:t>
            </w:r>
          </w:p>
        </w:tc>
      </w:tr>
    </w:tbl>
    <w:p w14:paraId="48AA29C3" w14:textId="77777777" w:rsidR="008B0630" w:rsidRPr="008B0630" w:rsidRDefault="008B0630" w:rsidP="008B0630">
      <w:pPr>
        <w:ind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w:t>
      </w:r>
      <w:r w:rsidRPr="008B0630">
        <w:rPr>
          <w:rFonts w:eastAsia="Calibri" w:cs="Times New Roman"/>
          <w:sz w:val="16"/>
          <w:szCs w:val="16"/>
          <w:lang w:eastAsia="en-US"/>
        </w:rPr>
        <w:t>Dati uz 18.09.2025.</w:t>
      </w:r>
    </w:p>
    <w:p w14:paraId="431108D6" w14:textId="77777777" w:rsidR="008B0630" w:rsidRPr="008B0630" w:rsidRDefault="008B0630" w:rsidP="008B0630">
      <w:pPr>
        <w:ind w:firstLine="709"/>
        <w:rPr>
          <w:rFonts w:cs="Times New Roman"/>
          <w:szCs w:val="24"/>
        </w:rPr>
      </w:pPr>
      <w:r w:rsidRPr="008B0630">
        <w:rPr>
          <w:rFonts w:cs="Times New Roman"/>
          <w:szCs w:val="24"/>
        </w:rPr>
        <w:t>No deklarētās nodokļa atlaižu summas 2024. gadā 43,4% jeb 31,4 milj. </w:t>
      </w:r>
      <w:r w:rsidRPr="008B0630">
        <w:rPr>
          <w:rFonts w:cs="Times New Roman"/>
          <w:i/>
          <w:iCs/>
          <w:szCs w:val="24"/>
        </w:rPr>
        <w:t>euro</w:t>
      </w:r>
      <w:r w:rsidRPr="008B0630">
        <w:rPr>
          <w:rFonts w:cs="Times New Roman"/>
          <w:szCs w:val="24"/>
        </w:rPr>
        <w:t xml:space="preserve"> ir pārskata gada ar nodokli apliekamās bāzes samazinājums apjomā, kas atbilst 50,0% no summas, kas saņemta kā valsts atbalsts lauksaimniecībai vai ES atbalsts lauksaimniecībai un lauku attīstībai, bet ne vairāk kā par taksācijas periodā ar nodokli apliekamajā bāzē iekļauto ar nodokli </w:t>
      </w:r>
      <w:r w:rsidRPr="008B0630">
        <w:rPr>
          <w:rFonts w:cs="Times New Roman"/>
          <w:szCs w:val="24"/>
        </w:rPr>
        <w:lastRenderedPageBreak/>
        <w:t>apliekamo objektu kopsummu. Salīdzinot ar 2023. gadu, tā palielinājusies par 7,8 milj. </w:t>
      </w:r>
      <w:r w:rsidRPr="008B0630">
        <w:rPr>
          <w:rFonts w:cs="Times New Roman"/>
          <w:i/>
          <w:iCs/>
          <w:szCs w:val="24"/>
        </w:rPr>
        <w:t>euro</w:t>
      </w:r>
      <w:r w:rsidRPr="008B0630">
        <w:rPr>
          <w:rFonts w:cs="Times New Roman"/>
          <w:szCs w:val="24"/>
        </w:rPr>
        <w:t xml:space="preserve"> jeb 33,3%.</w:t>
      </w:r>
    </w:p>
    <w:p w14:paraId="7F8CE243" w14:textId="77777777" w:rsidR="008B0630" w:rsidRPr="008B0630" w:rsidRDefault="008B0630" w:rsidP="008B0630">
      <w:pPr>
        <w:ind w:firstLine="709"/>
        <w:rPr>
          <w:rFonts w:cs="Times New Roman"/>
          <w:szCs w:val="24"/>
        </w:rPr>
      </w:pPr>
      <w:r w:rsidRPr="008B0630">
        <w:rPr>
          <w:rFonts w:cs="Times New Roman"/>
          <w:szCs w:val="24"/>
        </w:rPr>
        <w:t>Lielākais UIN atlaižu summas pieaugums ir nodokļa atlaidei par ziedojumiem. Salīdzinot ar 2023. gadu, tā palielinājusies par 13,8 milj. </w:t>
      </w:r>
      <w:r w:rsidRPr="008B0630">
        <w:rPr>
          <w:rFonts w:cs="Times New Roman"/>
          <w:i/>
          <w:iCs/>
          <w:szCs w:val="24"/>
        </w:rPr>
        <w:t>euro</w:t>
      </w:r>
      <w:r w:rsidRPr="008B0630">
        <w:rPr>
          <w:rFonts w:cs="Times New Roman"/>
          <w:szCs w:val="24"/>
        </w:rPr>
        <w:t xml:space="preserve"> jeb divas reizes. Tas galvenokārt skaidrojams ar divu nodokļu maksātāju aprēķinātās nodokļa atlaides par ziedojumiem kopējo pieaugumu par 12,5 milj. </w:t>
      </w:r>
      <w:r w:rsidRPr="008B0630">
        <w:rPr>
          <w:rFonts w:cs="Times New Roman"/>
          <w:i/>
          <w:iCs/>
          <w:szCs w:val="24"/>
        </w:rPr>
        <w:t>euro</w:t>
      </w:r>
      <w:r w:rsidRPr="008B0630">
        <w:rPr>
          <w:rFonts w:cs="Times New Roman"/>
          <w:szCs w:val="24"/>
        </w:rPr>
        <w:t>, 2024. gadā sasniedzot 12,9 milj. </w:t>
      </w:r>
      <w:r w:rsidRPr="008B0630">
        <w:rPr>
          <w:rFonts w:cs="Times New Roman"/>
          <w:i/>
          <w:iCs/>
          <w:szCs w:val="24"/>
        </w:rPr>
        <w:t>euro</w:t>
      </w:r>
      <w:r w:rsidRPr="008B0630">
        <w:rPr>
          <w:rFonts w:cs="Times New Roman"/>
          <w:szCs w:val="24"/>
        </w:rPr>
        <w:t>. Jāatzīmē, ka salīdzināmajos periodos šo nodokļu maksātāju aprēķinātās dividendes vai dividendēm pielīdzinātas izmaksas palielinājušās par 249,3 milj. </w:t>
      </w:r>
      <w:r w:rsidRPr="008B0630">
        <w:rPr>
          <w:rFonts w:cs="Times New Roman"/>
          <w:i/>
          <w:iCs/>
          <w:szCs w:val="24"/>
        </w:rPr>
        <w:t>euro</w:t>
      </w:r>
      <w:r w:rsidRPr="008B0630">
        <w:rPr>
          <w:rFonts w:cs="Times New Roman"/>
          <w:szCs w:val="24"/>
        </w:rPr>
        <w:t xml:space="preserve"> jeb 5,9 reizes, bet nosacīti sadalītā peļņa – par 2,4 milj. </w:t>
      </w:r>
      <w:r w:rsidRPr="00A76934">
        <w:rPr>
          <w:rFonts w:cs="Times New Roman"/>
          <w:i/>
          <w:iCs/>
          <w:szCs w:val="24"/>
        </w:rPr>
        <w:t>euro</w:t>
      </w:r>
      <w:r w:rsidRPr="008B0630">
        <w:rPr>
          <w:rFonts w:cs="Times New Roman"/>
          <w:szCs w:val="24"/>
        </w:rPr>
        <w:t xml:space="preserve"> jeb 1,9 reizes, aprēķinātajam nodoklim pieaugot par 53,9 milj. </w:t>
      </w:r>
      <w:r w:rsidRPr="008B0630">
        <w:rPr>
          <w:rFonts w:cs="Times New Roman"/>
          <w:i/>
          <w:iCs/>
          <w:szCs w:val="24"/>
        </w:rPr>
        <w:t>euro</w:t>
      </w:r>
      <w:r w:rsidRPr="008B0630">
        <w:rPr>
          <w:rFonts w:cs="Times New Roman"/>
          <w:szCs w:val="24"/>
        </w:rPr>
        <w:t xml:space="preserve"> jeb 7,8 reizes.</w:t>
      </w:r>
    </w:p>
    <w:p w14:paraId="5AD13374" w14:textId="77777777" w:rsidR="008B0630" w:rsidRPr="008B0630" w:rsidRDefault="008B0630" w:rsidP="00A76934">
      <w:pPr>
        <w:spacing w:before="240"/>
        <w:ind w:firstLine="0"/>
        <w:jc w:val="center"/>
        <w:rPr>
          <w:rFonts w:cs="Times New Roman"/>
          <w:b/>
          <w:bCs/>
          <w:iCs/>
          <w:sz w:val="28"/>
          <w:szCs w:val="28"/>
        </w:rPr>
      </w:pPr>
      <w:r w:rsidRPr="008B0630">
        <w:rPr>
          <w:rFonts w:cs="Times New Roman"/>
          <w:b/>
          <w:bCs/>
          <w:iCs/>
          <w:sz w:val="28"/>
          <w:szCs w:val="28"/>
        </w:rPr>
        <w:t>Iedzīvotāju ienākuma nodoklis (IIN)</w:t>
      </w:r>
    </w:p>
    <w:p w14:paraId="26AFC095" w14:textId="77777777" w:rsidR="008B0630" w:rsidRPr="008B0630" w:rsidRDefault="008B0630" w:rsidP="008B0630">
      <w:pPr>
        <w:rPr>
          <w:rFonts w:eastAsia="Calibri" w:cs="Times New Roman"/>
          <w:szCs w:val="24"/>
        </w:rPr>
      </w:pPr>
      <w:r w:rsidRPr="008B0630">
        <w:rPr>
          <w:rFonts w:eastAsia="Calibri" w:cs="Times New Roman"/>
          <w:szCs w:val="24"/>
        </w:rPr>
        <w:t>Saskaņā ar paziņojumu par fiziskajai personām izmaksātajām summām un IIN deklarāciju datiem, vērtēto piešķirto IIN atvieglojumu apmēri 2024. gadā bija ap 6,3 mljrd. </w:t>
      </w:r>
      <w:r w:rsidRPr="008B0630">
        <w:rPr>
          <w:rFonts w:eastAsia="Calibri" w:cs="Times New Roman"/>
          <w:i/>
          <w:iCs/>
          <w:szCs w:val="24"/>
        </w:rPr>
        <w:t>euro</w:t>
      </w:r>
      <w:r w:rsidRPr="008B0630">
        <w:rPr>
          <w:rFonts w:eastAsia="Calibri" w:cs="Times New Roman"/>
          <w:szCs w:val="24"/>
        </w:rPr>
        <w:t>, kas ir par 4,1% mazāk nekā 2023. gadā (skatīt 3.22. tabulu).</w:t>
      </w:r>
    </w:p>
    <w:p w14:paraId="3F7BECFF" w14:textId="77777777" w:rsidR="008B0630" w:rsidRPr="008B0630" w:rsidRDefault="008B0630" w:rsidP="008B0630">
      <w:pPr>
        <w:ind w:firstLine="0"/>
        <w:jc w:val="right"/>
        <w:rPr>
          <w:rFonts w:eastAsia="Calibri" w:cs="Times New Roman"/>
          <w:b/>
          <w:i/>
          <w:szCs w:val="24"/>
        </w:rPr>
      </w:pPr>
      <w:r w:rsidRPr="008B0630">
        <w:rPr>
          <w:rFonts w:eastAsia="Calibri" w:cs="Times New Roman"/>
          <w:b/>
          <w:i/>
          <w:szCs w:val="24"/>
        </w:rPr>
        <w:t>3.22. tabula. Paziņojumu par fiziskai personai izmaksātajām summām un 2023. un 2024. gada iesniegto ienākumu deklarāciju apkopojums</w:t>
      </w:r>
    </w:p>
    <w:tbl>
      <w:tblPr>
        <w:tblW w:w="5000" w:type="pct"/>
        <w:jc w:val="center"/>
        <w:tblLook w:val="04A0" w:firstRow="1" w:lastRow="0" w:firstColumn="1" w:lastColumn="0" w:noHBand="0" w:noVBand="1"/>
      </w:tblPr>
      <w:tblGrid>
        <w:gridCol w:w="2609"/>
        <w:gridCol w:w="2103"/>
        <w:gridCol w:w="1266"/>
        <w:gridCol w:w="1267"/>
        <w:gridCol w:w="1183"/>
        <w:gridCol w:w="633"/>
      </w:tblGrid>
      <w:tr w:rsidR="008B0630" w:rsidRPr="008B0630" w14:paraId="2F3ADDC3" w14:textId="77777777" w:rsidTr="00E03828">
        <w:trPr>
          <w:trHeight w:val="257"/>
          <w:jc w:val="center"/>
        </w:trPr>
        <w:tc>
          <w:tcPr>
            <w:tcW w:w="2601" w:type="pct"/>
            <w:gridSpan w:val="2"/>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103FB673" w14:textId="77777777" w:rsidR="008B0630" w:rsidRPr="008B0630" w:rsidRDefault="008B0630" w:rsidP="008B0630">
            <w:pPr>
              <w:keepNext/>
              <w:keepLines/>
              <w:spacing w:after="0"/>
              <w:ind w:firstLine="0"/>
              <w:contextualSpacing/>
              <w:jc w:val="center"/>
              <w:rPr>
                <w:rFonts w:eastAsia="Calibri" w:cs="Times New Roman"/>
                <w:b/>
                <w:bCs/>
                <w:sz w:val="20"/>
                <w:szCs w:val="20"/>
              </w:rPr>
            </w:pPr>
            <w:r w:rsidRPr="008B0630">
              <w:rPr>
                <w:rFonts w:eastAsia="Calibri" w:cs="Times New Roman"/>
                <w:b/>
                <w:bCs/>
                <w:sz w:val="20"/>
                <w:szCs w:val="20"/>
              </w:rPr>
              <w:t>Nodokļa atvieglojumi</w:t>
            </w:r>
          </w:p>
        </w:tc>
        <w:tc>
          <w:tcPr>
            <w:tcW w:w="1397" w:type="pct"/>
            <w:gridSpan w:val="2"/>
            <w:tcBorders>
              <w:top w:val="single" w:sz="4" w:space="0" w:color="auto"/>
              <w:left w:val="nil"/>
              <w:bottom w:val="single" w:sz="4" w:space="0" w:color="auto"/>
              <w:right w:val="single" w:sz="4" w:space="0" w:color="auto"/>
            </w:tcBorders>
            <w:shd w:val="clear" w:color="auto" w:fill="9CC2E5" w:themeFill="accent1" w:themeFillTint="99"/>
            <w:vAlign w:val="center"/>
            <w:hideMark/>
          </w:tcPr>
          <w:p w14:paraId="77471C03" w14:textId="77777777" w:rsidR="008B0630" w:rsidRPr="008B0630" w:rsidRDefault="008B0630" w:rsidP="008B0630">
            <w:pPr>
              <w:keepNext/>
              <w:keepLines/>
              <w:spacing w:after="0"/>
              <w:ind w:firstLine="0"/>
              <w:contextualSpacing/>
              <w:jc w:val="center"/>
              <w:rPr>
                <w:rFonts w:eastAsia="Calibri" w:cs="Times New Roman"/>
                <w:b/>
                <w:bCs/>
                <w:sz w:val="20"/>
                <w:szCs w:val="20"/>
              </w:rPr>
            </w:pPr>
            <w:r w:rsidRPr="008B0630">
              <w:rPr>
                <w:rFonts w:eastAsia="Calibri" w:cs="Times New Roman"/>
                <w:b/>
                <w:bCs/>
                <w:sz w:val="20"/>
                <w:szCs w:val="20"/>
              </w:rPr>
              <w:t>Aprēķinātā atvieglojumu summa</w:t>
            </w:r>
            <w:r w:rsidRPr="008B0630">
              <w:rPr>
                <w:rFonts w:eastAsia="Calibri" w:cs="Times New Roman"/>
                <w:b/>
                <w:bCs/>
                <w:sz w:val="20"/>
                <w:szCs w:val="20"/>
                <w:vertAlign w:val="superscript"/>
              </w:rPr>
              <w:t>1</w:t>
            </w:r>
            <w:r w:rsidRPr="008B0630">
              <w:rPr>
                <w:rFonts w:eastAsia="Calibri" w:cs="Times New Roman"/>
                <w:b/>
                <w:bCs/>
                <w:sz w:val="20"/>
                <w:szCs w:val="20"/>
              </w:rPr>
              <w:t xml:space="preserve">, </w:t>
            </w:r>
            <w:r w:rsidRPr="008B0630">
              <w:rPr>
                <w:rFonts w:eastAsia="Calibri" w:cs="Times New Roman"/>
                <w:sz w:val="20"/>
                <w:szCs w:val="20"/>
              </w:rPr>
              <w:t>tūkst.</w:t>
            </w:r>
            <w:r w:rsidRPr="008B0630">
              <w:rPr>
                <w:rFonts w:eastAsia="Calibri" w:cs="Times New Roman"/>
                <w:i/>
                <w:iCs/>
                <w:sz w:val="20"/>
                <w:szCs w:val="20"/>
              </w:rPr>
              <w:t xml:space="preserve"> euro</w:t>
            </w:r>
          </w:p>
        </w:tc>
        <w:tc>
          <w:tcPr>
            <w:tcW w:w="1002" w:type="pct"/>
            <w:gridSpan w:val="2"/>
            <w:tcBorders>
              <w:top w:val="single" w:sz="4" w:space="0" w:color="auto"/>
              <w:left w:val="nil"/>
              <w:bottom w:val="single" w:sz="4" w:space="0" w:color="auto"/>
              <w:right w:val="single" w:sz="4" w:space="0" w:color="000000"/>
            </w:tcBorders>
            <w:shd w:val="clear" w:color="auto" w:fill="9CC2E5" w:themeFill="accent1" w:themeFillTint="99"/>
            <w:vAlign w:val="center"/>
            <w:hideMark/>
          </w:tcPr>
          <w:p w14:paraId="7E0A8ECE" w14:textId="77777777" w:rsidR="008B0630" w:rsidRPr="008B0630" w:rsidRDefault="008B0630" w:rsidP="008B0630">
            <w:pPr>
              <w:keepNext/>
              <w:keepLines/>
              <w:spacing w:after="0"/>
              <w:ind w:firstLine="0"/>
              <w:jc w:val="center"/>
              <w:rPr>
                <w:rFonts w:eastAsia="Calibri" w:cs="Times New Roman"/>
                <w:b/>
                <w:bCs/>
                <w:sz w:val="20"/>
                <w:szCs w:val="20"/>
              </w:rPr>
            </w:pPr>
            <w:r w:rsidRPr="008B0630">
              <w:rPr>
                <w:rFonts w:eastAsia="Calibri" w:cs="Times New Roman"/>
                <w:b/>
                <w:bCs/>
                <w:sz w:val="20"/>
                <w:szCs w:val="20"/>
              </w:rPr>
              <w:t>Izmaiņas</w:t>
            </w:r>
          </w:p>
          <w:p w14:paraId="76156E71" w14:textId="77777777" w:rsidR="008B0630" w:rsidRPr="008B0630" w:rsidRDefault="008B0630" w:rsidP="008B0630">
            <w:pPr>
              <w:keepNext/>
              <w:keepLines/>
              <w:spacing w:after="0"/>
              <w:ind w:firstLine="0"/>
              <w:contextualSpacing/>
              <w:jc w:val="center"/>
              <w:rPr>
                <w:rFonts w:eastAsia="Calibri" w:cs="Times New Roman"/>
                <w:b/>
                <w:bCs/>
                <w:sz w:val="20"/>
                <w:szCs w:val="20"/>
              </w:rPr>
            </w:pPr>
            <w:r w:rsidRPr="008B0630">
              <w:rPr>
                <w:rFonts w:eastAsia="Calibri" w:cs="Times New Roman"/>
                <w:b/>
                <w:bCs/>
                <w:sz w:val="20"/>
                <w:szCs w:val="20"/>
              </w:rPr>
              <w:t>(2024.g. – 2023.g.)</w:t>
            </w:r>
          </w:p>
        </w:tc>
      </w:tr>
      <w:tr w:rsidR="008B0630" w:rsidRPr="008B0630" w14:paraId="72B7DA0F" w14:textId="77777777" w:rsidTr="00E03828">
        <w:trPr>
          <w:trHeight w:val="255"/>
          <w:jc w:val="center"/>
        </w:trPr>
        <w:tc>
          <w:tcPr>
            <w:tcW w:w="2601" w:type="pct"/>
            <w:gridSpan w:val="2"/>
            <w:vMerge/>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005A4D4C" w14:textId="77777777" w:rsidR="008B0630" w:rsidRPr="008B0630" w:rsidRDefault="008B0630" w:rsidP="008B0630">
            <w:pPr>
              <w:keepNext/>
              <w:keepLines/>
              <w:spacing w:after="0"/>
              <w:ind w:firstLine="0"/>
              <w:contextualSpacing/>
              <w:jc w:val="center"/>
              <w:rPr>
                <w:rFonts w:eastAsia="Calibri" w:cs="Times New Roman"/>
                <w:b/>
                <w:bCs/>
                <w:sz w:val="20"/>
                <w:szCs w:val="20"/>
              </w:rPr>
            </w:pPr>
          </w:p>
        </w:tc>
        <w:tc>
          <w:tcPr>
            <w:tcW w:w="699" w:type="pct"/>
            <w:tcBorders>
              <w:top w:val="nil"/>
              <w:left w:val="nil"/>
              <w:bottom w:val="single" w:sz="4" w:space="0" w:color="auto"/>
              <w:right w:val="single" w:sz="4" w:space="0" w:color="auto"/>
            </w:tcBorders>
            <w:shd w:val="clear" w:color="auto" w:fill="9CC2E5" w:themeFill="accent1" w:themeFillTint="99"/>
            <w:vAlign w:val="center"/>
            <w:hideMark/>
          </w:tcPr>
          <w:p w14:paraId="23540CB7" w14:textId="77777777" w:rsidR="008B0630" w:rsidRPr="008B0630" w:rsidRDefault="008B0630" w:rsidP="008B0630">
            <w:pPr>
              <w:keepNext/>
              <w:keepLines/>
              <w:spacing w:after="0"/>
              <w:ind w:firstLine="0"/>
              <w:contextualSpacing/>
              <w:jc w:val="center"/>
              <w:rPr>
                <w:rFonts w:eastAsia="Calibri" w:cs="Times New Roman"/>
                <w:b/>
                <w:bCs/>
                <w:sz w:val="20"/>
                <w:szCs w:val="20"/>
              </w:rPr>
            </w:pPr>
            <w:r w:rsidRPr="008B0630">
              <w:rPr>
                <w:rFonts w:eastAsia="Calibri" w:cs="Times New Roman"/>
                <w:b/>
                <w:bCs/>
                <w:sz w:val="20"/>
                <w:szCs w:val="20"/>
              </w:rPr>
              <w:t>2023. g.</w:t>
            </w:r>
          </w:p>
        </w:tc>
        <w:tc>
          <w:tcPr>
            <w:tcW w:w="699" w:type="pct"/>
            <w:tcBorders>
              <w:top w:val="nil"/>
              <w:left w:val="nil"/>
              <w:bottom w:val="single" w:sz="4" w:space="0" w:color="auto"/>
              <w:right w:val="single" w:sz="4" w:space="0" w:color="auto"/>
            </w:tcBorders>
            <w:shd w:val="clear" w:color="auto" w:fill="9CC2E5" w:themeFill="accent1" w:themeFillTint="99"/>
            <w:vAlign w:val="center"/>
            <w:hideMark/>
          </w:tcPr>
          <w:p w14:paraId="6A78937C" w14:textId="77777777" w:rsidR="008B0630" w:rsidRPr="008B0630" w:rsidRDefault="008B0630" w:rsidP="008B0630">
            <w:pPr>
              <w:keepNext/>
              <w:keepLines/>
              <w:spacing w:after="0"/>
              <w:ind w:firstLine="0"/>
              <w:contextualSpacing/>
              <w:jc w:val="center"/>
              <w:rPr>
                <w:rFonts w:eastAsia="Calibri" w:cs="Times New Roman"/>
                <w:b/>
                <w:bCs/>
                <w:sz w:val="20"/>
                <w:szCs w:val="20"/>
              </w:rPr>
            </w:pPr>
            <w:r w:rsidRPr="008B0630">
              <w:rPr>
                <w:rFonts w:eastAsia="Calibri" w:cs="Times New Roman"/>
                <w:b/>
                <w:bCs/>
                <w:sz w:val="20"/>
                <w:szCs w:val="20"/>
              </w:rPr>
              <w:t>2024. g.</w:t>
            </w:r>
          </w:p>
        </w:tc>
        <w:tc>
          <w:tcPr>
            <w:tcW w:w="653" w:type="pct"/>
            <w:tcBorders>
              <w:top w:val="nil"/>
              <w:left w:val="nil"/>
              <w:bottom w:val="single" w:sz="4" w:space="0" w:color="auto"/>
              <w:right w:val="single" w:sz="4" w:space="0" w:color="auto"/>
            </w:tcBorders>
            <w:shd w:val="clear" w:color="auto" w:fill="9CC2E5" w:themeFill="accent1" w:themeFillTint="99"/>
            <w:noWrap/>
            <w:vAlign w:val="center"/>
            <w:hideMark/>
          </w:tcPr>
          <w:p w14:paraId="2EBEDD74" w14:textId="77777777" w:rsidR="008B0630" w:rsidRPr="008B0630" w:rsidRDefault="008B0630" w:rsidP="008B0630">
            <w:pPr>
              <w:keepNext/>
              <w:keepLines/>
              <w:spacing w:after="0"/>
              <w:ind w:firstLine="0"/>
              <w:contextualSpacing/>
              <w:jc w:val="center"/>
              <w:rPr>
                <w:rFonts w:eastAsia="Calibri" w:cs="Times New Roman"/>
                <w:b/>
                <w:bCs/>
                <w:sz w:val="20"/>
                <w:szCs w:val="20"/>
              </w:rPr>
            </w:pPr>
            <w:r w:rsidRPr="008B0630">
              <w:rPr>
                <w:rFonts w:eastAsia="Calibri" w:cs="Times New Roman"/>
                <w:b/>
                <w:bCs/>
                <w:sz w:val="20"/>
                <w:szCs w:val="20"/>
              </w:rPr>
              <w:t>tūkst.</w:t>
            </w:r>
            <w:r w:rsidRPr="008B0630">
              <w:rPr>
                <w:rFonts w:eastAsia="Calibri" w:cs="Times New Roman"/>
                <w:b/>
                <w:bCs/>
                <w:i/>
                <w:iCs/>
                <w:sz w:val="20"/>
                <w:szCs w:val="20"/>
              </w:rPr>
              <w:t xml:space="preserve"> euro</w:t>
            </w:r>
          </w:p>
        </w:tc>
        <w:tc>
          <w:tcPr>
            <w:tcW w:w="349" w:type="pct"/>
            <w:tcBorders>
              <w:top w:val="nil"/>
              <w:left w:val="nil"/>
              <w:bottom w:val="single" w:sz="4" w:space="0" w:color="auto"/>
              <w:right w:val="single" w:sz="4" w:space="0" w:color="auto"/>
            </w:tcBorders>
            <w:shd w:val="clear" w:color="auto" w:fill="9CC2E5" w:themeFill="accent1" w:themeFillTint="99"/>
            <w:noWrap/>
            <w:vAlign w:val="center"/>
            <w:hideMark/>
          </w:tcPr>
          <w:p w14:paraId="6B428A13" w14:textId="77777777" w:rsidR="008B0630" w:rsidRPr="008B0630" w:rsidRDefault="008B0630" w:rsidP="008B0630">
            <w:pPr>
              <w:keepNext/>
              <w:keepLines/>
              <w:spacing w:after="0"/>
              <w:ind w:firstLine="0"/>
              <w:contextualSpacing/>
              <w:jc w:val="center"/>
              <w:rPr>
                <w:rFonts w:eastAsia="Calibri" w:cs="Times New Roman"/>
                <w:b/>
                <w:bCs/>
                <w:sz w:val="20"/>
                <w:szCs w:val="20"/>
              </w:rPr>
            </w:pPr>
            <w:r w:rsidRPr="008B0630">
              <w:rPr>
                <w:rFonts w:eastAsia="Calibri" w:cs="Times New Roman"/>
                <w:b/>
                <w:bCs/>
                <w:i/>
                <w:iCs/>
                <w:sz w:val="20"/>
                <w:szCs w:val="20"/>
              </w:rPr>
              <w:t> %</w:t>
            </w:r>
          </w:p>
        </w:tc>
      </w:tr>
      <w:tr w:rsidR="008B0630" w:rsidRPr="008B0630" w14:paraId="5A93FBBF" w14:textId="77777777" w:rsidTr="00E03828">
        <w:trPr>
          <w:trHeight w:val="284"/>
          <w:jc w:val="center"/>
        </w:trPr>
        <w:tc>
          <w:tcPr>
            <w:tcW w:w="1440" w:type="pct"/>
            <w:vMerge w:val="restart"/>
            <w:tcBorders>
              <w:top w:val="nil"/>
              <w:left w:val="single" w:sz="4" w:space="0" w:color="auto"/>
              <w:bottom w:val="single" w:sz="4" w:space="0" w:color="auto"/>
              <w:right w:val="single" w:sz="4" w:space="0" w:color="auto"/>
            </w:tcBorders>
            <w:vAlign w:val="center"/>
            <w:hideMark/>
          </w:tcPr>
          <w:p w14:paraId="123565AB" w14:textId="77777777" w:rsidR="008B0630" w:rsidRPr="008B0630" w:rsidRDefault="008B0630" w:rsidP="008B0630">
            <w:pPr>
              <w:keepLines/>
              <w:spacing w:after="0"/>
              <w:ind w:firstLine="0"/>
              <w:contextualSpacing/>
              <w:jc w:val="left"/>
              <w:rPr>
                <w:rFonts w:eastAsia="Calibri" w:cs="Times New Roman"/>
                <w:sz w:val="18"/>
                <w:szCs w:val="18"/>
              </w:rPr>
            </w:pPr>
            <w:r w:rsidRPr="008B0630">
              <w:rPr>
                <w:rFonts w:eastAsia="Calibri" w:cs="Times New Roman"/>
                <w:sz w:val="18"/>
                <w:szCs w:val="18"/>
              </w:rPr>
              <w:t>Neapliekamais minimums</w:t>
            </w:r>
            <w:r w:rsidRPr="008B0630">
              <w:rPr>
                <w:rFonts w:eastAsia="Times New Roman" w:cs="Times New Roman"/>
                <w:sz w:val="18"/>
                <w:szCs w:val="18"/>
                <w:vertAlign w:val="superscript"/>
              </w:rPr>
              <w:t>2</w:t>
            </w:r>
          </w:p>
        </w:tc>
        <w:tc>
          <w:tcPr>
            <w:tcW w:w="1161" w:type="pct"/>
            <w:tcBorders>
              <w:top w:val="nil"/>
              <w:left w:val="nil"/>
              <w:bottom w:val="single" w:sz="4" w:space="0" w:color="auto"/>
              <w:right w:val="single" w:sz="4" w:space="0" w:color="auto"/>
            </w:tcBorders>
            <w:noWrap/>
            <w:vAlign w:val="center"/>
            <w:hideMark/>
          </w:tcPr>
          <w:p w14:paraId="2589FA1C" w14:textId="77777777" w:rsidR="008B0630" w:rsidRPr="008B0630" w:rsidRDefault="008B0630" w:rsidP="008B0630">
            <w:pPr>
              <w:keepLines/>
              <w:spacing w:after="0"/>
              <w:ind w:firstLine="0"/>
              <w:contextualSpacing/>
              <w:jc w:val="left"/>
              <w:rPr>
                <w:rFonts w:eastAsia="Calibri" w:cs="Times New Roman"/>
                <w:sz w:val="18"/>
                <w:szCs w:val="18"/>
              </w:rPr>
            </w:pPr>
            <w:r w:rsidRPr="008B0630">
              <w:rPr>
                <w:rFonts w:eastAsia="Calibri" w:cs="Times New Roman"/>
                <w:sz w:val="18"/>
                <w:szCs w:val="18"/>
              </w:rPr>
              <w:t>pensiju saņēmējiem</w:t>
            </w:r>
            <w:r w:rsidRPr="008B0630">
              <w:rPr>
                <w:rFonts w:eastAsia="Calibri" w:cs="Times New Roman"/>
                <w:sz w:val="18"/>
                <w:szCs w:val="18"/>
                <w:vertAlign w:val="superscript"/>
              </w:rPr>
              <w:t>3</w:t>
            </w:r>
          </w:p>
        </w:tc>
        <w:tc>
          <w:tcPr>
            <w:tcW w:w="699" w:type="pct"/>
            <w:tcBorders>
              <w:top w:val="nil"/>
              <w:left w:val="nil"/>
              <w:bottom w:val="single" w:sz="4" w:space="0" w:color="auto"/>
              <w:right w:val="single" w:sz="4" w:space="0" w:color="auto"/>
            </w:tcBorders>
            <w:noWrap/>
            <w:vAlign w:val="center"/>
          </w:tcPr>
          <w:p w14:paraId="394CC55C"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2 793 949,9</w:t>
            </w:r>
          </w:p>
        </w:tc>
        <w:tc>
          <w:tcPr>
            <w:tcW w:w="699" w:type="pct"/>
            <w:tcBorders>
              <w:top w:val="nil"/>
              <w:left w:val="nil"/>
              <w:bottom w:val="single" w:sz="4" w:space="0" w:color="auto"/>
              <w:right w:val="single" w:sz="4" w:space="0" w:color="auto"/>
            </w:tcBorders>
            <w:noWrap/>
            <w:vAlign w:val="center"/>
          </w:tcPr>
          <w:p w14:paraId="513C354F"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2 852 148,8</w:t>
            </w:r>
          </w:p>
        </w:tc>
        <w:tc>
          <w:tcPr>
            <w:tcW w:w="653" w:type="pct"/>
            <w:tcBorders>
              <w:top w:val="nil"/>
              <w:left w:val="nil"/>
              <w:bottom w:val="single" w:sz="4" w:space="0" w:color="auto"/>
              <w:right w:val="single" w:sz="4" w:space="0" w:color="auto"/>
            </w:tcBorders>
            <w:noWrap/>
            <w:vAlign w:val="center"/>
          </w:tcPr>
          <w:p w14:paraId="0DD5FE34"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+58 198,8</w:t>
            </w:r>
          </w:p>
        </w:tc>
        <w:tc>
          <w:tcPr>
            <w:tcW w:w="349" w:type="pct"/>
            <w:tcBorders>
              <w:top w:val="nil"/>
              <w:left w:val="nil"/>
              <w:bottom w:val="single" w:sz="4" w:space="0" w:color="auto"/>
              <w:right w:val="single" w:sz="4" w:space="0" w:color="auto"/>
            </w:tcBorders>
            <w:noWrap/>
            <w:vAlign w:val="center"/>
          </w:tcPr>
          <w:p w14:paraId="6585D6F2"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+2,1</w:t>
            </w:r>
          </w:p>
        </w:tc>
      </w:tr>
      <w:tr w:rsidR="008B0630" w:rsidRPr="008B0630" w14:paraId="65873167" w14:textId="77777777" w:rsidTr="00E03828">
        <w:trPr>
          <w:trHeight w:val="284"/>
          <w:jc w:val="center"/>
        </w:trPr>
        <w:tc>
          <w:tcPr>
            <w:tcW w:w="1440" w:type="pct"/>
            <w:vMerge/>
            <w:tcBorders>
              <w:top w:val="nil"/>
              <w:left w:val="single" w:sz="4" w:space="0" w:color="auto"/>
              <w:bottom w:val="single" w:sz="4" w:space="0" w:color="auto"/>
              <w:right w:val="single" w:sz="4" w:space="0" w:color="auto"/>
            </w:tcBorders>
            <w:vAlign w:val="center"/>
            <w:hideMark/>
          </w:tcPr>
          <w:p w14:paraId="7A2DB58F" w14:textId="77777777" w:rsidR="008B0630" w:rsidRPr="008B0630" w:rsidRDefault="008B0630" w:rsidP="008B0630">
            <w:pPr>
              <w:keepLines/>
              <w:spacing w:after="0"/>
              <w:ind w:firstLine="0"/>
              <w:contextualSpacing/>
              <w:jc w:val="left"/>
              <w:rPr>
                <w:rFonts w:eastAsia="Calibri" w:cs="Times New Roman"/>
                <w:sz w:val="18"/>
                <w:szCs w:val="18"/>
              </w:rPr>
            </w:pPr>
          </w:p>
        </w:tc>
        <w:tc>
          <w:tcPr>
            <w:tcW w:w="1161" w:type="pct"/>
            <w:tcBorders>
              <w:top w:val="nil"/>
              <w:left w:val="nil"/>
              <w:bottom w:val="single" w:sz="4" w:space="0" w:color="auto"/>
              <w:right w:val="single" w:sz="4" w:space="0" w:color="auto"/>
            </w:tcBorders>
            <w:noWrap/>
            <w:vAlign w:val="center"/>
            <w:hideMark/>
          </w:tcPr>
          <w:p w14:paraId="469B33B9" w14:textId="77777777" w:rsidR="008B0630" w:rsidRPr="008B0630" w:rsidRDefault="008B0630" w:rsidP="008B0630">
            <w:pPr>
              <w:keepLines/>
              <w:spacing w:after="0"/>
              <w:ind w:firstLine="0"/>
              <w:contextualSpacing/>
              <w:jc w:val="left"/>
              <w:rPr>
                <w:rFonts w:eastAsia="Calibri" w:cs="Times New Roman"/>
                <w:sz w:val="18"/>
                <w:szCs w:val="18"/>
              </w:rPr>
            </w:pPr>
            <w:r w:rsidRPr="008B0630">
              <w:rPr>
                <w:rFonts w:eastAsia="Calibri" w:cs="Times New Roman"/>
                <w:sz w:val="18"/>
                <w:szCs w:val="18"/>
              </w:rPr>
              <w:t>pārējiem</w:t>
            </w:r>
          </w:p>
        </w:tc>
        <w:tc>
          <w:tcPr>
            <w:tcW w:w="699" w:type="pct"/>
            <w:tcBorders>
              <w:top w:val="nil"/>
              <w:left w:val="nil"/>
              <w:bottom w:val="single" w:sz="4" w:space="0" w:color="auto"/>
              <w:right w:val="single" w:sz="4" w:space="0" w:color="auto"/>
            </w:tcBorders>
            <w:noWrap/>
            <w:vAlign w:val="center"/>
          </w:tcPr>
          <w:p w14:paraId="4B1C14F3"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2 325 454,1</w:t>
            </w:r>
          </w:p>
        </w:tc>
        <w:tc>
          <w:tcPr>
            <w:tcW w:w="699" w:type="pct"/>
            <w:tcBorders>
              <w:top w:val="nil"/>
              <w:left w:val="nil"/>
              <w:bottom w:val="single" w:sz="4" w:space="0" w:color="auto"/>
              <w:right w:val="single" w:sz="4" w:space="0" w:color="auto"/>
            </w:tcBorders>
            <w:noWrap/>
            <w:vAlign w:val="center"/>
          </w:tcPr>
          <w:p w14:paraId="0F5C98D4"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2 002 721,6</w:t>
            </w:r>
          </w:p>
        </w:tc>
        <w:tc>
          <w:tcPr>
            <w:tcW w:w="653" w:type="pct"/>
            <w:tcBorders>
              <w:top w:val="nil"/>
              <w:left w:val="nil"/>
              <w:bottom w:val="single" w:sz="4" w:space="0" w:color="auto"/>
              <w:right w:val="single" w:sz="4" w:space="0" w:color="auto"/>
            </w:tcBorders>
            <w:noWrap/>
            <w:vAlign w:val="center"/>
          </w:tcPr>
          <w:p w14:paraId="6E5FBBBA"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-322 732,5</w:t>
            </w:r>
          </w:p>
        </w:tc>
        <w:tc>
          <w:tcPr>
            <w:tcW w:w="349" w:type="pct"/>
            <w:tcBorders>
              <w:top w:val="nil"/>
              <w:left w:val="nil"/>
              <w:bottom w:val="single" w:sz="4" w:space="0" w:color="auto"/>
              <w:right w:val="single" w:sz="4" w:space="0" w:color="auto"/>
            </w:tcBorders>
            <w:noWrap/>
            <w:vAlign w:val="center"/>
          </w:tcPr>
          <w:p w14:paraId="69B1D00B"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-13,9</w:t>
            </w:r>
          </w:p>
        </w:tc>
      </w:tr>
      <w:tr w:rsidR="008B0630" w:rsidRPr="008B0630" w14:paraId="795FB956" w14:textId="77777777" w:rsidTr="00E03828">
        <w:trPr>
          <w:trHeight w:val="284"/>
          <w:jc w:val="center"/>
        </w:trPr>
        <w:tc>
          <w:tcPr>
            <w:tcW w:w="2601" w:type="pct"/>
            <w:gridSpan w:val="2"/>
            <w:tcBorders>
              <w:top w:val="single" w:sz="4" w:space="0" w:color="auto"/>
              <w:left w:val="single" w:sz="4" w:space="0" w:color="auto"/>
              <w:bottom w:val="single" w:sz="4" w:space="0" w:color="auto"/>
              <w:right w:val="single" w:sz="4" w:space="0" w:color="auto"/>
            </w:tcBorders>
            <w:noWrap/>
            <w:vAlign w:val="center"/>
            <w:hideMark/>
          </w:tcPr>
          <w:p w14:paraId="0E7F1C7B" w14:textId="77777777" w:rsidR="008B0630" w:rsidRPr="008B0630" w:rsidRDefault="008B0630" w:rsidP="008B0630">
            <w:pPr>
              <w:keepLines/>
              <w:spacing w:after="0"/>
              <w:ind w:firstLine="0"/>
              <w:contextualSpacing/>
              <w:jc w:val="left"/>
              <w:rPr>
                <w:rFonts w:eastAsia="Calibri" w:cs="Times New Roman"/>
                <w:sz w:val="18"/>
                <w:szCs w:val="18"/>
              </w:rPr>
            </w:pPr>
            <w:r w:rsidRPr="008B0630">
              <w:rPr>
                <w:rFonts w:eastAsia="Calibri" w:cs="Times New Roman"/>
                <w:sz w:val="18"/>
                <w:szCs w:val="18"/>
              </w:rPr>
              <w:t>Par apgādājamiem</w:t>
            </w:r>
            <w:r w:rsidRPr="008B0630">
              <w:rPr>
                <w:rFonts w:eastAsia="Times New Roman" w:cs="Times New Roman"/>
                <w:sz w:val="18"/>
                <w:szCs w:val="18"/>
                <w:vertAlign w:val="superscript"/>
              </w:rPr>
              <w:t>2</w:t>
            </w:r>
          </w:p>
        </w:tc>
        <w:tc>
          <w:tcPr>
            <w:tcW w:w="699" w:type="pct"/>
            <w:tcBorders>
              <w:top w:val="nil"/>
              <w:left w:val="nil"/>
              <w:bottom w:val="single" w:sz="4" w:space="0" w:color="auto"/>
              <w:right w:val="single" w:sz="4" w:space="0" w:color="auto"/>
            </w:tcBorders>
            <w:noWrap/>
            <w:vAlign w:val="center"/>
          </w:tcPr>
          <w:p w14:paraId="3D7448EA"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1 027 951,9</w:t>
            </w:r>
          </w:p>
        </w:tc>
        <w:tc>
          <w:tcPr>
            <w:tcW w:w="699" w:type="pct"/>
            <w:tcBorders>
              <w:top w:val="nil"/>
              <w:left w:val="nil"/>
              <w:bottom w:val="single" w:sz="4" w:space="0" w:color="auto"/>
              <w:right w:val="single" w:sz="4" w:space="0" w:color="auto"/>
            </w:tcBorders>
            <w:noWrap/>
            <w:vAlign w:val="center"/>
          </w:tcPr>
          <w:p w14:paraId="311E159F"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1 012 334,1</w:t>
            </w:r>
          </w:p>
        </w:tc>
        <w:tc>
          <w:tcPr>
            <w:tcW w:w="653" w:type="pct"/>
            <w:tcBorders>
              <w:top w:val="nil"/>
              <w:left w:val="nil"/>
              <w:bottom w:val="single" w:sz="4" w:space="0" w:color="auto"/>
              <w:right w:val="single" w:sz="4" w:space="0" w:color="auto"/>
            </w:tcBorders>
            <w:noWrap/>
            <w:vAlign w:val="center"/>
          </w:tcPr>
          <w:p w14:paraId="6A303BB7"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-15 617,8</w:t>
            </w:r>
          </w:p>
        </w:tc>
        <w:tc>
          <w:tcPr>
            <w:tcW w:w="349" w:type="pct"/>
            <w:tcBorders>
              <w:top w:val="nil"/>
              <w:left w:val="nil"/>
              <w:bottom w:val="single" w:sz="4" w:space="0" w:color="auto"/>
              <w:right w:val="single" w:sz="4" w:space="0" w:color="auto"/>
            </w:tcBorders>
            <w:noWrap/>
            <w:vAlign w:val="center"/>
          </w:tcPr>
          <w:p w14:paraId="576FDC35"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-1,5</w:t>
            </w:r>
          </w:p>
        </w:tc>
      </w:tr>
      <w:tr w:rsidR="008B0630" w:rsidRPr="008B0630" w14:paraId="76D5EE38" w14:textId="77777777" w:rsidTr="00E03828">
        <w:trPr>
          <w:trHeight w:val="284"/>
          <w:jc w:val="center"/>
        </w:trPr>
        <w:tc>
          <w:tcPr>
            <w:tcW w:w="2601" w:type="pct"/>
            <w:gridSpan w:val="2"/>
            <w:tcBorders>
              <w:top w:val="single" w:sz="4" w:space="0" w:color="auto"/>
              <w:left w:val="single" w:sz="4" w:space="0" w:color="auto"/>
              <w:bottom w:val="single" w:sz="4" w:space="0" w:color="auto"/>
              <w:right w:val="single" w:sz="4" w:space="0" w:color="auto"/>
            </w:tcBorders>
            <w:noWrap/>
            <w:vAlign w:val="center"/>
            <w:hideMark/>
          </w:tcPr>
          <w:p w14:paraId="68562182" w14:textId="77777777" w:rsidR="008B0630" w:rsidRPr="008B0630" w:rsidRDefault="008B0630" w:rsidP="008B0630">
            <w:pPr>
              <w:keepLines/>
              <w:spacing w:after="0"/>
              <w:ind w:firstLine="0"/>
              <w:contextualSpacing/>
              <w:jc w:val="left"/>
              <w:rPr>
                <w:rFonts w:eastAsia="Calibri" w:cs="Times New Roman"/>
                <w:sz w:val="18"/>
                <w:szCs w:val="18"/>
              </w:rPr>
            </w:pPr>
            <w:r w:rsidRPr="008B0630">
              <w:rPr>
                <w:rFonts w:eastAsia="Calibri" w:cs="Times New Roman"/>
                <w:sz w:val="18"/>
                <w:szCs w:val="18"/>
              </w:rPr>
              <w:t>Par invaliditāti</w:t>
            </w:r>
            <w:r w:rsidRPr="008B0630">
              <w:rPr>
                <w:rFonts w:eastAsia="Times New Roman" w:cs="Times New Roman"/>
                <w:sz w:val="18"/>
                <w:szCs w:val="18"/>
                <w:vertAlign w:val="superscript"/>
              </w:rPr>
              <w:t>2</w:t>
            </w:r>
          </w:p>
        </w:tc>
        <w:tc>
          <w:tcPr>
            <w:tcW w:w="699" w:type="pct"/>
            <w:tcBorders>
              <w:top w:val="nil"/>
              <w:left w:val="nil"/>
              <w:bottom w:val="single" w:sz="4" w:space="0" w:color="auto"/>
              <w:right w:val="single" w:sz="4" w:space="0" w:color="auto"/>
            </w:tcBorders>
            <w:noWrap/>
            <w:vAlign w:val="center"/>
          </w:tcPr>
          <w:p w14:paraId="4B506F70"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149 436,6</w:t>
            </w:r>
          </w:p>
        </w:tc>
        <w:tc>
          <w:tcPr>
            <w:tcW w:w="699" w:type="pct"/>
            <w:tcBorders>
              <w:top w:val="nil"/>
              <w:left w:val="nil"/>
              <w:bottom w:val="single" w:sz="4" w:space="0" w:color="auto"/>
              <w:right w:val="single" w:sz="4" w:space="0" w:color="auto"/>
            </w:tcBorders>
            <w:noWrap/>
            <w:vAlign w:val="center"/>
          </w:tcPr>
          <w:p w14:paraId="67CFF526"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159 711,5</w:t>
            </w:r>
          </w:p>
        </w:tc>
        <w:tc>
          <w:tcPr>
            <w:tcW w:w="653" w:type="pct"/>
            <w:tcBorders>
              <w:top w:val="nil"/>
              <w:left w:val="nil"/>
              <w:bottom w:val="single" w:sz="4" w:space="0" w:color="auto"/>
              <w:right w:val="single" w:sz="4" w:space="0" w:color="auto"/>
            </w:tcBorders>
            <w:noWrap/>
            <w:vAlign w:val="center"/>
          </w:tcPr>
          <w:p w14:paraId="2FFCAE5D"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+10 274,9</w:t>
            </w:r>
          </w:p>
        </w:tc>
        <w:tc>
          <w:tcPr>
            <w:tcW w:w="349" w:type="pct"/>
            <w:tcBorders>
              <w:top w:val="nil"/>
              <w:left w:val="nil"/>
              <w:bottom w:val="single" w:sz="4" w:space="0" w:color="auto"/>
              <w:right w:val="single" w:sz="4" w:space="0" w:color="auto"/>
            </w:tcBorders>
            <w:noWrap/>
            <w:vAlign w:val="center"/>
          </w:tcPr>
          <w:p w14:paraId="0BB9ED6C"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+6,9</w:t>
            </w:r>
          </w:p>
        </w:tc>
      </w:tr>
      <w:tr w:rsidR="008B0630" w:rsidRPr="008B0630" w14:paraId="5001FABD" w14:textId="77777777" w:rsidTr="00E03828">
        <w:trPr>
          <w:trHeight w:val="284"/>
          <w:jc w:val="center"/>
        </w:trPr>
        <w:tc>
          <w:tcPr>
            <w:tcW w:w="2601" w:type="pct"/>
            <w:gridSpan w:val="2"/>
            <w:tcBorders>
              <w:top w:val="single" w:sz="4" w:space="0" w:color="auto"/>
              <w:left w:val="single" w:sz="4" w:space="0" w:color="auto"/>
              <w:bottom w:val="single" w:sz="4" w:space="0" w:color="auto"/>
              <w:right w:val="single" w:sz="4" w:space="0" w:color="auto"/>
            </w:tcBorders>
            <w:noWrap/>
            <w:vAlign w:val="center"/>
            <w:hideMark/>
          </w:tcPr>
          <w:p w14:paraId="0820DE12" w14:textId="77777777" w:rsidR="008B0630" w:rsidRPr="008B0630" w:rsidRDefault="008B0630" w:rsidP="008B0630">
            <w:pPr>
              <w:keepLines/>
              <w:spacing w:after="0"/>
              <w:ind w:firstLine="0"/>
              <w:contextualSpacing/>
              <w:jc w:val="left"/>
              <w:rPr>
                <w:rFonts w:eastAsia="Calibri" w:cs="Times New Roman"/>
                <w:sz w:val="18"/>
                <w:szCs w:val="18"/>
              </w:rPr>
            </w:pPr>
            <w:r w:rsidRPr="008B0630">
              <w:rPr>
                <w:rFonts w:eastAsia="Calibri" w:cs="Times New Roman"/>
                <w:sz w:val="18"/>
                <w:szCs w:val="18"/>
              </w:rPr>
              <w:t>Politiski represētajām personām</w:t>
            </w:r>
            <w:r w:rsidRPr="008B0630">
              <w:rPr>
                <w:rFonts w:eastAsia="Times New Roman" w:cs="Times New Roman"/>
                <w:sz w:val="18"/>
                <w:szCs w:val="18"/>
                <w:vertAlign w:val="superscript"/>
              </w:rPr>
              <w:t>2</w:t>
            </w:r>
          </w:p>
        </w:tc>
        <w:tc>
          <w:tcPr>
            <w:tcW w:w="699" w:type="pct"/>
            <w:tcBorders>
              <w:top w:val="nil"/>
              <w:left w:val="nil"/>
              <w:bottom w:val="single" w:sz="4" w:space="0" w:color="auto"/>
              <w:right w:val="single" w:sz="4" w:space="0" w:color="auto"/>
            </w:tcBorders>
            <w:noWrap/>
            <w:vAlign w:val="center"/>
          </w:tcPr>
          <w:p w14:paraId="6FF4189A"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9 156,6</w:t>
            </w:r>
          </w:p>
        </w:tc>
        <w:tc>
          <w:tcPr>
            <w:tcW w:w="699" w:type="pct"/>
            <w:tcBorders>
              <w:top w:val="nil"/>
              <w:left w:val="nil"/>
              <w:bottom w:val="single" w:sz="4" w:space="0" w:color="auto"/>
              <w:right w:val="single" w:sz="4" w:space="0" w:color="auto"/>
            </w:tcBorders>
            <w:noWrap/>
            <w:vAlign w:val="center"/>
          </w:tcPr>
          <w:p w14:paraId="0260B167"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9 825,6</w:t>
            </w:r>
          </w:p>
        </w:tc>
        <w:tc>
          <w:tcPr>
            <w:tcW w:w="653" w:type="pct"/>
            <w:tcBorders>
              <w:top w:val="nil"/>
              <w:left w:val="nil"/>
              <w:bottom w:val="single" w:sz="4" w:space="0" w:color="auto"/>
              <w:right w:val="single" w:sz="4" w:space="0" w:color="auto"/>
            </w:tcBorders>
            <w:noWrap/>
            <w:vAlign w:val="center"/>
          </w:tcPr>
          <w:p w14:paraId="52826DCB"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+669,0</w:t>
            </w:r>
          </w:p>
        </w:tc>
        <w:tc>
          <w:tcPr>
            <w:tcW w:w="349" w:type="pct"/>
            <w:tcBorders>
              <w:top w:val="nil"/>
              <w:left w:val="nil"/>
              <w:bottom w:val="single" w:sz="4" w:space="0" w:color="auto"/>
              <w:right w:val="single" w:sz="4" w:space="0" w:color="auto"/>
            </w:tcBorders>
            <w:noWrap/>
            <w:vAlign w:val="center"/>
          </w:tcPr>
          <w:p w14:paraId="70BAF97C"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+7,3</w:t>
            </w:r>
          </w:p>
        </w:tc>
      </w:tr>
      <w:tr w:rsidR="008B0630" w:rsidRPr="008B0630" w14:paraId="786B48ED" w14:textId="77777777" w:rsidTr="00E03828">
        <w:trPr>
          <w:trHeight w:val="284"/>
          <w:jc w:val="center"/>
        </w:trPr>
        <w:tc>
          <w:tcPr>
            <w:tcW w:w="2601" w:type="pct"/>
            <w:gridSpan w:val="2"/>
            <w:tcBorders>
              <w:top w:val="single" w:sz="4" w:space="0" w:color="auto"/>
              <w:left w:val="single" w:sz="4" w:space="0" w:color="auto"/>
              <w:bottom w:val="single" w:sz="4" w:space="0" w:color="auto"/>
              <w:right w:val="single" w:sz="4" w:space="0" w:color="auto"/>
            </w:tcBorders>
            <w:noWrap/>
            <w:vAlign w:val="center"/>
            <w:hideMark/>
          </w:tcPr>
          <w:p w14:paraId="76FD05B0" w14:textId="77777777" w:rsidR="008B0630" w:rsidRPr="008B0630" w:rsidRDefault="008B0630" w:rsidP="008B0630">
            <w:pPr>
              <w:keepLines/>
              <w:spacing w:after="0"/>
              <w:ind w:firstLine="0"/>
              <w:contextualSpacing/>
              <w:jc w:val="left"/>
              <w:rPr>
                <w:rFonts w:eastAsia="Calibri" w:cs="Times New Roman"/>
                <w:sz w:val="18"/>
                <w:szCs w:val="18"/>
              </w:rPr>
            </w:pPr>
            <w:r w:rsidRPr="008B0630">
              <w:rPr>
                <w:rFonts w:eastAsia="Calibri" w:cs="Times New Roman"/>
                <w:sz w:val="18"/>
                <w:szCs w:val="18"/>
              </w:rPr>
              <w:t>Nacionālās pretošanās kustības dalībniekiem</w:t>
            </w:r>
            <w:r w:rsidRPr="008B0630">
              <w:rPr>
                <w:rFonts w:eastAsia="Times New Roman" w:cs="Times New Roman"/>
                <w:sz w:val="18"/>
                <w:szCs w:val="18"/>
                <w:vertAlign w:val="superscript"/>
              </w:rPr>
              <w:t>2</w:t>
            </w:r>
          </w:p>
        </w:tc>
        <w:tc>
          <w:tcPr>
            <w:tcW w:w="699" w:type="pct"/>
            <w:tcBorders>
              <w:top w:val="nil"/>
              <w:left w:val="nil"/>
              <w:bottom w:val="single" w:sz="4" w:space="0" w:color="auto"/>
              <w:right w:val="single" w:sz="4" w:space="0" w:color="auto"/>
            </w:tcBorders>
            <w:noWrap/>
            <w:vAlign w:val="center"/>
          </w:tcPr>
          <w:p w14:paraId="63D039C1"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23,9</w:t>
            </w:r>
          </w:p>
        </w:tc>
        <w:tc>
          <w:tcPr>
            <w:tcW w:w="699" w:type="pct"/>
            <w:tcBorders>
              <w:top w:val="nil"/>
              <w:left w:val="nil"/>
              <w:bottom w:val="single" w:sz="4" w:space="0" w:color="auto"/>
              <w:right w:val="single" w:sz="4" w:space="0" w:color="auto"/>
            </w:tcBorders>
            <w:noWrap/>
            <w:vAlign w:val="center"/>
          </w:tcPr>
          <w:p w14:paraId="46449507"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40,0</w:t>
            </w:r>
          </w:p>
        </w:tc>
        <w:tc>
          <w:tcPr>
            <w:tcW w:w="653" w:type="pct"/>
            <w:tcBorders>
              <w:top w:val="nil"/>
              <w:left w:val="nil"/>
              <w:bottom w:val="single" w:sz="4" w:space="0" w:color="auto"/>
              <w:right w:val="single" w:sz="4" w:space="0" w:color="auto"/>
            </w:tcBorders>
            <w:noWrap/>
            <w:vAlign w:val="center"/>
          </w:tcPr>
          <w:p w14:paraId="5016074E"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+16,1</w:t>
            </w:r>
          </w:p>
        </w:tc>
        <w:tc>
          <w:tcPr>
            <w:tcW w:w="349" w:type="pct"/>
            <w:tcBorders>
              <w:top w:val="nil"/>
              <w:left w:val="nil"/>
              <w:bottom w:val="single" w:sz="4" w:space="0" w:color="auto"/>
              <w:right w:val="single" w:sz="4" w:space="0" w:color="auto"/>
            </w:tcBorders>
            <w:noWrap/>
            <w:vAlign w:val="center"/>
          </w:tcPr>
          <w:p w14:paraId="78232C66"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+67,1</w:t>
            </w:r>
          </w:p>
        </w:tc>
      </w:tr>
      <w:tr w:rsidR="008B0630" w:rsidRPr="008B0630" w14:paraId="3F760AA1" w14:textId="77777777" w:rsidTr="00E03828">
        <w:trPr>
          <w:trHeight w:val="284"/>
          <w:jc w:val="center"/>
        </w:trPr>
        <w:tc>
          <w:tcPr>
            <w:tcW w:w="2601" w:type="pct"/>
            <w:gridSpan w:val="2"/>
            <w:tcBorders>
              <w:top w:val="single" w:sz="4" w:space="0" w:color="auto"/>
              <w:left w:val="single" w:sz="4" w:space="0" w:color="auto"/>
              <w:bottom w:val="single" w:sz="4" w:space="0" w:color="auto"/>
              <w:right w:val="single" w:sz="4" w:space="0" w:color="auto"/>
            </w:tcBorders>
            <w:vAlign w:val="center"/>
            <w:hideMark/>
          </w:tcPr>
          <w:p w14:paraId="46D9A050" w14:textId="77777777" w:rsidR="008B0630" w:rsidRPr="008B0630" w:rsidRDefault="008B0630" w:rsidP="008B0630">
            <w:pPr>
              <w:keepLines/>
              <w:spacing w:after="0"/>
              <w:ind w:firstLine="0"/>
              <w:contextualSpacing/>
              <w:jc w:val="left"/>
              <w:rPr>
                <w:rFonts w:eastAsia="Calibri" w:cs="Times New Roman"/>
                <w:sz w:val="18"/>
                <w:szCs w:val="18"/>
              </w:rPr>
            </w:pPr>
            <w:r w:rsidRPr="008B0630">
              <w:rPr>
                <w:rFonts w:eastAsia="Calibri" w:cs="Times New Roman"/>
                <w:sz w:val="18"/>
                <w:szCs w:val="18"/>
              </w:rPr>
              <w:t>Fizisko personu deklarētie attaisnotie izdevumi izglītības un specialitātes iegūšanai, kvalifikācijas paaugstināšanai un medicīnas un ārstnieciskajiem pakalpojumiem, ziedojumiem un dāvinājumiem kopā (</w:t>
            </w:r>
            <w:r w:rsidRPr="008B0630">
              <w:rPr>
                <w:rFonts w:eastAsia="Calibri" w:cs="Times New Roman"/>
                <w:i/>
                <w:iCs/>
                <w:sz w:val="18"/>
                <w:szCs w:val="18"/>
              </w:rPr>
              <w:t>gada ienākumu deklarācijas D lapas 6. rinda</w:t>
            </w:r>
            <w:r w:rsidRPr="008B0630">
              <w:rPr>
                <w:rFonts w:eastAsia="Calibri" w:cs="Times New Roman"/>
                <w:sz w:val="18"/>
                <w:szCs w:val="18"/>
              </w:rPr>
              <w:t>)</w:t>
            </w:r>
          </w:p>
        </w:tc>
        <w:tc>
          <w:tcPr>
            <w:tcW w:w="699" w:type="pct"/>
            <w:tcBorders>
              <w:top w:val="nil"/>
              <w:left w:val="nil"/>
              <w:bottom w:val="single" w:sz="4" w:space="0" w:color="auto"/>
              <w:right w:val="single" w:sz="4" w:space="0" w:color="auto"/>
            </w:tcBorders>
            <w:noWrap/>
            <w:vAlign w:val="center"/>
          </w:tcPr>
          <w:p w14:paraId="25E7EC6A"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184 987,2</w:t>
            </w:r>
          </w:p>
        </w:tc>
        <w:tc>
          <w:tcPr>
            <w:tcW w:w="699" w:type="pct"/>
            <w:tcBorders>
              <w:top w:val="nil"/>
              <w:left w:val="nil"/>
              <w:bottom w:val="single" w:sz="4" w:space="0" w:color="auto"/>
              <w:right w:val="single" w:sz="4" w:space="0" w:color="auto"/>
            </w:tcBorders>
            <w:noWrap/>
            <w:vAlign w:val="center"/>
          </w:tcPr>
          <w:p w14:paraId="4D655FB2"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184 632,9</w:t>
            </w:r>
          </w:p>
        </w:tc>
        <w:tc>
          <w:tcPr>
            <w:tcW w:w="653" w:type="pct"/>
            <w:tcBorders>
              <w:top w:val="nil"/>
              <w:left w:val="nil"/>
              <w:bottom w:val="single" w:sz="4" w:space="0" w:color="auto"/>
              <w:right w:val="single" w:sz="4" w:space="0" w:color="auto"/>
            </w:tcBorders>
            <w:noWrap/>
            <w:vAlign w:val="center"/>
          </w:tcPr>
          <w:p w14:paraId="45150A8D"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-354,3</w:t>
            </w:r>
          </w:p>
        </w:tc>
        <w:tc>
          <w:tcPr>
            <w:tcW w:w="349" w:type="pct"/>
            <w:tcBorders>
              <w:top w:val="nil"/>
              <w:left w:val="nil"/>
              <w:bottom w:val="single" w:sz="4" w:space="0" w:color="auto"/>
              <w:right w:val="single" w:sz="4" w:space="0" w:color="auto"/>
            </w:tcBorders>
            <w:noWrap/>
            <w:vAlign w:val="center"/>
          </w:tcPr>
          <w:p w14:paraId="5342A9B9"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-0,2</w:t>
            </w:r>
          </w:p>
        </w:tc>
      </w:tr>
      <w:tr w:rsidR="008B0630" w:rsidRPr="008B0630" w14:paraId="623B07AB" w14:textId="77777777" w:rsidTr="00E03828">
        <w:trPr>
          <w:trHeight w:val="284"/>
          <w:jc w:val="center"/>
        </w:trPr>
        <w:tc>
          <w:tcPr>
            <w:tcW w:w="2601" w:type="pct"/>
            <w:gridSpan w:val="2"/>
            <w:tcBorders>
              <w:top w:val="single" w:sz="4" w:space="0" w:color="auto"/>
              <w:left w:val="single" w:sz="4" w:space="0" w:color="auto"/>
              <w:bottom w:val="single" w:sz="4" w:space="0" w:color="auto"/>
              <w:right w:val="single" w:sz="4" w:space="0" w:color="auto"/>
            </w:tcBorders>
            <w:vAlign w:val="center"/>
            <w:hideMark/>
          </w:tcPr>
          <w:p w14:paraId="2E8295F6" w14:textId="77777777" w:rsidR="008B0630" w:rsidRPr="008B0630" w:rsidRDefault="008B0630" w:rsidP="008B0630">
            <w:pPr>
              <w:keepLines/>
              <w:spacing w:after="0"/>
              <w:ind w:firstLine="0"/>
              <w:contextualSpacing/>
              <w:jc w:val="left"/>
              <w:rPr>
                <w:rFonts w:eastAsia="Calibri" w:cs="Times New Roman"/>
                <w:sz w:val="18"/>
                <w:szCs w:val="18"/>
              </w:rPr>
            </w:pPr>
            <w:r w:rsidRPr="008B0630">
              <w:rPr>
                <w:rFonts w:eastAsia="Calibri" w:cs="Times New Roman"/>
                <w:sz w:val="18"/>
                <w:szCs w:val="18"/>
              </w:rPr>
              <w:t>Privātajos pensiju fondos izdarītās iemaksas un apdrošināšanas prēmiju maksājumi atbilstoši dzīvības apdrošināšanas līgumam (ar līdzekļu uzkrāšanu) (</w:t>
            </w:r>
            <w:r w:rsidRPr="008B0630">
              <w:rPr>
                <w:rFonts w:eastAsia="Calibri" w:cs="Times New Roman"/>
                <w:i/>
                <w:iCs/>
                <w:sz w:val="18"/>
                <w:szCs w:val="18"/>
              </w:rPr>
              <w:t>gada ienākumu deklarācijas D lapas 7. rinda</w:t>
            </w:r>
            <w:r w:rsidRPr="008B0630">
              <w:rPr>
                <w:rFonts w:eastAsia="Calibri" w:cs="Times New Roman"/>
                <w:sz w:val="18"/>
                <w:szCs w:val="18"/>
              </w:rPr>
              <w:t>)</w:t>
            </w:r>
          </w:p>
        </w:tc>
        <w:tc>
          <w:tcPr>
            <w:tcW w:w="699" w:type="pct"/>
            <w:tcBorders>
              <w:top w:val="nil"/>
              <w:left w:val="nil"/>
              <w:bottom w:val="single" w:sz="4" w:space="0" w:color="auto"/>
              <w:right w:val="single" w:sz="4" w:space="0" w:color="auto"/>
            </w:tcBorders>
            <w:noWrap/>
            <w:vAlign w:val="center"/>
          </w:tcPr>
          <w:p w14:paraId="62BFBF2E"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126 588,2</w:t>
            </w:r>
          </w:p>
        </w:tc>
        <w:tc>
          <w:tcPr>
            <w:tcW w:w="699" w:type="pct"/>
            <w:tcBorders>
              <w:top w:val="nil"/>
              <w:left w:val="nil"/>
              <w:bottom w:val="single" w:sz="4" w:space="0" w:color="auto"/>
              <w:right w:val="single" w:sz="4" w:space="0" w:color="auto"/>
            </w:tcBorders>
            <w:noWrap/>
            <w:vAlign w:val="center"/>
          </w:tcPr>
          <w:p w14:paraId="7116261E"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127 057,8</w:t>
            </w:r>
          </w:p>
        </w:tc>
        <w:tc>
          <w:tcPr>
            <w:tcW w:w="653" w:type="pct"/>
            <w:tcBorders>
              <w:top w:val="nil"/>
              <w:left w:val="nil"/>
              <w:bottom w:val="single" w:sz="4" w:space="0" w:color="auto"/>
              <w:right w:val="single" w:sz="4" w:space="0" w:color="auto"/>
            </w:tcBorders>
            <w:noWrap/>
            <w:vAlign w:val="center"/>
          </w:tcPr>
          <w:p w14:paraId="79C14801"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+469,6</w:t>
            </w:r>
          </w:p>
        </w:tc>
        <w:tc>
          <w:tcPr>
            <w:tcW w:w="349" w:type="pct"/>
            <w:tcBorders>
              <w:top w:val="nil"/>
              <w:left w:val="nil"/>
              <w:bottom w:val="single" w:sz="4" w:space="0" w:color="auto"/>
              <w:right w:val="single" w:sz="4" w:space="0" w:color="auto"/>
            </w:tcBorders>
            <w:noWrap/>
            <w:vAlign w:val="center"/>
          </w:tcPr>
          <w:p w14:paraId="06F438FD" w14:textId="77777777" w:rsidR="008B0630" w:rsidRPr="008B0630" w:rsidRDefault="008B0630" w:rsidP="008B0630">
            <w:pPr>
              <w:spacing w:after="0"/>
              <w:ind w:firstLine="0"/>
              <w:contextualSpacing/>
              <w:jc w:val="right"/>
              <w:rPr>
                <w:rFonts w:eastAsia="Calibri" w:cs="Times New Roman"/>
                <w:sz w:val="18"/>
                <w:szCs w:val="18"/>
              </w:rPr>
            </w:pPr>
            <w:r w:rsidRPr="008B0630">
              <w:rPr>
                <w:rFonts w:cs="Times New Roman"/>
                <w:sz w:val="18"/>
                <w:szCs w:val="18"/>
              </w:rPr>
              <w:t>+0,4</w:t>
            </w:r>
          </w:p>
        </w:tc>
      </w:tr>
    </w:tbl>
    <w:p w14:paraId="0DA20916" w14:textId="77777777" w:rsidR="008B0630" w:rsidRPr="008B0630" w:rsidRDefault="008B0630" w:rsidP="008B0630">
      <w:pPr>
        <w:spacing w:after="60"/>
        <w:ind w:firstLine="0"/>
        <w:rPr>
          <w:rFonts w:eastAsia="Calibri" w:cs="Times New Roman"/>
          <w:sz w:val="16"/>
          <w:szCs w:val="16"/>
          <w:lang w:eastAsia="en-US"/>
        </w:rPr>
      </w:pPr>
      <w:r w:rsidRPr="008B0630">
        <w:rPr>
          <w:rFonts w:eastAsia="Calibri" w:cs="Times New Roman"/>
          <w:sz w:val="16"/>
          <w:szCs w:val="16"/>
          <w:vertAlign w:val="superscript"/>
          <w:lang w:eastAsia="en-US"/>
        </w:rPr>
        <w:t>1</w:t>
      </w:r>
      <w:r w:rsidRPr="008B0630">
        <w:rPr>
          <w:rFonts w:eastAsia="Calibri" w:cs="Times New Roman"/>
          <w:sz w:val="16"/>
          <w:szCs w:val="16"/>
          <w:lang w:eastAsia="en-US"/>
        </w:rPr>
        <w:t> Dati uz 16.09.2025.</w:t>
      </w:r>
    </w:p>
    <w:p w14:paraId="1C433BEE" w14:textId="77777777" w:rsidR="008B0630" w:rsidRPr="008B0630" w:rsidRDefault="008B0630" w:rsidP="008B0630">
      <w:pPr>
        <w:spacing w:after="60"/>
        <w:ind w:firstLine="0"/>
        <w:rPr>
          <w:rFonts w:eastAsia="Calibri" w:cs="Times New Roman"/>
          <w:sz w:val="16"/>
          <w:szCs w:val="16"/>
          <w:lang w:eastAsia="en-US"/>
        </w:rPr>
      </w:pPr>
      <w:r w:rsidRPr="008B0630">
        <w:rPr>
          <w:rFonts w:eastAsia="Calibri" w:cs="Times New Roman"/>
          <w:sz w:val="16"/>
          <w:szCs w:val="16"/>
          <w:vertAlign w:val="superscript"/>
          <w:lang w:eastAsia="en-US"/>
        </w:rPr>
        <w:t>2</w:t>
      </w:r>
      <w:r w:rsidRPr="008B0630">
        <w:rPr>
          <w:rFonts w:eastAsia="Calibri" w:cs="Times New Roman"/>
          <w:sz w:val="16"/>
          <w:szCs w:val="16"/>
          <w:lang w:eastAsia="en-US"/>
        </w:rPr>
        <w:t> Informācija no gada ienākumu deklarācijas (</w:t>
      </w:r>
      <w:r w:rsidRPr="008B0630">
        <w:rPr>
          <w:rFonts w:eastAsia="Calibri" w:cs="Times New Roman"/>
          <w:i/>
          <w:iCs/>
          <w:sz w:val="16"/>
          <w:szCs w:val="16"/>
          <w:lang w:eastAsia="en-US"/>
        </w:rPr>
        <w:t>turpmāk - GID</w:t>
      </w:r>
      <w:r w:rsidRPr="008B0630">
        <w:rPr>
          <w:rFonts w:eastAsia="Calibri" w:cs="Times New Roman"/>
          <w:sz w:val="16"/>
          <w:szCs w:val="16"/>
          <w:lang w:eastAsia="en-US"/>
        </w:rPr>
        <w:t>) D pielikumiem un paziņojumiem par fiziskajai personai izmaksātajām summām (</w:t>
      </w:r>
      <w:r w:rsidRPr="008B0630">
        <w:rPr>
          <w:rFonts w:eastAsia="Calibri" w:cs="Times New Roman"/>
          <w:i/>
          <w:iCs/>
          <w:sz w:val="16"/>
          <w:szCs w:val="16"/>
          <w:lang w:eastAsia="en-US"/>
        </w:rPr>
        <w:t>turpmāk – paziņojums</w:t>
      </w:r>
      <w:r w:rsidRPr="008B0630">
        <w:rPr>
          <w:rFonts w:eastAsia="Calibri" w:cs="Times New Roman"/>
          <w:sz w:val="16"/>
          <w:szCs w:val="16"/>
          <w:lang w:eastAsia="en-US"/>
        </w:rPr>
        <w:t>) par tām personām, kurām nav iesniegta GID.</w:t>
      </w:r>
    </w:p>
    <w:p w14:paraId="5A5ED002" w14:textId="77777777" w:rsidR="008B0630" w:rsidRPr="008B0630" w:rsidRDefault="008B0630" w:rsidP="008B0630">
      <w:pPr>
        <w:spacing w:after="60"/>
        <w:ind w:firstLine="0"/>
        <w:rPr>
          <w:rFonts w:eastAsia="Calibri" w:cs="Times New Roman"/>
          <w:sz w:val="16"/>
          <w:szCs w:val="16"/>
          <w:lang w:eastAsia="en-US"/>
        </w:rPr>
      </w:pPr>
      <w:r w:rsidRPr="008B0630">
        <w:rPr>
          <w:rFonts w:eastAsia="Calibri" w:cs="Times New Roman"/>
          <w:sz w:val="16"/>
          <w:szCs w:val="16"/>
          <w:vertAlign w:val="superscript"/>
          <w:lang w:eastAsia="en-US"/>
        </w:rPr>
        <w:t>3</w:t>
      </w:r>
      <w:r w:rsidRPr="008B0630">
        <w:rPr>
          <w:rFonts w:eastAsia="Calibri" w:cs="Times New Roman"/>
          <w:sz w:val="16"/>
          <w:szCs w:val="16"/>
          <w:lang w:eastAsia="en-US"/>
        </w:rPr>
        <w:t xml:space="preserve"> Informācija par fiziskajām personām, kurām aizpildīta GID D pielikuma 10. rinda, kopējo piemēroto neapliekamo minimumu gadā (10. rinda + 9. rinda). Ja GID nav iesniegta, informācija no paziņojumiem par fiziskajām personām piemēroto kopējo neapliekamo minimumu gadā, ja par kaut vienu periodu analizējamā gadā ir iesniegts paziņojums ar kādu no ienākumu veidiem: Apgādnieka zaudējuma pensija, Invaliditātes pensija, Izdienas pensija, Pensija, kura izmaksāta saskaņā ar ES regulām un starpvalstu līgumiem, Valsts speciālā pensija, invalīdu speciālā pensija, Vecuma pensija.</w:t>
      </w:r>
    </w:p>
    <w:p w14:paraId="025EBF90" w14:textId="77777777" w:rsidR="008B0630" w:rsidRPr="008B0630" w:rsidRDefault="008B0630" w:rsidP="008B0630">
      <w:pPr>
        <w:spacing w:after="0"/>
        <w:ind w:firstLine="0"/>
        <w:rPr>
          <w:rFonts w:cs="Times New Roman"/>
          <w:highlight w:val="yellow"/>
        </w:rPr>
      </w:pPr>
    </w:p>
    <w:p w14:paraId="07E79AD5" w14:textId="77777777" w:rsidR="008B0630" w:rsidRPr="008B0630" w:rsidRDefault="008B0630" w:rsidP="008B0630">
      <w:pPr>
        <w:keepNext/>
        <w:keepLines/>
        <w:spacing w:before="200"/>
        <w:ind w:left="426" w:firstLine="0"/>
        <w:jc w:val="center"/>
        <w:outlineLvl w:val="2"/>
        <w:rPr>
          <w:rFonts w:eastAsia="Calibri" w:cs="Times New Roman"/>
          <w:b/>
          <w:bCs/>
          <w:color w:val="000000" w:themeColor="text1"/>
          <w:sz w:val="28"/>
          <w:szCs w:val="28"/>
        </w:rPr>
      </w:pPr>
      <w:bookmarkStart w:id="134" w:name="_Toc126236669"/>
      <w:r w:rsidRPr="008B0630">
        <w:rPr>
          <w:rFonts w:eastAsia="Calibri" w:cs="Times New Roman"/>
          <w:b/>
          <w:bCs/>
          <w:color w:val="000000" w:themeColor="text1"/>
          <w:sz w:val="32"/>
          <w:szCs w:val="32"/>
        </w:rPr>
        <w:t>3.5.2. Valsts ieņēmumu dienesta administrēto kopbudžeta maksājumu parādi</w:t>
      </w:r>
      <w:bookmarkEnd w:id="134"/>
    </w:p>
    <w:p w14:paraId="5B2B949A" w14:textId="77777777" w:rsidR="008B0630" w:rsidRPr="008B0630" w:rsidRDefault="008B0630" w:rsidP="008B0630">
      <w:pPr>
        <w:ind w:firstLine="709"/>
        <w:rPr>
          <w:rFonts w:cs="Times New Roman"/>
          <w:szCs w:val="24"/>
        </w:rPr>
      </w:pPr>
      <w:r w:rsidRPr="008B0630">
        <w:rPr>
          <w:rFonts w:cs="Times New Roman"/>
          <w:szCs w:val="24"/>
        </w:rPr>
        <w:t>VID administrēto kopbudžeta maksājumu parāds 2025. gada 1. janvārī bija 844,3 milj. </w:t>
      </w:r>
      <w:r w:rsidRPr="008B0630">
        <w:rPr>
          <w:rFonts w:cs="Times New Roman"/>
          <w:i/>
          <w:iCs/>
          <w:szCs w:val="24"/>
        </w:rPr>
        <w:t>euro</w:t>
      </w:r>
      <w:r w:rsidRPr="008B0630">
        <w:rPr>
          <w:rFonts w:cs="Times New Roman"/>
          <w:szCs w:val="24"/>
        </w:rPr>
        <w:t>. Salīdzinot ar 2024. gada 1. janvāri, kopējais parāds ir samazinājies par 18,1 milj. </w:t>
      </w:r>
      <w:r w:rsidRPr="008B0630">
        <w:rPr>
          <w:rFonts w:cs="Times New Roman"/>
          <w:i/>
          <w:iCs/>
          <w:szCs w:val="24"/>
        </w:rPr>
        <w:t>euro</w:t>
      </w:r>
      <w:r w:rsidRPr="008B0630">
        <w:rPr>
          <w:rFonts w:cs="Times New Roman"/>
          <w:szCs w:val="24"/>
        </w:rPr>
        <w:t xml:space="preserve"> jeb 2,1% (skat. 3.23. tabulu). </w:t>
      </w:r>
    </w:p>
    <w:p w14:paraId="31F0C3C2" w14:textId="77777777" w:rsidR="008B0630" w:rsidRPr="008B0630" w:rsidRDefault="008B0630" w:rsidP="008B0630">
      <w:pPr>
        <w:ind w:firstLine="709"/>
        <w:rPr>
          <w:rFonts w:cs="Times New Roman"/>
          <w:szCs w:val="24"/>
        </w:rPr>
      </w:pPr>
      <w:r w:rsidRPr="008B0630">
        <w:rPr>
          <w:rFonts w:cs="Times New Roman"/>
          <w:szCs w:val="24"/>
        </w:rPr>
        <w:t>Kopējā parāda samazinājums 2025. gada 1. janvārī galvenokārt skaidrojams ar apturēto parādu summas kritumu par 15,2 milj. </w:t>
      </w:r>
      <w:r w:rsidRPr="008B0630">
        <w:rPr>
          <w:rFonts w:cs="Times New Roman"/>
          <w:i/>
          <w:iCs/>
          <w:szCs w:val="24"/>
        </w:rPr>
        <w:t>euro</w:t>
      </w:r>
      <w:r w:rsidRPr="008B0630">
        <w:rPr>
          <w:rFonts w:cs="Times New Roman"/>
          <w:szCs w:val="24"/>
        </w:rPr>
        <w:t xml:space="preserve"> jeb 6,8%. </w:t>
      </w:r>
    </w:p>
    <w:p w14:paraId="7C92C2A3" w14:textId="77777777" w:rsidR="008B0630" w:rsidRPr="008B0630" w:rsidRDefault="008B0630" w:rsidP="008B0630">
      <w:pPr>
        <w:ind w:firstLine="709"/>
        <w:rPr>
          <w:rFonts w:cs="Times New Roman"/>
          <w:szCs w:val="24"/>
        </w:rPr>
      </w:pPr>
      <w:r w:rsidRPr="008B0630">
        <w:rPr>
          <w:rFonts w:cs="Times New Roman"/>
          <w:szCs w:val="24"/>
        </w:rPr>
        <w:lastRenderedPageBreak/>
        <w:t>Sadalījumā pa lielāko nodokļu veidiem lielākais samazinājums ir PVN parādiem – par 30,1 milj. </w:t>
      </w:r>
      <w:r w:rsidRPr="008B0630">
        <w:rPr>
          <w:rFonts w:cs="Times New Roman"/>
          <w:i/>
          <w:iCs/>
          <w:szCs w:val="24"/>
        </w:rPr>
        <w:t>euro</w:t>
      </w:r>
      <w:r w:rsidRPr="008B0630">
        <w:rPr>
          <w:rFonts w:cs="Times New Roman"/>
          <w:szCs w:val="24"/>
        </w:rPr>
        <w:t>, savukārt darbaspēka nodokļu (IIN un VSAOI) parādi palielinājušies par 39,6 milj. </w:t>
      </w:r>
      <w:r w:rsidRPr="008B0630">
        <w:rPr>
          <w:rFonts w:cs="Times New Roman"/>
          <w:i/>
          <w:iCs/>
          <w:szCs w:val="24"/>
        </w:rPr>
        <w:t>euro</w:t>
      </w:r>
      <w:r w:rsidRPr="008B0630">
        <w:rPr>
          <w:rFonts w:cs="Times New Roman"/>
          <w:szCs w:val="24"/>
        </w:rPr>
        <w:t xml:space="preserve"> jeb 8,5%.</w:t>
      </w:r>
    </w:p>
    <w:p w14:paraId="2541ED43"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3.23. tabula. Valsts ieņēmumu dienesta administrēto kopbudžeta maksājumu parāds</w:t>
      </w:r>
    </w:p>
    <w:tbl>
      <w:tblPr>
        <w:tblW w:w="4035" w:type="pct"/>
        <w:jc w:val="center"/>
        <w:tblCellMar>
          <w:left w:w="30" w:type="dxa"/>
          <w:right w:w="30" w:type="dxa"/>
        </w:tblCellMar>
        <w:tblLook w:val="0000" w:firstRow="0" w:lastRow="0" w:firstColumn="0" w:lastColumn="0" w:noHBand="0" w:noVBand="0"/>
      </w:tblPr>
      <w:tblGrid>
        <w:gridCol w:w="2476"/>
        <w:gridCol w:w="1141"/>
        <w:gridCol w:w="1141"/>
        <w:gridCol w:w="1249"/>
        <w:gridCol w:w="1300"/>
      </w:tblGrid>
      <w:tr w:rsidR="008B0630" w:rsidRPr="008B0630" w14:paraId="229960A7" w14:textId="77777777" w:rsidTr="00E03828">
        <w:trPr>
          <w:trHeight w:val="257"/>
          <w:tblHeader/>
          <w:jc w:val="center"/>
        </w:trPr>
        <w:tc>
          <w:tcPr>
            <w:tcW w:w="1731" w:type="pct"/>
            <w:vMerge w:val="restart"/>
            <w:tcBorders>
              <w:top w:val="single" w:sz="6" w:space="0" w:color="auto"/>
              <w:left w:val="single" w:sz="6" w:space="0" w:color="auto"/>
              <w:right w:val="nil"/>
            </w:tcBorders>
            <w:shd w:val="clear" w:color="auto" w:fill="9CC2E5" w:themeFill="accent1" w:themeFillTint="99"/>
            <w:vAlign w:val="center"/>
          </w:tcPr>
          <w:p w14:paraId="6D37FB87" w14:textId="77777777" w:rsidR="008B0630" w:rsidRPr="008B0630" w:rsidRDefault="008B0630" w:rsidP="008B0630">
            <w:pPr>
              <w:keepNext/>
              <w:keepLines/>
              <w:spacing w:after="0"/>
              <w:ind w:firstLine="0"/>
              <w:contextualSpacing/>
              <w:jc w:val="center"/>
              <w:rPr>
                <w:rFonts w:eastAsia="Calibri" w:cs="Times New Roman"/>
                <w:b/>
                <w:bCs/>
                <w:sz w:val="20"/>
                <w:szCs w:val="24"/>
              </w:rPr>
            </w:pPr>
          </w:p>
        </w:tc>
        <w:tc>
          <w:tcPr>
            <w:tcW w:w="817" w:type="pct"/>
            <w:tcBorders>
              <w:top w:val="single" w:sz="6" w:space="0" w:color="auto"/>
              <w:left w:val="single" w:sz="6" w:space="0" w:color="auto"/>
              <w:bottom w:val="single" w:sz="4" w:space="0" w:color="auto"/>
              <w:right w:val="single" w:sz="6" w:space="0" w:color="auto"/>
            </w:tcBorders>
            <w:shd w:val="clear" w:color="auto" w:fill="9CC2E5" w:themeFill="accent1" w:themeFillTint="99"/>
            <w:vAlign w:val="center"/>
          </w:tcPr>
          <w:p w14:paraId="17B9623B" w14:textId="77777777" w:rsidR="008B0630" w:rsidRPr="008B0630" w:rsidRDefault="008B0630" w:rsidP="008B0630">
            <w:pPr>
              <w:keepNext/>
              <w:keepLines/>
              <w:spacing w:after="0"/>
              <w:ind w:firstLine="0"/>
              <w:contextualSpacing/>
              <w:jc w:val="center"/>
              <w:rPr>
                <w:rFonts w:eastAsia="Calibri" w:cs="Times New Roman"/>
                <w:b/>
                <w:bCs/>
                <w:sz w:val="20"/>
                <w:szCs w:val="24"/>
              </w:rPr>
            </w:pPr>
            <w:r w:rsidRPr="008B0630">
              <w:rPr>
                <w:rFonts w:eastAsia="Calibri" w:cs="Times New Roman"/>
                <w:b/>
                <w:bCs/>
                <w:sz w:val="20"/>
                <w:szCs w:val="24"/>
              </w:rPr>
              <w:t>01.01.2024.</w:t>
            </w:r>
          </w:p>
        </w:tc>
        <w:tc>
          <w:tcPr>
            <w:tcW w:w="817" w:type="pct"/>
            <w:tcBorders>
              <w:top w:val="single" w:sz="6" w:space="0" w:color="auto"/>
              <w:left w:val="single" w:sz="6" w:space="0" w:color="auto"/>
              <w:bottom w:val="single" w:sz="4" w:space="0" w:color="auto"/>
              <w:right w:val="single" w:sz="6" w:space="0" w:color="auto"/>
            </w:tcBorders>
            <w:shd w:val="clear" w:color="auto" w:fill="9CC2E5" w:themeFill="accent1" w:themeFillTint="99"/>
            <w:vAlign w:val="center"/>
          </w:tcPr>
          <w:p w14:paraId="3DFA3266" w14:textId="77777777" w:rsidR="008B0630" w:rsidRPr="008B0630" w:rsidRDefault="008B0630" w:rsidP="008B0630">
            <w:pPr>
              <w:keepNext/>
              <w:keepLines/>
              <w:spacing w:after="0"/>
              <w:ind w:firstLine="0"/>
              <w:contextualSpacing/>
              <w:jc w:val="center"/>
              <w:rPr>
                <w:rFonts w:eastAsia="Calibri" w:cs="Times New Roman"/>
                <w:b/>
                <w:bCs/>
                <w:sz w:val="20"/>
                <w:szCs w:val="24"/>
              </w:rPr>
            </w:pPr>
            <w:r w:rsidRPr="008B0630">
              <w:rPr>
                <w:rFonts w:eastAsia="Calibri" w:cs="Times New Roman"/>
                <w:b/>
                <w:bCs/>
                <w:sz w:val="20"/>
                <w:szCs w:val="24"/>
              </w:rPr>
              <w:t>01.01.2025.</w:t>
            </w:r>
          </w:p>
        </w:tc>
        <w:tc>
          <w:tcPr>
            <w:tcW w:w="1635" w:type="pct"/>
            <w:gridSpan w:val="2"/>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426C390A" w14:textId="77777777" w:rsidR="008B0630" w:rsidRPr="008B0630" w:rsidRDefault="008B0630" w:rsidP="008B0630">
            <w:pPr>
              <w:keepNext/>
              <w:keepLines/>
              <w:spacing w:after="0"/>
              <w:ind w:firstLine="0"/>
              <w:contextualSpacing/>
              <w:jc w:val="center"/>
              <w:rPr>
                <w:rFonts w:eastAsia="Calibri" w:cs="Times New Roman"/>
                <w:b/>
                <w:bCs/>
                <w:sz w:val="20"/>
                <w:szCs w:val="24"/>
              </w:rPr>
            </w:pPr>
            <w:r w:rsidRPr="008B0630">
              <w:rPr>
                <w:rFonts w:eastAsia="Calibri" w:cs="Times New Roman"/>
                <w:b/>
                <w:bCs/>
                <w:sz w:val="20"/>
                <w:szCs w:val="24"/>
              </w:rPr>
              <w:t>Izmaiņas</w:t>
            </w:r>
          </w:p>
          <w:p w14:paraId="4CD50122" w14:textId="596CBB5A" w:rsidR="008B0630" w:rsidRPr="008B0630" w:rsidRDefault="008B0630" w:rsidP="008B0630">
            <w:pPr>
              <w:keepNext/>
              <w:keepLines/>
              <w:spacing w:after="0"/>
              <w:ind w:firstLine="0"/>
              <w:contextualSpacing/>
              <w:jc w:val="center"/>
              <w:rPr>
                <w:rFonts w:eastAsia="Calibri" w:cs="Times New Roman"/>
                <w:b/>
                <w:bCs/>
                <w:sz w:val="20"/>
                <w:szCs w:val="24"/>
              </w:rPr>
            </w:pPr>
            <w:r w:rsidRPr="008B0630">
              <w:rPr>
                <w:rFonts w:eastAsia="Calibri" w:cs="Times New Roman"/>
                <w:b/>
                <w:bCs/>
                <w:sz w:val="20"/>
                <w:szCs w:val="24"/>
              </w:rPr>
              <w:t>(01.01.202</w:t>
            </w:r>
            <w:r w:rsidR="00122DC0">
              <w:rPr>
                <w:rFonts w:eastAsia="Calibri" w:cs="Times New Roman"/>
                <w:b/>
                <w:bCs/>
                <w:sz w:val="20"/>
                <w:szCs w:val="24"/>
              </w:rPr>
              <w:t>5</w:t>
            </w:r>
            <w:r w:rsidRPr="008B0630">
              <w:rPr>
                <w:rFonts w:eastAsia="Calibri" w:cs="Times New Roman"/>
                <w:b/>
                <w:bCs/>
                <w:sz w:val="20"/>
                <w:szCs w:val="24"/>
              </w:rPr>
              <w:t>. </w:t>
            </w:r>
            <w:r w:rsidR="00122DC0">
              <w:rPr>
                <w:rFonts w:eastAsia="Calibri" w:cs="Times New Roman"/>
                <w:b/>
                <w:bCs/>
                <w:sz w:val="20"/>
                <w:szCs w:val="24"/>
              </w:rPr>
              <w:t>pret</w:t>
            </w:r>
            <w:r w:rsidRPr="008B0630">
              <w:rPr>
                <w:rFonts w:eastAsia="Calibri" w:cs="Times New Roman"/>
                <w:b/>
                <w:bCs/>
                <w:sz w:val="20"/>
                <w:szCs w:val="24"/>
              </w:rPr>
              <w:t> 01.01.202</w:t>
            </w:r>
            <w:r w:rsidR="00122DC0">
              <w:rPr>
                <w:rFonts w:eastAsia="Calibri" w:cs="Times New Roman"/>
                <w:b/>
                <w:bCs/>
                <w:sz w:val="20"/>
                <w:szCs w:val="24"/>
              </w:rPr>
              <w:t>4</w:t>
            </w:r>
            <w:r w:rsidRPr="008B0630">
              <w:rPr>
                <w:rFonts w:eastAsia="Calibri" w:cs="Times New Roman"/>
                <w:b/>
                <w:bCs/>
                <w:sz w:val="20"/>
                <w:szCs w:val="24"/>
              </w:rPr>
              <w:t>.)</w:t>
            </w:r>
          </w:p>
        </w:tc>
      </w:tr>
      <w:tr w:rsidR="008B0630" w:rsidRPr="008B0630" w14:paraId="5A14186C" w14:textId="77777777" w:rsidTr="00E03828">
        <w:trPr>
          <w:trHeight w:val="212"/>
          <w:tblHeader/>
          <w:jc w:val="center"/>
        </w:trPr>
        <w:tc>
          <w:tcPr>
            <w:tcW w:w="1731" w:type="pct"/>
            <w:vMerge/>
            <w:tcBorders>
              <w:left w:val="single" w:sz="6" w:space="0" w:color="auto"/>
              <w:bottom w:val="nil"/>
              <w:right w:val="nil"/>
            </w:tcBorders>
            <w:shd w:val="clear" w:color="auto" w:fill="9CC2E5" w:themeFill="accent1" w:themeFillTint="99"/>
            <w:vAlign w:val="center"/>
          </w:tcPr>
          <w:p w14:paraId="711D9E56" w14:textId="77777777" w:rsidR="008B0630" w:rsidRPr="008B0630" w:rsidRDefault="008B0630" w:rsidP="008B0630">
            <w:pPr>
              <w:keepNext/>
              <w:keepLines/>
              <w:spacing w:after="0"/>
              <w:ind w:firstLine="0"/>
              <w:contextualSpacing/>
              <w:jc w:val="center"/>
              <w:rPr>
                <w:rFonts w:eastAsia="Calibri" w:cs="Times New Roman"/>
                <w:b/>
                <w:bCs/>
                <w:sz w:val="20"/>
                <w:szCs w:val="24"/>
              </w:rPr>
            </w:pPr>
          </w:p>
        </w:tc>
        <w:tc>
          <w:tcPr>
            <w:tcW w:w="817" w:type="pct"/>
            <w:tcBorders>
              <w:top w:val="single" w:sz="4" w:space="0" w:color="auto"/>
              <w:left w:val="single" w:sz="6" w:space="0" w:color="auto"/>
              <w:bottom w:val="single" w:sz="6" w:space="0" w:color="auto"/>
              <w:right w:val="single" w:sz="6" w:space="0" w:color="auto"/>
            </w:tcBorders>
            <w:shd w:val="clear" w:color="auto" w:fill="9CC2E5" w:themeFill="accent1" w:themeFillTint="99"/>
            <w:vAlign w:val="center"/>
          </w:tcPr>
          <w:p w14:paraId="185047E0" w14:textId="77777777" w:rsidR="008B0630" w:rsidRPr="008B0630" w:rsidRDefault="008B0630" w:rsidP="008B0630">
            <w:pPr>
              <w:keepNext/>
              <w:keepLines/>
              <w:spacing w:after="0"/>
              <w:ind w:firstLine="0"/>
              <w:contextualSpacing/>
              <w:jc w:val="center"/>
              <w:rPr>
                <w:rFonts w:eastAsia="Calibri" w:cs="Times New Roman"/>
                <w:b/>
                <w:bCs/>
                <w:sz w:val="20"/>
                <w:szCs w:val="24"/>
              </w:rPr>
            </w:pPr>
            <w:r w:rsidRPr="008B0630">
              <w:rPr>
                <w:rFonts w:eastAsia="Calibri" w:cs="Times New Roman"/>
                <w:b/>
                <w:bCs/>
                <w:sz w:val="20"/>
                <w:szCs w:val="24"/>
              </w:rPr>
              <w:t xml:space="preserve">milj. </w:t>
            </w:r>
            <w:r w:rsidRPr="008B0630">
              <w:rPr>
                <w:rFonts w:eastAsia="Calibri" w:cs="Times New Roman"/>
                <w:b/>
                <w:bCs/>
                <w:i/>
                <w:iCs/>
                <w:sz w:val="20"/>
                <w:szCs w:val="24"/>
              </w:rPr>
              <w:t>euro</w:t>
            </w:r>
          </w:p>
        </w:tc>
        <w:tc>
          <w:tcPr>
            <w:tcW w:w="817" w:type="pct"/>
            <w:tcBorders>
              <w:top w:val="single" w:sz="4" w:space="0" w:color="auto"/>
              <w:left w:val="single" w:sz="6" w:space="0" w:color="auto"/>
              <w:bottom w:val="single" w:sz="6" w:space="0" w:color="auto"/>
              <w:right w:val="single" w:sz="6" w:space="0" w:color="auto"/>
            </w:tcBorders>
            <w:shd w:val="clear" w:color="auto" w:fill="9CC2E5" w:themeFill="accent1" w:themeFillTint="99"/>
            <w:vAlign w:val="center"/>
          </w:tcPr>
          <w:p w14:paraId="5AE20EF3" w14:textId="77777777" w:rsidR="008B0630" w:rsidRPr="008B0630" w:rsidRDefault="008B0630" w:rsidP="008B0630">
            <w:pPr>
              <w:keepNext/>
              <w:keepLines/>
              <w:spacing w:after="0"/>
              <w:ind w:firstLine="0"/>
              <w:contextualSpacing/>
              <w:jc w:val="center"/>
              <w:rPr>
                <w:rFonts w:eastAsia="Calibri" w:cs="Times New Roman"/>
                <w:b/>
                <w:bCs/>
                <w:sz w:val="20"/>
                <w:szCs w:val="24"/>
              </w:rPr>
            </w:pPr>
            <w:r w:rsidRPr="008B0630">
              <w:rPr>
                <w:rFonts w:eastAsia="Calibri" w:cs="Times New Roman"/>
                <w:b/>
                <w:bCs/>
                <w:sz w:val="20"/>
                <w:szCs w:val="24"/>
              </w:rPr>
              <w:t xml:space="preserve">milj. </w:t>
            </w:r>
            <w:r w:rsidRPr="008B0630">
              <w:rPr>
                <w:rFonts w:eastAsia="Calibri" w:cs="Times New Roman"/>
                <w:b/>
                <w:bCs/>
                <w:i/>
                <w:iCs/>
                <w:sz w:val="20"/>
                <w:szCs w:val="24"/>
              </w:rPr>
              <w:t>euro</w:t>
            </w:r>
          </w:p>
        </w:tc>
        <w:tc>
          <w:tcPr>
            <w:tcW w:w="801" w:type="pct"/>
            <w:tcBorders>
              <w:top w:val="single" w:sz="4" w:space="0" w:color="auto"/>
              <w:left w:val="single" w:sz="6" w:space="0" w:color="auto"/>
              <w:bottom w:val="single" w:sz="6" w:space="0" w:color="auto"/>
              <w:right w:val="single" w:sz="6" w:space="0" w:color="auto"/>
            </w:tcBorders>
            <w:shd w:val="clear" w:color="auto" w:fill="9CC2E5" w:themeFill="accent1" w:themeFillTint="99"/>
            <w:vAlign w:val="center"/>
          </w:tcPr>
          <w:p w14:paraId="2D64716C" w14:textId="77777777" w:rsidR="008B0630" w:rsidRPr="008B0630" w:rsidRDefault="008B0630" w:rsidP="008B0630">
            <w:pPr>
              <w:keepNext/>
              <w:keepLines/>
              <w:spacing w:after="0"/>
              <w:ind w:firstLine="0"/>
              <w:contextualSpacing/>
              <w:jc w:val="center"/>
              <w:rPr>
                <w:rFonts w:eastAsia="Calibri" w:cs="Times New Roman"/>
                <w:b/>
                <w:bCs/>
                <w:i/>
                <w:iCs/>
                <w:sz w:val="20"/>
                <w:szCs w:val="24"/>
              </w:rPr>
            </w:pPr>
            <w:r w:rsidRPr="008B0630">
              <w:rPr>
                <w:rFonts w:eastAsia="Calibri" w:cs="Times New Roman"/>
                <w:b/>
                <w:bCs/>
                <w:sz w:val="20"/>
                <w:szCs w:val="24"/>
              </w:rPr>
              <w:t xml:space="preserve">milj. </w:t>
            </w:r>
            <w:r w:rsidRPr="008B0630">
              <w:rPr>
                <w:rFonts w:eastAsia="Calibri" w:cs="Times New Roman"/>
                <w:b/>
                <w:bCs/>
                <w:i/>
                <w:iCs/>
                <w:sz w:val="20"/>
                <w:szCs w:val="24"/>
              </w:rPr>
              <w:t>euro</w:t>
            </w:r>
          </w:p>
        </w:tc>
        <w:tc>
          <w:tcPr>
            <w:tcW w:w="834"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015FFA5B" w14:textId="77777777" w:rsidR="008B0630" w:rsidRPr="008B0630" w:rsidRDefault="008B0630" w:rsidP="008B0630">
            <w:pPr>
              <w:keepNext/>
              <w:keepLines/>
              <w:spacing w:after="0"/>
              <w:ind w:firstLine="0"/>
              <w:contextualSpacing/>
              <w:jc w:val="center"/>
              <w:rPr>
                <w:rFonts w:eastAsia="Calibri" w:cs="Times New Roman"/>
                <w:b/>
                <w:bCs/>
                <w:sz w:val="20"/>
                <w:szCs w:val="24"/>
              </w:rPr>
            </w:pPr>
            <w:r w:rsidRPr="008B0630">
              <w:rPr>
                <w:rFonts w:eastAsia="Calibri" w:cs="Times New Roman"/>
                <w:b/>
                <w:bCs/>
                <w:sz w:val="20"/>
                <w:szCs w:val="24"/>
              </w:rPr>
              <w:t> %</w:t>
            </w:r>
          </w:p>
        </w:tc>
      </w:tr>
      <w:tr w:rsidR="008B0630" w:rsidRPr="008B0630" w14:paraId="2B9AA3E0"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4FF9DD3F" w14:textId="77777777" w:rsidR="008B0630" w:rsidRPr="008B0630" w:rsidRDefault="008B0630" w:rsidP="008B0630">
            <w:pPr>
              <w:keepNext/>
              <w:keepLines/>
              <w:spacing w:after="0"/>
              <w:ind w:firstLine="0"/>
              <w:jc w:val="left"/>
              <w:rPr>
                <w:rFonts w:eastAsia="Calibri" w:cs="Times New Roman"/>
                <w:b/>
                <w:bCs/>
                <w:noProof/>
                <w:sz w:val="18"/>
                <w:szCs w:val="24"/>
              </w:rPr>
            </w:pPr>
            <w:r w:rsidRPr="008B0630">
              <w:rPr>
                <w:rFonts w:eastAsia="Calibri" w:cs="Times New Roman"/>
                <w:b/>
                <w:bCs/>
                <w:noProof/>
                <w:sz w:val="18"/>
                <w:szCs w:val="24"/>
              </w:rPr>
              <w:t>Parāda summa kopā</w:t>
            </w:r>
            <w:r w:rsidRPr="008B0630">
              <w:rPr>
                <w:rFonts w:eastAsia="Calibri" w:cs="Times New Roman"/>
                <w:noProof/>
                <w:sz w:val="18"/>
                <w:szCs w:val="24"/>
              </w:rPr>
              <w:t>, t.sk.:</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FA9A269"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862,3</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9C87EE4"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844,3</w:t>
            </w:r>
          </w:p>
        </w:tc>
        <w:tc>
          <w:tcPr>
            <w:tcW w:w="801"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BB8EE7C"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-18,1</w:t>
            </w:r>
          </w:p>
        </w:tc>
        <w:tc>
          <w:tcPr>
            <w:tcW w:w="834"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0A1D5FA"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-2,1</w:t>
            </w:r>
          </w:p>
        </w:tc>
      </w:tr>
      <w:tr w:rsidR="008B0630" w:rsidRPr="008B0630" w14:paraId="202A9555"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668D89DC"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vAlign w:val="center"/>
          </w:tcPr>
          <w:p w14:paraId="5EEEB3AF"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545,3</w:t>
            </w:r>
          </w:p>
        </w:tc>
        <w:tc>
          <w:tcPr>
            <w:tcW w:w="817" w:type="pct"/>
            <w:tcBorders>
              <w:top w:val="single" w:sz="6" w:space="0" w:color="auto"/>
              <w:left w:val="single" w:sz="6" w:space="0" w:color="auto"/>
              <w:bottom w:val="single" w:sz="6" w:space="0" w:color="auto"/>
              <w:right w:val="single" w:sz="6" w:space="0" w:color="auto"/>
            </w:tcBorders>
            <w:vAlign w:val="center"/>
          </w:tcPr>
          <w:p w14:paraId="06701699"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540,0</w:t>
            </w:r>
          </w:p>
        </w:tc>
        <w:tc>
          <w:tcPr>
            <w:tcW w:w="801" w:type="pct"/>
            <w:tcBorders>
              <w:top w:val="single" w:sz="6" w:space="0" w:color="auto"/>
              <w:left w:val="single" w:sz="6" w:space="0" w:color="auto"/>
              <w:bottom w:val="single" w:sz="6" w:space="0" w:color="auto"/>
              <w:right w:val="single" w:sz="6" w:space="0" w:color="auto"/>
            </w:tcBorders>
            <w:vAlign w:val="center"/>
          </w:tcPr>
          <w:p w14:paraId="151F8CC7"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-5,3</w:t>
            </w:r>
          </w:p>
        </w:tc>
        <w:tc>
          <w:tcPr>
            <w:tcW w:w="834" w:type="pct"/>
            <w:tcBorders>
              <w:top w:val="single" w:sz="6" w:space="0" w:color="auto"/>
              <w:left w:val="single" w:sz="6" w:space="0" w:color="auto"/>
              <w:bottom w:val="single" w:sz="6" w:space="0" w:color="auto"/>
              <w:right w:val="single" w:sz="6" w:space="0" w:color="auto"/>
            </w:tcBorders>
            <w:vAlign w:val="center"/>
          </w:tcPr>
          <w:p w14:paraId="766873AC"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-1,0</w:t>
            </w:r>
          </w:p>
        </w:tc>
      </w:tr>
      <w:tr w:rsidR="008B0630" w:rsidRPr="008B0630" w14:paraId="123A70D7"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1CAF9D7F"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vAlign w:val="center"/>
          </w:tcPr>
          <w:p w14:paraId="1839CCC8"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94,0</w:t>
            </w:r>
          </w:p>
        </w:tc>
        <w:tc>
          <w:tcPr>
            <w:tcW w:w="817" w:type="pct"/>
            <w:tcBorders>
              <w:top w:val="single" w:sz="6" w:space="0" w:color="auto"/>
              <w:left w:val="single" w:sz="6" w:space="0" w:color="auto"/>
              <w:bottom w:val="single" w:sz="6" w:space="0" w:color="auto"/>
              <w:right w:val="single" w:sz="6" w:space="0" w:color="auto"/>
            </w:tcBorders>
            <w:vAlign w:val="center"/>
          </w:tcPr>
          <w:p w14:paraId="7C71DE9B"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96,5</w:t>
            </w:r>
          </w:p>
        </w:tc>
        <w:tc>
          <w:tcPr>
            <w:tcW w:w="801" w:type="pct"/>
            <w:tcBorders>
              <w:top w:val="single" w:sz="6" w:space="0" w:color="auto"/>
              <w:left w:val="single" w:sz="6" w:space="0" w:color="auto"/>
              <w:bottom w:val="single" w:sz="6" w:space="0" w:color="auto"/>
              <w:right w:val="single" w:sz="6" w:space="0" w:color="auto"/>
            </w:tcBorders>
            <w:vAlign w:val="center"/>
          </w:tcPr>
          <w:p w14:paraId="3775EB3A"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+2,5</w:t>
            </w:r>
          </w:p>
        </w:tc>
        <w:tc>
          <w:tcPr>
            <w:tcW w:w="834" w:type="pct"/>
            <w:tcBorders>
              <w:top w:val="single" w:sz="6" w:space="0" w:color="auto"/>
              <w:left w:val="single" w:sz="6" w:space="0" w:color="auto"/>
              <w:bottom w:val="single" w:sz="6" w:space="0" w:color="auto"/>
              <w:right w:val="single" w:sz="6" w:space="0" w:color="auto"/>
            </w:tcBorders>
            <w:vAlign w:val="center"/>
          </w:tcPr>
          <w:p w14:paraId="41CDE0EB"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+2,6</w:t>
            </w:r>
          </w:p>
        </w:tc>
      </w:tr>
      <w:tr w:rsidR="008B0630" w:rsidRPr="008B0630" w14:paraId="612A35BF"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670796EF"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vAlign w:val="center"/>
          </w:tcPr>
          <w:p w14:paraId="29363CD2"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223,0</w:t>
            </w:r>
          </w:p>
        </w:tc>
        <w:tc>
          <w:tcPr>
            <w:tcW w:w="817" w:type="pct"/>
            <w:tcBorders>
              <w:top w:val="single" w:sz="6" w:space="0" w:color="auto"/>
              <w:left w:val="single" w:sz="6" w:space="0" w:color="auto"/>
              <w:bottom w:val="single" w:sz="6" w:space="0" w:color="auto"/>
              <w:right w:val="single" w:sz="6" w:space="0" w:color="auto"/>
            </w:tcBorders>
            <w:vAlign w:val="center"/>
          </w:tcPr>
          <w:p w14:paraId="20C810A5"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207,8</w:t>
            </w:r>
          </w:p>
        </w:tc>
        <w:tc>
          <w:tcPr>
            <w:tcW w:w="801" w:type="pct"/>
            <w:tcBorders>
              <w:top w:val="single" w:sz="6" w:space="0" w:color="auto"/>
              <w:left w:val="single" w:sz="6" w:space="0" w:color="auto"/>
              <w:bottom w:val="single" w:sz="6" w:space="0" w:color="auto"/>
              <w:right w:val="single" w:sz="6" w:space="0" w:color="auto"/>
            </w:tcBorders>
            <w:vAlign w:val="center"/>
          </w:tcPr>
          <w:p w14:paraId="363340F1"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-15,2</w:t>
            </w:r>
          </w:p>
        </w:tc>
        <w:tc>
          <w:tcPr>
            <w:tcW w:w="834" w:type="pct"/>
            <w:tcBorders>
              <w:top w:val="single" w:sz="6" w:space="0" w:color="auto"/>
              <w:left w:val="single" w:sz="6" w:space="0" w:color="auto"/>
              <w:bottom w:val="single" w:sz="6" w:space="0" w:color="auto"/>
              <w:right w:val="single" w:sz="6" w:space="0" w:color="auto"/>
            </w:tcBorders>
            <w:vAlign w:val="center"/>
          </w:tcPr>
          <w:p w14:paraId="674F1D76"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-6,8</w:t>
            </w:r>
          </w:p>
        </w:tc>
      </w:tr>
      <w:tr w:rsidR="008B0630" w:rsidRPr="008B0630" w14:paraId="0857DD38"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2B5CC039" w14:textId="77777777" w:rsidR="008B0630" w:rsidRPr="008B0630" w:rsidRDefault="008B0630" w:rsidP="008B0630">
            <w:pPr>
              <w:keepNext/>
              <w:keepLines/>
              <w:spacing w:after="0"/>
              <w:ind w:firstLine="0"/>
              <w:jc w:val="left"/>
              <w:rPr>
                <w:rFonts w:eastAsia="Calibri" w:cs="Times New Roman"/>
                <w:b/>
                <w:bCs/>
                <w:noProof/>
                <w:sz w:val="18"/>
                <w:szCs w:val="24"/>
              </w:rPr>
            </w:pPr>
            <w:r w:rsidRPr="008B0630">
              <w:rPr>
                <w:rFonts w:eastAsia="Calibri" w:cs="Times New Roman"/>
                <w:b/>
                <w:bCs/>
                <w:noProof/>
                <w:sz w:val="18"/>
                <w:szCs w:val="24"/>
              </w:rPr>
              <w:t xml:space="preserve">UIN, </w:t>
            </w:r>
            <w:r w:rsidRPr="008B0630">
              <w:rPr>
                <w:rFonts w:eastAsia="Calibri" w:cs="Times New Roman"/>
                <w:noProof/>
                <w:sz w:val="18"/>
                <w:szCs w:val="24"/>
              </w:rPr>
              <w:t>t.sk.:</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20470A66"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49,7</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066ADAA"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43,5</w:t>
            </w:r>
          </w:p>
        </w:tc>
        <w:tc>
          <w:tcPr>
            <w:tcW w:w="801"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213EF4"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-6,2</w:t>
            </w:r>
          </w:p>
        </w:tc>
        <w:tc>
          <w:tcPr>
            <w:tcW w:w="834"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C78FB92"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-12,5</w:t>
            </w:r>
          </w:p>
        </w:tc>
      </w:tr>
      <w:tr w:rsidR="008B0630" w:rsidRPr="008B0630" w14:paraId="77A1D51D"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2DCE6445"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vAlign w:val="center"/>
          </w:tcPr>
          <w:p w14:paraId="61E96403"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22,2</w:t>
            </w:r>
          </w:p>
        </w:tc>
        <w:tc>
          <w:tcPr>
            <w:tcW w:w="817" w:type="pct"/>
            <w:tcBorders>
              <w:top w:val="single" w:sz="6" w:space="0" w:color="auto"/>
              <w:left w:val="single" w:sz="6" w:space="0" w:color="auto"/>
              <w:bottom w:val="single" w:sz="6" w:space="0" w:color="auto"/>
              <w:right w:val="single" w:sz="6" w:space="0" w:color="auto"/>
            </w:tcBorders>
            <w:vAlign w:val="center"/>
          </w:tcPr>
          <w:p w14:paraId="51AEA2BA"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21,4</w:t>
            </w:r>
          </w:p>
        </w:tc>
        <w:tc>
          <w:tcPr>
            <w:tcW w:w="801" w:type="pct"/>
            <w:tcBorders>
              <w:top w:val="single" w:sz="6" w:space="0" w:color="auto"/>
              <w:left w:val="single" w:sz="6" w:space="0" w:color="auto"/>
              <w:bottom w:val="single" w:sz="6" w:space="0" w:color="auto"/>
              <w:right w:val="single" w:sz="6" w:space="0" w:color="auto"/>
            </w:tcBorders>
            <w:vAlign w:val="center"/>
          </w:tcPr>
          <w:p w14:paraId="33A59908"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-0,8</w:t>
            </w:r>
          </w:p>
        </w:tc>
        <w:tc>
          <w:tcPr>
            <w:tcW w:w="834" w:type="pct"/>
            <w:tcBorders>
              <w:top w:val="single" w:sz="6" w:space="0" w:color="auto"/>
              <w:left w:val="single" w:sz="6" w:space="0" w:color="auto"/>
              <w:bottom w:val="single" w:sz="6" w:space="0" w:color="auto"/>
              <w:right w:val="single" w:sz="6" w:space="0" w:color="auto"/>
            </w:tcBorders>
            <w:vAlign w:val="center"/>
          </w:tcPr>
          <w:p w14:paraId="72EC8B1D"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-3,4</w:t>
            </w:r>
          </w:p>
        </w:tc>
      </w:tr>
      <w:tr w:rsidR="008B0630" w:rsidRPr="008B0630" w14:paraId="3DE63BAB"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1679A3DC"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vAlign w:val="center"/>
          </w:tcPr>
          <w:p w14:paraId="538FFF2B"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5,3</w:t>
            </w:r>
          </w:p>
        </w:tc>
        <w:tc>
          <w:tcPr>
            <w:tcW w:w="817" w:type="pct"/>
            <w:tcBorders>
              <w:top w:val="single" w:sz="6" w:space="0" w:color="auto"/>
              <w:left w:val="single" w:sz="6" w:space="0" w:color="auto"/>
              <w:bottom w:val="single" w:sz="6" w:space="0" w:color="auto"/>
              <w:right w:val="single" w:sz="6" w:space="0" w:color="auto"/>
            </w:tcBorders>
            <w:vAlign w:val="center"/>
          </w:tcPr>
          <w:p w14:paraId="563D0310"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3,7</w:t>
            </w:r>
          </w:p>
        </w:tc>
        <w:tc>
          <w:tcPr>
            <w:tcW w:w="801" w:type="pct"/>
            <w:tcBorders>
              <w:top w:val="single" w:sz="6" w:space="0" w:color="auto"/>
              <w:left w:val="single" w:sz="6" w:space="0" w:color="auto"/>
              <w:bottom w:val="single" w:sz="6" w:space="0" w:color="auto"/>
              <w:right w:val="single" w:sz="6" w:space="0" w:color="auto"/>
            </w:tcBorders>
            <w:vAlign w:val="center"/>
          </w:tcPr>
          <w:p w14:paraId="7DAB72F9"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-1,6</w:t>
            </w:r>
          </w:p>
        </w:tc>
        <w:tc>
          <w:tcPr>
            <w:tcW w:w="834" w:type="pct"/>
            <w:tcBorders>
              <w:top w:val="single" w:sz="6" w:space="0" w:color="auto"/>
              <w:left w:val="single" w:sz="6" w:space="0" w:color="auto"/>
              <w:bottom w:val="single" w:sz="6" w:space="0" w:color="auto"/>
              <w:right w:val="single" w:sz="6" w:space="0" w:color="auto"/>
            </w:tcBorders>
            <w:vAlign w:val="center"/>
          </w:tcPr>
          <w:p w14:paraId="3566A575"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-29,8</w:t>
            </w:r>
          </w:p>
        </w:tc>
      </w:tr>
      <w:tr w:rsidR="008B0630" w:rsidRPr="008B0630" w14:paraId="5A237B2E"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448BD182"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vAlign w:val="center"/>
          </w:tcPr>
          <w:p w14:paraId="42F13F85"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22,2</w:t>
            </w:r>
          </w:p>
        </w:tc>
        <w:tc>
          <w:tcPr>
            <w:tcW w:w="817" w:type="pct"/>
            <w:tcBorders>
              <w:top w:val="single" w:sz="6" w:space="0" w:color="auto"/>
              <w:left w:val="single" w:sz="6" w:space="0" w:color="auto"/>
              <w:bottom w:val="single" w:sz="6" w:space="0" w:color="auto"/>
              <w:right w:val="single" w:sz="6" w:space="0" w:color="auto"/>
            </w:tcBorders>
            <w:vAlign w:val="center"/>
          </w:tcPr>
          <w:p w14:paraId="3C1E9C3F"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18,3</w:t>
            </w:r>
          </w:p>
        </w:tc>
        <w:tc>
          <w:tcPr>
            <w:tcW w:w="801" w:type="pct"/>
            <w:tcBorders>
              <w:top w:val="single" w:sz="6" w:space="0" w:color="auto"/>
              <w:left w:val="single" w:sz="6" w:space="0" w:color="auto"/>
              <w:bottom w:val="single" w:sz="6" w:space="0" w:color="auto"/>
              <w:right w:val="single" w:sz="6" w:space="0" w:color="auto"/>
            </w:tcBorders>
            <w:vAlign w:val="center"/>
          </w:tcPr>
          <w:p w14:paraId="7D5CE8EF"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-3,9</w:t>
            </w:r>
          </w:p>
        </w:tc>
        <w:tc>
          <w:tcPr>
            <w:tcW w:w="834" w:type="pct"/>
            <w:tcBorders>
              <w:top w:val="single" w:sz="6" w:space="0" w:color="auto"/>
              <w:left w:val="single" w:sz="6" w:space="0" w:color="auto"/>
              <w:bottom w:val="single" w:sz="6" w:space="0" w:color="auto"/>
              <w:right w:val="single" w:sz="6" w:space="0" w:color="auto"/>
            </w:tcBorders>
            <w:vAlign w:val="center"/>
          </w:tcPr>
          <w:p w14:paraId="70612709"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-17,5</w:t>
            </w:r>
          </w:p>
        </w:tc>
      </w:tr>
      <w:tr w:rsidR="008B0630" w:rsidRPr="008B0630" w14:paraId="3E2377E4"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1E3977BE" w14:textId="77777777" w:rsidR="008B0630" w:rsidRPr="008B0630" w:rsidRDefault="008B0630" w:rsidP="008B0630">
            <w:pPr>
              <w:keepNext/>
              <w:keepLines/>
              <w:spacing w:after="0"/>
              <w:ind w:firstLine="0"/>
              <w:jc w:val="left"/>
              <w:rPr>
                <w:rFonts w:eastAsia="Calibri" w:cs="Times New Roman"/>
                <w:b/>
                <w:bCs/>
                <w:noProof/>
                <w:sz w:val="18"/>
                <w:szCs w:val="24"/>
              </w:rPr>
            </w:pPr>
            <w:r w:rsidRPr="008B0630">
              <w:rPr>
                <w:rFonts w:eastAsia="Calibri" w:cs="Times New Roman"/>
                <w:b/>
                <w:bCs/>
                <w:noProof/>
                <w:sz w:val="18"/>
                <w:szCs w:val="24"/>
              </w:rPr>
              <w:t>PVN</w:t>
            </w:r>
            <w:r w:rsidRPr="008B0630">
              <w:rPr>
                <w:rFonts w:eastAsia="Calibri" w:cs="Times New Roman"/>
                <w:noProof/>
                <w:sz w:val="18"/>
                <w:szCs w:val="24"/>
              </w:rPr>
              <w:t>, t.sk.:</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DB37A4F"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265,4</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967EAB7"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235,3</w:t>
            </w:r>
          </w:p>
        </w:tc>
        <w:tc>
          <w:tcPr>
            <w:tcW w:w="801"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2A422ED"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-30,1</w:t>
            </w:r>
          </w:p>
        </w:tc>
        <w:tc>
          <w:tcPr>
            <w:tcW w:w="834"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DDCE3FF"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-11,3</w:t>
            </w:r>
          </w:p>
        </w:tc>
      </w:tr>
      <w:tr w:rsidR="008B0630" w:rsidRPr="008B0630" w14:paraId="3830AA3D"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71BB3FE4"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vAlign w:val="center"/>
          </w:tcPr>
          <w:p w14:paraId="378EF468"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142,5</w:t>
            </w:r>
          </w:p>
        </w:tc>
        <w:tc>
          <w:tcPr>
            <w:tcW w:w="817" w:type="pct"/>
            <w:tcBorders>
              <w:top w:val="single" w:sz="6" w:space="0" w:color="auto"/>
              <w:left w:val="single" w:sz="6" w:space="0" w:color="auto"/>
              <w:bottom w:val="single" w:sz="6" w:space="0" w:color="auto"/>
              <w:right w:val="single" w:sz="6" w:space="0" w:color="auto"/>
            </w:tcBorders>
            <w:vAlign w:val="center"/>
          </w:tcPr>
          <w:p w14:paraId="024306E3"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125,9</w:t>
            </w:r>
          </w:p>
        </w:tc>
        <w:tc>
          <w:tcPr>
            <w:tcW w:w="801" w:type="pct"/>
            <w:tcBorders>
              <w:top w:val="single" w:sz="6" w:space="0" w:color="auto"/>
              <w:left w:val="single" w:sz="6" w:space="0" w:color="auto"/>
              <w:bottom w:val="single" w:sz="6" w:space="0" w:color="auto"/>
              <w:right w:val="single" w:sz="6" w:space="0" w:color="auto"/>
            </w:tcBorders>
            <w:vAlign w:val="center"/>
          </w:tcPr>
          <w:p w14:paraId="606BE26B"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-16,6</w:t>
            </w:r>
          </w:p>
        </w:tc>
        <w:tc>
          <w:tcPr>
            <w:tcW w:w="834" w:type="pct"/>
            <w:tcBorders>
              <w:top w:val="single" w:sz="6" w:space="0" w:color="auto"/>
              <w:left w:val="single" w:sz="6" w:space="0" w:color="auto"/>
              <w:bottom w:val="single" w:sz="6" w:space="0" w:color="auto"/>
              <w:right w:val="single" w:sz="6" w:space="0" w:color="auto"/>
            </w:tcBorders>
            <w:vAlign w:val="center"/>
          </w:tcPr>
          <w:p w14:paraId="25DA064E"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-11,6</w:t>
            </w:r>
          </w:p>
        </w:tc>
      </w:tr>
      <w:tr w:rsidR="008B0630" w:rsidRPr="008B0630" w14:paraId="5C870EEA"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3DFFC013"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vAlign w:val="center"/>
          </w:tcPr>
          <w:p w14:paraId="1778718C"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34,1</w:t>
            </w:r>
          </w:p>
        </w:tc>
        <w:tc>
          <w:tcPr>
            <w:tcW w:w="817" w:type="pct"/>
            <w:tcBorders>
              <w:top w:val="single" w:sz="6" w:space="0" w:color="auto"/>
              <w:left w:val="single" w:sz="6" w:space="0" w:color="auto"/>
              <w:bottom w:val="single" w:sz="6" w:space="0" w:color="auto"/>
              <w:right w:val="single" w:sz="6" w:space="0" w:color="auto"/>
            </w:tcBorders>
            <w:vAlign w:val="center"/>
          </w:tcPr>
          <w:p w14:paraId="02A8B6C5"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24,1</w:t>
            </w:r>
          </w:p>
        </w:tc>
        <w:tc>
          <w:tcPr>
            <w:tcW w:w="801" w:type="pct"/>
            <w:tcBorders>
              <w:top w:val="single" w:sz="6" w:space="0" w:color="auto"/>
              <w:left w:val="single" w:sz="6" w:space="0" w:color="auto"/>
              <w:bottom w:val="single" w:sz="6" w:space="0" w:color="auto"/>
              <w:right w:val="single" w:sz="6" w:space="0" w:color="auto"/>
            </w:tcBorders>
            <w:vAlign w:val="center"/>
          </w:tcPr>
          <w:p w14:paraId="1D784BCE"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-10,0</w:t>
            </w:r>
          </w:p>
        </w:tc>
        <w:tc>
          <w:tcPr>
            <w:tcW w:w="834" w:type="pct"/>
            <w:tcBorders>
              <w:top w:val="single" w:sz="6" w:space="0" w:color="auto"/>
              <w:left w:val="single" w:sz="6" w:space="0" w:color="auto"/>
              <w:bottom w:val="single" w:sz="6" w:space="0" w:color="auto"/>
              <w:right w:val="single" w:sz="6" w:space="0" w:color="auto"/>
            </w:tcBorders>
            <w:vAlign w:val="center"/>
          </w:tcPr>
          <w:p w14:paraId="2B00E612"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-29,3</w:t>
            </w:r>
          </w:p>
        </w:tc>
      </w:tr>
      <w:tr w:rsidR="008B0630" w:rsidRPr="008B0630" w14:paraId="6B71AB16"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445400B2"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vAlign w:val="center"/>
          </w:tcPr>
          <w:p w14:paraId="65AB96C3"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88,8</w:t>
            </w:r>
          </w:p>
        </w:tc>
        <w:tc>
          <w:tcPr>
            <w:tcW w:w="817" w:type="pct"/>
            <w:tcBorders>
              <w:top w:val="single" w:sz="6" w:space="0" w:color="auto"/>
              <w:left w:val="single" w:sz="6" w:space="0" w:color="auto"/>
              <w:bottom w:val="single" w:sz="6" w:space="0" w:color="auto"/>
              <w:right w:val="single" w:sz="6" w:space="0" w:color="auto"/>
            </w:tcBorders>
            <w:vAlign w:val="center"/>
          </w:tcPr>
          <w:p w14:paraId="02C3987A"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85,3</w:t>
            </w:r>
          </w:p>
        </w:tc>
        <w:tc>
          <w:tcPr>
            <w:tcW w:w="801" w:type="pct"/>
            <w:tcBorders>
              <w:top w:val="single" w:sz="6" w:space="0" w:color="auto"/>
              <w:left w:val="single" w:sz="6" w:space="0" w:color="auto"/>
              <w:bottom w:val="single" w:sz="6" w:space="0" w:color="auto"/>
              <w:right w:val="single" w:sz="6" w:space="0" w:color="auto"/>
            </w:tcBorders>
            <w:vAlign w:val="center"/>
          </w:tcPr>
          <w:p w14:paraId="24BD276F"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-3,6</w:t>
            </w:r>
          </w:p>
        </w:tc>
        <w:tc>
          <w:tcPr>
            <w:tcW w:w="834" w:type="pct"/>
            <w:tcBorders>
              <w:top w:val="single" w:sz="6" w:space="0" w:color="auto"/>
              <w:left w:val="single" w:sz="6" w:space="0" w:color="auto"/>
              <w:bottom w:val="single" w:sz="6" w:space="0" w:color="auto"/>
              <w:right w:val="single" w:sz="6" w:space="0" w:color="auto"/>
            </w:tcBorders>
            <w:vAlign w:val="center"/>
          </w:tcPr>
          <w:p w14:paraId="079EA020"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-4,0</w:t>
            </w:r>
          </w:p>
        </w:tc>
      </w:tr>
      <w:tr w:rsidR="008B0630" w:rsidRPr="008B0630" w14:paraId="145D75BF"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02BD656E" w14:textId="68118930" w:rsidR="008B0630" w:rsidRPr="008B0630" w:rsidRDefault="003F5E29" w:rsidP="008B0630">
            <w:pPr>
              <w:keepNext/>
              <w:keepLines/>
              <w:spacing w:after="0"/>
              <w:ind w:firstLine="0"/>
              <w:jc w:val="left"/>
              <w:rPr>
                <w:rFonts w:eastAsia="Calibri" w:cs="Times New Roman"/>
                <w:b/>
                <w:bCs/>
                <w:noProof/>
                <w:sz w:val="18"/>
                <w:szCs w:val="24"/>
              </w:rPr>
            </w:pPr>
            <w:r>
              <w:rPr>
                <w:rFonts w:eastAsia="Calibri" w:cs="Times New Roman"/>
                <w:b/>
                <w:bCs/>
                <w:noProof/>
                <w:sz w:val="18"/>
                <w:szCs w:val="24"/>
              </w:rPr>
              <w:t>AN</w:t>
            </w:r>
            <w:r w:rsidR="008B0630" w:rsidRPr="008B0630">
              <w:rPr>
                <w:rFonts w:eastAsia="Calibri" w:cs="Times New Roman"/>
                <w:b/>
                <w:bCs/>
                <w:noProof/>
                <w:sz w:val="18"/>
                <w:szCs w:val="24"/>
              </w:rPr>
              <w:t xml:space="preserve">, </w:t>
            </w:r>
            <w:r w:rsidR="008B0630" w:rsidRPr="008B0630">
              <w:rPr>
                <w:rFonts w:eastAsia="Calibri" w:cs="Times New Roman"/>
                <w:noProof/>
                <w:sz w:val="18"/>
                <w:szCs w:val="24"/>
              </w:rPr>
              <w:t>t.sk.:</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6E8D8F2"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54,3</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DD7874C"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48,1</w:t>
            </w:r>
          </w:p>
        </w:tc>
        <w:tc>
          <w:tcPr>
            <w:tcW w:w="801"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06E2EBF"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-6,2</w:t>
            </w:r>
          </w:p>
        </w:tc>
        <w:tc>
          <w:tcPr>
            <w:tcW w:w="834"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E0441CF"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-11,3</w:t>
            </w:r>
          </w:p>
        </w:tc>
      </w:tr>
      <w:tr w:rsidR="008B0630" w:rsidRPr="008B0630" w14:paraId="241F3840"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607AE82B"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vAlign w:val="center"/>
          </w:tcPr>
          <w:p w14:paraId="662993E8"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19,9</w:t>
            </w:r>
          </w:p>
        </w:tc>
        <w:tc>
          <w:tcPr>
            <w:tcW w:w="817" w:type="pct"/>
            <w:tcBorders>
              <w:top w:val="single" w:sz="6" w:space="0" w:color="auto"/>
              <w:left w:val="single" w:sz="6" w:space="0" w:color="auto"/>
              <w:bottom w:val="single" w:sz="6" w:space="0" w:color="auto"/>
              <w:right w:val="single" w:sz="6" w:space="0" w:color="auto"/>
            </w:tcBorders>
            <w:vAlign w:val="center"/>
          </w:tcPr>
          <w:p w14:paraId="641C26C3"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15,2</w:t>
            </w:r>
          </w:p>
        </w:tc>
        <w:tc>
          <w:tcPr>
            <w:tcW w:w="801" w:type="pct"/>
            <w:tcBorders>
              <w:top w:val="single" w:sz="6" w:space="0" w:color="auto"/>
              <w:left w:val="single" w:sz="6" w:space="0" w:color="auto"/>
              <w:bottom w:val="single" w:sz="6" w:space="0" w:color="auto"/>
              <w:right w:val="single" w:sz="6" w:space="0" w:color="auto"/>
            </w:tcBorders>
            <w:vAlign w:val="center"/>
          </w:tcPr>
          <w:p w14:paraId="2707EDDE"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-4,7</w:t>
            </w:r>
          </w:p>
        </w:tc>
        <w:tc>
          <w:tcPr>
            <w:tcW w:w="834" w:type="pct"/>
            <w:tcBorders>
              <w:top w:val="single" w:sz="6" w:space="0" w:color="auto"/>
              <w:left w:val="single" w:sz="6" w:space="0" w:color="auto"/>
              <w:bottom w:val="single" w:sz="6" w:space="0" w:color="auto"/>
              <w:right w:val="single" w:sz="6" w:space="0" w:color="auto"/>
            </w:tcBorders>
            <w:vAlign w:val="center"/>
          </w:tcPr>
          <w:p w14:paraId="763D2E1E"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-23,8</w:t>
            </w:r>
          </w:p>
        </w:tc>
      </w:tr>
      <w:tr w:rsidR="008B0630" w:rsidRPr="008B0630" w14:paraId="449A8B12"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5CBDB2C2"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vAlign w:val="center"/>
          </w:tcPr>
          <w:p w14:paraId="747FAF90"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5,2</w:t>
            </w:r>
          </w:p>
        </w:tc>
        <w:tc>
          <w:tcPr>
            <w:tcW w:w="817" w:type="pct"/>
            <w:tcBorders>
              <w:top w:val="single" w:sz="6" w:space="0" w:color="auto"/>
              <w:left w:val="single" w:sz="6" w:space="0" w:color="auto"/>
              <w:bottom w:val="single" w:sz="6" w:space="0" w:color="auto"/>
              <w:right w:val="single" w:sz="6" w:space="0" w:color="auto"/>
            </w:tcBorders>
            <w:vAlign w:val="center"/>
          </w:tcPr>
          <w:p w14:paraId="617F2783"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0,8</w:t>
            </w:r>
          </w:p>
        </w:tc>
        <w:tc>
          <w:tcPr>
            <w:tcW w:w="801" w:type="pct"/>
            <w:tcBorders>
              <w:top w:val="single" w:sz="6" w:space="0" w:color="auto"/>
              <w:left w:val="single" w:sz="6" w:space="0" w:color="auto"/>
              <w:bottom w:val="single" w:sz="6" w:space="0" w:color="auto"/>
              <w:right w:val="single" w:sz="6" w:space="0" w:color="auto"/>
            </w:tcBorders>
            <w:vAlign w:val="center"/>
          </w:tcPr>
          <w:p w14:paraId="661BC4B3"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-4,4</w:t>
            </w:r>
          </w:p>
        </w:tc>
        <w:tc>
          <w:tcPr>
            <w:tcW w:w="834" w:type="pct"/>
            <w:tcBorders>
              <w:top w:val="single" w:sz="6" w:space="0" w:color="auto"/>
              <w:left w:val="single" w:sz="6" w:space="0" w:color="auto"/>
              <w:bottom w:val="single" w:sz="6" w:space="0" w:color="auto"/>
              <w:right w:val="single" w:sz="6" w:space="0" w:color="auto"/>
            </w:tcBorders>
            <w:vAlign w:val="center"/>
          </w:tcPr>
          <w:p w14:paraId="5255E762"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-85,4</w:t>
            </w:r>
          </w:p>
        </w:tc>
      </w:tr>
      <w:tr w:rsidR="008B0630" w:rsidRPr="008B0630" w14:paraId="1E0041BF"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77D5FDAA"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vAlign w:val="center"/>
          </w:tcPr>
          <w:p w14:paraId="67715193"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29,2</w:t>
            </w:r>
          </w:p>
        </w:tc>
        <w:tc>
          <w:tcPr>
            <w:tcW w:w="817" w:type="pct"/>
            <w:tcBorders>
              <w:top w:val="single" w:sz="6" w:space="0" w:color="auto"/>
              <w:left w:val="single" w:sz="6" w:space="0" w:color="auto"/>
              <w:bottom w:val="single" w:sz="6" w:space="0" w:color="auto"/>
              <w:right w:val="single" w:sz="6" w:space="0" w:color="auto"/>
            </w:tcBorders>
            <w:vAlign w:val="center"/>
          </w:tcPr>
          <w:p w14:paraId="0153671F"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32,2</w:t>
            </w:r>
          </w:p>
        </w:tc>
        <w:tc>
          <w:tcPr>
            <w:tcW w:w="801" w:type="pct"/>
            <w:tcBorders>
              <w:top w:val="single" w:sz="6" w:space="0" w:color="auto"/>
              <w:left w:val="single" w:sz="6" w:space="0" w:color="auto"/>
              <w:bottom w:val="single" w:sz="6" w:space="0" w:color="auto"/>
              <w:right w:val="single" w:sz="6" w:space="0" w:color="auto"/>
            </w:tcBorders>
            <w:vAlign w:val="center"/>
          </w:tcPr>
          <w:p w14:paraId="77A7C742"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+3,0</w:t>
            </w:r>
          </w:p>
        </w:tc>
        <w:tc>
          <w:tcPr>
            <w:tcW w:w="834" w:type="pct"/>
            <w:tcBorders>
              <w:top w:val="single" w:sz="6" w:space="0" w:color="auto"/>
              <w:left w:val="single" w:sz="6" w:space="0" w:color="auto"/>
              <w:bottom w:val="single" w:sz="6" w:space="0" w:color="auto"/>
              <w:right w:val="single" w:sz="6" w:space="0" w:color="auto"/>
            </w:tcBorders>
            <w:vAlign w:val="center"/>
          </w:tcPr>
          <w:p w14:paraId="7A941540"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+10,4</w:t>
            </w:r>
          </w:p>
        </w:tc>
      </w:tr>
      <w:tr w:rsidR="008B0630" w:rsidRPr="008B0630" w14:paraId="726E21A1"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0AE6FBDB" w14:textId="77777777" w:rsidR="008B0630" w:rsidRPr="008B0630" w:rsidRDefault="008B0630" w:rsidP="008B0630">
            <w:pPr>
              <w:keepNext/>
              <w:keepLines/>
              <w:spacing w:after="0"/>
              <w:ind w:firstLine="0"/>
              <w:jc w:val="left"/>
              <w:rPr>
                <w:rFonts w:eastAsia="Calibri" w:cs="Times New Roman"/>
                <w:b/>
                <w:bCs/>
                <w:noProof/>
                <w:sz w:val="18"/>
                <w:szCs w:val="24"/>
              </w:rPr>
            </w:pPr>
            <w:r w:rsidRPr="008B0630">
              <w:rPr>
                <w:rFonts w:eastAsia="Calibri" w:cs="Times New Roman"/>
                <w:b/>
                <w:bCs/>
                <w:noProof/>
                <w:sz w:val="18"/>
                <w:szCs w:val="24"/>
              </w:rPr>
              <w:t>IIN</w:t>
            </w:r>
            <w:r w:rsidRPr="008B0630">
              <w:rPr>
                <w:rFonts w:eastAsia="Calibri" w:cs="Times New Roman"/>
                <w:noProof/>
                <w:sz w:val="18"/>
                <w:szCs w:val="24"/>
              </w:rPr>
              <w:t>, t.sk.:</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A58AE43"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288,0</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72238E7"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307,5</w:t>
            </w:r>
          </w:p>
        </w:tc>
        <w:tc>
          <w:tcPr>
            <w:tcW w:w="801"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6EDB35D"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+19,5</w:t>
            </w:r>
          </w:p>
        </w:tc>
        <w:tc>
          <w:tcPr>
            <w:tcW w:w="834"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806A82A"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+6,8</w:t>
            </w:r>
          </w:p>
        </w:tc>
      </w:tr>
      <w:tr w:rsidR="008B0630" w:rsidRPr="008B0630" w14:paraId="2E70BF6D"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060D1D8B"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vAlign w:val="center"/>
          </w:tcPr>
          <w:p w14:paraId="4033214E"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233,7</w:t>
            </w:r>
          </w:p>
        </w:tc>
        <w:tc>
          <w:tcPr>
            <w:tcW w:w="817" w:type="pct"/>
            <w:tcBorders>
              <w:top w:val="single" w:sz="6" w:space="0" w:color="auto"/>
              <w:left w:val="single" w:sz="6" w:space="0" w:color="auto"/>
              <w:bottom w:val="single" w:sz="6" w:space="0" w:color="auto"/>
              <w:right w:val="single" w:sz="6" w:space="0" w:color="auto"/>
            </w:tcBorders>
            <w:vAlign w:val="center"/>
          </w:tcPr>
          <w:p w14:paraId="049195F1"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246,9</w:t>
            </w:r>
          </w:p>
        </w:tc>
        <w:tc>
          <w:tcPr>
            <w:tcW w:w="801" w:type="pct"/>
            <w:tcBorders>
              <w:top w:val="single" w:sz="6" w:space="0" w:color="auto"/>
              <w:left w:val="single" w:sz="6" w:space="0" w:color="auto"/>
              <w:bottom w:val="single" w:sz="6" w:space="0" w:color="auto"/>
              <w:right w:val="single" w:sz="6" w:space="0" w:color="auto"/>
            </w:tcBorders>
            <w:vAlign w:val="center"/>
          </w:tcPr>
          <w:p w14:paraId="6031E18A"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+13,3</w:t>
            </w:r>
          </w:p>
        </w:tc>
        <w:tc>
          <w:tcPr>
            <w:tcW w:w="834" w:type="pct"/>
            <w:tcBorders>
              <w:top w:val="single" w:sz="6" w:space="0" w:color="auto"/>
              <w:left w:val="single" w:sz="6" w:space="0" w:color="auto"/>
              <w:bottom w:val="single" w:sz="6" w:space="0" w:color="auto"/>
              <w:right w:val="single" w:sz="6" w:space="0" w:color="auto"/>
            </w:tcBorders>
            <w:vAlign w:val="center"/>
          </w:tcPr>
          <w:p w14:paraId="74A664AA"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+5,7</w:t>
            </w:r>
          </w:p>
        </w:tc>
      </w:tr>
      <w:tr w:rsidR="008B0630" w:rsidRPr="008B0630" w14:paraId="55F0141A"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366C8134"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vAlign w:val="center"/>
          </w:tcPr>
          <w:p w14:paraId="7BA5821A"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22,6</w:t>
            </w:r>
          </w:p>
        </w:tc>
        <w:tc>
          <w:tcPr>
            <w:tcW w:w="817" w:type="pct"/>
            <w:tcBorders>
              <w:top w:val="single" w:sz="6" w:space="0" w:color="auto"/>
              <w:left w:val="single" w:sz="6" w:space="0" w:color="auto"/>
              <w:bottom w:val="single" w:sz="6" w:space="0" w:color="auto"/>
              <w:right w:val="single" w:sz="6" w:space="0" w:color="auto"/>
            </w:tcBorders>
            <w:vAlign w:val="center"/>
          </w:tcPr>
          <w:p w14:paraId="177D13F6"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28,9</w:t>
            </w:r>
          </w:p>
        </w:tc>
        <w:tc>
          <w:tcPr>
            <w:tcW w:w="801" w:type="pct"/>
            <w:tcBorders>
              <w:top w:val="single" w:sz="6" w:space="0" w:color="auto"/>
              <w:left w:val="single" w:sz="6" w:space="0" w:color="auto"/>
              <w:bottom w:val="single" w:sz="6" w:space="0" w:color="auto"/>
              <w:right w:val="single" w:sz="6" w:space="0" w:color="auto"/>
            </w:tcBorders>
            <w:vAlign w:val="center"/>
          </w:tcPr>
          <w:p w14:paraId="3473893A"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+6,3</w:t>
            </w:r>
          </w:p>
        </w:tc>
        <w:tc>
          <w:tcPr>
            <w:tcW w:w="834" w:type="pct"/>
            <w:tcBorders>
              <w:top w:val="single" w:sz="6" w:space="0" w:color="auto"/>
              <w:left w:val="single" w:sz="6" w:space="0" w:color="auto"/>
              <w:bottom w:val="single" w:sz="6" w:space="0" w:color="auto"/>
              <w:right w:val="single" w:sz="6" w:space="0" w:color="auto"/>
            </w:tcBorders>
            <w:vAlign w:val="center"/>
          </w:tcPr>
          <w:p w14:paraId="4F644D23"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+27,9</w:t>
            </w:r>
          </w:p>
        </w:tc>
      </w:tr>
      <w:tr w:rsidR="008B0630" w:rsidRPr="008B0630" w14:paraId="415BF491"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764001DC"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vAlign w:val="center"/>
          </w:tcPr>
          <w:p w14:paraId="10943BA7"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31,7</w:t>
            </w:r>
          </w:p>
        </w:tc>
        <w:tc>
          <w:tcPr>
            <w:tcW w:w="817" w:type="pct"/>
            <w:tcBorders>
              <w:top w:val="single" w:sz="6" w:space="0" w:color="auto"/>
              <w:left w:val="single" w:sz="6" w:space="0" w:color="auto"/>
              <w:bottom w:val="single" w:sz="6" w:space="0" w:color="auto"/>
              <w:right w:val="single" w:sz="6" w:space="0" w:color="auto"/>
            </w:tcBorders>
            <w:vAlign w:val="center"/>
          </w:tcPr>
          <w:p w14:paraId="21C12A58"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31,7</w:t>
            </w:r>
          </w:p>
        </w:tc>
        <w:tc>
          <w:tcPr>
            <w:tcW w:w="801" w:type="pct"/>
            <w:tcBorders>
              <w:top w:val="single" w:sz="6" w:space="0" w:color="auto"/>
              <w:left w:val="single" w:sz="6" w:space="0" w:color="auto"/>
              <w:bottom w:val="single" w:sz="6" w:space="0" w:color="auto"/>
              <w:right w:val="single" w:sz="6" w:space="0" w:color="auto"/>
            </w:tcBorders>
            <w:vAlign w:val="center"/>
          </w:tcPr>
          <w:p w14:paraId="0A82400C"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-0,04</w:t>
            </w:r>
          </w:p>
        </w:tc>
        <w:tc>
          <w:tcPr>
            <w:tcW w:w="834" w:type="pct"/>
            <w:tcBorders>
              <w:top w:val="single" w:sz="6" w:space="0" w:color="auto"/>
              <w:left w:val="single" w:sz="6" w:space="0" w:color="auto"/>
              <w:bottom w:val="single" w:sz="6" w:space="0" w:color="auto"/>
              <w:right w:val="single" w:sz="6" w:space="0" w:color="auto"/>
            </w:tcBorders>
            <w:vAlign w:val="center"/>
          </w:tcPr>
          <w:p w14:paraId="41DFCA2D"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-0,1</w:t>
            </w:r>
          </w:p>
        </w:tc>
      </w:tr>
      <w:tr w:rsidR="008B0630" w:rsidRPr="008B0630" w14:paraId="7B8F8B91"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7FC23ECE" w14:textId="77777777" w:rsidR="008B0630" w:rsidRPr="008B0630" w:rsidRDefault="008B0630" w:rsidP="008B0630">
            <w:pPr>
              <w:keepNext/>
              <w:keepLines/>
              <w:spacing w:after="0"/>
              <w:ind w:firstLine="0"/>
              <w:jc w:val="left"/>
              <w:rPr>
                <w:rFonts w:eastAsia="Calibri" w:cs="Times New Roman"/>
                <w:b/>
                <w:bCs/>
                <w:noProof/>
                <w:sz w:val="18"/>
                <w:szCs w:val="24"/>
              </w:rPr>
            </w:pPr>
            <w:r w:rsidRPr="008B0630">
              <w:rPr>
                <w:rFonts w:eastAsia="Calibri" w:cs="Times New Roman"/>
                <w:b/>
                <w:bCs/>
                <w:noProof/>
                <w:sz w:val="18"/>
                <w:szCs w:val="24"/>
              </w:rPr>
              <w:t xml:space="preserve">VSAOI, </w:t>
            </w:r>
            <w:r w:rsidRPr="008B0630">
              <w:rPr>
                <w:rFonts w:eastAsia="Calibri" w:cs="Times New Roman"/>
                <w:noProof/>
                <w:sz w:val="18"/>
                <w:szCs w:val="24"/>
              </w:rPr>
              <w:t>t.sk.:</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9F066C3"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176,0</w:t>
            </w:r>
          </w:p>
        </w:tc>
        <w:tc>
          <w:tcPr>
            <w:tcW w:w="81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6A31F7A"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196,0</w:t>
            </w:r>
          </w:p>
        </w:tc>
        <w:tc>
          <w:tcPr>
            <w:tcW w:w="801"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AFB86F3"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+20,1</w:t>
            </w:r>
          </w:p>
        </w:tc>
        <w:tc>
          <w:tcPr>
            <w:tcW w:w="834"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E750D64"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sz w:val="18"/>
                <w:szCs w:val="18"/>
              </w:rPr>
              <w:t>+11,4</w:t>
            </w:r>
          </w:p>
        </w:tc>
      </w:tr>
      <w:tr w:rsidR="008B0630" w:rsidRPr="008B0630" w14:paraId="7FDF9AC4"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4CEA3C80"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-aktuālie parādi</w:t>
            </w:r>
          </w:p>
        </w:tc>
        <w:tc>
          <w:tcPr>
            <w:tcW w:w="817" w:type="pct"/>
            <w:tcBorders>
              <w:top w:val="single" w:sz="6" w:space="0" w:color="auto"/>
              <w:left w:val="single" w:sz="6" w:space="0" w:color="auto"/>
              <w:bottom w:val="single" w:sz="6" w:space="0" w:color="auto"/>
              <w:right w:val="single" w:sz="6" w:space="0" w:color="auto"/>
            </w:tcBorders>
            <w:vAlign w:val="center"/>
          </w:tcPr>
          <w:p w14:paraId="511FDA08"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112,3</w:t>
            </w:r>
          </w:p>
        </w:tc>
        <w:tc>
          <w:tcPr>
            <w:tcW w:w="817" w:type="pct"/>
            <w:tcBorders>
              <w:top w:val="single" w:sz="6" w:space="0" w:color="auto"/>
              <w:left w:val="single" w:sz="6" w:space="0" w:color="auto"/>
              <w:bottom w:val="single" w:sz="6" w:space="0" w:color="auto"/>
              <w:right w:val="single" w:sz="6" w:space="0" w:color="auto"/>
            </w:tcBorders>
            <w:vAlign w:val="center"/>
          </w:tcPr>
          <w:p w14:paraId="4DFC5573"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117,8</w:t>
            </w:r>
          </w:p>
        </w:tc>
        <w:tc>
          <w:tcPr>
            <w:tcW w:w="801" w:type="pct"/>
            <w:tcBorders>
              <w:top w:val="single" w:sz="6" w:space="0" w:color="auto"/>
              <w:left w:val="single" w:sz="6" w:space="0" w:color="auto"/>
              <w:bottom w:val="single" w:sz="6" w:space="0" w:color="auto"/>
              <w:right w:val="single" w:sz="6" w:space="0" w:color="auto"/>
            </w:tcBorders>
            <w:vAlign w:val="center"/>
          </w:tcPr>
          <w:p w14:paraId="6466EFDF"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+5,5</w:t>
            </w:r>
          </w:p>
        </w:tc>
        <w:tc>
          <w:tcPr>
            <w:tcW w:w="834" w:type="pct"/>
            <w:tcBorders>
              <w:top w:val="single" w:sz="6" w:space="0" w:color="auto"/>
              <w:left w:val="single" w:sz="6" w:space="0" w:color="auto"/>
              <w:bottom w:val="single" w:sz="6" w:space="0" w:color="auto"/>
              <w:right w:val="single" w:sz="6" w:space="0" w:color="auto"/>
            </w:tcBorders>
            <w:vAlign w:val="center"/>
          </w:tcPr>
          <w:p w14:paraId="5C0D28B5"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+4,9</w:t>
            </w:r>
          </w:p>
        </w:tc>
      </w:tr>
      <w:tr w:rsidR="008B0630" w:rsidRPr="008B0630" w14:paraId="4E6812B9"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40414A70"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-termiņa pagarinājumi</w:t>
            </w:r>
          </w:p>
        </w:tc>
        <w:tc>
          <w:tcPr>
            <w:tcW w:w="817" w:type="pct"/>
            <w:tcBorders>
              <w:top w:val="single" w:sz="6" w:space="0" w:color="auto"/>
              <w:left w:val="single" w:sz="6" w:space="0" w:color="auto"/>
              <w:bottom w:val="single" w:sz="6" w:space="0" w:color="auto"/>
              <w:right w:val="single" w:sz="6" w:space="0" w:color="auto"/>
            </w:tcBorders>
            <w:vAlign w:val="center"/>
          </w:tcPr>
          <w:p w14:paraId="23D180A2"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26,5</w:t>
            </w:r>
          </w:p>
        </w:tc>
        <w:tc>
          <w:tcPr>
            <w:tcW w:w="817" w:type="pct"/>
            <w:tcBorders>
              <w:top w:val="single" w:sz="6" w:space="0" w:color="auto"/>
              <w:left w:val="single" w:sz="6" w:space="0" w:color="auto"/>
              <w:bottom w:val="single" w:sz="6" w:space="0" w:color="auto"/>
              <w:right w:val="single" w:sz="6" w:space="0" w:color="auto"/>
            </w:tcBorders>
            <w:vAlign w:val="center"/>
          </w:tcPr>
          <w:p w14:paraId="37408771"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38,6</w:t>
            </w:r>
          </w:p>
        </w:tc>
        <w:tc>
          <w:tcPr>
            <w:tcW w:w="801" w:type="pct"/>
            <w:tcBorders>
              <w:top w:val="single" w:sz="6" w:space="0" w:color="auto"/>
              <w:left w:val="single" w:sz="6" w:space="0" w:color="auto"/>
              <w:bottom w:val="single" w:sz="6" w:space="0" w:color="auto"/>
              <w:right w:val="single" w:sz="6" w:space="0" w:color="auto"/>
            </w:tcBorders>
            <w:vAlign w:val="center"/>
          </w:tcPr>
          <w:p w14:paraId="4198C38E"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+12,2</w:t>
            </w:r>
          </w:p>
        </w:tc>
        <w:tc>
          <w:tcPr>
            <w:tcW w:w="834" w:type="pct"/>
            <w:tcBorders>
              <w:top w:val="single" w:sz="6" w:space="0" w:color="auto"/>
              <w:left w:val="single" w:sz="6" w:space="0" w:color="auto"/>
              <w:bottom w:val="single" w:sz="6" w:space="0" w:color="auto"/>
              <w:right w:val="single" w:sz="6" w:space="0" w:color="auto"/>
            </w:tcBorders>
            <w:vAlign w:val="center"/>
          </w:tcPr>
          <w:p w14:paraId="1C92FFB2"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+45,9</w:t>
            </w:r>
          </w:p>
        </w:tc>
      </w:tr>
      <w:tr w:rsidR="008B0630" w:rsidRPr="008B0630" w14:paraId="2918B6E4" w14:textId="77777777" w:rsidTr="00E03828">
        <w:trPr>
          <w:trHeight w:val="74"/>
          <w:jc w:val="center"/>
        </w:trPr>
        <w:tc>
          <w:tcPr>
            <w:tcW w:w="1731" w:type="pct"/>
            <w:tcBorders>
              <w:top w:val="single" w:sz="6" w:space="0" w:color="auto"/>
              <w:left w:val="single" w:sz="6" w:space="0" w:color="auto"/>
              <w:bottom w:val="single" w:sz="6" w:space="0" w:color="auto"/>
              <w:right w:val="single" w:sz="6" w:space="0" w:color="auto"/>
            </w:tcBorders>
          </w:tcPr>
          <w:p w14:paraId="09A332DB"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-apturētie parādi</w:t>
            </w:r>
          </w:p>
        </w:tc>
        <w:tc>
          <w:tcPr>
            <w:tcW w:w="817" w:type="pct"/>
            <w:tcBorders>
              <w:top w:val="single" w:sz="6" w:space="0" w:color="auto"/>
              <w:left w:val="single" w:sz="6" w:space="0" w:color="auto"/>
              <w:bottom w:val="single" w:sz="6" w:space="0" w:color="auto"/>
              <w:right w:val="single" w:sz="6" w:space="0" w:color="auto"/>
            </w:tcBorders>
            <w:vAlign w:val="center"/>
          </w:tcPr>
          <w:p w14:paraId="54E2A165"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37,2</w:t>
            </w:r>
          </w:p>
        </w:tc>
        <w:tc>
          <w:tcPr>
            <w:tcW w:w="817" w:type="pct"/>
            <w:tcBorders>
              <w:top w:val="single" w:sz="6" w:space="0" w:color="auto"/>
              <w:left w:val="single" w:sz="6" w:space="0" w:color="auto"/>
              <w:bottom w:val="single" w:sz="6" w:space="0" w:color="auto"/>
              <w:right w:val="single" w:sz="6" w:space="0" w:color="auto"/>
            </w:tcBorders>
            <w:vAlign w:val="center"/>
          </w:tcPr>
          <w:p w14:paraId="1556957B"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39,6</w:t>
            </w:r>
          </w:p>
        </w:tc>
        <w:tc>
          <w:tcPr>
            <w:tcW w:w="801" w:type="pct"/>
            <w:tcBorders>
              <w:top w:val="single" w:sz="6" w:space="0" w:color="auto"/>
              <w:left w:val="single" w:sz="6" w:space="0" w:color="auto"/>
              <w:bottom w:val="single" w:sz="6" w:space="0" w:color="auto"/>
              <w:right w:val="single" w:sz="6" w:space="0" w:color="auto"/>
            </w:tcBorders>
            <w:vAlign w:val="center"/>
          </w:tcPr>
          <w:p w14:paraId="35B157D7"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+2,4</w:t>
            </w:r>
          </w:p>
        </w:tc>
        <w:tc>
          <w:tcPr>
            <w:tcW w:w="834" w:type="pct"/>
            <w:tcBorders>
              <w:top w:val="single" w:sz="6" w:space="0" w:color="auto"/>
              <w:left w:val="single" w:sz="6" w:space="0" w:color="auto"/>
              <w:bottom w:val="single" w:sz="6" w:space="0" w:color="auto"/>
              <w:right w:val="single" w:sz="6" w:space="0" w:color="auto"/>
            </w:tcBorders>
            <w:vAlign w:val="center"/>
          </w:tcPr>
          <w:p w14:paraId="6F83A9DF"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sz w:val="18"/>
                <w:szCs w:val="18"/>
              </w:rPr>
              <w:t>+6,5</w:t>
            </w:r>
          </w:p>
        </w:tc>
      </w:tr>
    </w:tbl>
    <w:p w14:paraId="342D0B71" w14:textId="77777777" w:rsidR="008B0630" w:rsidRPr="008B0630" w:rsidRDefault="008B0630" w:rsidP="008B0630">
      <w:pPr>
        <w:rPr>
          <w:rFonts w:eastAsia="Calibri" w:cs="Times New Roman"/>
          <w:szCs w:val="24"/>
          <w:highlight w:val="yellow"/>
        </w:rPr>
      </w:pPr>
    </w:p>
    <w:p w14:paraId="3F1CB3E2" w14:textId="77777777" w:rsidR="008B0630" w:rsidRPr="008B0630" w:rsidRDefault="008B0630" w:rsidP="008B0630">
      <w:pPr>
        <w:rPr>
          <w:rFonts w:eastAsia="Calibri" w:cs="Times New Roman"/>
          <w:szCs w:val="24"/>
        </w:rPr>
      </w:pPr>
      <w:r w:rsidRPr="008B0630">
        <w:rPr>
          <w:rFonts w:eastAsia="Calibri" w:cs="Times New Roman"/>
          <w:szCs w:val="24"/>
        </w:rPr>
        <w:t>2025. gada 1. janvārī aktuālo parādu kopsumma bija 540,0 milj. </w:t>
      </w:r>
      <w:r w:rsidRPr="008B0630">
        <w:rPr>
          <w:rFonts w:eastAsia="Calibri" w:cs="Times New Roman"/>
          <w:i/>
          <w:iCs/>
          <w:szCs w:val="24"/>
        </w:rPr>
        <w:t>euro</w:t>
      </w:r>
      <w:r w:rsidRPr="008B0630">
        <w:rPr>
          <w:rFonts w:eastAsia="Calibri" w:cs="Times New Roman"/>
          <w:szCs w:val="24"/>
        </w:rPr>
        <w:t>, kas, salīdzinot ar 2024. gada 1. janvāri, ir samazinājusies par 5,3 milj. </w:t>
      </w:r>
      <w:r w:rsidRPr="008B0630">
        <w:rPr>
          <w:rFonts w:eastAsia="Calibri" w:cs="Times New Roman"/>
          <w:i/>
          <w:iCs/>
          <w:szCs w:val="24"/>
        </w:rPr>
        <w:t>euro</w:t>
      </w:r>
      <w:r w:rsidRPr="008B0630">
        <w:rPr>
          <w:rFonts w:eastAsia="Calibri" w:cs="Times New Roman"/>
          <w:szCs w:val="24"/>
        </w:rPr>
        <w:t xml:space="preserve"> jeb 1,0%.</w:t>
      </w:r>
    </w:p>
    <w:p w14:paraId="4B2DCA08" w14:textId="77777777" w:rsidR="008B0630" w:rsidRPr="008B0630" w:rsidRDefault="008B0630" w:rsidP="008B0630">
      <w:pPr>
        <w:rPr>
          <w:rFonts w:eastAsia="Calibri" w:cs="Times New Roman"/>
          <w:szCs w:val="24"/>
        </w:rPr>
      </w:pPr>
      <w:r w:rsidRPr="008B0630">
        <w:rPr>
          <w:rFonts w:eastAsia="Calibri" w:cs="Times New Roman"/>
          <w:szCs w:val="24"/>
        </w:rPr>
        <w:t>Kopumā 12 249 nodokļu samaksas termiņa pagarinājumi, kuru sākuma datums ir 2024. gadā, piešķirti 4 793 nodokļu maksātājiem par kopējo summu 165,5 milj. </w:t>
      </w:r>
      <w:r w:rsidRPr="008B0630">
        <w:rPr>
          <w:rFonts w:eastAsia="Calibri" w:cs="Times New Roman"/>
          <w:i/>
          <w:iCs/>
          <w:szCs w:val="24"/>
        </w:rPr>
        <w:t>euro</w:t>
      </w:r>
      <w:r w:rsidRPr="008B0630">
        <w:rPr>
          <w:rFonts w:eastAsia="Calibri" w:cs="Times New Roman"/>
          <w:szCs w:val="24"/>
        </w:rPr>
        <w:t xml:space="preserve"> (skat. 3.24. tabulu).</w:t>
      </w:r>
    </w:p>
    <w:p w14:paraId="36AC6215" w14:textId="77777777" w:rsidR="008B0630" w:rsidRPr="008B0630" w:rsidRDefault="008B0630" w:rsidP="008B0630">
      <w:pPr>
        <w:keepNext/>
        <w:keepLines/>
        <w:spacing w:before="240" w:after="0"/>
        <w:ind w:firstLine="0"/>
        <w:jc w:val="right"/>
        <w:rPr>
          <w:rFonts w:eastAsia="Calibri" w:cs="Times New Roman"/>
          <w:b/>
          <w:i/>
          <w:szCs w:val="24"/>
        </w:rPr>
      </w:pPr>
      <w:r w:rsidRPr="008B0630">
        <w:rPr>
          <w:rFonts w:eastAsia="Calibri" w:cs="Times New Roman"/>
          <w:b/>
          <w:i/>
          <w:szCs w:val="24"/>
        </w:rPr>
        <w:t>3.24. tabula. Nodokļu samaksas termiņa pagarinājumi, kuru sākuma datums ir 2024. gadā</w:t>
      </w:r>
    </w:p>
    <w:tbl>
      <w:tblPr>
        <w:tblW w:w="4692" w:type="pct"/>
        <w:jc w:val="center"/>
        <w:tblCellMar>
          <w:left w:w="30" w:type="dxa"/>
          <w:right w:w="30" w:type="dxa"/>
        </w:tblCellMar>
        <w:tblLook w:val="0000" w:firstRow="0" w:lastRow="0" w:firstColumn="0" w:lastColumn="0" w:noHBand="0" w:noVBand="0"/>
      </w:tblPr>
      <w:tblGrid>
        <w:gridCol w:w="2550"/>
        <w:gridCol w:w="1846"/>
        <w:gridCol w:w="1703"/>
        <w:gridCol w:w="2398"/>
      </w:tblGrid>
      <w:tr w:rsidR="008B0630" w:rsidRPr="008B0630" w14:paraId="15A294A5" w14:textId="77777777" w:rsidTr="00E03828">
        <w:trPr>
          <w:trHeight w:val="850"/>
          <w:tblHeader/>
          <w:jc w:val="center"/>
        </w:trPr>
        <w:tc>
          <w:tcPr>
            <w:tcW w:w="1501"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0E3B9CEB" w14:textId="77777777" w:rsidR="008B0630" w:rsidRPr="008B0630" w:rsidRDefault="008B0630" w:rsidP="008B0630">
            <w:pPr>
              <w:keepNext/>
              <w:keepLines/>
              <w:spacing w:after="0"/>
              <w:ind w:firstLine="0"/>
              <w:contextualSpacing/>
              <w:jc w:val="center"/>
              <w:rPr>
                <w:rFonts w:eastAsia="Calibri" w:cs="Times New Roman"/>
                <w:b/>
                <w:bCs/>
                <w:sz w:val="20"/>
                <w:szCs w:val="24"/>
              </w:rPr>
            </w:pPr>
            <w:r w:rsidRPr="008B0630">
              <w:rPr>
                <w:rFonts w:eastAsia="Calibri" w:cs="Times New Roman"/>
                <w:b/>
                <w:bCs/>
                <w:sz w:val="20"/>
                <w:szCs w:val="24"/>
              </w:rPr>
              <w:t>Nodokļa veids</w:t>
            </w:r>
          </w:p>
        </w:tc>
        <w:tc>
          <w:tcPr>
            <w:tcW w:w="1086"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1FFF9C52" w14:textId="77777777" w:rsidR="008B0630" w:rsidRPr="008B0630" w:rsidRDefault="008B0630" w:rsidP="008B0630">
            <w:pPr>
              <w:keepNext/>
              <w:keepLines/>
              <w:spacing w:after="0"/>
              <w:ind w:firstLine="0"/>
              <w:contextualSpacing/>
              <w:jc w:val="center"/>
              <w:rPr>
                <w:rFonts w:eastAsia="Calibri" w:cs="Times New Roman"/>
                <w:b/>
                <w:bCs/>
                <w:sz w:val="20"/>
                <w:szCs w:val="24"/>
              </w:rPr>
            </w:pPr>
            <w:r w:rsidRPr="008B0630">
              <w:rPr>
                <w:rFonts w:eastAsia="Calibri" w:cs="Times New Roman"/>
                <w:b/>
                <w:bCs/>
                <w:sz w:val="20"/>
                <w:szCs w:val="24"/>
              </w:rPr>
              <w:t>Nodokļu maksātāju skaits</w:t>
            </w:r>
            <w:r w:rsidRPr="008B0630">
              <w:rPr>
                <w:rFonts w:eastAsia="Calibri" w:cs="Times New Roman"/>
                <w:b/>
                <w:bCs/>
                <w:sz w:val="20"/>
                <w:szCs w:val="24"/>
                <w:vertAlign w:val="superscript"/>
              </w:rPr>
              <w:t>1</w:t>
            </w:r>
          </w:p>
        </w:tc>
        <w:tc>
          <w:tcPr>
            <w:tcW w:w="1002"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2C1CAB11" w14:textId="77777777" w:rsidR="008B0630" w:rsidRPr="008B0630" w:rsidRDefault="008B0630" w:rsidP="008B0630">
            <w:pPr>
              <w:keepNext/>
              <w:keepLines/>
              <w:spacing w:after="0"/>
              <w:ind w:firstLine="0"/>
              <w:contextualSpacing/>
              <w:jc w:val="center"/>
              <w:rPr>
                <w:rFonts w:eastAsia="Calibri" w:cs="Times New Roman"/>
                <w:b/>
                <w:bCs/>
                <w:sz w:val="20"/>
                <w:szCs w:val="24"/>
              </w:rPr>
            </w:pPr>
            <w:r w:rsidRPr="008B0630">
              <w:rPr>
                <w:rFonts w:eastAsia="Calibri" w:cs="Times New Roman"/>
                <w:b/>
                <w:bCs/>
                <w:sz w:val="20"/>
                <w:szCs w:val="24"/>
              </w:rPr>
              <w:t>Piešķirto nodokļu samaksas termiņa pagarinājumu skaits</w:t>
            </w:r>
            <w:r w:rsidRPr="008B0630">
              <w:rPr>
                <w:rFonts w:eastAsia="Calibri" w:cs="Times New Roman"/>
                <w:b/>
                <w:bCs/>
                <w:sz w:val="20"/>
                <w:szCs w:val="24"/>
                <w:vertAlign w:val="superscript"/>
              </w:rPr>
              <w:t>1</w:t>
            </w:r>
          </w:p>
        </w:tc>
        <w:tc>
          <w:tcPr>
            <w:tcW w:w="1411" w:type="pct"/>
            <w:tcBorders>
              <w:top w:val="single" w:sz="6" w:space="0" w:color="auto"/>
              <w:left w:val="single" w:sz="6" w:space="0" w:color="auto"/>
              <w:bottom w:val="single" w:sz="6" w:space="0" w:color="auto"/>
              <w:right w:val="single" w:sz="6" w:space="0" w:color="auto"/>
            </w:tcBorders>
            <w:shd w:val="clear" w:color="auto" w:fill="9CC2E5" w:themeFill="accent1" w:themeFillTint="99"/>
            <w:vAlign w:val="center"/>
          </w:tcPr>
          <w:p w14:paraId="62DB6445" w14:textId="77777777" w:rsidR="008B0630" w:rsidRPr="008B0630" w:rsidRDefault="008B0630" w:rsidP="008B0630">
            <w:pPr>
              <w:keepNext/>
              <w:keepLines/>
              <w:spacing w:after="0"/>
              <w:ind w:firstLine="0"/>
              <w:contextualSpacing/>
              <w:jc w:val="center"/>
              <w:rPr>
                <w:rFonts w:eastAsia="Calibri" w:cs="Times New Roman"/>
                <w:b/>
                <w:bCs/>
                <w:sz w:val="20"/>
                <w:szCs w:val="24"/>
              </w:rPr>
            </w:pPr>
            <w:r w:rsidRPr="008B0630">
              <w:rPr>
                <w:rFonts w:eastAsia="Calibri" w:cs="Times New Roman"/>
                <w:b/>
                <w:bCs/>
                <w:sz w:val="20"/>
                <w:szCs w:val="24"/>
              </w:rPr>
              <w:t>Piešķirto nodokļu samaksas termiņa pagarinājumu summa</w:t>
            </w:r>
            <w:r w:rsidRPr="008B0630">
              <w:rPr>
                <w:rFonts w:eastAsia="Calibri" w:cs="Times New Roman"/>
                <w:b/>
                <w:bCs/>
                <w:sz w:val="20"/>
                <w:szCs w:val="24"/>
                <w:vertAlign w:val="superscript"/>
              </w:rPr>
              <w:t>1</w:t>
            </w:r>
            <w:r w:rsidRPr="008B0630">
              <w:rPr>
                <w:rFonts w:eastAsia="Calibri" w:cs="Times New Roman"/>
                <w:b/>
                <w:bCs/>
                <w:sz w:val="20"/>
                <w:szCs w:val="24"/>
              </w:rPr>
              <w:t xml:space="preserve">, </w:t>
            </w:r>
            <w:r w:rsidRPr="008B0630">
              <w:rPr>
                <w:rFonts w:eastAsia="Calibri" w:cs="Times New Roman"/>
                <w:i/>
                <w:iCs/>
                <w:sz w:val="20"/>
                <w:szCs w:val="24"/>
              </w:rPr>
              <w:t>tūkst. euro</w:t>
            </w:r>
          </w:p>
        </w:tc>
      </w:tr>
      <w:tr w:rsidR="008B0630" w:rsidRPr="008B0630" w14:paraId="600401E1" w14:textId="77777777" w:rsidTr="00E03828">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192D2ECC"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PVN</w:t>
            </w:r>
          </w:p>
        </w:tc>
        <w:tc>
          <w:tcPr>
            <w:tcW w:w="1086" w:type="pct"/>
            <w:tcBorders>
              <w:top w:val="single" w:sz="6" w:space="0" w:color="auto"/>
              <w:left w:val="single" w:sz="6" w:space="0" w:color="auto"/>
              <w:bottom w:val="single" w:sz="6" w:space="0" w:color="auto"/>
              <w:right w:val="single" w:sz="6" w:space="0" w:color="auto"/>
            </w:tcBorders>
            <w:vAlign w:val="center"/>
          </w:tcPr>
          <w:p w14:paraId="75690C11"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1 373</w:t>
            </w:r>
          </w:p>
        </w:tc>
        <w:tc>
          <w:tcPr>
            <w:tcW w:w="1002" w:type="pct"/>
            <w:tcBorders>
              <w:top w:val="single" w:sz="6" w:space="0" w:color="auto"/>
              <w:left w:val="single" w:sz="6" w:space="0" w:color="auto"/>
              <w:bottom w:val="single" w:sz="6" w:space="0" w:color="auto"/>
              <w:right w:val="single" w:sz="6" w:space="0" w:color="auto"/>
            </w:tcBorders>
            <w:vAlign w:val="center"/>
          </w:tcPr>
          <w:p w14:paraId="5A00DEB6"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2 259</w:t>
            </w:r>
          </w:p>
        </w:tc>
        <w:tc>
          <w:tcPr>
            <w:tcW w:w="1411" w:type="pct"/>
            <w:tcBorders>
              <w:top w:val="single" w:sz="6" w:space="0" w:color="auto"/>
              <w:left w:val="single" w:sz="6" w:space="0" w:color="auto"/>
              <w:bottom w:val="single" w:sz="6" w:space="0" w:color="auto"/>
              <w:right w:val="single" w:sz="6" w:space="0" w:color="auto"/>
            </w:tcBorders>
            <w:vAlign w:val="center"/>
          </w:tcPr>
          <w:p w14:paraId="6E6CD3BE"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48 632,18</w:t>
            </w:r>
          </w:p>
        </w:tc>
      </w:tr>
      <w:tr w:rsidR="008B0630" w:rsidRPr="008B0630" w14:paraId="6DC11833" w14:textId="77777777" w:rsidTr="00E03828">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14C8F746"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VSAOI</w:t>
            </w:r>
          </w:p>
        </w:tc>
        <w:tc>
          <w:tcPr>
            <w:tcW w:w="1086" w:type="pct"/>
            <w:tcBorders>
              <w:top w:val="single" w:sz="6" w:space="0" w:color="auto"/>
              <w:left w:val="single" w:sz="6" w:space="0" w:color="auto"/>
              <w:bottom w:val="single" w:sz="6" w:space="0" w:color="auto"/>
              <w:right w:val="single" w:sz="6" w:space="0" w:color="auto"/>
            </w:tcBorders>
            <w:vAlign w:val="center"/>
          </w:tcPr>
          <w:p w14:paraId="7CC2E66F"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1 971</w:t>
            </w:r>
          </w:p>
        </w:tc>
        <w:tc>
          <w:tcPr>
            <w:tcW w:w="1002" w:type="pct"/>
            <w:tcBorders>
              <w:top w:val="single" w:sz="6" w:space="0" w:color="auto"/>
              <w:left w:val="single" w:sz="6" w:space="0" w:color="auto"/>
              <w:bottom w:val="single" w:sz="6" w:space="0" w:color="auto"/>
              <w:right w:val="single" w:sz="6" w:space="0" w:color="auto"/>
            </w:tcBorders>
            <w:vAlign w:val="center"/>
          </w:tcPr>
          <w:p w14:paraId="5C0F1E64"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3 231</w:t>
            </w:r>
          </w:p>
        </w:tc>
        <w:tc>
          <w:tcPr>
            <w:tcW w:w="1411" w:type="pct"/>
            <w:tcBorders>
              <w:top w:val="single" w:sz="6" w:space="0" w:color="auto"/>
              <w:left w:val="single" w:sz="6" w:space="0" w:color="auto"/>
              <w:bottom w:val="single" w:sz="6" w:space="0" w:color="auto"/>
              <w:right w:val="single" w:sz="6" w:space="0" w:color="auto"/>
            </w:tcBorders>
            <w:vAlign w:val="center"/>
          </w:tcPr>
          <w:p w14:paraId="4B0DDC16"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58 423,49</w:t>
            </w:r>
          </w:p>
        </w:tc>
      </w:tr>
      <w:tr w:rsidR="008B0630" w:rsidRPr="008B0630" w14:paraId="03386A73" w14:textId="77777777" w:rsidTr="00E03828">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23CA3F0F"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IIN</w:t>
            </w:r>
          </w:p>
        </w:tc>
        <w:tc>
          <w:tcPr>
            <w:tcW w:w="1086" w:type="pct"/>
            <w:tcBorders>
              <w:top w:val="single" w:sz="6" w:space="0" w:color="auto"/>
              <w:left w:val="single" w:sz="6" w:space="0" w:color="auto"/>
              <w:bottom w:val="single" w:sz="6" w:space="0" w:color="auto"/>
              <w:right w:val="single" w:sz="6" w:space="0" w:color="auto"/>
            </w:tcBorders>
            <w:vAlign w:val="center"/>
          </w:tcPr>
          <w:p w14:paraId="20E1F6E5"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3 677</w:t>
            </w:r>
          </w:p>
        </w:tc>
        <w:tc>
          <w:tcPr>
            <w:tcW w:w="1002" w:type="pct"/>
            <w:tcBorders>
              <w:top w:val="single" w:sz="6" w:space="0" w:color="auto"/>
              <w:left w:val="single" w:sz="6" w:space="0" w:color="auto"/>
              <w:bottom w:val="single" w:sz="6" w:space="0" w:color="auto"/>
              <w:right w:val="single" w:sz="6" w:space="0" w:color="auto"/>
            </w:tcBorders>
            <w:vAlign w:val="center"/>
          </w:tcPr>
          <w:p w14:paraId="17C97DDE"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6 161</w:t>
            </w:r>
          </w:p>
        </w:tc>
        <w:tc>
          <w:tcPr>
            <w:tcW w:w="1411" w:type="pct"/>
            <w:tcBorders>
              <w:top w:val="single" w:sz="6" w:space="0" w:color="auto"/>
              <w:left w:val="single" w:sz="6" w:space="0" w:color="auto"/>
              <w:bottom w:val="single" w:sz="6" w:space="0" w:color="auto"/>
              <w:right w:val="single" w:sz="6" w:space="0" w:color="auto"/>
            </w:tcBorders>
            <w:vAlign w:val="center"/>
          </w:tcPr>
          <w:p w14:paraId="27EE7CD9"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40 752,94</w:t>
            </w:r>
          </w:p>
        </w:tc>
      </w:tr>
      <w:tr w:rsidR="008B0630" w:rsidRPr="008B0630" w14:paraId="59133A07" w14:textId="77777777" w:rsidTr="00E03828">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26587A8C" w14:textId="581E6283" w:rsidR="008B0630" w:rsidRPr="008B0630" w:rsidRDefault="003F5E29" w:rsidP="008B0630">
            <w:pPr>
              <w:keepNext/>
              <w:keepLines/>
              <w:spacing w:after="0"/>
              <w:ind w:firstLine="0"/>
              <w:jc w:val="left"/>
              <w:rPr>
                <w:rFonts w:eastAsia="Calibri" w:cs="Times New Roman"/>
                <w:noProof/>
                <w:sz w:val="18"/>
                <w:szCs w:val="24"/>
              </w:rPr>
            </w:pPr>
            <w:r>
              <w:rPr>
                <w:rFonts w:eastAsia="Calibri" w:cs="Times New Roman"/>
                <w:noProof/>
                <w:sz w:val="18"/>
                <w:szCs w:val="24"/>
              </w:rPr>
              <w:t>AN</w:t>
            </w:r>
          </w:p>
        </w:tc>
        <w:tc>
          <w:tcPr>
            <w:tcW w:w="1086" w:type="pct"/>
            <w:tcBorders>
              <w:top w:val="single" w:sz="6" w:space="0" w:color="auto"/>
              <w:left w:val="single" w:sz="6" w:space="0" w:color="auto"/>
              <w:bottom w:val="single" w:sz="6" w:space="0" w:color="auto"/>
              <w:right w:val="single" w:sz="6" w:space="0" w:color="auto"/>
            </w:tcBorders>
            <w:vAlign w:val="center"/>
          </w:tcPr>
          <w:p w14:paraId="2B620C41"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25</w:t>
            </w:r>
          </w:p>
        </w:tc>
        <w:tc>
          <w:tcPr>
            <w:tcW w:w="1002" w:type="pct"/>
            <w:tcBorders>
              <w:top w:val="single" w:sz="6" w:space="0" w:color="auto"/>
              <w:left w:val="single" w:sz="6" w:space="0" w:color="auto"/>
              <w:bottom w:val="single" w:sz="6" w:space="0" w:color="auto"/>
              <w:right w:val="single" w:sz="6" w:space="0" w:color="auto"/>
            </w:tcBorders>
            <w:vAlign w:val="center"/>
          </w:tcPr>
          <w:p w14:paraId="6B7CD75A"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55</w:t>
            </w:r>
          </w:p>
        </w:tc>
        <w:tc>
          <w:tcPr>
            <w:tcW w:w="1411" w:type="pct"/>
            <w:tcBorders>
              <w:top w:val="single" w:sz="6" w:space="0" w:color="auto"/>
              <w:left w:val="single" w:sz="6" w:space="0" w:color="auto"/>
              <w:bottom w:val="single" w:sz="6" w:space="0" w:color="auto"/>
              <w:right w:val="single" w:sz="6" w:space="0" w:color="auto"/>
            </w:tcBorders>
            <w:vAlign w:val="center"/>
          </w:tcPr>
          <w:p w14:paraId="2F5E8B50"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14 826,95</w:t>
            </w:r>
          </w:p>
        </w:tc>
      </w:tr>
      <w:tr w:rsidR="008B0630" w:rsidRPr="008B0630" w14:paraId="5CC0E6AA" w14:textId="77777777" w:rsidTr="00E03828">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51A600B3" w14:textId="3CD0D938" w:rsidR="008B0630" w:rsidRPr="008B0630" w:rsidRDefault="003F5E29" w:rsidP="008B0630">
            <w:pPr>
              <w:keepNext/>
              <w:keepLines/>
              <w:spacing w:after="0"/>
              <w:ind w:firstLine="0"/>
              <w:jc w:val="left"/>
              <w:rPr>
                <w:rFonts w:eastAsia="Calibri" w:cs="Times New Roman"/>
                <w:noProof/>
                <w:sz w:val="18"/>
                <w:szCs w:val="24"/>
              </w:rPr>
            </w:pPr>
            <w:r>
              <w:rPr>
                <w:rFonts w:eastAsia="Calibri" w:cs="Times New Roman"/>
                <w:noProof/>
                <w:sz w:val="18"/>
                <w:szCs w:val="24"/>
              </w:rPr>
              <w:t>DRN</w:t>
            </w:r>
          </w:p>
        </w:tc>
        <w:tc>
          <w:tcPr>
            <w:tcW w:w="1086" w:type="pct"/>
            <w:tcBorders>
              <w:top w:val="single" w:sz="6" w:space="0" w:color="auto"/>
              <w:left w:val="single" w:sz="6" w:space="0" w:color="auto"/>
              <w:bottom w:val="single" w:sz="6" w:space="0" w:color="auto"/>
              <w:right w:val="single" w:sz="6" w:space="0" w:color="auto"/>
            </w:tcBorders>
            <w:vAlign w:val="center"/>
          </w:tcPr>
          <w:p w14:paraId="6875AAEB"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75</w:t>
            </w:r>
          </w:p>
        </w:tc>
        <w:tc>
          <w:tcPr>
            <w:tcW w:w="1002" w:type="pct"/>
            <w:tcBorders>
              <w:top w:val="single" w:sz="6" w:space="0" w:color="auto"/>
              <w:left w:val="single" w:sz="6" w:space="0" w:color="auto"/>
              <w:bottom w:val="single" w:sz="6" w:space="0" w:color="auto"/>
              <w:right w:val="single" w:sz="6" w:space="0" w:color="auto"/>
            </w:tcBorders>
            <w:vAlign w:val="center"/>
          </w:tcPr>
          <w:p w14:paraId="052AD5B0"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95</w:t>
            </w:r>
          </w:p>
        </w:tc>
        <w:tc>
          <w:tcPr>
            <w:tcW w:w="1411" w:type="pct"/>
            <w:tcBorders>
              <w:top w:val="single" w:sz="6" w:space="0" w:color="auto"/>
              <w:left w:val="single" w:sz="6" w:space="0" w:color="auto"/>
              <w:bottom w:val="single" w:sz="6" w:space="0" w:color="auto"/>
              <w:right w:val="single" w:sz="6" w:space="0" w:color="auto"/>
            </w:tcBorders>
            <w:vAlign w:val="center"/>
          </w:tcPr>
          <w:p w14:paraId="57546C05"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1 921,47</w:t>
            </w:r>
          </w:p>
        </w:tc>
      </w:tr>
      <w:tr w:rsidR="008B0630" w:rsidRPr="008B0630" w14:paraId="6BA9552B" w14:textId="77777777" w:rsidTr="00E03828">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6F5DE258"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Mikrouzņēmumu nodoklis</w:t>
            </w:r>
          </w:p>
        </w:tc>
        <w:tc>
          <w:tcPr>
            <w:tcW w:w="1086" w:type="pct"/>
            <w:tcBorders>
              <w:top w:val="single" w:sz="6" w:space="0" w:color="auto"/>
              <w:left w:val="single" w:sz="6" w:space="0" w:color="auto"/>
              <w:bottom w:val="single" w:sz="6" w:space="0" w:color="auto"/>
              <w:right w:val="single" w:sz="6" w:space="0" w:color="auto"/>
            </w:tcBorders>
            <w:vAlign w:val="center"/>
          </w:tcPr>
          <w:p w14:paraId="7FC13AF5"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201</w:t>
            </w:r>
          </w:p>
        </w:tc>
        <w:tc>
          <w:tcPr>
            <w:tcW w:w="1002" w:type="pct"/>
            <w:tcBorders>
              <w:top w:val="single" w:sz="6" w:space="0" w:color="auto"/>
              <w:left w:val="single" w:sz="6" w:space="0" w:color="auto"/>
              <w:bottom w:val="single" w:sz="6" w:space="0" w:color="auto"/>
              <w:right w:val="single" w:sz="6" w:space="0" w:color="auto"/>
            </w:tcBorders>
            <w:vAlign w:val="center"/>
          </w:tcPr>
          <w:p w14:paraId="32FFC5E9"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315</w:t>
            </w:r>
          </w:p>
        </w:tc>
        <w:tc>
          <w:tcPr>
            <w:tcW w:w="1411" w:type="pct"/>
            <w:tcBorders>
              <w:top w:val="single" w:sz="6" w:space="0" w:color="auto"/>
              <w:left w:val="single" w:sz="6" w:space="0" w:color="auto"/>
              <w:bottom w:val="single" w:sz="6" w:space="0" w:color="auto"/>
              <w:right w:val="single" w:sz="6" w:space="0" w:color="auto"/>
            </w:tcBorders>
            <w:vAlign w:val="center"/>
          </w:tcPr>
          <w:p w14:paraId="19584DB2"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330,16</w:t>
            </w:r>
          </w:p>
        </w:tc>
      </w:tr>
      <w:tr w:rsidR="008B0630" w:rsidRPr="008B0630" w14:paraId="2732617F" w14:textId="77777777" w:rsidTr="00E03828">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5A35329A" w14:textId="77777777" w:rsidR="008B0630" w:rsidRPr="008B0630" w:rsidRDefault="008B0630" w:rsidP="008B0630">
            <w:pPr>
              <w:keepNext/>
              <w:keepLines/>
              <w:spacing w:after="0"/>
              <w:ind w:firstLine="0"/>
              <w:jc w:val="left"/>
              <w:rPr>
                <w:rFonts w:eastAsia="Calibri" w:cs="Times New Roman"/>
                <w:noProof/>
                <w:sz w:val="18"/>
                <w:szCs w:val="24"/>
              </w:rPr>
            </w:pPr>
            <w:r w:rsidRPr="008B0630">
              <w:rPr>
                <w:rFonts w:eastAsia="Calibri" w:cs="Times New Roman"/>
                <w:noProof/>
                <w:sz w:val="18"/>
                <w:szCs w:val="24"/>
              </w:rPr>
              <w:t>UIN</w:t>
            </w:r>
          </w:p>
        </w:tc>
        <w:tc>
          <w:tcPr>
            <w:tcW w:w="1086" w:type="pct"/>
            <w:tcBorders>
              <w:top w:val="single" w:sz="6" w:space="0" w:color="auto"/>
              <w:left w:val="single" w:sz="6" w:space="0" w:color="auto"/>
              <w:bottom w:val="single" w:sz="6" w:space="0" w:color="auto"/>
              <w:right w:val="single" w:sz="6" w:space="0" w:color="auto"/>
            </w:tcBorders>
            <w:vAlign w:val="center"/>
          </w:tcPr>
          <w:p w14:paraId="45E33202"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110</w:t>
            </w:r>
          </w:p>
        </w:tc>
        <w:tc>
          <w:tcPr>
            <w:tcW w:w="1002" w:type="pct"/>
            <w:tcBorders>
              <w:top w:val="single" w:sz="6" w:space="0" w:color="auto"/>
              <w:left w:val="single" w:sz="6" w:space="0" w:color="auto"/>
              <w:bottom w:val="single" w:sz="6" w:space="0" w:color="auto"/>
              <w:right w:val="single" w:sz="6" w:space="0" w:color="auto"/>
            </w:tcBorders>
            <w:vAlign w:val="center"/>
          </w:tcPr>
          <w:p w14:paraId="38025E6E"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132</w:t>
            </w:r>
          </w:p>
        </w:tc>
        <w:tc>
          <w:tcPr>
            <w:tcW w:w="1411" w:type="pct"/>
            <w:tcBorders>
              <w:top w:val="single" w:sz="6" w:space="0" w:color="auto"/>
              <w:left w:val="single" w:sz="6" w:space="0" w:color="auto"/>
              <w:bottom w:val="single" w:sz="6" w:space="0" w:color="auto"/>
              <w:right w:val="single" w:sz="6" w:space="0" w:color="auto"/>
            </w:tcBorders>
            <w:vAlign w:val="center"/>
          </w:tcPr>
          <w:p w14:paraId="4DED646C" w14:textId="77777777" w:rsidR="008B0630" w:rsidRPr="008B0630" w:rsidRDefault="008B0630" w:rsidP="008B0630">
            <w:pPr>
              <w:spacing w:after="0"/>
              <w:ind w:firstLine="0"/>
              <w:jc w:val="right"/>
              <w:rPr>
                <w:rFonts w:eastAsia="Calibri" w:cs="Times New Roman"/>
                <w:noProof/>
                <w:sz w:val="18"/>
                <w:szCs w:val="18"/>
              </w:rPr>
            </w:pPr>
            <w:r w:rsidRPr="008B0630">
              <w:rPr>
                <w:rFonts w:cs="Times New Roman"/>
                <w:noProof/>
                <w:color w:val="000000"/>
                <w:sz w:val="18"/>
                <w:szCs w:val="18"/>
              </w:rPr>
              <w:t>574,25</w:t>
            </w:r>
          </w:p>
        </w:tc>
      </w:tr>
      <w:tr w:rsidR="008B0630" w:rsidRPr="008B0630" w14:paraId="68D17F13" w14:textId="77777777" w:rsidTr="00E03828">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52D30BF1" w14:textId="77777777" w:rsidR="008B0630" w:rsidRPr="008B0630" w:rsidRDefault="008B0630" w:rsidP="008B0630">
            <w:pPr>
              <w:keepNext/>
              <w:keepLines/>
              <w:spacing w:after="0"/>
              <w:ind w:firstLine="0"/>
              <w:jc w:val="left"/>
              <w:rPr>
                <w:rFonts w:eastAsia="Calibri" w:cs="Times New Roman"/>
                <w:b/>
                <w:bCs/>
                <w:noProof/>
                <w:sz w:val="18"/>
                <w:szCs w:val="24"/>
              </w:rPr>
            </w:pPr>
            <w:r w:rsidRPr="008B0630">
              <w:rPr>
                <w:rFonts w:cs="Times New Roman"/>
                <w:noProof/>
                <w:color w:val="000000"/>
                <w:sz w:val="20"/>
                <w:szCs w:val="20"/>
              </w:rPr>
              <w:t>Muitas nodoklis</w:t>
            </w:r>
          </w:p>
        </w:tc>
        <w:tc>
          <w:tcPr>
            <w:tcW w:w="1086" w:type="pct"/>
            <w:tcBorders>
              <w:top w:val="single" w:sz="6" w:space="0" w:color="auto"/>
              <w:left w:val="single" w:sz="6" w:space="0" w:color="auto"/>
              <w:bottom w:val="single" w:sz="6" w:space="0" w:color="auto"/>
              <w:right w:val="single" w:sz="6" w:space="0" w:color="auto"/>
            </w:tcBorders>
            <w:vAlign w:val="center"/>
          </w:tcPr>
          <w:p w14:paraId="057E0F58"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noProof/>
                <w:color w:val="000000"/>
                <w:sz w:val="18"/>
                <w:szCs w:val="18"/>
              </w:rPr>
              <w:t>1</w:t>
            </w:r>
          </w:p>
        </w:tc>
        <w:tc>
          <w:tcPr>
            <w:tcW w:w="1002" w:type="pct"/>
            <w:tcBorders>
              <w:top w:val="single" w:sz="6" w:space="0" w:color="auto"/>
              <w:left w:val="single" w:sz="6" w:space="0" w:color="auto"/>
              <w:bottom w:val="single" w:sz="6" w:space="0" w:color="auto"/>
              <w:right w:val="single" w:sz="6" w:space="0" w:color="auto"/>
            </w:tcBorders>
            <w:vAlign w:val="center"/>
          </w:tcPr>
          <w:p w14:paraId="501F60EF"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noProof/>
                <w:color w:val="000000"/>
                <w:sz w:val="18"/>
                <w:szCs w:val="18"/>
              </w:rPr>
              <w:t>1</w:t>
            </w:r>
          </w:p>
        </w:tc>
        <w:tc>
          <w:tcPr>
            <w:tcW w:w="1411" w:type="pct"/>
            <w:tcBorders>
              <w:top w:val="single" w:sz="6" w:space="0" w:color="auto"/>
              <w:left w:val="single" w:sz="6" w:space="0" w:color="auto"/>
              <w:bottom w:val="single" w:sz="6" w:space="0" w:color="auto"/>
              <w:right w:val="single" w:sz="6" w:space="0" w:color="auto"/>
            </w:tcBorders>
            <w:vAlign w:val="center"/>
          </w:tcPr>
          <w:p w14:paraId="5ED692FB"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noProof/>
                <w:color w:val="000000"/>
                <w:sz w:val="18"/>
                <w:szCs w:val="18"/>
              </w:rPr>
              <w:t>0,05</w:t>
            </w:r>
          </w:p>
        </w:tc>
      </w:tr>
      <w:tr w:rsidR="008B0630" w:rsidRPr="008B0630" w14:paraId="1FC7C3BC" w14:textId="77777777" w:rsidTr="00E03828">
        <w:trPr>
          <w:trHeight w:val="284"/>
          <w:jc w:val="center"/>
        </w:trPr>
        <w:tc>
          <w:tcPr>
            <w:tcW w:w="1501" w:type="pct"/>
            <w:tcBorders>
              <w:top w:val="single" w:sz="6" w:space="0" w:color="auto"/>
              <w:left w:val="single" w:sz="6" w:space="0" w:color="auto"/>
              <w:bottom w:val="single" w:sz="6" w:space="0" w:color="auto"/>
              <w:right w:val="single" w:sz="6" w:space="0" w:color="auto"/>
            </w:tcBorders>
            <w:vAlign w:val="center"/>
          </w:tcPr>
          <w:p w14:paraId="4804D837" w14:textId="77777777" w:rsidR="008B0630" w:rsidRPr="008B0630" w:rsidRDefault="008B0630" w:rsidP="008B0630">
            <w:pPr>
              <w:keepNext/>
              <w:keepLines/>
              <w:spacing w:after="0"/>
              <w:ind w:firstLine="0"/>
              <w:jc w:val="left"/>
              <w:rPr>
                <w:rFonts w:eastAsia="Calibri" w:cs="Times New Roman"/>
                <w:b/>
                <w:bCs/>
                <w:noProof/>
                <w:sz w:val="18"/>
                <w:szCs w:val="24"/>
              </w:rPr>
            </w:pPr>
            <w:r w:rsidRPr="008B0630">
              <w:rPr>
                <w:rFonts w:eastAsia="Calibri" w:cs="Times New Roman"/>
                <w:b/>
                <w:bCs/>
                <w:noProof/>
                <w:sz w:val="18"/>
                <w:szCs w:val="24"/>
              </w:rPr>
              <w:t>Kopā</w:t>
            </w:r>
          </w:p>
        </w:tc>
        <w:tc>
          <w:tcPr>
            <w:tcW w:w="1086" w:type="pct"/>
            <w:tcBorders>
              <w:top w:val="single" w:sz="6" w:space="0" w:color="auto"/>
              <w:left w:val="single" w:sz="6" w:space="0" w:color="auto"/>
              <w:bottom w:val="single" w:sz="6" w:space="0" w:color="auto"/>
              <w:right w:val="single" w:sz="6" w:space="0" w:color="auto"/>
            </w:tcBorders>
            <w:vAlign w:val="center"/>
          </w:tcPr>
          <w:p w14:paraId="7CE7876D"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color w:val="000000"/>
                <w:sz w:val="18"/>
                <w:szCs w:val="18"/>
              </w:rPr>
              <w:t>4 793</w:t>
            </w:r>
          </w:p>
        </w:tc>
        <w:tc>
          <w:tcPr>
            <w:tcW w:w="1002" w:type="pct"/>
            <w:tcBorders>
              <w:top w:val="single" w:sz="6" w:space="0" w:color="auto"/>
              <w:left w:val="single" w:sz="6" w:space="0" w:color="auto"/>
              <w:bottom w:val="single" w:sz="6" w:space="0" w:color="auto"/>
              <w:right w:val="single" w:sz="6" w:space="0" w:color="auto"/>
            </w:tcBorders>
            <w:vAlign w:val="center"/>
          </w:tcPr>
          <w:p w14:paraId="59434B72"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color w:val="000000"/>
                <w:sz w:val="18"/>
                <w:szCs w:val="18"/>
              </w:rPr>
              <w:t>12 249</w:t>
            </w:r>
          </w:p>
        </w:tc>
        <w:tc>
          <w:tcPr>
            <w:tcW w:w="1411" w:type="pct"/>
            <w:tcBorders>
              <w:top w:val="single" w:sz="6" w:space="0" w:color="auto"/>
              <w:left w:val="single" w:sz="6" w:space="0" w:color="auto"/>
              <w:bottom w:val="single" w:sz="6" w:space="0" w:color="auto"/>
              <w:right w:val="single" w:sz="6" w:space="0" w:color="auto"/>
            </w:tcBorders>
            <w:vAlign w:val="center"/>
          </w:tcPr>
          <w:p w14:paraId="05B22F28" w14:textId="77777777" w:rsidR="008B0630" w:rsidRPr="008B0630" w:rsidRDefault="008B0630" w:rsidP="008B0630">
            <w:pPr>
              <w:spacing w:after="0"/>
              <w:ind w:firstLine="0"/>
              <w:jc w:val="right"/>
              <w:rPr>
                <w:rFonts w:eastAsia="Calibri" w:cs="Times New Roman"/>
                <w:b/>
                <w:bCs/>
                <w:noProof/>
                <w:sz w:val="18"/>
                <w:szCs w:val="18"/>
              </w:rPr>
            </w:pPr>
            <w:r w:rsidRPr="008B0630">
              <w:rPr>
                <w:rFonts w:cs="Times New Roman"/>
                <w:b/>
                <w:bCs/>
                <w:noProof/>
                <w:color w:val="000000"/>
                <w:sz w:val="18"/>
                <w:szCs w:val="18"/>
              </w:rPr>
              <w:t>165 461,50</w:t>
            </w:r>
          </w:p>
        </w:tc>
      </w:tr>
    </w:tbl>
    <w:p w14:paraId="4DACD199" w14:textId="77777777" w:rsidR="008B0630" w:rsidRPr="008B0630" w:rsidRDefault="008B0630" w:rsidP="008B0630">
      <w:pPr>
        <w:spacing w:after="0"/>
        <w:ind w:left="425" w:firstLine="0"/>
        <w:rPr>
          <w:rFonts w:eastAsia="Calibri" w:cs="Times New Roman"/>
          <w:sz w:val="18"/>
          <w:szCs w:val="18"/>
          <w:lang w:eastAsia="en-US"/>
        </w:rPr>
      </w:pPr>
      <w:r w:rsidRPr="008B0630">
        <w:rPr>
          <w:rFonts w:eastAsia="Calibri" w:cs="Times New Roman"/>
          <w:sz w:val="18"/>
          <w:szCs w:val="18"/>
          <w:vertAlign w:val="superscript"/>
          <w:lang w:eastAsia="en-US"/>
        </w:rPr>
        <w:t>1</w:t>
      </w:r>
      <w:r w:rsidRPr="008B0630">
        <w:rPr>
          <w:rFonts w:eastAsia="Calibri" w:cs="Times New Roman"/>
          <w:sz w:val="18"/>
          <w:szCs w:val="18"/>
          <w:lang w:eastAsia="en-US"/>
        </w:rPr>
        <w:t> </w:t>
      </w:r>
      <w:r w:rsidRPr="008B0630">
        <w:rPr>
          <w:rFonts w:eastAsia="Calibri" w:cs="Times New Roman"/>
          <w:sz w:val="16"/>
          <w:szCs w:val="16"/>
          <w:lang w:eastAsia="en-US"/>
        </w:rPr>
        <w:t>Dati uz 17.09.2025.</w:t>
      </w:r>
    </w:p>
    <w:p w14:paraId="79F1AD4D" w14:textId="77777777" w:rsidR="008B0630" w:rsidRPr="008B0630" w:rsidRDefault="008B0630" w:rsidP="008B0630">
      <w:pPr>
        <w:spacing w:after="0"/>
        <w:ind w:left="425" w:firstLine="0"/>
        <w:rPr>
          <w:rFonts w:eastAsia="Calibri" w:cs="Times New Roman"/>
          <w:sz w:val="18"/>
          <w:szCs w:val="18"/>
          <w:highlight w:val="yellow"/>
          <w:lang w:eastAsia="en-US"/>
        </w:rPr>
      </w:pPr>
    </w:p>
    <w:p w14:paraId="47925131" w14:textId="77777777" w:rsidR="008B0630" w:rsidRPr="008B0630" w:rsidRDefault="008B0630" w:rsidP="008B0630">
      <w:pPr>
        <w:ind w:firstLine="709"/>
        <w:rPr>
          <w:rFonts w:cs="Times New Roman"/>
          <w:szCs w:val="24"/>
        </w:rPr>
      </w:pPr>
      <w:r w:rsidRPr="008B0630">
        <w:rPr>
          <w:rFonts w:cs="Times New Roman"/>
          <w:szCs w:val="24"/>
        </w:rPr>
        <w:lastRenderedPageBreak/>
        <w:t xml:space="preserve">Lielākais termiņa pagarinājumu skaits piešķirts nodokļu maksātājiem, kuru pamatdarbības veids saistīts ar vairumtirdzniecību un mazumtirdzniecību; automobiļu un motociklu remontu, profesionālajiem, zinātniskajiem un tehniskajiem pakalpojumiem vai apstrādes rūpniecību (4 241 jeb 34,6% par kopējo summu 71,4 milj. </w:t>
      </w:r>
      <w:r w:rsidRPr="008B0630">
        <w:rPr>
          <w:rFonts w:cs="Times New Roman"/>
          <w:i/>
          <w:iCs/>
          <w:szCs w:val="24"/>
        </w:rPr>
        <w:t>euro</w:t>
      </w:r>
      <w:r w:rsidRPr="008B0630">
        <w:rPr>
          <w:rFonts w:cs="Times New Roman"/>
          <w:szCs w:val="24"/>
        </w:rPr>
        <w:t xml:space="preserve"> jeb 43,2% no visas piešķirtās termiņa pagarinājumu summas). Savukārt lielākā summa piešķirta nodokļu maksātājiem, kuru pamatdarbības veids saistīts ar transportu un uzglabāšanu, apstrādes rūpniecību vai vairumtirdzniecību un mazumtirdzniecību; automobiļu un motociklu remontu (111,3 milj. </w:t>
      </w:r>
      <w:r w:rsidRPr="008B0630">
        <w:rPr>
          <w:rFonts w:cs="Times New Roman"/>
          <w:i/>
          <w:iCs/>
          <w:szCs w:val="24"/>
        </w:rPr>
        <w:t>euro</w:t>
      </w:r>
      <w:r w:rsidRPr="008B0630">
        <w:rPr>
          <w:rFonts w:cs="Times New Roman"/>
          <w:szCs w:val="24"/>
        </w:rPr>
        <w:t xml:space="preserve"> jeb 67,3% no kopējās summas).</w:t>
      </w:r>
    </w:p>
    <w:p w14:paraId="5341A622" w14:textId="77777777" w:rsidR="008B0630" w:rsidRPr="008B0630" w:rsidRDefault="008B0630" w:rsidP="008B0630">
      <w:pPr>
        <w:ind w:firstLine="709"/>
        <w:rPr>
          <w:rFonts w:cs="Times New Roman"/>
          <w:szCs w:val="24"/>
        </w:rPr>
      </w:pPr>
    </w:p>
    <w:p w14:paraId="188F3E52" w14:textId="77777777" w:rsidR="008B0630" w:rsidRPr="008B0630" w:rsidRDefault="008B0630" w:rsidP="008B0630">
      <w:pPr>
        <w:rPr>
          <w:rFonts w:eastAsia="Calibri" w:cs="Times New Roman"/>
          <w:szCs w:val="24"/>
        </w:rPr>
      </w:pPr>
    </w:p>
    <w:p w14:paraId="3CB5D6A7" w14:textId="77777777" w:rsidR="00663F20" w:rsidRPr="00D8017D" w:rsidRDefault="00663F20" w:rsidP="00663F20">
      <w:pPr>
        <w:spacing w:after="0"/>
        <w:ind w:firstLine="709"/>
        <w:rPr>
          <w:rFonts w:cs="Times New Roman"/>
          <w:szCs w:val="24"/>
          <w:highlight w:val="lightGray"/>
        </w:rPr>
      </w:pPr>
    </w:p>
    <w:p w14:paraId="0E86482D" w14:textId="437A309D" w:rsidR="0081796C" w:rsidRPr="00D8017D" w:rsidRDefault="00CB6A85" w:rsidP="00E96BB6">
      <w:pPr>
        <w:spacing w:after="0"/>
        <w:ind w:firstLine="0"/>
        <w:jc w:val="left"/>
        <w:rPr>
          <w:highlight w:val="lightGray"/>
        </w:rPr>
      </w:pPr>
      <w:r w:rsidRPr="00D8017D">
        <w:rPr>
          <w:highlight w:val="lightGray"/>
        </w:rPr>
        <w:br w:type="page"/>
      </w:r>
    </w:p>
    <w:p w14:paraId="36A189C7" w14:textId="0D5B9C42" w:rsidR="005218A4" w:rsidRPr="004B69C4" w:rsidRDefault="00E127EF" w:rsidP="0081796C">
      <w:pPr>
        <w:pStyle w:val="Heading1"/>
      </w:pPr>
      <w:bookmarkStart w:id="135" w:name="_Toc210289908"/>
      <w:r w:rsidRPr="004B69C4">
        <w:lastRenderedPageBreak/>
        <w:t xml:space="preserve">4. </w:t>
      </w:r>
      <w:r w:rsidR="006C567F" w:rsidRPr="004B69C4">
        <w:t>Valsts parāda, aizdevumu un galvojumu finansiālo saistību kopsavilkums</w:t>
      </w:r>
      <w:bookmarkEnd w:id="135"/>
    </w:p>
    <w:p w14:paraId="6E994DA4" w14:textId="04BDBA34" w:rsidR="00FB33CF" w:rsidRPr="004B69C4" w:rsidRDefault="00863814" w:rsidP="00663F20">
      <w:pPr>
        <w:pStyle w:val="Heading2"/>
        <w:spacing w:before="240" w:after="0"/>
        <w:rPr>
          <w:rFonts w:eastAsia="Times New Roman"/>
        </w:rPr>
      </w:pPr>
      <w:bookmarkStart w:id="136" w:name="_Toc210289909"/>
      <w:r w:rsidRPr="004B69C4">
        <w:rPr>
          <w:rFonts w:eastAsia="Times New Roman"/>
        </w:rPr>
        <w:t xml:space="preserve">4.1. </w:t>
      </w:r>
      <w:r w:rsidR="00FB33CF" w:rsidRPr="004B69C4">
        <w:rPr>
          <w:rFonts w:eastAsia="Times New Roman"/>
        </w:rPr>
        <w:t>Valdības parāda attīstības tendences vidējā termiņā</w:t>
      </w:r>
      <w:bookmarkEnd w:id="136"/>
    </w:p>
    <w:p w14:paraId="6578F198" w14:textId="77777777" w:rsidR="00663F20" w:rsidRPr="00D8017D" w:rsidRDefault="00663F20" w:rsidP="00663F20">
      <w:pPr>
        <w:spacing w:after="0"/>
        <w:rPr>
          <w:highlight w:val="lightGray"/>
        </w:rPr>
      </w:pPr>
    </w:p>
    <w:p w14:paraId="184BFFB1" w14:textId="45C9C576" w:rsidR="004B69C4" w:rsidRPr="004B69C4" w:rsidRDefault="004B69C4" w:rsidP="004B69C4">
      <w:pPr>
        <w:rPr>
          <w:rFonts w:eastAsia="Times New Roman" w:cs="Times New Roman"/>
          <w:szCs w:val="26"/>
          <w:lang w:eastAsia="en-US"/>
        </w:rPr>
      </w:pPr>
      <w:r w:rsidRPr="004B69C4">
        <w:rPr>
          <w:rFonts w:eastAsia="Times New Roman" w:cs="Times New Roman"/>
          <w:szCs w:val="20"/>
          <w:lang w:eastAsia="en-US"/>
        </w:rPr>
        <w:t>Valsts parāda vadības pamatprincipus un uzdevumus vidējam termiņam nosaka Valsts parāda un naudas līdzekļu vadības stratēģija, kuru apstiprina finanšu ministrs. Saskaņā ar stratēģiju valsts parāda un naudas līdzekļu vadības mērķis ir savlaicīgi nodrošināt finanšu resursu pieejamību finansēšanas nepieciešamības segšanai ar zemām valsts parāda apkalpošanas izmaksām, ierobežojot finanšu riskus un vienlaikus sekmējot iekšējā finanšu tirgus attīstību. Valsts parāda un budžeta saistību izpildē tiek izmantota stratēģiska pieeja valsts aizņemšanās un parāda vadības procesa nodrošināšanā, saglabājot pēc iespējas lielāku elastību finanšu tirgos veicamo aizņēmumu nosacījumu (aizņemšanās laiks, instruments, apjoms, termiņš) izvēlē. Tas ļauj ierobežot finanšu riskus vidējā termiņā, kā arī nodrošināt resursus kopējās finansēšanas nepieciešamības segšanai ar pēc iespējas labvēlīgākiem un izdevīgākiem nosacījumiem.</w:t>
      </w:r>
    </w:p>
    <w:p w14:paraId="369CEB50" w14:textId="54016129" w:rsidR="004B69C4" w:rsidRPr="004B69C4" w:rsidRDefault="004B69C4" w:rsidP="004B69C4">
      <w:pPr>
        <w:rPr>
          <w:rFonts w:eastAsia="Times New Roman" w:cs="Times New Roman"/>
          <w:szCs w:val="24"/>
          <w:lang w:eastAsia="en-US"/>
        </w:rPr>
      </w:pPr>
      <w:r w:rsidRPr="004B69C4">
        <w:rPr>
          <w:rFonts w:eastAsia="Times New Roman" w:cs="Times New Roman"/>
          <w:szCs w:val="20"/>
          <w:lang w:eastAsia="en-US"/>
        </w:rPr>
        <w:t xml:space="preserve">2025. gada deviņos mēnešos kopējās finansēšanas nepieciešamības segšanai veikti aizņemšanās darījumi finanšu tirgos 3 203,9 milj. </w:t>
      </w:r>
      <w:r w:rsidRPr="004B69C4">
        <w:rPr>
          <w:rFonts w:eastAsia="Times New Roman" w:cs="Times New Roman"/>
          <w:i/>
          <w:szCs w:val="20"/>
          <w:lang w:eastAsia="en-US"/>
        </w:rPr>
        <w:t>euro</w:t>
      </w:r>
      <w:r w:rsidRPr="004B69C4">
        <w:rPr>
          <w:rFonts w:eastAsia="Times New Roman" w:cs="Times New Roman"/>
          <w:szCs w:val="20"/>
          <w:lang w:eastAsia="en-US"/>
        </w:rPr>
        <w:t xml:space="preserve"> apmērā. Maijā veikta 5 gadu obligāciju emisija 1 000,0 milj. </w:t>
      </w:r>
      <w:r w:rsidRPr="004B69C4">
        <w:rPr>
          <w:rFonts w:eastAsia="Times New Roman" w:cs="Times New Roman"/>
          <w:i/>
          <w:iCs/>
          <w:szCs w:val="20"/>
          <w:lang w:eastAsia="en-US"/>
        </w:rPr>
        <w:t>euro</w:t>
      </w:r>
      <w:r w:rsidRPr="004B69C4">
        <w:rPr>
          <w:rFonts w:eastAsia="Times New Roman" w:cs="Times New Roman"/>
          <w:szCs w:val="20"/>
          <w:lang w:eastAsia="en-US"/>
        </w:rPr>
        <w:t xml:space="preserve"> apmērā, fiksējot kupona likmi 2,875%. Septembrī veikta 10 gadu eiroobligāciju emisija 1 250 milj. </w:t>
      </w:r>
      <w:r w:rsidRPr="004B69C4">
        <w:rPr>
          <w:rFonts w:eastAsia="Times New Roman" w:cs="Times New Roman"/>
          <w:i/>
          <w:szCs w:val="20"/>
          <w:lang w:eastAsia="en-US"/>
        </w:rPr>
        <w:t>euro</w:t>
      </w:r>
      <w:r w:rsidRPr="004B69C4">
        <w:rPr>
          <w:rFonts w:eastAsia="Times New Roman" w:cs="Times New Roman"/>
          <w:szCs w:val="20"/>
          <w:lang w:eastAsia="en-US"/>
        </w:rPr>
        <w:t xml:space="preserve"> apmērā ar kupona likmi 3,500%. Savukārt, dažāda termiņa eiroobligāciju papildu laidienu izsolēs ar Primāro dīleru starpniecību piesaistīti 730,0 milj. </w:t>
      </w:r>
      <w:r w:rsidRPr="004B69C4">
        <w:rPr>
          <w:rFonts w:eastAsia="Times New Roman" w:cs="Times New Roman"/>
          <w:i/>
          <w:szCs w:val="20"/>
          <w:lang w:eastAsia="en-US"/>
        </w:rPr>
        <w:t>euro</w:t>
      </w:r>
      <w:r w:rsidRPr="004B69C4">
        <w:rPr>
          <w:rFonts w:eastAsia="Times New Roman" w:cs="Times New Roman"/>
          <w:szCs w:val="20"/>
          <w:lang w:eastAsia="en-US"/>
        </w:rPr>
        <w:t xml:space="preserve">. Krājobligācijas emitētas 223,9 milj. </w:t>
      </w:r>
      <w:r w:rsidRPr="004B69C4">
        <w:rPr>
          <w:rFonts w:eastAsia="Times New Roman" w:cs="Times New Roman"/>
          <w:i/>
          <w:szCs w:val="20"/>
          <w:lang w:eastAsia="en-US"/>
        </w:rPr>
        <w:t>euro</w:t>
      </w:r>
      <w:r w:rsidRPr="004B69C4">
        <w:rPr>
          <w:rFonts w:eastAsia="Times New Roman" w:cs="Times New Roman"/>
          <w:szCs w:val="20"/>
          <w:lang w:eastAsia="en-US"/>
        </w:rPr>
        <w:t xml:space="preserve"> apmērā, saglabājoties lielam iedzīvotāju pieprasījumam pēc šī instrumenta, kā arī vēlmei veikt ieguldījumu atkārtoti pēc iegādāto krājobligāciju dzēšanas. </w:t>
      </w:r>
    </w:p>
    <w:p w14:paraId="3CFC36E0" w14:textId="505ABC3D" w:rsidR="004B69C4" w:rsidRPr="004B69C4" w:rsidRDefault="004B69C4" w:rsidP="004B69C4">
      <w:pPr>
        <w:rPr>
          <w:rFonts w:eastAsia="Times New Roman" w:cs="Times New Roman"/>
          <w:szCs w:val="20"/>
          <w:lang w:eastAsia="en-US"/>
        </w:rPr>
      </w:pPr>
      <w:r w:rsidRPr="004B69C4">
        <w:rPr>
          <w:rFonts w:eastAsia="Times New Roman" w:cs="Times New Roman"/>
          <w:szCs w:val="20"/>
          <w:lang w:eastAsia="en-US"/>
        </w:rPr>
        <w:t>2025.</w:t>
      </w:r>
      <w:r w:rsidR="002B6D5A">
        <w:rPr>
          <w:rFonts w:eastAsia="Times New Roman" w:cs="Times New Roman"/>
          <w:szCs w:val="20"/>
          <w:lang w:eastAsia="en-US"/>
        </w:rPr>
        <w:t xml:space="preserve"> </w:t>
      </w:r>
      <w:r w:rsidRPr="004B69C4">
        <w:rPr>
          <w:rFonts w:eastAsia="Times New Roman" w:cs="Times New Roman"/>
          <w:szCs w:val="20"/>
          <w:lang w:eastAsia="en-US"/>
        </w:rPr>
        <w:t>gada deviņos mēnešos tika nodrošināta valsts parāda saistību izpilde saskaņā ar noteiktajiem termiņiem, t.sk. dzēstas 2019. un 2020.</w:t>
      </w:r>
      <w:r w:rsidR="002B6D5A">
        <w:rPr>
          <w:rFonts w:eastAsia="Times New Roman" w:cs="Times New Roman"/>
          <w:szCs w:val="20"/>
          <w:lang w:eastAsia="en-US"/>
        </w:rPr>
        <w:t xml:space="preserve"> </w:t>
      </w:r>
      <w:r w:rsidRPr="004B69C4">
        <w:rPr>
          <w:rFonts w:eastAsia="Times New Roman" w:cs="Times New Roman"/>
          <w:szCs w:val="20"/>
          <w:lang w:eastAsia="en-US"/>
        </w:rPr>
        <w:t>gadā emitētās iekšējā aizņēmums obligācijas 390,0 milj.</w:t>
      </w:r>
      <w:r>
        <w:rPr>
          <w:rFonts w:eastAsia="Times New Roman" w:cs="Times New Roman"/>
          <w:szCs w:val="20"/>
          <w:lang w:eastAsia="en-US"/>
        </w:rPr>
        <w:t xml:space="preserve"> </w:t>
      </w:r>
      <w:r w:rsidRPr="004B69C4">
        <w:rPr>
          <w:rFonts w:eastAsia="Times New Roman" w:cs="Times New Roman"/>
          <w:i/>
          <w:iCs/>
          <w:szCs w:val="20"/>
          <w:lang w:eastAsia="en-US"/>
        </w:rPr>
        <w:t>euro</w:t>
      </w:r>
      <w:r w:rsidRPr="004B69C4">
        <w:rPr>
          <w:rFonts w:eastAsia="Times New Roman" w:cs="Times New Roman"/>
          <w:szCs w:val="20"/>
          <w:lang w:eastAsia="en-US"/>
        </w:rPr>
        <w:t xml:space="preserve"> apmērā, 2015.</w:t>
      </w:r>
      <w:r w:rsidR="00BF23A1">
        <w:rPr>
          <w:rFonts w:eastAsia="Times New Roman" w:cs="Times New Roman"/>
          <w:szCs w:val="20"/>
          <w:lang w:eastAsia="en-US"/>
        </w:rPr>
        <w:t xml:space="preserve"> </w:t>
      </w:r>
      <w:r w:rsidRPr="004B69C4">
        <w:rPr>
          <w:rFonts w:eastAsia="Times New Roman" w:cs="Times New Roman"/>
          <w:szCs w:val="20"/>
          <w:lang w:eastAsia="en-US"/>
        </w:rPr>
        <w:t>gadā emitētās eiroobligācijas 1</w:t>
      </w:r>
      <w:r w:rsidRPr="004B69C4">
        <w:rPr>
          <w:rFonts w:eastAsia="Times New Roman" w:cs="Times New Roman"/>
          <w:i/>
          <w:iCs/>
          <w:color w:val="000000"/>
          <w:szCs w:val="20"/>
          <w:lang w:eastAsia="en-US"/>
        </w:rPr>
        <w:t> </w:t>
      </w:r>
      <w:r w:rsidRPr="004B69C4">
        <w:rPr>
          <w:rFonts w:eastAsia="Times New Roman" w:cs="Times New Roman"/>
          <w:szCs w:val="20"/>
          <w:lang w:eastAsia="en-US"/>
        </w:rPr>
        <w:t xml:space="preserve">110,0 milj. </w:t>
      </w:r>
      <w:r w:rsidRPr="004B69C4">
        <w:rPr>
          <w:rFonts w:eastAsia="Times New Roman" w:cs="Times New Roman"/>
          <w:i/>
          <w:iCs/>
          <w:szCs w:val="20"/>
          <w:lang w:eastAsia="en-US"/>
        </w:rPr>
        <w:t xml:space="preserve">euro </w:t>
      </w:r>
      <w:r w:rsidRPr="004B69C4">
        <w:rPr>
          <w:rFonts w:eastAsia="Times New Roman" w:cs="Times New Roman"/>
          <w:szCs w:val="20"/>
          <w:lang w:eastAsia="en-US"/>
        </w:rPr>
        <w:t>apmērā un krājobligācijas 221,3 milj.</w:t>
      </w:r>
      <w:r>
        <w:rPr>
          <w:rFonts w:eastAsia="Times New Roman" w:cs="Times New Roman"/>
          <w:szCs w:val="20"/>
          <w:lang w:eastAsia="en-US"/>
        </w:rPr>
        <w:t xml:space="preserve"> </w:t>
      </w:r>
      <w:r w:rsidRPr="004B69C4">
        <w:rPr>
          <w:rFonts w:eastAsia="Times New Roman" w:cs="Times New Roman"/>
          <w:i/>
          <w:iCs/>
          <w:szCs w:val="20"/>
          <w:lang w:eastAsia="en-US"/>
        </w:rPr>
        <w:t>euro</w:t>
      </w:r>
      <w:r w:rsidRPr="004B69C4">
        <w:rPr>
          <w:rFonts w:eastAsia="Times New Roman" w:cs="Times New Roman"/>
          <w:szCs w:val="20"/>
          <w:lang w:eastAsia="en-US"/>
        </w:rPr>
        <w:t xml:space="preserve"> apmērā. </w:t>
      </w:r>
    </w:p>
    <w:p w14:paraId="32D20EE9" w14:textId="2851F7B3" w:rsidR="004B69C4" w:rsidRPr="004B69C4" w:rsidRDefault="004B69C4" w:rsidP="004B69C4">
      <w:pPr>
        <w:rPr>
          <w:rFonts w:eastAsia="Times New Roman" w:cs="Times New Roman"/>
          <w:szCs w:val="20"/>
          <w:lang w:eastAsia="en-US"/>
        </w:rPr>
      </w:pPr>
      <w:r w:rsidRPr="004B69C4">
        <w:rPr>
          <w:rFonts w:eastAsia="Times New Roman" w:cs="Times New Roman"/>
          <w:szCs w:val="20"/>
          <w:lang w:eastAsia="en-US"/>
        </w:rPr>
        <w:t>2024. gada beigās vispārējās valdības parāds pēc EKS metodoloģijas</w:t>
      </w:r>
      <w:r w:rsidRPr="004B69C4">
        <w:rPr>
          <w:rFonts w:eastAsia="Times New Roman" w:cs="Times New Roman"/>
          <w:szCs w:val="20"/>
          <w:vertAlign w:val="superscript"/>
          <w:lang w:eastAsia="en-US"/>
        </w:rPr>
        <w:footnoteReference w:id="44"/>
      </w:r>
      <w:r w:rsidRPr="004B69C4">
        <w:rPr>
          <w:rFonts w:eastAsia="Times New Roman" w:cs="Times New Roman"/>
          <w:szCs w:val="20"/>
          <w:lang w:eastAsia="en-US"/>
        </w:rPr>
        <w:t xml:space="preserve"> bija 18,8 mljrd. </w:t>
      </w:r>
      <w:r w:rsidRPr="004B69C4">
        <w:rPr>
          <w:rFonts w:eastAsia="Times New Roman" w:cs="Times New Roman"/>
          <w:i/>
          <w:iCs/>
          <w:szCs w:val="20"/>
          <w:lang w:eastAsia="en-US"/>
        </w:rPr>
        <w:t>euro</w:t>
      </w:r>
      <w:r w:rsidRPr="004B69C4">
        <w:rPr>
          <w:rFonts w:eastAsia="Times New Roman" w:cs="Times New Roman"/>
          <w:szCs w:val="20"/>
          <w:lang w:eastAsia="en-US"/>
        </w:rPr>
        <w:t xml:space="preserve"> jeb 46,8% no IKP, kas joprojām ir viens no zemākajiem starp </w:t>
      </w:r>
      <w:r w:rsidR="00376254">
        <w:rPr>
          <w:rFonts w:eastAsia="Times New Roman" w:cs="Times New Roman"/>
          <w:szCs w:val="20"/>
          <w:lang w:eastAsia="en-US"/>
        </w:rPr>
        <w:t>ES</w:t>
      </w:r>
      <w:r w:rsidRPr="004B69C4">
        <w:rPr>
          <w:rFonts w:eastAsia="Times New Roman" w:cs="Times New Roman"/>
          <w:szCs w:val="20"/>
          <w:lang w:eastAsia="en-US"/>
        </w:rPr>
        <w:t xml:space="preserve"> un </w:t>
      </w:r>
      <w:r w:rsidRPr="00376254">
        <w:rPr>
          <w:rFonts w:eastAsia="Times New Roman" w:cs="Times New Roman"/>
          <w:i/>
          <w:iCs/>
          <w:szCs w:val="20"/>
          <w:lang w:eastAsia="en-US"/>
        </w:rPr>
        <w:t>e</w:t>
      </w:r>
      <w:r w:rsidR="00376254" w:rsidRPr="00376254">
        <w:rPr>
          <w:rFonts w:eastAsia="Times New Roman" w:cs="Times New Roman"/>
          <w:i/>
          <w:iCs/>
          <w:szCs w:val="20"/>
          <w:lang w:eastAsia="en-US"/>
        </w:rPr>
        <w:t>u</w:t>
      </w:r>
      <w:r w:rsidRPr="00376254">
        <w:rPr>
          <w:rFonts w:eastAsia="Times New Roman" w:cs="Times New Roman"/>
          <w:i/>
          <w:iCs/>
          <w:szCs w:val="20"/>
          <w:lang w:eastAsia="en-US"/>
        </w:rPr>
        <w:t>ro</w:t>
      </w:r>
      <w:r w:rsidR="00376254">
        <w:rPr>
          <w:rFonts w:eastAsia="Times New Roman" w:cs="Times New Roman"/>
          <w:szCs w:val="20"/>
          <w:lang w:eastAsia="en-US"/>
        </w:rPr>
        <w:t xml:space="preserve"> </w:t>
      </w:r>
      <w:r w:rsidRPr="004B69C4">
        <w:rPr>
          <w:rFonts w:eastAsia="Times New Roman" w:cs="Times New Roman"/>
          <w:szCs w:val="20"/>
          <w:lang w:eastAsia="en-US"/>
        </w:rPr>
        <w:t xml:space="preserve">zonas dalībvalstīm. </w:t>
      </w:r>
    </w:p>
    <w:p w14:paraId="3F92CAD3" w14:textId="3D825B0A" w:rsidR="004B69C4" w:rsidRPr="004B69C4" w:rsidRDefault="004B69C4" w:rsidP="004B69C4">
      <w:pPr>
        <w:rPr>
          <w:rFonts w:eastAsia="Times New Roman" w:cs="Times New Roman"/>
          <w:szCs w:val="20"/>
          <w:lang w:eastAsia="en-US"/>
        </w:rPr>
      </w:pPr>
      <w:r w:rsidRPr="004B69C4">
        <w:rPr>
          <w:rFonts w:eastAsia="Times New Roman" w:cs="Times New Roman"/>
          <w:szCs w:val="20"/>
          <w:lang w:eastAsia="en-US"/>
        </w:rPr>
        <w:t>2025.</w:t>
      </w:r>
      <w:r w:rsidR="00376254">
        <w:rPr>
          <w:rFonts w:eastAsia="Times New Roman" w:cs="Times New Roman"/>
          <w:szCs w:val="20"/>
          <w:lang w:eastAsia="en-US"/>
        </w:rPr>
        <w:t xml:space="preserve"> </w:t>
      </w:r>
      <w:r w:rsidRPr="004B69C4">
        <w:rPr>
          <w:rFonts w:eastAsia="Times New Roman" w:cs="Times New Roman"/>
          <w:szCs w:val="20"/>
          <w:lang w:eastAsia="en-US"/>
        </w:rPr>
        <w:t>gada augusta beigās valsts parāds pēc nacionālās metodoloģijas</w:t>
      </w:r>
      <w:r w:rsidRPr="004B69C4">
        <w:rPr>
          <w:rFonts w:eastAsia="Times New Roman" w:cs="Times New Roman"/>
          <w:szCs w:val="20"/>
          <w:vertAlign w:val="superscript"/>
          <w:lang w:eastAsia="en-US"/>
        </w:rPr>
        <w:footnoteReference w:id="45"/>
      </w:r>
      <w:r w:rsidRPr="004B69C4">
        <w:rPr>
          <w:rFonts w:eastAsia="Times New Roman" w:cs="Times New Roman"/>
          <w:szCs w:val="20"/>
          <w:lang w:eastAsia="en-US"/>
        </w:rPr>
        <w:t xml:space="preserve"> bija 20,3 mljrd. </w:t>
      </w:r>
      <w:r w:rsidRPr="004B69C4">
        <w:rPr>
          <w:rFonts w:eastAsia="Times New Roman" w:cs="Times New Roman"/>
          <w:i/>
          <w:iCs/>
          <w:szCs w:val="20"/>
          <w:lang w:eastAsia="en-US"/>
        </w:rPr>
        <w:t>euro</w:t>
      </w:r>
      <w:r w:rsidRPr="004B69C4">
        <w:rPr>
          <w:rFonts w:eastAsia="Times New Roman" w:cs="Times New Roman"/>
          <w:szCs w:val="20"/>
          <w:lang w:eastAsia="en-US"/>
        </w:rPr>
        <w:t xml:space="preserve"> jeb 48,3% no prognozētā IKP. </w:t>
      </w:r>
    </w:p>
    <w:p w14:paraId="7D7BD3BF" w14:textId="77777777" w:rsidR="004B69C4" w:rsidRPr="004B69C4" w:rsidRDefault="004B69C4" w:rsidP="004B69C4">
      <w:pPr>
        <w:rPr>
          <w:rFonts w:eastAsia="Times New Roman" w:cs="Times New Roman"/>
          <w:szCs w:val="20"/>
          <w:lang w:eastAsia="en-US"/>
        </w:rPr>
      </w:pPr>
      <w:r w:rsidRPr="004B69C4">
        <w:rPr>
          <w:rFonts w:eastAsia="Times New Roman" w:cs="Times New Roman"/>
          <w:szCs w:val="20"/>
          <w:lang w:eastAsia="en-US"/>
        </w:rPr>
        <w:t xml:space="preserve">Valsts parāda struktūrā lielāko īpatsvaru (87% no kopējā valsts parāda) veido finanšu tirgos emitētās eiroobligācijas (skat. 4.1. attēlu). </w:t>
      </w:r>
    </w:p>
    <w:p w14:paraId="12773116" w14:textId="77777777" w:rsidR="004B69C4" w:rsidRPr="004B69C4" w:rsidRDefault="004B69C4" w:rsidP="004B69C4">
      <w:pPr>
        <w:spacing w:after="0"/>
        <w:ind w:firstLine="0"/>
        <w:rPr>
          <w:rFonts w:eastAsia="Times New Roman" w:cs="Times New Roman"/>
          <w:b/>
          <w:i/>
          <w:color w:val="000000"/>
          <w:szCs w:val="20"/>
          <w:lang w:eastAsia="en-US"/>
        </w:rPr>
      </w:pPr>
    </w:p>
    <w:p w14:paraId="718EAA5B" w14:textId="77777777" w:rsidR="004B69C4" w:rsidRPr="004B69C4" w:rsidRDefault="004B69C4" w:rsidP="004B69C4">
      <w:pPr>
        <w:spacing w:after="0"/>
        <w:ind w:firstLine="0"/>
        <w:jc w:val="center"/>
        <w:rPr>
          <w:rFonts w:eastAsia="Times New Roman" w:cs="Times New Roman"/>
          <w:color w:val="000000"/>
          <w:szCs w:val="20"/>
          <w:lang w:eastAsia="en-US"/>
        </w:rPr>
      </w:pPr>
    </w:p>
    <w:p w14:paraId="092A498B" w14:textId="77777777" w:rsidR="004B69C4" w:rsidRPr="004B69C4" w:rsidRDefault="004B69C4" w:rsidP="004B69C4">
      <w:pPr>
        <w:spacing w:after="0"/>
        <w:ind w:firstLine="0"/>
        <w:jc w:val="center"/>
        <w:rPr>
          <w:rFonts w:eastAsia="Times New Roman" w:cs="Times New Roman"/>
          <w:szCs w:val="20"/>
          <w:lang w:eastAsia="en-US"/>
        </w:rPr>
      </w:pPr>
      <w:r w:rsidRPr="004B69C4">
        <w:rPr>
          <w:rFonts w:eastAsia="Times New Roman" w:cs="Times New Roman"/>
          <w:noProof/>
          <w:szCs w:val="20"/>
          <w:lang w:eastAsia="en-US"/>
        </w:rPr>
        <w:drawing>
          <wp:inline distT="0" distB="0" distL="0" distR="0" wp14:anchorId="7DB4C488" wp14:editId="03B3070F">
            <wp:extent cx="4456254" cy="2166044"/>
            <wp:effectExtent l="0" t="0" r="0" b="0"/>
            <wp:docPr id="841237812" name="Picture 2" descr="A blue circl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237812" name="Picture 2" descr="A blue circle with white text&#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456254" cy="2166044"/>
                    </a:xfrm>
                    <a:prstGeom prst="rect">
                      <a:avLst/>
                    </a:prstGeom>
                    <a:noFill/>
                  </pic:spPr>
                </pic:pic>
              </a:graphicData>
            </a:graphic>
          </wp:inline>
        </w:drawing>
      </w:r>
    </w:p>
    <w:p w14:paraId="26BADB46" w14:textId="56A116B8" w:rsidR="004B69C4" w:rsidRPr="004B69C4" w:rsidRDefault="004B69C4" w:rsidP="004B69C4">
      <w:pPr>
        <w:spacing w:after="0"/>
        <w:ind w:firstLine="0"/>
        <w:jc w:val="center"/>
        <w:rPr>
          <w:rFonts w:eastAsia="Times New Roman" w:cs="Times New Roman"/>
          <w:b/>
          <w:i/>
          <w:color w:val="000000"/>
          <w:szCs w:val="20"/>
          <w:lang w:eastAsia="en-US"/>
        </w:rPr>
      </w:pPr>
      <w:r w:rsidRPr="004B69C4">
        <w:rPr>
          <w:rFonts w:eastAsia="Times New Roman" w:cs="Times New Roman"/>
          <w:b/>
          <w:i/>
          <w:color w:val="000000"/>
          <w:szCs w:val="20"/>
          <w:lang w:eastAsia="en-US"/>
        </w:rPr>
        <w:t xml:space="preserve">4.1. att. Valsts parāda struktūra nominālvērtībā, milj. euro </w:t>
      </w:r>
    </w:p>
    <w:p w14:paraId="697ADDA6" w14:textId="236C970D" w:rsidR="004B69C4" w:rsidRPr="004B69C4" w:rsidRDefault="004B69C4" w:rsidP="004B69C4">
      <w:pPr>
        <w:spacing w:after="0"/>
        <w:ind w:firstLine="0"/>
        <w:jc w:val="center"/>
        <w:rPr>
          <w:rFonts w:eastAsia="Times New Roman" w:cs="Times New Roman"/>
          <w:i/>
          <w:iCs/>
          <w:color w:val="000000"/>
          <w:szCs w:val="20"/>
          <w:lang w:eastAsia="en-US"/>
        </w:rPr>
      </w:pPr>
      <w:r w:rsidRPr="004B69C4">
        <w:rPr>
          <w:rFonts w:eastAsia="Times New Roman" w:cs="Times New Roman"/>
          <w:i/>
          <w:iCs/>
          <w:color w:val="000000"/>
          <w:szCs w:val="20"/>
          <w:lang w:eastAsia="en-US"/>
        </w:rPr>
        <w:t>(operatīvā informācija uz 2025. gada 30.</w:t>
      </w:r>
      <w:r w:rsidR="002B6D5A">
        <w:rPr>
          <w:rFonts w:eastAsia="Times New Roman" w:cs="Times New Roman"/>
          <w:i/>
          <w:iCs/>
          <w:color w:val="000000"/>
          <w:szCs w:val="20"/>
          <w:lang w:eastAsia="en-US"/>
        </w:rPr>
        <w:t xml:space="preserve"> </w:t>
      </w:r>
      <w:r w:rsidRPr="004B69C4">
        <w:rPr>
          <w:rFonts w:eastAsia="Times New Roman" w:cs="Times New Roman"/>
          <w:i/>
          <w:iCs/>
          <w:color w:val="000000"/>
          <w:szCs w:val="20"/>
          <w:lang w:eastAsia="en-US"/>
        </w:rPr>
        <w:t>septembri *)</w:t>
      </w:r>
    </w:p>
    <w:p w14:paraId="3653FCF0" w14:textId="77777777" w:rsidR="004B69C4" w:rsidRPr="004B69C4" w:rsidRDefault="004B69C4" w:rsidP="004B69C4">
      <w:pPr>
        <w:spacing w:before="120" w:after="0"/>
        <w:ind w:firstLine="0"/>
        <w:jc w:val="left"/>
        <w:rPr>
          <w:rFonts w:eastAsia="Times New Roman" w:cs="Times New Roman"/>
          <w:i/>
          <w:iCs/>
          <w:sz w:val="16"/>
          <w:szCs w:val="16"/>
          <w:lang w:eastAsia="en-US"/>
        </w:rPr>
      </w:pPr>
      <w:r w:rsidRPr="004B69C4">
        <w:rPr>
          <w:rFonts w:eastAsia="Times New Roman" w:cs="Times New Roman"/>
          <w:i/>
          <w:iCs/>
          <w:sz w:val="16"/>
          <w:szCs w:val="16"/>
          <w:lang w:eastAsia="en-US"/>
        </w:rPr>
        <w:t>* aprēķinā izmantots 30.09.2025. Eiropas Centrālās bankas noteiktais ASV dolāru valūtas</w:t>
      </w:r>
    </w:p>
    <w:p w14:paraId="4F1B59CE" w14:textId="1B82D807" w:rsidR="004B69C4" w:rsidRPr="004B69C4" w:rsidRDefault="004B69C4" w:rsidP="004B69C4">
      <w:pPr>
        <w:spacing w:after="0"/>
        <w:ind w:firstLine="0"/>
        <w:jc w:val="left"/>
        <w:rPr>
          <w:rFonts w:eastAsia="Times New Roman" w:cs="Times New Roman"/>
          <w:i/>
          <w:iCs/>
          <w:sz w:val="16"/>
          <w:szCs w:val="16"/>
          <w:lang w:eastAsia="en-US"/>
        </w:rPr>
      </w:pPr>
      <w:r w:rsidRPr="004B69C4">
        <w:rPr>
          <w:rFonts w:eastAsia="Times New Roman" w:cs="Times New Roman"/>
          <w:i/>
          <w:iCs/>
          <w:sz w:val="16"/>
          <w:szCs w:val="16"/>
          <w:lang w:eastAsia="en-US"/>
        </w:rPr>
        <w:t>** t.sk. š.g. septembrī emitētas 10 gadu eiroobligācijas 1,250 mljrd.</w:t>
      </w:r>
      <w:r w:rsidR="00BF23A1">
        <w:rPr>
          <w:rFonts w:eastAsia="Times New Roman" w:cs="Times New Roman"/>
          <w:i/>
          <w:iCs/>
          <w:sz w:val="16"/>
          <w:szCs w:val="16"/>
          <w:lang w:eastAsia="en-US"/>
        </w:rPr>
        <w:t xml:space="preserve"> </w:t>
      </w:r>
      <w:r w:rsidR="00BF23A1" w:rsidRPr="00BF23A1">
        <w:rPr>
          <w:rFonts w:eastAsia="Times New Roman" w:cs="Times New Roman"/>
          <w:i/>
          <w:iCs/>
          <w:sz w:val="16"/>
          <w:szCs w:val="16"/>
          <w:lang w:eastAsia="en-US"/>
        </w:rPr>
        <w:t>euro</w:t>
      </w:r>
      <w:r w:rsidR="00BF23A1" w:rsidRPr="004B69C4">
        <w:rPr>
          <w:rFonts w:eastAsia="Times New Roman" w:cs="Times New Roman"/>
          <w:i/>
          <w:iCs/>
          <w:sz w:val="16"/>
          <w:szCs w:val="16"/>
          <w:lang w:eastAsia="en-US"/>
        </w:rPr>
        <w:t xml:space="preserve"> </w:t>
      </w:r>
    </w:p>
    <w:p w14:paraId="67510CC6" w14:textId="77777777" w:rsidR="004B69C4" w:rsidRPr="004B69C4" w:rsidRDefault="004B69C4" w:rsidP="004B69C4">
      <w:pPr>
        <w:spacing w:after="0"/>
        <w:ind w:firstLine="0"/>
        <w:rPr>
          <w:rFonts w:eastAsia="Times New Roman" w:cs="Times New Roman"/>
          <w:szCs w:val="20"/>
          <w:lang w:eastAsia="en-US"/>
        </w:rPr>
      </w:pPr>
    </w:p>
    <w:p w14:paraId="2B63F913" w14:textId="77777777" w:rsidR="004B69C4" w:rsidRPr="004B69C4" w:rsidRDefault="004B69C4" w:rsidP="004B69C4">
      <w:pPr>
        <w:rPr>
          <w:rFonts w:eastAsia="Times New Roman" w:cs="Times New Roman"/>
          <w:szCs w:val="24"/>
          <w:lang w:eastAsia="en-US"/>
        </w:rPr>
      </w:pPr>
      <w:r w:rsidRPr="004B69C4">
        <w:rPr>
          <w:rFonts w:eastAsia="Times New Roman" w:cs="Times New Roman"/>
          <w:szCs w:val="20"/>
          <w:lang w:eastAsia="en-US"/>
        </w:rPr>
        <w:t xml:space="preserve">Aizņemšanās apjomu un valsts parāda līmeni vidējā termiņā ietekmē kopējā finansēšanas nepieciešamība, kuru galvenokārt veido valsts budžeta deficīts, valsts parāda atmaksa, valsts aizdevumu izsniegšana (pašvaldībām, valsts kapitālsabiedrībām, ostām un augstskolām), kā arī resursu rezerves uzturēšana Valsts kases kontos dažādu risku vadībai paaugstinātas nenoteiktības apstākļos. </w:t>
      </w:r>
    </w:p>
    <w:p w14:paraId="6774E58B" w14:textId="416F0BB3" w:rsidR="004B69C4" w:rsidRPr="004B69C4" w:rsidRDefault="004B69C4" w:rsidP="004B69C4">
      <w:pPr>
        <w:rPr>
          <w:rFonts w:eastAsia="Times New Roman" w:cs="Times New Roman"/>
          <w:szCs w:val="20"/>
          <w:lang w:eastAsia="en-US"/>
        </w:rPr>
      </w:pPr>
      <w:r w:rsidRPr="004B69C4">
        <w:rPr>
          <w:rFonts w:eastAsia="Times New Roman" w:cs="Times New Roman"/>
          <w:szCs w:val="20"/>
          <w:lang w:eastAsia="en-US"/>
        </w:rPr>
        <w:t>Ņemot vērā līdz 2025.</w:t>
      </w:r>
      <w:r w:rsidR="002B6D5A">
        <w:rPr>
          <w:rFonts w:eastAsia="Times New Roman" w:cs="Times New Roman"/>
          <w:szCs w:val="20"/>
          <w:lang w:eastAsia="en-US"/>
        </w:rPr>
        <w:t xml:space="preserve"> </w:t>
      </w:r>
      <w:r w:rsidRPr="004B69C4">
        <w:rPr>
          <w:rFonts w:eastAsia="Times New Roman" w:cs="Times New Roman"/>
          <w:szCs w:val="20"/>
          <w:lang w:eastAsia="en-US"/>
        </w:rPr>
        <w:t>gada 30.</w:t>
      </w:r>
      <w:r w:rsidR="002B6D5A">
        <w:rPr>
          <w:rFonts w:eastAsia="Times New Roman" w:cs="Times New Roman"/>
          <w:szCs w:val="20"/>
          <w:lang w:eastAsia="en-US"/>
        </w:rPr>
        <w:t xml:space="preserve"> </w:t>
      </w:r>
      <w:r w:rsidRPr="004B69C4">
        <w:rPr>
          <w:rFonts w:eastAsia="Times New Roman" w:cs="Times New Roman"/>
          <w:szCs w:val="20"/>
          <w:lang w:eastAsia="en-US"/>
        </w:rPr>
        <w:t xml:space="preserve">septembrim uzņemtās valsts parāda saistības, saskaņā ar valsts parāda atmaksas grafiku 2025. gada oktobrī – 2028. gada decembrī, jāpārfinansē valsts parāda saistības ~6,0 mljrd. </w:t>
      </w:r>
      <w:r w:rsidRPr="004B69C4">
        <w:rPr>
          <w:rFonts w:eastAsia="Times New Roman" w:cs="Times New Roman"/>
          <w:i/>
          <w:iCs/>
          <w:szCs w:val="20"/>
          <w:lang w:eastAsia="en-US"/>
        </w:rPr>
        <w:t>euro</w:t>
      </w:r>
      <w:r w:rsidRPr="004B69C4">
        <w:rPr>
          <w:rFonts w:eastAsia="Times New Roman" w:cs="Times New Roman"/>
          <w:szCs w:val="20"/>
          <w:lang w:eastAsia="en-US"/>
        </w:rPr>
        <w:t xml:space="preserve"> apmērā (skat. 4.2. attēlu). Lielāko daļu no minētajā periodā pārfinansējamā parāda apjoma veido starptautiskajos finanšu tirgos emitētās eiroobligācijas, kurām iestāsies dzēšanas termiņš. </w:t>
      </w:r>
    </w:p>
    <w:p w14:paraId="4FC1EC49" w14:textId="77777777" w:rsidR="004B69C4" w:rsidRPr="004B69C4" w:rsidRDefault="004B69C4" w:rsidP="004B69C4">
      <w:pPr>
        <w:ind w:firstLine="0"/>
        <w:jc w:val="center"/>
        <w:rPr>
          <w:rFonts w:eastAsia="Times New Roman" w:cs="Times New Roman"/>
          <w:szCs w:val="20"/>
          <w:lang w:eastAsia="en-US"/>
        </w:rPr>
      </w:pPr>
      <w:r w:rsidRPr="004B69C4">
        <w:rPr>
          <w:rFonts w:eastAsia="Times New Roman" w:cs="Times New Roman"/>
          <w:noProof/>
          <w:szCs w:val="20"/>
          <w:lang w:eastAsia="en-US"/>
        </w:rPr>
        <w:drawing>
          <wp:inline distT="0" distB="0" distL="0" distR="0" wp14:anchorId="4DFBD70A" wp14:editId="69EEA814">
            <wp:extent cx="5314950" cy="3015272"/>
            <wp:effectExtent l="0" t="0" r="0" b="0"/>
            <wp:docPr id="262830836" name="Picture 2"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830836" name="Picture 2" descr="A graph of different colored bar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339041" cy="3028939"/>
                    </a:xfrm>
                    <a:prstGeom prst="rect">
                      <a:avLst/>
                    </a:prstGeom>
                    <a:noFill/>
                  </pic:spPr>
                </pic:pic>
              </a:graphicData>
            </a:graphic>
          </wp:inline>
        </w:drawing>
      </w:r>
    </w:p>
    <w:p w14:paraId="7633E201" w14:textId="4DC3C266" w:rsidR="004B69C4" w:rsidRPr="004B69C4" w:rsidRDefault="004B69C4" w:rsidP="004B69C4">
      <w:pPr>
        <w:spacing w:after="0"/>
        <w:ind w:firstLine="0"/>
        <w:jc w:val="center"/>
        <w:rPr>
          <w:rFonts w:eastAsia="Times New Roman" w:cs="Times New Roman"/>
          <w:b/>
          <w:i/>
          <w:szCs w:val="20"/>
          <w:lang w:eastAsia="en-US"/>
        </w:rPr>
      </w:pPr>
      <w:bookmarkStart w:id="137" w:name="_Hlk178871389"/>
      <w:r w:rsidRPr="004B69C4">
        <w:rPr>
          <w:rFonts w:eastAsia="Times New Roman" w:cs="Times New Roman"/>
          <w:b/>
          <w:i/>
          <w:szCs w:val="20"/>
          <w:lang w:eastAsia="en-US"/>
        </w:rPr>
        <w:t>4.2. att</w:t>
      </w:r>
      <w:r>
        <w:rPr>
          <w:rFonts w:eastAsia="Times New Roman" w:cs="Times New Roman"/>
          <w:b/>
          <w:i/>
          <w:szCs w:val="20"/>
          <w:lang w:eastAsia="en-US"/>
        </w:rPr>
        <w:t>.</w:t>
      </w:r>
      <w:r w:rsidRPr="004B69C4">
        <w:rPr>
          <w:rFonts w:eastAsia="Times New Roman" w:cs="Times New Roman"/>
          <w:b/>
          <w:i/>
          <w:szCs w:val="20"/>
          <w:lang w:eastAsia="en-US"/>
        </w:rPr>
        <w:t xml:space="preserve"> </w:t>
      </w:r>
      <w:r w:rsidRPr="005725B2">
        <w:rPr>
          <w:rFonts w:eastAsia="Times New Roman" w:cs="Times New Roman"/>
          <w:b/>
          <w:i/>
          <w:iCs/>
          <w:szCs w:val="20"/>
          <w:lang w:eastAsia="en-US"/>
        </w:rPr>
        <w:t>Centrālās valdības aizņēmumu atmaksas grafiks</w:t>
      </w:r>
    </w:p>
    <w:p w14:paraId="3F723FE4" w14:textId="77777777" w:rsidR="004B69C4" w:rsidRPr="004B69C4" w:rsidRDefault="004B69C4" w:rsidP="004B69C4">
      <w:pPr>
        <w:jc w:val="center"/>
        <w:rPr>
          <w:rFonts w:eastAsia="Times New Roman" w:cs="Times New Roman"/>
          <w:szCs w:val="20"/>
          <w:lang w:eastAsia="en-US"/>
        </w:rPr>
      </w:pPr>
      <w:r w:rsidRPr="004B69C4">
        <w:rPr>
          <w:rFonts w:eastAsia="Times New Roman" w:cs="Times New Roman"/>
          <w:i/>
          <w:iCs/>
          <w:szCs w:val="20"/>
          <w:lang w:eastAsia="en-US"/>
        </w:rPr>
        <w:t>(līdz 2025. gada 30.septembrim uzņemtās saistības, nominālvērtībā, milj. euro*)</w:t>
      </w:r>
    </w:p>
    <w:p w14:paraId="5D929485" w14:textId="01017F22" w:rsidR="004B69C4" w:rsidRPr="004B69C4" w:rsidRDefault="004B69C4" w:rsidP="004B69C4">
      <w:pPr>
        <w:spacing w:after="0"/>
        <w:ind w:firstLine="0"/>
        <w:rPr>
          <w:rFonts w:eastAsia="Times New Roman" w:cs="Times New Roman"/>
          <w:i/>
          <w:iCs/>
          <w:sz w:val="16"/>
          <w:szCs w:val="16"/>
          <w:lang w:eastAsia="en-US"/>
        </w:rPr>
      </w:pPr>
      <w:r w:rsidRPr="004B69C4">
        <w:rPr>
          <w:rFonts w:eastAsia="Times New Roman" w:cs="Times New Roman"/>
          <w:i/>
          <w:iCs/>
          <w:sz w:val="16"/>
          <w:szCs w:val="16"/>
          <w:lang w:eastAsia="en-US"/>
        </w:rPr>
        <w:t xml:space="preserve">* aprēķinā izmantots 30.09.2025. </w:t>
      </w:r>
      <w:r w:rsidR="002B6D5A">
        <w:rPr>
          <w:rFonts w:eastAsia="Times New Roman" w:cs="Times New Roman"/>
          <w:i/>
          <w:iCs/>
          <w:sz w:val="16"/>
          <w:szCs w:val="16"/>
          <w:lang w:eastAsia="en-US"/>
        </w:rPr>
        <w:t>ECB</w:t>
      </w:r>
      <w:r w:rsidRPr="004B69C4">
        <w:rPr>
          <w:rFonts w:eastAsia="Times New Roman" w:cs="Times New Roman"/>
          <w:i/>
          <w:iCs/>
          <w:sz w:val="16"/>
          <w:szCs w:val="16"/>
          <w:lang w:eastAsia="en-US"/>
        </w:rPr>
        <w:t xml:space="preserve"> noteiktais ASV dolāru valūtas </w:t>
      </w:r>
      <w:bookmarkEnd w:id="137"/>
      <w:r w:rsidRPr="004B69C4">
        <w:rPr>
          <w:rFonts w:eastAsia="Times New Roman" w:cs="Times New Roman"/>
          <w:i/>
          <w:iCs/>
          <w:sz w:val="16"/>
          <w:szCs w:val="16"/>
          <w:lang w:eastAsia="en-US"/>
        </w:rPr>
        <w:t>kursu</w:t>
      </w:r>
    </w:p>
    <w:p w14:paraId="5B5890A6" w14:textId="5C20A293" w:rsidR="004B69C4" w:rsidRPr="004B69C4" w:rsidRDefault="004B69C4" w:rsidP="004B69C4">
      <w:pPr>
        <w:spacing w:after="240"/>
        <w:ind w:firstLine="0"/>
        <w:jc w:val="left"/>
        <w:rPr>
          <w:rFonts w:eastAsia="Times New Roman" w:cs="Times New Roman"/>
          <w:i/>
          <w:iCs/>
          <w:sz w:val="16"/>
          <w:szCs w:val="16"/>
          <w:lang w:eastAsia="en-US"/>
        </w:rPr>
      </w:pPr>
      <w:r w:rsidRPr="004B69C4">
        <w:rPr>
          <w:rFonts w:eastAsia="Times New Roman" w:cs="Times New Roman"/>
          <w:i/>
          <w:iCs/>
          <w:sz w:val="16"/>
          <w:szCs w:val="16"/>
          <w:lang w:eastAsia="en-US"/>
        </w:rPr>
        <w:t>** t.sk. š.g. septembrī emitētas 10 gadu eiroobligācijas 1,250 mljrd.</w:t>
      </w:r>
      <w:r w:rsidR="002B6D5A">
        <w:rPr>
          <w:rFonts w:eastAsia="Times New Roman" w:cs="Times New Roman"/>
          <w:i/>
          <w:iCs/>
          <w:sz w:val="16"/>
          <w:szCs w:val="16"/>
          <w:lang w:eastAsia="en-US"/>
        </w:rPr>
        <w:t xml:space="preserve"> </w:t>
      </w:r>
      <w:r w:rsidRPr="004B69C4">
        <w:rPr>
          <w:rFonts w:eastAsia="Times New Roman" w:cs="Times New Roman"/>
          <w:i/>
          <w:iCs/>
          <w:sz w:val="16"/>
          <w:szCs w:val="16"/>
          <w:lang w:eastAsia="en-US"/>
        </w:rPr>
        <w:t>EUR ar dzēšanu 2035.gadā</w:t>
      </w:r>
    </w:p>
    <w:p w14:paraId="6FB22471" w14:textId="4CEB6D44" w:rsidR="004B69C4" w:rsidRPr="004B69C4" w:rsidRDefault="004B69C4" w:rsidP="004B69C4">
      <w:pPr>
        <w:spacing w:after="0"/>
        <w:rPr>
          <w:rFonts w:eastAsia="Times New Roman" w:cs="Times New Roman"/>
          <w:szCs w:val="20"/>
          <w:lang w:eastAsia="en-US"/>
        </w:rPr>
      </w:pPr>
      <w:r w:rsidRPr="004B69C4">
        <w:rPr>
          <w:rFonts w:eastAsia="Times New Roman" w:cs="Times New Roman"/>
          <w:szCs w:val="20"/>
          <w:lang w:eastAsia="en-US"/>
        </w:rPr>
        <w:lastRenderedPageBreak/>
        <w:t>2025.</w:t>
      </w:r>
      <w:r w:rsidR="00376254">
        <w:rPr>
          <w:rFonts w:eastAsia="Times New Roman" w:cs="Times New Roman"/>
          <w:szCs w:val="20"/>
          <w:lang w:eastAsia="en-US"/>
        </w:rPr>
        <w:t xml:space="preserve"> </w:t>
      </w:r>
      <w:r w:rsidRPr="004B69C4">
        <w:rPr>
          <w:rFonts w:eastAsia="Times New Roman" w:cs="Times New Roman"/>
          <w:szCs w:val="20"/>
          <w:lang w:eastAsia="en-US"/>
        </w:rPr>
        <w:t>gada atlikušajam periodam, kā arī 2026.</w:t>
      </w:r>
      <w:r w:rsidR="00BF23A1">
        <w:rPr>
          <w:rFonts w:eastAsia="Times New Roman" w:cs="Times New Roman"/>
          <w:szCs w:val="20"/>
          <w:lang w:eastAsia="en-US"/>
        </w:rPr>
        <w:t xml:space="preserve"> </w:t>
      </w:r>
      <w:r w:rsidRPr="004B69C4">
        <w:rPr>
          <w:rFonts w:eastAsia="Times New Roman" w:cs="Times New Roman"/>
          <w:szCs w:val="20"/>
          <w:lang w:eastAsia="en-US"/>
        </w:rPr>
        <w:t>-</w:t>
      </w:r>
      <w:r w:rsidR="00BF23A1">
        <w:rPr>
          <w:rFonts w:eastAsia="Times New Roman" w:cs="Times New Roman"/>
          <w:szCs w:val="20"/>
          <w:lang w:eastAsia="en-US"/>
        </w:rPr>
        <w:t xml:space="preserve"> </w:t>
      </w:r>
      <w:r w:rsidRPr="004B69C4">
        <w:rPr>
          <w:rFonts w:eastAsia="Times New Roman" w:cs="Times New Roman"/>
          <w:szCs w:val="20"/>
          <w:lang w:eastAsia="en-US"/>
        </w:rPr>
        <w:t xml:space="preserve">2028. gadā kopējās finansēšanas nepieciešamības segšanai tiks izmantoti Valsts kases kontos pieejamie resursi un aizņemšanās pasākumi finanšu tirgos, pieļaujot arī citu aizņemšanās instrumentu izmantošanu atkarībā no situācijas finanšu tirgos un procentu likmju tendencēm. Aizņemšanos finanšu tirgos plānots nodrošināt galvenokārt ar publiskām etalona apjoma eiroobligāciju emisijām, uzturot iespējami elastīgas aizņemšanās instrumentu izvēles iespējas, kā arī veicot apgrozībā esošo eiroobligāciju papildu laidienu izsoles ar Primāro dīleru starpniecību. Lai nodrošinātu Latvijas iedzīvotājiem drošu ieguldīšanas un uzkrājumu veidošanas instrumentu, tiks uzturēts arī dažādu termiņu krājobligāciju piedāvājums. </w:t>
      </w:r>
    </w:p>
    <w:p w14:paraId="202CF1B9" w14:textId="77777777" w:rsidR="004B69C4" w:rsidRPr="004B69C4" w:rsidRDefault="004B69C4" w:rsidP="004B69C4">
      <w:pPr>
        <w:spacing w:after="0" w:line="192" w:lineRule="auto"/>
        <w:ind w:firstLine="709"/>
        <w:rPr>
          <w:rFonts w:eastAsia="Times New Roman" w:cs="Times New Roman"/>
          <w:szCs w:val="24"/>
          <w:lang w:eastAsia="en-US"/>
        </w:rPr>
      </w:pPr>
    </w:p>
    <w:p w14:paraId="4C16942F" w14:textId="77777777" w:rsidR="004B69C4" w:rsidRDefault="004B69C4" w:rsidP="004B69C4">
      <w:pPr>
        <w:ind w:firstLine="0"/>
        <w:jc w:val="center"/>
        <w:rPr>
          <w:rFonts w:eastAsia="Times New Roman" w:cs="Times New Roman"/>
          <w:b/>
          <w:bCs/>
          <w:i/>
          <w:iCs/>
          <w:szCs w:val="20"/>
          <w:lang w:eastAsia="en-US"/>
        </w:rPr>
      </w:pPr>
      <w:bookmarkStart w:id="138" w:name="_Hlk178813632"/>
      <w:r w:rsidRPr="004B69C4">
        <w:rPr>
          <w:rFonts w:eastAsia="Times New Roman" w:cs="Times New Roman"/>
          <w:noProof/>
          <w:szCs w:val="20"/>
          <w:lang w:eastAsia="en-US"/>
        </w:rPr>
        <w:drawing>
          <wp:inline distT="0" distB="0" distL="0" distR="0" wp14:anchorId="7908EDB4" wp14:editId="669416A3">
            <wp:extent cx="3900669" cy="2644793"/>
            <wp:effectExtent l="0" t="0" r="5080" b="3175"/>
            <wp:docPr id="1163541544" name="Picture 3" descr="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541544" name="Picture 3" descr="A graph with numbers and a line&#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06338" cy="2648637"/>
                    </a:xfrm>
                    <a:prstGeom prst="rect">
                      <a:avLst/>
                    </a:prstGeom>
                    <a:noFill/>
                  </pic:spPr>
                </pic:pic>
              </a:graphicData>
            </a:graphic>
          </wp:inline>
        </w:drawing>
      </w:r>
    </w:p>
    <w:p w14:paraId="3AB82D5D" w14:textId="3266AFE0" w:rsidR="004B69C4" w:rsidRPr="004B69C4" w:rsidRDefault="004B69C4" w:rsidP="004B69C4">
      <w:pPr>
        <w:spacing w:after="240"/>
        <w:ind w:firstLine="0"/>
        <w:jc w:val="center"/>
        <w:rPr>
          <w:rFonts w:eastAsia="Times New Roman" w:cs="Times New Roman"/>
          <w:b/>
          <w:bCs/>
          <w:i/>
          <w:iCs/>
          <w:szCs w:val="20"/>
          <w:lang w:eastAsia="en-US"/>
        </w:rPr>
      </w:pPr>
      <w:r w:rsidRPr="004B69C4">
        <w:rPr>
          <w:rFonts w:eastAsia="Times New Roman" w:cs="Times New Roman"/>
          <w:b/>
          <w:bCs/>
          <w:i/>
          <w:iCs/>
          <w:szCs w:val="20"/>
          <w:lang w:eastAsia="en-US"/>
        </w:rPr>
        <w:t>4.3. att</w:t>
      </w:r>
      <w:bookmarkEnd w:id="138"/>
      <w:r w:rsidRPr="004B69C4">
        <w:rPr>
          <w:rFonts w:eastAsia="Times New Roman" w:cs="Times New Roman"/>
          <w:b/>
          <w:bCs/>
          <w:i/>
          <w:iCs/>
          <w:szCs w:val="20"/>
          <w:lang w:eastAsia="en-US"/>
        </w:rPr>
        <w:t xml:space="preserve">. Vispārējās valdības parāda attīstības tendences </w:t>
      </w:r>
    </w:p>
    <w:p w14:paraId="46B12E50" w14:textId="7ECBB359" w:rsidR="004B69C4" w:rsidRPr="004B69C4" w:rsidRDefault="004B69C4" w:rsidP="004B69C4">
      <w:pPr>
        <w:rPr>
          <w:rFonts w:eastAsia="Times New Roman" w:cs="Times New Roman"/>
          <w:szCs w:val="20"/>
          <w:lang w:eastAsia="en-US"/>
        </w:rPr>
      </w:pPr>
      <w:r w:rsidRPr="004B69C4">
        <w:rPr>
          <w:rFonts w:eastAsia="Times New Roman" w:cs="Times New Roman"/>
          <w:szCs w:val="20"/>
          <w:lang w:eastAsia="en-US"/>
        </w:rPr>
        <w:t xml:space="preserve">Plānojot un veicot aizņemšanās pasākumus, tiek ievēroti valsts budžeta likumā noteiktie ierobežojumi valsts parāda maksimālajam apmēram uz attiecīgā gada beigām. 2026. gada beigās maksimālais valsts parāds noteikts 22,4 mljrd. </w:t>
      </w:r>
      <w:r w:rsidRPr="004B69C4">
        <w:rPr>
          <w:rFonts w:eastAsia="Times New Roman" w:cs="Times New Roman"/>
          <w:i/>
          <w:iCs/>
          <w:szCs w:val="20"/>
          <w:lang w:eastAsia="en-US"/>
        </w:rPr>
        <w:t>euro</w:t>
      </w:r>
      <w:r w:rsidRPr="004B69C4">
        <w:rPr>
          <w:rFonts w:eastAsia="Times New Roman" w:cs="Times New Roman"/>
          <w:szCs w:val="20"/>
          <w:lang w:eastAsia="en-US"/>
        </w:rPr>
        <w:t xml:space="preserve"> apmērā, paredzot elastību veikt papildu finansēšanas pasākumus labvēlīgu finanšu tirgus nosacījumu gadījumā, savlaicīgi nodrošinot resursu 2027.</w:t>
      </w:r>
      <w:r w:rsidR="00376254">
        <w:rPr>
          <w:rFonts w:eastAsia="Times New Roman" w:cs="Times New Roman"/>
          <w:szCs w:val="20"/>
          <w:lang w:eastAsia="en-US"/>
        </w:rPr>
        <w:t xml:space="preserve"> </w:t>
      </w:r>
      <w:r w:rsidRPr="004B69C4">
        <w:rPr>
          <w:rFonts w:eastAsia="Times New Roman" w:cs="Times New Roman"/>
          <w:szCs w:val="20"/>
          <w:lang w:eastAsia="en-US"/>
        </w:rPr>
        <w:t xml:space="preserve">gada martā plānotajai eiroobligāciju dzēšanai. </w:t>
      </w:r>
    </w:p>
    <w:p w14:paraId="164A91A0" w14:textId="67AC61E1" w:rsidR="004B69C4" w:rsidRPr="004B69C4" w:rsidRDefault="004B69C4" w:rsidP="004B69C4">
      <w:pPr>
        <w:rPr>
          <w:rFonts w:eastAsia="Times New Roman" w:cs="Times New Roman"/>
          <w:szCs w:val="24"/>
          <w:lang w:eastAsia="en-US"/>
        </w:rPr>
      </w:pPr>
      <w:r w:rsidRPr="004B69C4">
        <w:rPr>
          <w:rFonts w:eastAsia="Times New Roman" w:cs="Times New Roman"/>
          <w:szCs w:val="20"/>
          <w:lang w:eastAsia="en-US"/>
        </w:rPr>
        <w:t>Valsts parāda tendences vidējā termiņā ietekmē nepieciešamība finansēt plānoto valsts budžeta deficītu, t.sk. ņemot vērā izdevumu pieaugumu valsts aizsardzības kapacitātes stiprināšanai un ES fondu līdzfinansētiem projektiem, kā arī aktualizētās makroekonomisko rādītāju prognozes, kas paredz zemākus ekonomikas izaugsmes tempus 2026.</w:t>
      </w:r>
      <w:r w:rsidR="00BF23A1">
        <w:rPr>
          <w:rFonts w:eastAsia="Times New Roman" w:cs="Times New Roman"/>
          <w:szCs w:val="20"/>
          <w:lang w:eastAsia="en-US"/>
        </w:rPr>
        <w:t xml:space="preserve"> </w:t>
      </w:r>
      <w:r w:rsidR="00BA39F0">
        <w:rPr>
          <w:rFonts w:eastAsia="Times New Roman" w:cs="Times New Roman"/>
          <w:szCs w:val="20"/>
          <w:lang w:eastAsia="en-US"/>
        </w:rPr>
        <w:t>–</w:t>
      </w:r>
      <w:r w:rsidRPr="004B69C4">
        <w:rPr>
          <w:rFonts w:eastAsia="Times New Roman" w:cs="Times New Roman"/>
          <w:szCs w:val="20"/>
          <w:lang w:eastAsia="en-US"/>
        </w:rPr>
        <w:t>2028.</w:t>
      </w:r>
      <w:r w:rsidR="00376254">
        <w:rPr>
          <w:rFonts w:eastAsia="Times New Roman" w:cs="Times New Roman"/>
          <w:szCs w:val="20"/>
          <w:lang w:eastAsia="en-US"/>
        </w:rPr>
        <w:t xml:space="preserve"> </w:t>
      </w:r>
      <w:r w:rsidRPr="004B69C4">
        <w:rPr>
          <w:rFonts w:eastAsia="Times New Roman" w:cs="Times New Roman"/>
          <w:szCs w:val="20"/>
          <w:lang w:eastAsia="en-US"/>
        </w:rPr>
        <w:t>gadā. 2027. un 2028.</w:t>
      </w:r>
      <w:r w:rsidR="00BF23A1">
        <w:rPr>
          <w:rFonts w:eastAsia="Times New Roman" w:cs="Times New Roman"/>
          <w:szCs w:val="20"/>
          <w:lang w:eastAsia="en-US"/>
        </w:rPr>
        <w:t xml:space="preserve"> </w:t>
      </w:r>
      <w:r w:rsidRPr="004B69C4">
        <w:rPr>
          <w:rFonts w:eastAsia="Times New Roman" w:cs="Times New Roman"/>
          <w:szCs w:val="20"/>
          <w:lang w:eastAsia="en-US"/>
        </w:rPr>
        <w:t>gada vispārējās valdības parāda apjomu papildus iepriekš minētajiem faktoriem noteiks nepieciešamība savlaicīgi nodrošināt resursus 2028.</w:t>
      </w:r>
      <w:r w:rsidR="00BF23A1">
        <w:rPr>
          <w:rFonts w:eastAsia="Times New Roman" w:cs="Times New Roman"/>
          <w:szCs w:val="20"/>
          <w:lang w:eastAsia="en-US"/>
        </w:rPr>
        <w:t xml:space="preserve"> </w:t>
      </w:r>
      <w:r w:rsidRPr="004B69C4">
        <w:rPr>
          <w:rFonts w:eastAsia="Times New Roman" w:cs="Times New Roman"/>
          <w:szCs w:val="20"/>
          <w:lang w:eastAsia="en-US"/>
        </w:rPr>
        <w:t>un 2029.</w:t>
      </w:r>
      <w:r w:rsidR="00BF23A1">
        <w:rPr>
          <w:rFonts w:eastAsia="Times New Roman" w:cs="Times New Roman"/>
          <w:szCs w:val="20"/>
          <w:lang w:eastAsia="en-US"/>
        </w:rPr>
        <w:t xml:space="preserve"> </w:t>
      </w:r>
      <w:r w:rsidRPr="004B69C4">
        <w:rPr>
          <w:rFonts w:eastAsia="Times New Roman" w:cs="Times New Roman"/>
          <w:szCs w:val="20"/>
          <w:lang w:eastAsia="en-US"/>
        </w:rPr>
        <w:t>gada sākumā plānotajai valsts parāda atmaksai. Atbilstoši aktuālajām prognozēm sagaidāms pakāpenisks vispārējās valdības parāda līmeņa pieaugums līdz 55% no IKP un vidējā termiņā Fiskālās disciplīnas likumā noteiktais parāda nosacījums (60% no IKP) tiks ievērots. (sk. 4.3. attēlu). Ilgtermiņā vispārējās valdības parāds tiks uzturēts mērenā, ilgtspējīgā līmenī, nodrošinot parāda saistību pārfinansēšanu ar optimāliem nosacījumiem.</w:t>
      </w:r>
      <w:r w:rsidRPr="004B69C4">
        <w:rPr>
          <w:rFonts w:eastAsia="Times New Roman" w:cs="Times New Roman"/>
          <w:szCs w:val="24"/>
          <w:lang w:eastAsia="en-US"/>
        </w:rPr>
        <w:t xml:space="preserve"> </w:t>
      </w:r>
    </w:p>
    <w:p w14:paraId="45C16371" w14:textId="77777777" w:rsidR="004B69C4" w:rsidRPr="004B69C4" w:rsidRDefault="004B69C4" w:rsidP="004B69C4">
      <w:pPr>
        <w:rPr>
          <w:rFonts w:eastAsia="Times New Roman" w:cs="Times New Roman"/>
          <w:szCs w:val="20"/>
          <w:highlight w:val="green"/>
          <w:lang w:eastAsia="en-US"/>
        </w:rPr>
      </w:pPr>
      <w:r w:rsidRPr="004B69C4">
        <w:rPr>
          <w:rFonts w:eastAsia="Times New Roman" w:cs="Times New Roman"/>
          <w:szCs w:val="20"/>
          <w:lang w:eastAsia="en-US"/>
        </w:rPr>
        <w:t xml:space="preserve">Procentu maksājumi par valsts parāda saistībām tiek veikti no FM pamatbudžeta apakšprogrammas 31.02.00 “Valsts parāda vadība”. Apakšprogrammas ietvaros veicamo valsts parāda procentu izdevumu prognozi 2026. – 2028. gadam galvenokārt ietekmē iepriekš, t.sk. zemo procentu likmju periodā, uzņemto valsts parāda saistību apkalpošanas (procentu) izdevumi un prognozētie procentu maksājumi par jauniem aizņēmumiem, kuri tiks veikti kārtējā un nākamajos gados finansēšanas nepieciešamības segšanai, t.sk. valsts parāda atmaksai. Jaunu aizņēmumu procentu likmes ietekmēs galvenokārt centrālo banku monetārās </w:t>
      </w:r>
      <w:r w:rsidRPr="004B69C4">
        <w:rPr>
          <w:rFonts w:eastAsia="Times New Roman" w:cs="Times New Roman"/>
          <w:szCs w:val="20"/>
          <w:lang w:eastAsia="en-US"/>
        </w:rPr>
        <w:lastRenderedPageBreak/>
        <w:t>politikas lēmumi, kā arī dažādu faktoru, t.sk. ģeopolitisko, izraisīts finanšu tirgus svārstīgums un nenoteiktība.</w:t>
      </w:r>
    </w:p>
    <w:p w14:paraId="49E330E3" w14:textId="77777777" w:rsidR="004B69C4" w:rsidRPr="004B69C4" w:rsidRDefault="004B69C4" w:rsidP="004B69C4">
      <w:pPr>
        <w:keepNext/>
        <w:keepLines/>
        <w:spacing w:before="240" w:after="0"/>
        <w:ind w:firstLine="0"/>
        <w:jc w:val="center"/>
        <w:rPr>
          <w:rFonts w:ascii="Garamond" w:eastAsia="Times New Roman" w:hAnsi="Garamond" w:cs="Times New Roman"/>
          <w:b/>
          <w:sz w:val="22"/>
          <w:szCs w:val="20"/>
          <w:lang w:val="en-US" w:eastAsia="en-US"/>
        </w:rPr>
      </w:pPr>
      <w:r w:rsidRPr="004B69C4">
        <w:rPr>
          <w:rFonts w:ascii="Garamond" w:eastAsia="Times New Roman" w:hAnsi="Garamond" w:cs="Times New Roman"/>
          <w:b/>
          <w:noProof/>
          <w:sz w:val="22"/>
          <w:szCs w:val="20"/>
          <w:lang w:val="en-US" w:eastAsia="en-US"/>
        </w:rPr>
        <w:drawing>
          <wp:inline distT="0" distB="0" distL="0" distR="0" wp14:anchorId="08528C6B" wp14:editId="78A8F6AF">
            <wp:extent cx="4658810" cy="2392677"/>
            <wp:effectExtent l="0" t="0" r="0" b="8255"/>
            <wp:docPr id="801180413" name="Picture 4" descr="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180413" name="Picture 4" descr="A graph with numbers and a line&#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82478" cy="2404832"/>
                    </a:xfrm>
                    <a:prstGeom prst="rect">
                      <a:avLst/>
                    </a:prstGeom>
                    <a:noFill/>
                  </pic:spPr>
                </pic:pic>
              </a:graphicData>
            </a:graphic>
          </wp:inline>
        </w:drawing>
      </w:r>
    </w:p>
    <w:p w14:paraId="74A22C6F" w14:textId="450A8460" w:rsidR="004B69C4" w:rsidRPr="004B69C4" w:rsidRDefault="004B69C4" w:rsidP="004B69C4">
      <w:pPr>
        <w:keepNext/>
        <w:keepLines/>
        <w:spacing w:before="240" w:after="0"/>
        <w:ind w:firstLine="0"/>
        <w:jc w:val="center"/>
        <w:rPr>
          <w:rFonts w:eastAsia="Times New Roman" w:cs="Times New Roman"/>
          <w:b/>
          <w:i/>
          <w:iCs/>
          <w:szCs w:val="24"/>
          <w:lang w:eastAsia="en-US"/>
        </w:rPr>
      </w:pPr>
      <w:r w:rsidRPr="004B69C4">
        <w:rPr>
          <w:rFonts w:eastAsia="Times New Roman" w:cs="Times New Roman"/>
          <w:b/>
          <w:i/>
          <w:iCs/>
          <w:szCs w:val="24"/>
          <w:lang w:val="en-US" w:eastAsia="en-US"/>
        </w:rPr>
        <w:t>4.4. att.</w:t>
      </w:r>
      <w:r w:rsidRPr="004B69C4">
        <w:rPr>
          <w:rFonts w:eastAsia="Times New Roman" w:cs="Times New Roman"/>
          <w:b/>
          <w:i/>
          <w:iCs/>
          <w:sz w:val="28"/>
          <w:szCs w:val="28"/>
          <w:lang w:eastAsia="en-US"/>
        </w:rPr>
        <w:t xml:space="preserve"> </w:t>
      </w:r>
      <w:r w:rsidRPr="004B69C4">
        <w:rPr>
          <w:rFonts w:eastAsia="Times New Roman" w:cs="Times New Roman"/>
          <w:b/>
          <w:i/>
          <w:iCs/>
          <w:szCs w:val="24"/>
          <w:lang w:eastAsia="en-US"/>
        </w:rPr>
        <w:t xml:space="preserve">Valsts budžeta apakšprogrammas 31.02.00 “Valsts parāda vadība” procentu izdevumi </w:t>
      </w:r>
    </w:p>
    <w:p w14:paraId="2BD74889" w14:textId="27CF94C3" w:rsidR="004B69C4" w:rsidRPr="004B69C4" w:rsidRDefault="004B69C4" w:rsidP="004B69C4">
      <w:pPr>
        <w:spacing w:before="120" w:after="240"/>
        <w:ind w:firstLine="0"/>
        <w:rPr>
          <w:rFonts w:eastAsia="Times New Roman" w:cs="Times New Roman"/>
          <w:szCs w:val="20"/>
          <w:lang w:eastAsia="en-US"/>
        </w:rPr>
      </w:pPr>
      <w:r w:rsidRPr="004B69C4">
        <w:rPr>
          <w:rFonts w:eastAsia="Times New Roman" w:cs="Times New Roman"/>
          <w:i/>
          <w:iCs/>
          <w:sz w:val="18"/>
          <w:szCs w:val="18"/>
          <w:lang w:eastAsia="en-US"/>
        </w:rPr>
        <w:t>* t.sk. procentu maksājumi Valsts sociālās apdrošināšanas aģentūrai par speciālā budžeta spēkā esošajiem termiņnoguldījumiem Valsts kasē 78,2 milj.</w:t>
      </w:r>
      <w:r w:rsidR="00BA39F0">
        <w:rPr>
          <w:rFonts w:eastAsia="Times New Roman" w:cs="Times New Roman"/>
          <w:i/>
          <w:iCs/>
          <w:sz w:val="18"/>
          <w:szCs w:val="18"/>
          <w:lang w:eastAsia="en-US"/>
        </w:rPr>
        <w:t xml:space="preserve"> euro</w:t>
      </w:r>
      <w:r w:rsidRPr="004B69C4">
        <w:rPr>
          <w:rFonts w:eastAsia="Times New Roman" w:cs="Times New Roman"/>
          <w:i/>
          <w:iCs/>
          <w:sz w:val="18"/>
          <w:szCs w:val="18"/>
          <w:lang w:eastAsia="en-US"/>
        </w:rPr>
        <w:t xml:space="preserve"> 2025.gadā, 34,9 milj.</w:t>
      </w:r>
      <w:r w:rsidR="00BA39F0">
        <w:rPr>
          <w:rFonts w:eastAsia="Times New Roman" w:cs="Times New Roman"/>
          <w:i/>
          <w:iCs/>
          <w:sz w:val="18"/>
          <w:szCs w:val="18"/>
          <w:lang w:eastAsia="en-US"/>
        </w:rPr>
        <w:t xml:space="preserve"> euro</w:t>
      </w:r>
      <w:r w:rsidRPr="004B69C4">
        <w:rPr>
          <w:rFonts w:eastAsia="Times New Roman" w:cs="Times New Roman"/>
          <w:i/>
          <w:iCs/>
          <w:sz w:val="18"/>
          <w:szCs w:val="18"/>
          <w:lang w:eastAsia="en-US"/>
        </w:rPr>
        <w:t xml:space="preserve"> 2026.gadā un 22,9 milj.</w:t>
      </w:r>
      <w:r w:rsidR="00BA39F0">
        <w:rPr>
          <w:rFonts w:eastAsia="Times New Roman" w:cs="Times New Roman"/>
          <w:i/>
          <w:iCs/>
          <w:sz w:val="18"/>
          <w:szCs w:val="18"/>
          <w:lang w:eastAsia="en-US"/>
        </w:rPr>
        <w:t xml:space="preserve"> euro</w:t>
      </w:r>
      <w:r w:rsidRPr="004B69C4">
        <w:rPr>
          <w:rFonts w:eastAsia="Times New Roman" w:cs="Times New Roman"/>
          <w:i/>
          <w:iCs/>
          <w:sz w:val="18"/>
          <w:szCs w:val="18"/>
          <w:lang w:eastAsia="en-US"/>
        </w:rPr>
        <w:t xml:space="preserve"> 2027.gadā</w:t>
      </w:r>
    </w:p>
    <w:p w14:paraId="7D0681F6" w14:textId="71D49D9E" w:rsidR="004B69C4" w:rsidRPr="004B69C4" w:rsidRDefault="004B69C4" w:rsidP="004B69C4">
      <w:pPr>
        <w:spacing w:after="0" w:line="259" w:lineRule="auto"/>
        <w:ind w:firstLine="709"/>
        <w:rPr>
          <w:rFonts w:eastAsia="Times New Roman" w:cs="Times New Roman"/>
          <w:szCs w:val="20"/>
          <w:lang w:eastAsia="en-US"/>
        </w:rPr>
      </w:pPr>
      <w:r w:rsidRPr="004B69C4">
        <w:rPr>
          <w:rFonts w:eastAsia="Times New Roman" w:cs="Times New Roman"/>
          <w:szCs w:val="20"/>
          <w:lang w:eastAsia="en-US"/>
        </w:rPr>
        <w:t>Atbilstoši šī brīža indikatīvām prognozēm (sk. 4.4.attēlu) nākamajos gados parāda apkalpošanas izdevumi pieaugs, 2028.</w:t>
      </w:r>
      <w:r w:rsidR="00BA39F0">
        <w:rPr>
          <w:rFonts w:eastAsia="Times New Roman" w:cs="Times New Roman"/>
          <w:szCs w:val="20"/>
          <w:lang w:eastAsia="en-US"/>
        </w:rPr>
        <w:t xml:space="preserve"> </w:t>
      </w:r>
      <w:r w:rsidRPr="004B69C4">
        <w:rPr>
          <w:rFonts w:eastAsia="Times New Roman" w:cs="Times New Roman"/>
          <w:szCs w:val="20"/>
          <w:lang w:eastAsia="en-US"/>
        </w:rPr>
        <w:t xml:space="preserve">gadā sasniedzot 1,5% no IKP, jo aizņēmumi ar zemām procentu likmēm tiek aizstāti (pārfinansēti) ar jauniem aizņēmumiem, kuriem ir augstākas, aktuālajai finanšu tirgus situācijai atbilstošas procentu likmes. </w:t>
      </w:r>
    </w:p>
    <w:p w14:paraId="4C570866" w14:textId="77777777" w:rsidR="00A1034F" w:rsidRPr="00D8017D" w:rsidRDefault="00A1034F" w:rsidP="009030BD">
      <w:pPr>
        <w:spacing w:after="0"/>
        <w:rPr>
          <w:rFonts w:eastAsia="Times New Roman"/>
          <w:highlight w:val="lightGray"/>
        </w:rPr>
      </w:pPr>
    </w:p>
    <w:p w14:paraId="0A4484FE" w14:textId="454A3EC6" w:rsidR="00FB33CF" w:rsidRPr="004B69C4" w:rsidRDefault="00863814" w:rsidP="004B69C4">
      <w:pPr>
        <w:pStyle w:val="Heading2"/>
        <w:spacing w:before="0"/>
        <w:rPr>
          <w:rFonts w:eastAsia="Times New Roman"/>
        </w:rPr>
      </w:pPr>
      <w:bookmarkStart w:id="139" w:name="_Toc210289910"/>
      <w:r w:rsidRPr="004B69C4">
        <w:rPr>
          <w:rFonts w:eastAsia="Times New Roman"/>
        </w:rPr>
        <w:t xml:space="preserve">4.2. </w:t>
      </w:r>
      <w:r w:rsidR="00FB33CF" w:rsidRPr="004B69C4">
        <w:rPr>
          <w:rFonts w:eastAsia="Times New Roman"/>
        </w:rPr>
        <w:t>Valsts budžeta aizdevumi un aizdevumu atmaksas</w:t>
      </w:r>
      <w:bookmarkEnd w:id="139"/>
    </w:p>
    <w:p w14:paraId="79307AD2" w14:textId="3F518FC4" w:rsidR="004B69C4" w:rsidRPr="004B69C4" w:rsidRDefault="004B69C4" w:rsidP="002B6D5A">
      <w:pPr>
        <w:rPr>
          <w:rFonts w:eastAsia="Times New Roman" w:cs="Times New Roman"/>
          <w:i/>
          <w:iCs/>
          <w:szCs w:val="20"/>
          <w:lang w:eastAsia="en-US"/>
        </w:rPr>
      </w:pPr>
      <w:bookmarkStart w:id="140" w:name="_Toc210289912"/>
      <w:r w:rsidRPr="004B69C4">
        <w:rPr>
          <w:rFonts w:eastAsia="Times New Roman" w:cs="Times New Roman"/>
          <w:szCs w:val="20"/>
          <w:lang w:eastAsia="en-US"/>
        </w:rPr>
        <w:t xml:space="preserve">Kopējais valsts aizdevumu portfelis 2025. gada 31. augustā veidoja 2 329 milj. </w:t>
      </w:r>
      <w:r w:rsidRPr="004B69C4">
        <w:rPr>
          <w:rFonts w:eastAsia="Times New Roman" w:cs="Times New Roman"/>
          <w:i/>
          <w:iCs/>
          <w:szCs w:val="20"/>
          <w:lang w:eastAsia="en-US"/>
        </w:rPr>
        <w:t>euro.</w:t>
      </w:r>
    </w:p>
    <w:p w14:paraId="53E4D5BB" w14:textId="558A1E1E" w:rsidR="004B69C4" w:rsidRPr="004B69C4" w:rsidRDefault="004B69C4" w:rsidP="002B6D5A">
      <w:pPr>
        <w:rPr>
          <w:rFonts w:eastAsia="Times New Roman" w:cs="Times New Roman"/>
          <w:bCs/>
          <w:szCs w:val="24"/>
          <w:lang w:eastAsia="en-US"/>
        </w:rPr>
      </w:pPr>
      <w:r w:rsidRPr="004B69C4">
        <w:rPr>
          <w:rFonts w:eastAsia="Times New Roman" w:cs="Times New Roman"/>
          <w:szCs w:val="20"/>
          <w:lang w:eastAsia="en-US"/>
        </w:rPr>
        <w:t xml:space="preserve">Katru gadu valsts budžeta likumā tiek noteikts valsts aizdevumu kopējais palielinājums, t.sk. atsevišķi nosakot pašvaldību aizņēmumu kopējo palielinājumu. Savukārt kopējais gadā pieļaujamais izsniedzamo valsts aizdevumu apmērs ietver gan valsts budžeta likumā noteikto valsts aizdevumu kopējo palielinājumu, gan iepriekšējos gados izsniegto valsts aizdevumu paredzētās atmaksas. </w:t>
      </w:r>
    </w:p>
    <w:p w14:paraId="0CE84220" w14:textId="77777777" w:rsidR="004B69C4" w:rsidRPr="004B69C4" w:rsidRDefault="004B69C4" w:rsidP="002B6D5A">
      <w:pPr>
        <w:rPr>
          <w:rFonts w:eastAsia="Times New Roman" w:cs="Times New Roman"/>
          <w:szCs w:val="20"/>
          <w:lang w:eastAsia="en-US"/>
        </w:rPr>
      </w:pPr>
      <w:r w:rsidRPr="004B69C4">
        <w:rPr>
          <w:rFonts w:eastAsia="Times New Roman" w:cs="Times New Roman"/>
          <w:szCs w:val="20"/>
          <w:lang w:eastAsia="en-US"/>
        </w:rPr>
        <w:t xml:space="preserve">Ņemot vērā, ka aizvien aktīvāk tiek izmantotas normatīvajos aktos noteiktās tiesības izņemt valsts aizdevumu vidējā termiņā valsts uzņemtās saistības aizdevumu izmaksai 2026. gadā ir 170,5 milj. </w:t>
      </w:r>
      <w:r w:rsidRPr="004B69C4">
        <w:rPr>
          <w:rFonts w:eastAsia="Times New Roman" w:cs="Times New Roman"/>
          <w:i/>
          <w:iCs/>
          <w:szCs w:val="20"/>
          <w:lang w:eastAsia="en-US"/>
        </w:rPr>
        <w:t>euro</w:t>
      </w:r>
      <w:r w:rsidRPr="004B69C4">
        <w:rPr>
          <w:rFonts w:eastAsia="Times New Roman" w:cs="Times New Roman"/>
          <w:szCs w:val="20"/>
          <w:lang w:eastAsia="en-US"/>
        </w:rPr>
        <w:t>, tajā skaitā:</w:t>
      </w:r>
    </w:p>
    <w:p w14:paraId="453D7B46" w14:textId="6D3FEF83" w:rsidR="004B69C4" w:rsidRPr="004B69C4" w:rsidRDefault="004B69C4" w:rsidP="004B69C4">
      <w:pPr>
        <w:numPr>
          <w:ilvl w:val="0"/>
          <w:numId w:val="9"/>
        </w:numPr>
        <w:spacing w:after="0"/>
        <w:ind w:left="1134" w:hanging="295"/>
        <w:rPr>
          <w:rFonts w:eastAsia="Times New Roman" w:cs="Times New Roman"/>
          <w:szCs w:val="20"/>
          <w:lang w:eastAsia="en-US"/>
        </w:rPr>
      </w:pPr>
      <w:r w:rsidRPr="004B69C4">
        <w:rPr>
          <w:rFonts w:eastAsia="Times New Roman" w:cs="Times New Roman"/>
          <w:szCs w:val="20"/>
          <w:lang w:eastAsia="en-US"/>
        </w:rPr>
        <w:t xml:space="preserve">73,3 milj. </w:t>
      </w:r>
      <w:r w:rsidRPr="004B69C4">
        <w:rPr>
          <w:rFonts w:eastAsia="Times New Roman" w:cs="Times New Roman"/>
          <w:i/>
          <w:iCs/>
          <w:szCs w:val="20"/>
          <w:lang w:eastAsia="en-US"/>
        </w:rPr>
        <w:t>euro</w:t>
      </w:r>
      <w:r w:rsidRPr="004B69C4">
        <w:rPr>
          <w:rFonts w:eastAsia="Times New Roman" w:cs="Times New Roman"/>
          <w:szCs w:val="20"/>
          <w:lang w:eastAsia="en-US"/>
        </w:rPr>
        <w:t xml:space="preserve"> aizdevumiem valsts struktūrām;</w:t>
      </w:r>
    </w:p>
    <w:p w14:paraId="62AF085D" w14:textId="656D9AD1" w:rsidR="004B69C4" w:rsidRPr="004B69C4" w:rsidRDefault="004B69C4" w:rsidP="004B69C4">
      <w:pPr>
        <w:numPr>
          <w:ilvl w:val="0"/>
          <w:numId w:val="9"/>
        </w:numPr>
        <w:spacing w:after="0"/>
        <w:ind w:left="1134" w:hanging="295"/>
        <w:rPr>
          <w:rFonts w:eastAsia="Times New Roman" w:cs="Times New Roman"/>
          <w:szCs w:val="20"/>
          <w:lang w:eastAsia="en-US"/>
        </w:rPr>
      </w:pPr>
      <w:r w:rsidRPr="004B69C4">
        <w:rPr>
          <w:rFonts w:eastAsia="Times New Roman" w:cs="Times New Roman"/>
          <w:szCs w:val="20"/>
          <w:lang w:eastAsia="en-US"/>
        </w:rPr>
        <w:t xml:space="preserve">94,5 milj. </w:t>
      </w:r>
      <w:r w:rsidRPr="004B69C4">
        <w:rPr>
          <w:rFonts w:eastAsia="Times New Roman" w:cs="Times New Roman"/>
          <w:i/>
          <w:iCs/>
          <w:szCs w:val="20"/>
          <w:lang w:eastAsia="en-US"/>
        </w:rPr>
        <w:t>euro</w:t>
      </w:r>
      <w:r w:rsidRPr="004B69C4">
        <w:rPr>
          <w:rFonts w:eastAsia="Times New Roman" w:cs="Times New Roman"/>
          <w:szCs w:val="20"/>
          <w:lang w:eastAsia="en-US"/>
        </w:rPr>
        <w:t xml:space="preserve"> aizdevumiem pašvaldību struktūrām;</w:t>
      </w:r>
    </w:p>
    <w:p w14:paraId="6FE0D31D" w14:textId="48769D6C" w:rsidR="004B69C4" w:rsidRPr="004B69C4" w:rsidRDefault="004B69C4" w:rsidP="002B6D5A">
      <w:pPr>
        <w:numPr>
          <w:ilvl w:val="0"/>
          <w:numId w:val="9"/>
        </w:numPr>
        <w:ind w:left="1134" w:hanging="295"/>
        <w:rPr>
          <w:rFonts w:eastAsia="Times New Roman" w:cs="Times New Roman"/>
          <w:szCs w:val="20"/>
          <w:lang w:eastAsia="en-US"/>
        </w:rPr>
      </w:pPr>
      <w:r w:rsidRPr="004B69C4">
        <w:rPr>
          <w:rFonts w:eastAsia="Times New Roman" w:cs="Times New Roman"/>
          <w:szCs w:val="20"/>
          <w:lang w:eastAsia="en-US"/>
        </w:rPr>
        <w:t xml:space="preserve">2,6 milj. </w:t>
      </w:r>
      <w:r w:rsidRPr="004B69C4">
        <w:rPr>
          <w:rFonts w:eastAsia="Times New Roman" w:cs="Times New Roman"/>
          <w:i/>
          <w:iCs/>
          <w:szCs w:val="20"/>
          <w:lang w:eastAsia="en-US"/>
        </w:rPr>
        <w:t>euro</w:t>
      </w:r>
      <w:r w:rsidRPr="004B69C4">
        <w:rPr>
          <w:rFonts w:eastAsia="Times New Roman" w:cs="Times New Roman"/>
          <w:szCs w:val="20"/>
          <w:lang w:eastAsia="en-US"/>
        </w:rPr>
        <w:t xml:space="preserve"> aizdevumiem nefinanšu sabiedrībām.</w:t>
      </w:r>
    </w:p>
    <w:p w14:paraId="4E7BD70A" w14:textId="77777777" w:rsidR="00495F3A" w:rsidRPr="00495F3A" w:rsidRDefault="00495F3A" w:rsidP="00495F3A">
      <w:pPr>
        <w:rPr>
          <w:rFonts w:eastAsia="Times New Roman" w:cs="Times New Roman"/>
          <w:szCs w:val="20"/>
          <w:lang w:eastAsia="en-US"/>
        </w:rPr>
      </w:pPr>
      <w:r w:rsidRPr="00495F3A">
        <w:rPr>
          <w:rFonts w:eastAsia="Times New Roman" w:cs="Times New Roman"/>
          <w:szCs w:val="20"/>
          <w:lang w:eastAsia="en-US"/>
        </w:rPr>
        <w:t xml:space="preserve">Valsts pamatbudžeta aizdevumi (izsniegto aizdevumu un izsniegto aizdevumu saņemtās atmaksas starpība) 2026. gadā plānoti 334,4 milj. </w:t>
      </w:r>
      <w:r w:rsidRPr="00495F3A">
        <w:rPr>
          <w:rFonts w:eastAsia="Times New Roman" w:cs="Times New Roman"/>
          <w:i/>
          <w:iCs/>
          <w:szCs w:val="20"/>
          <w:lang w:eastAsia="en-US"/>
        </w:rPr>
        <w:t>euro</w:t>
      </w:r>
      <w:r w:rsidRPr="00495F3A">
        <w:rPr>
          <w:rFonts w:eastAsia="Times New Roman" w:cs="Times New Roman"/>
          <w:szCs w:val="20"/>
          <w:lang w:eastAsia="en-US"/>
        </w:rPr>
        <w:t xml:space="preserve"> apmērā. </w:t>
      </w:r>
    </w:p>
    <w:p w14:paraId="7FF569E7" w14:textId="77777777" w:rsidR="00495F3A" w:rsidRPr="00495F3A" w:rsidRDefault="00495F3A" w:rsidP="00495F3A">
      <w:pPr>
        <w:rPr>
          <w:rFonts w:eastAsia="Times New Roman" w:cs="Times New Roman"/>
          <w:szCs w:val="20"/>
          <w:lang w:eastAsia="en-US"/>
        </w:rPr>
      </w:pPr>
      <w:r w:rsidRPr="00495F3A">
        <w:rPr>
          <w:rFonts w:eastAsia="Times New Roman" w:cs="Times New Roman"/>
          <w:szCs w:val="20"/>
          <w:lang w:eastAsia="en-US"/>
        </w:rPr>
        <w:t xml:space="preserve">Valsts budžeta izsniegtie aizdevumi plānoti 527,4 milj. </w:t>
      </w:r>
      <w:r w:rsidRPr="00495F3A">
        <w:rPr>
          <w:rFonts w:eastAsia="Times New Roman" w:cs="Times New Roman"/>
          <w:i/>
          <w:iCs/>
          <w:szCs w:val="20"/>
          <w:lang w:eastAsia="en-US"/>
        </w:rPr>
        <w:t>euro</w:t>
      </w:r>
      <w:r w:rsidRPr="00495F3A">
        <w:rPr>
          <w:rFonts w:eastAsia="Times New Roman" w:cs="Times New Roman"/>
          <w:szCs w:val="20"/>
          <w:lang w:eastAsia="en-US"/>
        </w:rPr>
        <w:t xml:space="preserve"> apjomā, tajā skaitā:</w:t>
      </w:r>
    </w:p>
    <w:p w14:paraId="125E4B6D" w14:textId="77777777" w:rsidR="00495F3A" w:rsidRDefault="00495F3A" w:rsidP="00495F3A">
      <w:pPr>
        <w:pStyle w:val="ListParagraph"/>
        <w:numPr>
          <w:ilvl w:val="0"/>
          <w:numId w:val="40"/>
        </w:numPr>
        <w:rPr>
          <w:rFonts w:eastAsia="Times New Roman" w:cs="Times New Roman"/>
          <w:szCs w:val="20"/>
          <w:lang w:eastAsia="en-US"/>
        </w:rPr>
      </w:pPr>
      <w:r w:rsidRPr="00495F3A">
        <w:rPr>
          <w:rFonts w:eastAsia="Times New Roman" w:cs="Times New Roman"/>
          <w:szCs w:val="20"/>
          <w:lang w:eastAsia="en-US"/>
        </w:rPr>
        <w:t xml:space="preserve">109,8 milj. </w:t>
      </w:r>
      <w:r w:rsidRPr="00495F3A">
        <w:rPr>
          <w:rFonts w:eastAsia="Times New Roman" w:cs="Times New Roman"/>
          <w:i/>
          <w:iCs/>
          <w:szCs w:val="20"/>
          <w:lang w:eastAsia="en-US"/>
        </w:rPr>
        <w:t>euro</w:t>
      </w:r>
      <w:r w:rsidRPr="00495F3A">
        <w:rPr>
          <w:rFonts w:eastAsia="Times New Roman" w:cs="Times New Roman"/>
          <w:szCs w:val="20"/>
          <w:lang w:eastAsia="en-US"/>
        </w:rPr>
        <w:t xml:space="preserve"> aizdevumiem valsts struktūrām;</w:t>
      </w:r>
    </w:p>
    <w:p w14:paraId="7E82A5DB" w14:textId="77777777" w:rsidR="00495F3A" w:rsidRDefault="00495F3A" w:rsidP="00495F3A">
      <w:pPr>
        <w:pStyle w:val="ListParagraph"/>
        <w:numPr>
          <w:ilvl w:val="0"/>
          <w:numId w:val="40"/>
        </w:numPr>
        <w:rPr>
          <w:rFonts w:eastAsia="Times New Roman" w:cs="Times New Roman"/>
          <w:szCs w:val="20"/>
          <w:lang w:eastAsia="en-US"/>
        </w:rPr>
      </w:pPr>
      <w:r w:rsidRPr="00495F3A">
        <w:rPr>
          <w:rFonts w:eastAsia="Times New Roman" w:cs="Times New Roman"/>
          <w:szCs w:val="20"/>
          <w:lang w:eastAsia="en-US"/>
        </w:rPr>
        <w:t xml:space="preserve">345,0 milj. </w:t>
      </w:r>
      <w:r w:rsidRPr="00495F3A">
        <w:rPr>
          <w:rFonts w:eastAsia="Times New Roman" w:cs="Times New Roman"/>
          <w:i/>
          <w:iCs/>
          <w:szCs w:val="20"/>
          <w:lang w:eastAsia="en-US"/>
        </w:rPr>
        <w:t>euro</w:t>
      </w:r>
      <w:r w:rsidRPr="00495F3A">
        <w:rPr>
          <w:rFonts w:eastAsia="Times New Roman" w:cs="Times New Roman"/>
          <w:szCs w:val="20"/>
          <w:lang w:eastAsia="en-US"/>
        </w:rPr>
        <w:t xml:space="preserve"> aizdevumiem pašvaldību struktūrām;</w:t>
      </w:r>
    </w:p>
    <w:p w14:paraId="3BD5EEE0" w14:textId="6568BF60" w:rsidR="00495F3A" w:rsidRPr="00495F3A" w:rsidRDefault="00495F3A" w:rsidP="00495F3A">
      <w:pPr>
        <w:pStyle w:val="ListParagraph"/>
        <w:numPr>
          <w:ilvl w:val="0"/>
          <w:numId w:val="40"/>
        </w:numPr>
        <w:rPr>
          <w:rFonts w:eastAsia="Times New Roman" w:cs="Times New Roman"/>
          <w:szCs w:val="20"/>
          <w:lang w:eastAsia="en-US"/>
        </w:rPr>
      </w:pPr>
      <w:r w:rsidRPr="00495F3A">
        <w:rPr>
          <w:rFonts w:eastAsia="Times New Roman" w:cs="Times New Roman"/>
          <w:szCs w:val="20"/>
          <w:lang w:eastAsia="en-US"/>
        </w:rPr>
        <w:t xml:space="preserve">72,6 milj. </w:t>
      </w:r>
      <w:r w:rsidRPr="00495F3A">
        <w:rPr>
          <w:rFonts w:eastAsia="Times New Roman" w:cs="Times New Roman"/>
          <w:i/>
          <w:iCs/>
          <w:szCs w:val="20"/>
          <w:lang w:eastAsia="en-US"/>
        </w:rPr>
        <w:t>euro</w:t>
      </w:r>
      <w:r w:rsidRPr="00495F3A">
        <w:rPr>
          <w:rFonts w:eastAsia="Times New Roman" w:cs="Times New Roman"/>
          <w:szCs w:val="20"/>
          <w:lang w:eastAsia="en-US"/>
        </w:rPr>
        <w:t xml:space="preserve"> aizdevumiem nefinanšu sabiedrībām.</w:t>
      </w:r>
    </w:p>
    <w:p w14:paraId="1F0FFEFE" w14:textId="13ABAB43" w:rsidR="004B69C4" w:rsidRPr="004B69C4" w:rsidRDefault="004B69C4" w:rsidP="002B6D5A">
      <w:pPr>
        <w:rPr>
          <w:rFonts w:eastAsia="Times New Roman" w:cs="Times New Roman"/>
          <w:szCs w:val="20"/>
          <w:lang w:eastAsia="en-US"/>
        </w:rPr>
      </w:pPr>
      <w:r w:rsidRPr="004B69C4">
        <w:rPr>
          <w:rFonts w:eastAsia="Times New Roman" w:cs="Times New Roman"/>
          <w:szCs w:val="20"/>
          <w:lang w:eastAsia="en-US"/>
        </w:rPr>
        <w:lastRenderedPageBreak/>
        <w:t>Saskaņā ar iepriekšējos gados noslēgtajos aizdevuma līgumos iekļautajiem aizdevumu atmaksas grafikiem 2026. gadā valsts aizdevumu atmaksas plānotas 19</w:t>
      </w:r>
      <w:r w:rsidR="00495F3A">
        <w:rPr>
          <w:rFonts w:eastAsia="Times New Roman" w:cs="Times New Roman"/>
          <w:szCs w:val="20"/>
          <w:lang w:eastAsia="en-US"/>
        </w:rPr>
        <w:t>3</w:t>
      </w:r>
      <w:r w:rsidRPr="004B69C4">
        <w:rPr>
          <w:rFonts w:eastAsia="Times New Roman" w:cs="Times New Roman"/>
          <w:szCs w:val="20"/>
          <w:lang w:eastAsia="en-US"/>
        </w:rPr>
        <w:t>,</w:t>
      </w:r>
      <w:r w:rsidR="00495F3A">
        <w:rPr>
          <w:rFonts w:eastAsia="Times New Roman" w:cs="Times New Roman"/>
          <w:szCs w:val="20"/>
          <w:lang w:eastAsia="en-US"/>
        </w:rPr>
        <w:t>0</w:t>
      </w:r>
      <w:r w:rsidRPr="004B69C4">
        <w:rPr>
          <w:rFonts w:eastAsia="Times New Roman" w:cs="Times New Roman"/>
          <w:szCs w:val="20"/>
          <w:lang w:eastAsia="en-US"/>
        </w:rPr>
        <w:t xml:space="preserve"> milj. </w:t>
      </w:r>
      <w:r w:rsidRPr="004B69C4">
        <w:rPr>
          <w:rFonts w:eastAsia="Times New Roman" w:cs="Times New Roman"/>
          <w:i/>
          <w:iCs/>
          <w:szCs w:val="20"/>
          <w:lang w:eastAsia="en-US"/>
        </w:rPr>
        <w:t>euro</w:t>
      </w:r>
      <w:r w:rsidRPr="004B69C4">
        <w:rPr>
          <w:rFonts w:eastAsia="Times New Roman" w:cs="Times New Roman"/>
          <w:b/>
          <w:bCs/>
          <w:szCs w:val="20"/>
          <w:lang w:eastAsia="en-US"/>
        </w:rPr>
        <w:t xml:space="preserve"> </w:t>
      </w:r>
      <w:r w:rsidRPr="004B69C4">
        <w:rPr>
          <w:rFonts w:eastAsia="Times New Roman" w:cs="Times New Roman"/>
          <w:szCs w:val="20"/>
          <w:lang w:eastAsia="en-US"/>
        </w:rPr>
        <w:t>apmērā, tajā skaitā:</w:t>
      </w:r>
    </w:p>
    <w:p w14:paraId="43B608B3" w14:textId="01C2601A" w:rsidR="004B69C4" w:rsidRPr="004B69C4" w:rsidRDefault="004B69C4" w:rsidP="004B69C4">
      <w:pPr>
        <w:numPr>
          <w:ilvl w:val="0"/>
          <w:numId w:val="10"/>
        </w:numPr>
        <w:spacing w:after="0"/>
        <w:ind w:left="1134" w:hanging="283"/>
        <w:rPr>
          <w:rFonts w:eastAsia="Times New Roman" w:cs="Times New Roman"/>
          <w:szCs w:val="20"/>
          <w:lang w:eastAsia="en-US"/>
        </w:rPr>
      </w:pPr>
      <w:r w:rsidRPr="004B69C4">
        <w:rPr>
          <w:rFonts w:eastAsia="Times New Roman" w:cs="Times New Roman"/>
          <w:szCs w:val="20"/>
          <w:lang w:eastAsia="en-US"/>
        </w:rPr>
        <w:t>28,</w:t>
      </w:r>
      <w:r w:rsidR="00495F3A">
        <w:rPr>
          <w:rFonts w:eastAsia="Times New Roman" w:cs="Times New Roman"/>
          <w:szCs w:val="20"/>
          <w:lang w:eastAsia="en-US"/>
        </w:rPr>
        <w:t>8</w:t>
      </w:r>
      <w:r w:rsidRPr="004B69C4">
        <w:rPr>
          <w:rFonts w:eastAsia="Times New Roman" w:cs="Times New Roman"/>
          <w:szCs w:val="20"/>
          <w:lang w:eastAsia="en-US"/>
        </w:rPr>
        <w:t xml:space="preserve"> milj. </w:t>
      </w:r>
      <w:r w:rsidRPr="004B69C4">
        <w:rPr>
          <w:rFonts w:eastAsia="Times New Roman" w:cs="Times New Roman"/>
          <w:i/>
          <w:iCs/>
          <w:szCs w:val="20"/>
          <w:lang w:eastAsia="en-US"/>
        </w:rPr>
        <w:t>euro</w:t>
      </w:r>
      <w:r w:rsidRPr="004B69C4">
        <w:rPr>
          <w:rFonts w:eastAsia="Times New Roman" w:cs="Times New Roman"/>
          <w:szCs w:val="20"/>
          <w:lang w:eastAsia="en-US"/>
        </w:rPr>
        <w:t xml:space="preserve"> no valsts struktūrām;</w:t>
      </w:r>
    </w:p>
    <w:p w14:paraId="39789E3C" w14:textId="7653118B" w:rsidR="004B69C4" w:rsidRPr="004B69C4" w:rsidRDefault="004B69C4" w:rsidP="004B69C4">
      <w:pPr>
        <w:numPr>
          <w:ilvl w:val="0"/>
          <w:numId w:val="10"/>
        </w:numPr>
        <w:spacing w:after="0"/>
        <w:ind w:left="1134" w:hanging="283"/>
        <w:rPr>
          <w:rFonts w:eastAsia="Times New Roman" w:cs="Times New Roman"/>
          <w:szCs w:val="20"/>
          <w:lang w:eastAsia="en-US"/>
        </w:rPr>
      </w:pPr>
      <w:r w:rsidRPr="004B69C4">
        <w:rPr>
          <w:rFonts w:eastAsia="Times New Roman" w:cs="Times New Roman"/>
          <w:szCs w:val="20"/>
          <w:lang w:eastAsia="en-US"/>
        </w:rPr>
        <w:t xml:space="preserve">153,4 milj. </w:t>
      </w:r>
      <w:r w:rsidRPr="004B69C4">
        <w:rPr>
          <w:rFonts w:eastAsia="Times New Roman" w:cs="Times New Roman"/>
          <w:i/>
          <w:iCs/>
          <w:szCs w:val="20"/>
          <w:lang w:eastAsia="en-US"/>
        </w:rPr>
        <w:t>euro</w:t>
      </w:r>
      <w:r w:rsidRPr="004B69C4">
        <w:rPr>
          <w:rFonts w:eastAsia="Times New Roman" w:cs="Times New Roman"/>
          <w:szCs w:val="20"/>
          <w:lang w:eastAsia="en-US"/>
        </w:rPr>
        <w:t xml:space="preserve"> no pašvaldību struktūrām;</w:t>
      </w:r>
    </w:p>
    <w:p w14:paraId="635B2A27" w14:textId="44F07755" w:rsidR="004B69C4" w:rsidRPr="004B69C4" w:rsidRDefault="004B69C4" w:rsidP="004B69C4">
      <w:pPr>
        <w:numPr>
          <w:ilvl w:val="0"/>
          <w:numId w:val="10"/>
        </w:numPr>
        <w:spacing w:after="0"/>
        <w:ind w:left="1134" w:hanging="283"/>
        <w:rPr>
          <w:rFonts w:eastAsia="Times New Roman" w:cs="Times New Roman"/>
          <w:szCs w:val="20"/>
          <w:lang w:eastAsia="en-US"/>
        </w:rPr>
      </w:pPr>
      <w:r w:rsidRPr="004B69C4">
        <w:rPr>
          <w:rFonts w:eastAsia="Times New Roman" w:cs="Times New Roman"/>
          <w:szCs w:val="20"/>
          <w:lang w:eastAsia="en-US"/>
        </w:rPr>
        <w:t xml:space="preserve">10,8 milj. </w:t>
      </w:r>
      <w:r w:rsidRPr="004B69C4">
        <w:rPr>
          <w:rFonts w:eastAsia="Times New Roman" w:cs="Times New Roman"/>
          <w:i/>
          <w:iCs/>
          <w:szCs w:val="20"/>
          <w:lang w:eastAsia="en-US"/>
        </w:rPr>
        <w:t>euro</w:t>
      </w:r>
      <w:r w:rsidRPr="004B69C4">
        <w:rPr>
          <w:rFonts w:eastAsia="Times New Roman" w:cs="Times New Roman"/>
          <w:szCs w:val="20"/>
          <w:lang w:eastAsia="en-US"/>
        </w:rPr>
        <w:t xml:space="preserve"> no nefinanšu sabiedrībām</w:t>
      </w:r>
      <w:r w:rsidRPr="004B69C4">
        <w:rPr>
          <w:rFonts w:eastAsia="Times New Roman" w:cs="Times New Roman"/>
          <w:i/>
          <w:iCs/>
          <w:szCs w:val="20"/>
          <w:lang w:eastAsia="en-US"/>
        </w:rPr>
        <w:t>.</w:t>
      </w:r>
    </w:p>
    <w:p w14:paraId="3B6D0983" w14:textId="77777777" w:rsidR="004B69C4" w:rsidRPr="004B69C4" w:rsidRDefault="004B69C4" w:rsidP="004B69C4">
      <w:pPr>
        <w:keepNext/>
        <w:keepLines/>
        <w:spacing w:before="240" w:after="240"/>
        <w:ind w:firstLine="0"/>
        <w:jc w:val="center"/>
        <w:outlineLvl w:val="1"/>
        <w:rPr>
          <w:rFonts w:eastAsia="MS Gothic" w:cs="Times New Roman"/>
          <w:b/>
          <w:sz w:val="36"/>
          <w:szCs w:val="36"/>
          <w:lang w:eastAsia="en-US"/>
        </w:rPr>
      </w:pPr>
      <w:r w:rsidRPr="004B69C4">
        <w:rPr>
          <w:rFonts w:eastAsia="MS Gothic" w:cs="Times New Roman"/>
          <w:b/>
          <w:sz w:val="36"/>
          <w:szCs w:val="36"/>
          <w:lang w:eastAsia="en-US"/>
        </w:rPr>
        <w:t>4.3. Valsts galvojumu saistības</w:t>
      </w:r>
    </w:p>
    <w:p w14:paraId="6112BD48" w14:textId="2C346EFA" w:rsidR="004B69C4" w:rsidRPr="004B69C4" w:rsidRDefault="004B69C4" w:rsidP="004B69C4">
      <w:pPr>
        <w:rPr>
          <w:rFonts w:eastAsia="Times New Roman" w:cs="Times New Roman"/>
          <w:b/>
          <w:bCs/>
          <w:i/>
          <w:iCs/>
          <w:sz w:val="18"/>
          <w:szCs w:val="18"/>
        </w:rPr>
      </w:pPr>
      <w:r w:rsidRPr="004B69C4">
        <w:rPr>
          <w:rFonts w:eastAsia="Times New Roman" w:cs="Times New Roman"/>
          <w:szCs w:val="20"/>
          <w:lang w:eastAsia="en-US"/>
        </w:rPr>
        <w:t xml:space="preserve">Kopējais valsts galvoto aizdevumu atlikums 2025. gada 31. augustā veidoja </w:t>
      </w:r>
      <w:r w:rsidRPr="004B69C4">
        <w:rPr>
          <w:rFonts w:eastAsia="Times New Roman" w:cs="Times New Roman"/>
          <w:szCs w:val="20"/>
        </w:rPr>
        <w:t xml:space="preserve">347,5 milj. </w:t>
      </w:r>
      <w:r w:rsidRPr="004B69C4">
        <w:rPr>
          <w:rFonts w:eastAsia="Times New Roman" w:cs="Times New Roman"/>
          <w:i/>
          <w:iCs/>
          <w:szCs w:val="20"/>
        </w:rPr>
        <w:t>euro</w:t>
      </w:r>
      <w:r w:rsidRPr="004B69C4">
        <w:rPr>
          <w:rFonts w:eastAsia="Times New Roman" w:cs="Times New Roman"/>
          <w:b/>
          <w:bCs/>
          <w:i/>
          <w:iCs/>
          <w:sz w:val="18"/>
          <w:szCs w:val="18"/>
        </w:rPr>
        <w:t xml:space="preserve"> </w:t>
      </w:r>
      <w:r w:rsidRPr="004B69C4">
        <w:rPr>
          <w:rFonts w:eastAsia="Times New Roman" w:cs="Times New Roman"/>
          <w:szCs w:val="20"/>
          <w:lang w:eastAsia="en-US"/>
        </w:rPr>
        <w:t xml:space="preserve">(t.sk. saistības, par kurām valsts galvojums sniegts portfeļgarantijas veidā un par Eiropas pagaidu atbalsta instrumentu bezdarba riska mazināšanai ārkārtas situācijā (SURE) pēc Covid-19 uzliesmojuma un </w:t>
      </w:r>
      <w:r w:rsidRPr="004B69C4">
        <w:rPr>
          <w:rFonts w:eastAsia="Calibri" w:cs="Times New Roman"/>
          <w:szCs w:val="20"/>
          <w:lang w:eastAsia="en-US"/>
        </w:rPr>
        <w:t xml:space="preserve">Latvijas Republikas galvojums Starptautiskās rekonstrukcijas un attīstības bankai un </w:t>
      </w:r>
      <w:r w:rsidR="002B6D5A">
        <w:rPr>
          <w:rFonts w:eastAsia="Calibri" w:cs="Times New Roman"/>
          <w:szCs w:val="20"/>
          <w:lang w:eastAsia="en-US"/>
        </w:rPr>
        <w:t>EK</w:t>
      </w:r>
      <w:r w:rsidRPr="004B69C4">
        <w:rPr>
          <w:rFonts w:eastAsia="Calibri" w:cs="Times New Roman"/>
          <w:szCs w:val="20"/>
          <w:lang w:eastAsia="en-US"/>
        </w:rPr>
        <w:t xml:space="preserve"> atbalstam Ukrainai</w:t>
      </w:r>
      <w:r w:rsidRPr="004B69C4">
        <w:rPr>
          <w:rFonts w:eastAsia="Times New Roman" w:cs="Times New Roman"/>
          <w:szCs w:val="20"/>
          <w:lang w:eastAsia="en-US"/>
        </w:rPr>
        <w:t xml:space="preserve">). </w:t>
      </w:r>
    </w:p>
    <w:p w14:paraId="062379D6" w14:textId="6ABCD84B" w:rsidR="004B69C4" w:rsidRPr="004B69C4" w:rsidRDefault="004B69C4" w:rsidP="004B69C4">
      <w:pPr>
        <w:textAlignment w:val="baseline"/>
        <w:rPr>
          <w:rFonts w:eastAsia="Calibri" w:cs="Times New Roman"/>
          <w:szCs w:val="24"/>
        </w:rPr>
      </w:pPr>
      <w:r w:rsidRPr="004B69C4">
        <w:rPr>
          <w:rFonts w:eastAsia="Times New Roman" w:cs="Times New Roman"/>
          <w:szCs w:val="24"/>
        </w:rPr>
        <w:t>4.5. attēlā apkopota informācija par valsts galvoto aizdevumu maksājumiem (pamatsummu un procentu maksājumu kopsumma) vidējā termiņā.</w:t>
      </w:r>
    </w:p>
    <w:p w14:paraId="6A6C5501" w14:textId="77777777" w:rsidR="004B69C4" w:rsidRPr="004B69C4" w:rsidRDefault="004B69C4" w:rsidP="004B69C4">
      <w:pPr>
        <w:ind w:firstLine="0"/>
        <w:jc w:val="center"/>
        <w:rPr>
          <w:rFonts w:eastAsia="Times New Roman" w:cs="Times New Roman"/>
          <w:b/>
          <w:bCs/>
          <w:i/>
          <w:iCs/>
          <w:szCs w:val="20"/>
          <w:lang w:eastAsia="en-US"/>
        </w:rPr>
      </w:pPr>
      <w:r w:rsidRPr="004B69C4">
        <w:rPr>
          <w:rFonts w:eastAsia="Times New Roman" w:cs="Times New Roman"/>
          <w:b/>
          <w:bCs/>
          <w:i/>
          <w:iCs/>
          <w:noProof/>
          <w:szCs w:val="20"/>
          <w:lang w:eastAsia="en-US"/>
        </w:rPr>
        <w:drawing>
          <wp:inline distT="0" distB="0" distL="0" distR="0" wp14:anchorId="0632E619" wp14:editId="222CD252">
            <wp:extent cx="3651812" cy="2079996"/>
            <wp:effectExtent l="0" t="0" r="0" b="0"/>
            <wp:docPr id="481043704" name="Picture 481043704" descr="A graph of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043704" name="Picture 481043704" descr="A graph of a number of people&#10;&#10;AI-generated content may be incorrec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57052" cy="2082981"/>
                    </a:xfrm>
                    <a:prstGeom prst="rect">
                      <a:avLst/>
                    </a:prstGeom>
                    <a:noFill/>
                  </pic:spPr>
                </pic:pic>
              </a:graphicData>
            </a:graphic>
          </wp:inline>
        </w:drawing>
      </w:r>
    </w:p>
    <w:p w14:paraId="4510FE05" w14:textId="21523B62" w:rsidR="004B69C4" w:rsidRPr="004B69C4" w:rsidRDefault="004B69C4" w:rsidP="004B69C4">
      <w:pPr>
        <w:ind w:firstLine="0"/>
        <w:jc w:val="center"/>
        <w:rPr>
          <w:rFonts w:eastAsia="Times New Roman" w:cs="Times New Roman"/>
          <w:b/>
          <w:bCs/>
          <w:i/>
          <w:iCs/>
          <w:szCs w:val="20"/>
          <w:lang w:eastAsia="en-US"/>
        </w:rPr>
      </w:pPr>
      <w:r w:rsidRPr="004B69C4">
        <w:rPr>
          <w:rFonts w:eastAsia="Times New Roman" w:cs="Times New Roman"/>
          <w:b/>
          <w:bCs/>
          <w:i/>
          <w:iCs/>
          <w:szCs w:val="20"/>
          <w:lang w:eastAsia="en-US"/>
        </w:rPr>
        <w:t xml:space="preserve">4.5. att. Valsts galvoto aizdevumu plānotās atmaksas </w:t>
      </w:r>
      <w:r w:rsidRPr="004B69C4">
        <w:rPr>
          <w:rFonts w:eastAsia="Times New Roman" w:cs="Times New Roman"/>
          <w:i/>
          <w:iCs/>
          <w:szCs w:val="20"/>
          <w:lang w:eastAsia="en-US"/>
        </w:rPr>
        <w:t>(pamatsummu un procentu maksājumu kopsumma)</w:t>
      </w:r>
      <w:r w:rsidRPr="004B69C4">
        <w:rPr>
          <w:rFonts w:eastAsia="Times New Roman" w:cs="Times New Roman"/>
          <w:b/>
          <w:bCs/>
          <w:i/>
          <w:iCs/>
          <w:szCs w:val="20"/>
          <w:lang w:eastAsia="en-US"/>
        </w:rPr>
        <w:t xml:space="preserve"> 2026. – 2028. gadā, milj. euro*</w:t>
      </w:r>
    </w:p>
    <w:p w14:paraId="52BFAC80" w14:textId="2C8D48D7" w:rsidR="004B69C4" w:rsidRPr="004B69C4" w:rsidRDefault="004B69C4" w:rsidP="004B69C4">
      <w:pPr>
        <w:spacing w:after="240"/>
        <w:ind w:firstLine="0"/>
        <w:rPr>
          <w:rFonts w:eastAsia="Times New Roman" w:cs="Times New Roman"/>
          <w:i/>
          <w:sz w:val="18"/>
          <w:szCs w:val="18"/>
          <w:lang w:eastAsia="en-US"/>
        </w:rPr>
      </w:pPr>
      <w:r w:rsidRPr="004B69C4">
        <w:rPr>
          <w:rFonts w:eastAsia="Times New Roman" w:cs="Times New Roman"/>
          <w:i/>
          <w:sz w:val="18"/>
          <w:szCs w:val="18"/>
          <w:lang w:eastAsia="en-US"/>
        </w:rPr>
        <w:t>* izņemot saistības, par kurām valsts galvojums sniegts portfeļgarantijas veidā un par Eiropas pagaidu atbalsta instrumentu bezdarba riska mazināšanai ārkārtas situācijā (SURE) pēc Covid-19 uzliesmojuma</w:t>
      </w:r>
    </w:p>
    <w:p w14:paraId="1E4989A9" w14:textId="4C4722B7" w:rsidR="004B69C4" w:rsidRPr="004B69C4" w:rsidRDefault="004B69C4" w:rsidP="004B69C4">
      <w:pPr>
        <w:rPr>
          <w:rFonts w:eastAsia="Times New Roman" w:cs="Times New Roman"/>
          <w:szCs w:val="20"/>
          <w:lang w:eastAsia="en-US"/>
        </w:rPr>
      </w:pPr>
      <w:r w:rsidRPr="004B69C4">
        <w:rPr>
          <w:rFonts w:eastAsia="Times New Roman" w:cs="Times New Roman"/>
          <w:szCs w:val="20"/>
          <w:lang w:eastAsia="en-US"/>
        </w:rPr>
        <w:t xml:space="preserve">Izvērtējot pieejamo informāciju par aizņēmēju kredītvēsturi, secināts, ka valdības rīcības pieļaujamās robežas, lai segtu izdevumus, kas var rasties, pildot uz valsts budžetu attiecināmās valsts galvotā parāda saistības 2026. gadā, novērtētas 691 140 </w:t>
      </w:r>
      <w:r w:rsidRPr="004B69C4">
        <w:rPr>
          <w:rFonts w:eastAsia="Times New Roman" w:cs="Times New Roman"/>
          <w:i/>
          <w:iCs/>
          <w:szCs w:val="20"/>
          <w:lang w:eastAsia="en-US"/>
        </w:rPr>
        <w:t>euro</w:t>
      </w:r>
      <w:r w:rsidRPr="004B69C4">
        <w:rPr>
          <w:rFonts w:eastAsia="Times New Roman" w:cs="Times New Roman"/>
          <w:szCs w:val="20"/>
          <w:lang w:eastAsia="en-US"/>
        </w:rPr>
        <w:t xml:space="preserve"> apmērā.</w:t>
      </w:r>
    </w:p>
    <w:p w14:paraId="59B7C887" w14:textId="291C7B1A" w:rsidR="005B0C3F" w:rsidRPr="00D8017D" w:rsidRDefault="00863814" w:rsidP="008349F0">
      <w:pPr>
        <w:pStyle w:val="Heading2"/>
        <w:rPr>
          <w:rFonts w:eastAsia="Times New Roman"/>
        </w:rPr>
      </w:pPr>
      <w:r w:rsidRPr="00D8017D">
        <w:rPr>
          <w:rFonts w:eastAsia="Times New Roman"/>
        </w:rPr>
        <w:t xml:space="preserve">4.4. </w:t>
      </w:r>
      <w:r w:rsidR="00FB33CF" w:rsidRPr="00D8017D">
        <w:rPr>
          <w:rFonts w:eastAsia="Times New Roman"/>
        </w:rPr>
        <w:t>Valsts saistības kredītu garantijām, ko izsniedz akciju sabiedrība “Attīstības finanšu institūcija “Altum””</w:t>
      </w:r>
      <w:bookmarkEnd w:id="140"/>
    </w:p>
    <w:p w14:paraId="50B2285B" w14:textId="77777777" w:rsidR="00D63B9F" w:rsidRPr="00D8017D" w:rsidRDefault="00D63B9F" w:rsidP="00D63B9F">
      <w:pPr>
        <w:rPr>
          <w:rFonts w:eastAsia="Times New Roman" w:cs="Times New Roman"/>
          <w:szCs w:val="24"/>
          <w:lang w:eastAsia="en-US"/>
        </w:rPr>
      </w:pPr>
      <w:bookmarkStart w:id="141" w:name="_Hlk142579208"/>
      <w:r w:rsidRPr="00D8017D">
        <w:rPr>
          <w:rFonts w:eastAsia="Times New Roman" w:cs="Times New Roman"/>
          <w:szCs w:val="24"/>
          <w:lang w:eastAsia="en-US"/>
        </w:rPr>
        <w:t>2026. gadā plānots īstenot šādas EM un ZM pārraudzībā esošas valsts atbalsta programmas garantijas veidā, kuras tiek iekļautas valsts saistību limitā:</w:t>
      </w:r>
    </w:p>
    <w:bookmarkEnd w:id="141"/>
    <w:p w14:paraId="5DC3075E" w14:textId="78C84577" w:rsidR="00D63B9F" w:rsidRPr="00D8017D" w:rsidRDefault="00D63B9F" w:rsidP="003160BE">
      <w:pPr>
        <w:numPr>
          <w:ilvl w:val="0"/>
          <w:numId w:val="17"/>
        </w:numPr>
        <w:spacing w:before="120" w:after="0"/>
        <w:ind w:left="284" w:hanging="284"/>
        <w:rPr>
          <w:rFonts w:eastAsia="Times New Roman" w:cs="Times New Roman"/>
          <w:color w:val="FF0000"/>
          <w:szCs w:val="24"/>
          <w:lang w:eastAsia="en-US"/>
        </w:rPr>
      </w:pPr>
      <w:r w:rsidRPr="00D8017D">
        <w:rPr>
          <w:rFonts w:eastAsia="Aptos" w:cs="Times New Roman"/>
          <w:b/>
          <w:bCs/>
          <w:szCs w:val="24"/>
          <w:lang w:eastAsia="en-US"/>
        </w:rPr>
        <w:t>Garantijas daudzdzīvokļu dzīvojamo māju energoefektivitātes paaugstināšanas pasākumu īstenošanai</w:t>
      </w:r>
      <w:r w:rsidRPr="00D8017D">
        <w:rPr>
          <w:rFonts w:eastAsia="Aptos" w:cs="Times New Roman"/>
          <w:szCs w:val="24"/>
          <w:lang w:eastAsia="en-US"/>
        </w:rPr>
        <w:t xml:space="preserve"> MK 2016. gada 15. marta noteikumu Nr.160 “Darbības programmas </w:t>
      </w:r>
      <w:r w:rsidR="005725B2">
        <w:rPr>
          <w:rFonts w:eastAsia="Aptos" w:cs="Times New Roman"/>
          <w:szCs w:val="24"/>
          <w:lang w:eastAsia="en-US"/>
        </w:rPr>
        <w:t>“</w:t>
      </w:r>
      <w:r w:rsidRPr="00D8017D">
        <w:rPr>
          <w:rFonts w:eastAsia="Aptos" w:cs="Times New Roman"/>
          <w:szCs w:val="24"/>
          <w:lang w:eastAsia="en-US"/>
        </w:rPr>
        <w:t>Izaugsme un nodarbinātība</w:t>
      </w:r>
      <w:r w:rsidR="005725B2">
        <w:rPr>
          <w:rFonts w:eastAsia="Aptos" w:cs="Times New Roman"/>
          <w:szCs w:val="24"/>
          <w:lang w:eastAsia="en-US"/>
        </w:rPr>
        <w:t>”</w:t>
      </w:r>
      <w:r w:rsidRPr="00D8017D">
        <w:rPr>
          <w:rFonts w:eastAsia="Aptos" w:cs="Times New Roman"/>
          <w:szCs w:val="24"/>
          <w:lang w:eastAsia="en-US"/>
        </w:rPr>
        <w:t xml:space="preserve"> 4.2.1. specifiskā atbalsta mērķa </w:t>
      </w:r>
      <w:r w:rsidR="005725B2">
        <w:rPr>
          <w:rFonts w:eastAsia="Aptos" w:cs="Times New Roman"/>
          <w:szCs w:val="24"/>
          <w:lang w:eastAsia="en-US"/>
        </w:rPr>
        <w:t>“</w:t>
      </w:r>
      <w:r w:rsidRPr="00D8017D">
        <w:rPr>
          <w:rFonts w:eastAsia="Aptos" w:cs="Times New Roman"/>
          <w:szCs w:val="24"/>
          <w:lang w:eastAsia="en-US"/>
        </w:rPr>
        <w:t>Veicināt energoefektivitātes paaugstināšanu valsts un dzīvojamās ēkās</w:t>
      </w:r>
      <w:r w:rsidR="005725B2">
        <w:rPr>
          <w:rFonts w:eastAsia="Aptos" w:cs="Times New Roman"/>
          <w:szCs w:val="24"/>
          <w:lang w:eastAsia="en-US"/>
        </w:rPr>
        <w:t>”</w:t>
      </w:r>
      <w:r w:rsidRPr="00D8017D">
        <w:rPr>
          <w:rFonts w:eastAsia="Aptos" w:cs="Times New Roman"/>
          <w:szCs w:val="24"/>
          <w:lang w:eastAsia="en-US"/>
        </w:rPr>
        <w:t xml:space="preserve"> 4.2.1.1. specifiskā atbalsta mērķa pasākuma </w:t>
      </w:r>
      <w:r w:rsidR="005725B2">
        <w:rPr>
          <w:rFonts w:eastAsia="Aptos" w:cs="Times New Roman"/>
          <w:szCs w:val="24"/>
          <w:lang w:eastAsia="en-US"/>
        </w:rPr>
        <w:t>“</w:t>
      </w:r>
      <w:r w:rsidRPr="00D8017D">
        <w:rPr>
          <w:rFonts w:eastAsia="Aptos" w:cs="Times New Roman"/>
          <w:szCs w:val="24"/>
          <w:lang w:eastAsia="en-US"/>
        </w:rPr>
        <w:t>Veicināt energoefektivitātes paaugstināšanu dzīvojamās ēkās</w:t>
      </w:r>
      <w:r w:rsidR="005725B2">
        <w:rPr>
          <w:rFonts w:eastAsia="Aptos" w:cs="Times New Roman"/>
          <w:szCs w:val="24"/>
          <w:lang w:eastAsia="en-US"/>
        </w:rPr>
        <w:t>”</w:t>
      </w:r>
      <w:r w:rsidRPr="00D8017D">
        <w:rPr>
          <w:rFonts w:eastAsia="Aptos" w:cs="Times New Roman"/>
          <w:szCs w:val="24"/>
          <w:lang w:eastAsia="en-US"/>
        </w:rPr>
        <w:t xml:space="preserve"> un 13.1.1. specifiskā atbalsta mērķa </w:t>
      </w:r>
      <w:r w:rsidR="005725B2">
        <w:rPr>
          <w:rFonts w:eastAsia="Aptos" w:cs="Times New Roman"/>
          <w:szCs w:val="24"/>
          <w:lang w:eastAsia="en-US"/>
        </w:rPr>
        <w:t>“</w:t>
      </w:r>
      <w:r w:rsidRPr="00D8017D">
        <w:rPr>
          <w:rFonts w:eastAsia="Aptos" w:cs="Times New Roman"/>
          <w:szCs w:val="24"/>
          <w:lang w:eastAsia="en-US"/>
        </w:rPr>
        <w:t>Atveseļošanas pasākumi ekonomikas nozarē</w:t>
      </w:r>
      <w:r w:rsidR="005725B2">
        <w:rPr>
          <w:rFonts w:eastAsia="Aptos" w:cs="Times New Roman"/>
          <w:szCs w:val="24"/>
          <w:lang w:eastAsia="en-US"/>
        </w:rPr>
        <w:t>”</w:t>
      </w:r>
      <w:r w:rsidRPr="00D8017D">
        <w:rPr>
          <w:rFonts w:eastAsia="Aptos" w:cs="Times New Roman"/>
          <w:szCs w:val="24"/>
          <w:lang w:eastAsia="en-US"/>
        </w:rPr>
        <w:t xml:space="preserve"> 13.1.1.2. specifiskā atbalsta </w:t>
      </w:r>
      <w:r w:rsidRPr="00D8017D">
        <w:rPr>
          <w:rFonts w:eastAsia="Aptos" w:cs="Times New Roman"/>
          <w:szCs w:val="24"/>
          <w:lang w:eastAsia="en-US"/>
        </w:rPr>
        <w:lastRenderedPageBreak/>
        <w:t xml:space="preserve">mērķa pasākuma </w:t>
      </w:r>
      <w:r w:rsidR="005725B2">
        <w:rPr>
          <w:rFonts w:eastAsia="Aptos" w:cs="Times New Roman"/>
          <w:szCs w:val="24"/>
          <w:lang w:eastAsia="en-US"/>
        </w:rPr>
        <w:t>“</w:t>
      </w:r>
      <w:r w:rsidRPr="00D8017D">
        <w:rPr>
          <w:rFonts w:eastAsia="Aptos" w:cs="Times New Roman"/>
          <w:szCs w:val="24"/>
          <w:lang w:eastAsia="en-US"/>
        </w:rPr>
        <w:t>Atbalsts daudzdzīvokļu māju siltināšanai</w:t>
      </w:r>
      <w:r w:rsidR="005725B2">
        <w:rPr>
          <w:rFonts w:eastAsia="Aptos" w:cs="Times New Roman"/>
          <w:szCs w:val="24"/>
          <w:lang w:eastAsia="en-US"/>
        </w:rPr>
        <w:t>”</w:t>
      </w:r>
      <w:r w:rsidRPr="00D8017D">
        <w:rPr>
          <w:rFonts w:eastAsia="Aptos" w:cs="Times New Roman"/>
          <w:szCs w:val="24"/>
          <w:lang w:eastAsia="en-US"/>
        </w:rPr>
        <w:t xml:space="preserve"> īstenošanas noteikumi” ietvaros. Programmas mērķis: veicināt energoefektivitātes paaugstināšanu un viedas energovadības un atjaunojamo energoresursu izmantošanu daudzdzīvokļu dzīvojamās mājās. Garantija tiek izsniegta par kredītiestādes, starptautiskas finanšu institūcijas vai alternatīvā ieguldījumu fonda izsniegtu investīcijas aizdevumu līdz 80 % no finansējuma pamatsummas ar termiņu līdz 20 gadiem, garantijas summa vienas ēkas energoefektivitātes paaugstināšanas pasākumam nepārsniedz 3 milj. </w:t>
      </w:r>
      <w:r w:rsidRPr="00D8017D">
        <w:rPr>
          <w:rFonts w:eastAsia="Aptos" w:cs="Times New Roman"/>
          <w:i/>
          <w:iCs/>
          <w:szCs w:val="24"/>
          <w:lang w:eastAsia="en-US"/>
        </w:rPr>
        <w:t>euro</w:t>
      </w:r>
      <w:r w:rsidRPr="00D8017D">
        <w:rPr>
          <w:rFonts w:eastAsia="Aptos" w:cs="Times New Roman"/>
          <w:szCs w:val="24"/>
          <w:lang w:eastAsia="en-US"/>
        </w:rPr>
        <w:t xml:space="preserve">. </w:t>
      </w:r>
      <w:r w:rsidRPr="00D8017D">
        <w:rPr>
          <w:rFonts w:eastAsia="Aptos" w:cs="Times New Roman"/>
          <w:b/>
          <w:bCs/>
          <w:szCs w:val="24"/>
          <w:lang w:eastAsia="en-US"/>
        </w:rPr>
        <w:t xml:space="preserve">Apstiprinātais programmas finansējums ir 36,87 milj. </w:t>
      </w:r>
      <w:r w:rsidRPr="00D8017D">
        <w:rPr>
          <w:rFonts w:eastAsia="Aptos" w:cs="Times New Roman"/>
          <w:b/>
          <w:bCs/>
          <w:i/>
          <w:iCs/>
          <w:szCs w:val="24"/>
          <w:lang w:eastAsia="en-US"/>
        </w:rPr>
        <w:t>euro</w:t>
      </w:r>
      <w:r w:rsidRPr="00D8017D">
        <w:rPr>
          <w:rFonts w:eastAsia="Aptos" w:cs="Times New Roman"/>
          <w:b/>
          <w:bCs/>
          <w:szCs w:val="24"/>
          <w:lang w:eastAsia="en-US"/>
        </w:rPr>
        <w:t xml:space="preserve"> </w:t>
      </w:r>
      <w:r w:rsidRPr="00D8017D">
        <w:rPr>
          <w:rFonts w:eastAsia="Aptos" w:cs="Times New Roman"/>
          <w:szCs w:val="24"/>
          <w:lang w:eastAsia="en-US"/>
        </w:rPr>
        <w:t xml:space="preserve">(ERAF un valsts budžeta līdzfinansējums). </w:t>
      </w:r>
      <w:r w:rsidRPr="00D8017D">
        <w:rPr>
          <w:rFonts w:eastAsia="Aptos" w:cs="Times New Roman"/>
          <w:b/>
          <w:bCs/>
          <w:szCs w:val="24"/>
          <w:lang w:eastAsia="en-US"/>
        </w:rPr>
        <w:t>Valsts saistības tiek paredzētas par garantijām, kas programmā izsniegtas laikā no 2016. gada 1. janvāra līdz 2023. gada 31. decembrim</w:t>
      </w:r>
      <w:r w:rsidRPr="00D8017D">
        <w:rPr>
          <w:rFonts w:eastAsia="Aptos" w:cs="Times New Roman"/>
          <w:szCs w:val="24"/>
          <w:lang w:eastAsia="en-US"/>
        </w:rPr>
        <w:t xml:space="preserve">. </w:t>
      </w:r>
    </w:p>
    <w:p w14:paraId="1DFE98F6" w14:textId="095437CC" w:rsidR="00D63B9F" w:rsidRPr="00D8017D" w:rsidRDefault="00D63B9F" w:rsidP="003160BE">
      <w:pPr>
        <w:numPr>
          <w:ilvl w:val="0"/>
          <w:numId w:val="17"/>
        </w:numPr>
        <w:spacing w:before="120" w:after="0"/>
        <w:ind w:left="284" w:hanging="284"/>
        <w:rPr>
          <w:rFonts w:eastAsia="Times New Roman" w:cs="Times New Roman"/>
          <w:color w:val="FF0000"/>
          <w:szCs w:val="24"/>
          <w:lang w:eastAsia="en-US"/>
        </w:rPr>
      </w:pPr>
      <w:r w:rsidRPr="00D8017D">
        <w:rPr>
          <w:rFonts w:eastAsia="Aptos" w:cs="Times New Roman"/>
          <w:b/>
          <w:bCs/>
          <w:szCs w:val="24"/>
          <w:lang w:eastAsia="en-US"/>
        </w:rPr>
        <w:t xml:space="preserve">Garantijas daudzdzīvokļu dzīvojamo māju energoefektivitātes uzlabošanas pasākumu īstenošanai </w:t>
      </w:r>
      <w:r w:rsidRPr="00D8017D">
        <w:rPr>
          <w:rFonts w:eastAsia="Aptos" w:cs="Times New Roman"/>
          <w:szCs w:val="24"/>
          <w:lang w:eastAsia="en-US"/>
        </w:rPr>
        <w:t xml:space="preserve">MK 2022. gada 14. jūlija noteikumu Nr. 460 “Eiropas Savienības Atveseļošanas un noturības mehānisma plāna 1.2. reformu un investīciju virziena </w:t>
      </w:r>
      <w:r w:rsidR="005725B2">
        <w:rPr>
          <w:rFonts w:eastAsia="Aptos" w:cs="Times New Roman"/>
          <w:szCs w:val="24"/>
          <w:lang w:eastAsia="en-US"/>
        </w:rPr>
        <w:t>“</w:t>
      </w:r>
      <w:r w:rsidRPr="00D8017D">
        <w:rPr>
          <w:rFonts w:eastAsia="Aptos" w:cs="Times New Roman"/>
          <w:szCs w:val="24"/>
          <w:lang w:eastAsia="en-US"/>
        </w:rPr>
        <w:t>Energoefektivitātes uzlabošana</w:t>
      </w:r>
      <w:r w:rsidR="005725B2">
        <w:rPr>
          <w:rFonts w:eastAsia="Aptos" w:cs="Times New Roman"/>
          <w:szCs w:val="24"/>
          <w:lang w:eastAsia="en-US"/>
        </w:rPr>
        <w:t>”</w:t>
      </w:r>
      <w:r w:rsidRPr="00D8017D">
        <w:rPr>
          <w:rFonts w:eastAsia="Aptos" w:cs="Times New Roman"/>
          <w:szCs w:val="24"/>
          <w:lang w:eastAsia="en-US"/>
        </w:rPr>
        <w:t xml:space="preserve"> 1.2.1.1.i. investīcijas </w:t>
      </w:r>
      <w:r w:rsidR="005725B2">
        <w:rPr>
          <w:rFonts w:eastAsia="Aptos" w:cs="Times New Roman"/>
          <w:szCs w:val="24"/>
          <w:lang w:eastAsia="en-US"/>
        </w:rPr>
        <w:t>“</w:t>
      </w:r>
      <w:r w:rsidRPr="00D8017D">
        <w:rPr>
          <w:rFonts w:eastAsia="Aptos" w:cs="Times New Roman"/>
          <w:szCs w:val="24"/>
          <w:lang w:eastAsia="en-US"/>
        </w:rPr>
        <w:t>Daudzdzīvokļu māju energoefektivitātes uzlabošana un pāreja uz atjaunojamo energoresursu tehnoloģiju izmantošanu</w:t>
      </w:r>
      <w:r w:rsidR="005725B2">
        <w:rPr>
          <w:rFonts w:eastAsia="Aptos" w:cs="Times New Roman"/>
          <w:szCs w:val="24"/>
          <w:lang w:eastAsia="en-US"/>
        </w:rPr>
        <w:t>”</w:t>
      </w:r>
      <w:r w:rsidRPr="00D8017D">
        <w:rPr>
          <w:rFonts w:eastAsia="Aptos" w:cs="Times New Roman"/>
          <w:szCs w:val="24"/>
          <w:lang w:eastAsia="en-US"/>
        </w:rPr>
        <w:t xml:space="preserve"> īstenošanas noteikumi” ietvaros. Programmas mērķis: veikt ieguldījumus daudzdzīvokļu dzīvojamo ēku sektorā, kas veicinās mājokļu jautājuma sakārtošanu Latvijā, palīdzēs sasniegt izvirzītos klimata mērķus siltumnīcefekta gāzu emisiju samazināšanā, palīdzēs samazināt enerģētiskās nabadzības līmeni, kā arī veicinās Latvijas tautsaimniecības attīstību, jo ar energoefektivitātes pasākumu īstenošanu tiek nodrošinātas darba vietas un tiek nodrošināts vietējo būvmateriālu pieprasījums. </w:t>
      </w:r>
      <w:r w:rsidRPr="00D8017D">
        <w:rPr>
          <w:rFonts w:eastAsia="Aptos" w:cs="Times New Roman"/>
          <w:b/>
          <w:bCs/>
          <w:szCs w:val="24"/>
          <w:lang w:eastAsia="en-US"/>
        </w:rPr>
        <w:t xml:space="preserve">Apstiprinātais programmas finansējums ir 57,28 milj. </w:t>
      </w:r>
      <w:r w:rsidRPr="00D8017D">
        <w:rPr>
          <w:rFonts w:eastAsia="Aptos" w:cs="Times New Roman"/>
          <w:b/>
          <w:bCs/>
          <w:i/>
          <w:iCs/>
          <w:szCs w:val="24"/>
          <w:lang w:eastAsia="en-US"/>
        </w:rPr>
        <w:t>euro</w:t>
      </w:r>
      <w:r w:rsidRPr="00D8017D">
        <w:rPr>
          <w:rFonts w:eastAsia="Aptos" w:cs="Times New Roman"/>
          <w:b/>
          <w:bCs/>
          <w:szCs w:val="24"/>
          <w:lang w:eastAsia="en-US"/>
        </w:rPr>
        <w:t xml:space="preserve"> </w:t>
      </w:r>
      <w:r w:rsidRPr="00D8017D">
        <w:rPr>
          <w:rFonts w:eastAsia="Aptos" w:cs="Times New Roman"/>
          <w:szCs w:val="24"/>
          <w:lang w:eastAsia="en-US"/>
        </w:rPr>
        <w:t xml:space="preserve">(ANM finansējums 2022.-2026. gadā). Garantija tiek izsniegta par kredītiestādes izsniegtu aizdevumu projekta īstenošanai, no kura atņemta plānotā kapitāla atlaides summa, līdz 80 % no finansējuma pamatsummas ar termiņu līdz 20 gadiem, garantijas summa vienas ēkas energoefektivitātes paaugstināšanas pasākumam nepārsniedz 3 milj. </w:t>
      </w:r>
      <w:r w:rsidRPr="00D8017D">
        <w:rPr>
          <w:rFonts w:eastAsia="Aptos" w:cs="Times New Roman"/>
          <w:i/>
          <w:iCs/>
          <w:szCs w:val="24"/>
          <w:lang w:eastAsia="en-US"/>
        </w:rPr>
        <w:t>euro.</w:t>
      </w:r>
      <w:r w:rsidRPr="00D8017D">
        <w:rPr>
          <w:rFonts w:eastAsia="Aptos" w:cs="Times New Roman"/>
          <w:szCs w:val="24"/>
          <w:lang w:eastAsia="en-US"/>
        </w:rPr>
        <w:t xml:space="preserve"> </w:t>
      </w:r>
      <w:r w:rsidRPr="00D8017D">
        <w:rPr>
          <w:rFonts w:eastAsia="Aptos" w:cs="Times New Roman"/>
          <w:b/>
          <w:bCs/>
          <w:szCs w:val="24"/>
          <w:lang w:eastAsia="en-US"/>
        </w:rPr>
        <w:t>Valsts saistības tiek paredzētas par garantijām, kas programmā izsniegtas kopš 2022. gada.</w:t>
      </w:r>
    </w:p>
    <w:p w14:paraId="4B3ED9DA" w14:textId="4EB2AF1D" w:rsidR="00D63B9F" w:rsidRPr="00D8017D" w:rsidRDefault="00D63B9F" w:rsidP="003160BE">
      <w:pPr>
        <w:numPr>
          <w:ilvl w:val="0"/>
          <w:numId w:val="17"/>
        </w:numPr>
        <w:spacing w:after="0"/>
        <w:ind w:left="284" w:hanging="284"/>
        <w:contextualSpacing/>
        <w:rPr>
          <w:rFonts w:eastAsia="Aptos" w:cs="Times New Roman"/>
          <w:szCs w:val="24"/>
          <w:lang w:eastAsia="en-US"/>
        </w:rPr>
      </w:pPr>
      <w:r w:rsidRPr="00D8017D">
        <w:rPr>
          <w:rFonts w:eastAsia="Aptos" w:cs="Times New Roman"/>
          <w:b/>
          <w:bCs/>
          <w:szCs w:val="24"/>
          <w:lang w:eastAsia="en-US"/>
        </w:rPr>
        <w:t>Garantija</w:t>
      </w:r>
      <w:r w:rsidRPr="00D8017D">
        <w:rPr>
          <w:rFonts w:eastAsia="Aptos" w:cs="Times New Roman"/>
          <w:szCs w:val="24"/>
          <w:lang w:eastAsia="en-US"/>
        </w:rPr>
        <w:t xml:space="preserve">s </w:t>
      </w:r>
      <w:r w:rsidRPr="00D8017D">
        <w:rPr>
          <w:rFonts w:eastAsia="Aptos" w:cs="Times New Roman"/>
          <w:b/>
          <w:bCs/>
          <w:szCs w:val="24"/>
          <w:lang w:eastAsia="en-US"/>
        </w:rPr>
        <w:t>daudzdzīvokļu māju energoefektivitātes paaugstināšanas pasākumu īstenošanai</w:t>
      </w:r>
      <w:r w:rsidRPr="00D8017D">
        <w:rPr>
          <w:rFonts w:eastAsia="Aptos" w:cs="Times New Roman"/>
          <w:szCs w:val="24"/>
          <w:lang w:eastAsia="en-US"/>
        </w:rPr>
        <w:t xml:space="preserve"> 2024.</w:t>
      </w:r>
      <w:r w:rsidR="00DE2FDE" w:rsidRPr="00D8017D">
        <w:rPr>
          <w:rFonts w:eastAsia="Aptos" w:cs="Times New Roman"/>
          <w:szCs w:val="24"/>
          <w:lang w:eastAsia="en-US"/>
        </w:rPr>
        <w:t xml:space="preserve"> </w:t>
      </w:r>
      <w:r w:rsidRPr="00D8017D">
        <w:rPr>
          <w:rFonts w:eastAsia="Aptos" w:cs="Times New Roman"/>
          <w:szCs w:val="24"/>
          <w:lang w:eastAsia="en-US"/>
        </w:rPr>
        <w:t>gada 17.</w:t>
      </w:r>
      <w:r w:rsidR="00DE2FDE" w:rsidRPr="00D8017D">
        <w:rPr>
          <w:rFonts w:eastAsia="Aptos" w:cs="Times New Roman"/>
          <w:szCs w:val="24"/>
          <w:lang w:eastAsia="en-US"/>
        </w:rPr>
        <w:t xml:space="preserve"> </w:t>
      </w:r>
      <w:r w:rsidRPr="00D8017D">
        <w:rPr>
          <w:rFonts w:eastAsia="Aptos" w:cs="Times New Roman"/>
          <w:szCs w:val="24"/>
          <w:lang w:eastAsia="en-US"/>
        </w:rPr>
        <w:t xml:space="preserve">decembra </w:t>
      </w:r>
      <w:r w:rsidR="00DE2FDE" w:rsidRPr="00D8017D">
        <w:rPr>
          <w:rFonts w:eastAsia="Aptos" w:cs="Times New Roman"/>
          <w:szCs w:val="24"/>
          <w:lang w:eastAsia="en-US"/>
        </w:rPr>
        <w:t>MK</w:t>
      </w:r>
      <w:r w:rsidRPr="00D8017D">
        <w:rPr>
          <w:rFonts w:eastAsia="Aptos" w:cs="Times New Roman"/>
          <w:szCs w:val="24"/>
          <w:lang w:eastAsia="en-US"/>
        </w:rPr>
        <w:t xml:space="preserve"> noteikumu Nr. 880 </w:t>
      </w:r>
      <w:r w:rsidR="00DE2FDE" w:rsidRPr="00D8017D">
        <w:rPr>
          <w:rFonts w:eastAsia="Aptos" w:cs="Times New Roman"/>
          <w:szCs w:val="24"/>
          <w:lang w:eastAsia="en-US"/>
        </w:rPr>
        <w:t>“</w:t>
      </w:r>
      <w:r w:rsidRPr="00D8017D">
        <w:rPr>
          <w:rFonts w:eastAsia="Aptos" w:cs="Times New Roman"/>
          <w:szCs w:val="24"/>
          <w:lang w:eastAsia="en-US"/>
        </w:rPr>
        <w:t xml:space="preserve">Atbalsta programmas nosacījumi energoefektivitātes paaugstināšanas pasākumu īstenošanai daudzdzīvokļu dzīvojamās mājās” 2021. – 2027. gadam ietvaros. Programmas mērķis: veikt ieguldījumus daudzdzīvokļu dzīvojamo ēku veikt ieguldījumus daudzdzīvokļu dzīvojamo ēku energoefektivitātes uzlabošanai un pārejai uz atjaunīgajiem energoresursiem tajās, sasniedzot kopējās primārās enerģijas ietaupījumu 30 procentu apmērā un veicinot virzību uz nulles enerģijas ēkām. </w:t>
      </w:r>
      <w:r w:rsidRPr="00D8017D">
        <w:rPr>
          <w:rFonts w:eastAsia="Aptos" w:cs="Times New Roman"/>
          <w:b/>
          <w:bCs/>
          <w:szCs w:val="24"/>
          <w:lang w:eastAsia="en-US"/>
        </w:rPr>
        <w:t xml:space="preserve">Apstiprinātais programmas finansējums ir 173,22 milj. </w:t>
      </w:r>
      <w:r w:rsidRPr="00D8017D">
        <w:rPr>
          <w:rFonts w:eastAsia="Aptos" w:cs="Times New Roman"/>
          <w:b/>
          <w:bCs/>
          <w:i/>
          <w:iCs/>
          <w:szCs w:val="24"/>
          <w:lang w:eastAsia="en-US"/>
        </w:rPr>
        <w:t>euro</w:t>
      </w:r>
      <w:r w:rsidRPr="00D8017D">
        <w:rPr>
          <w:rFonts w:eastAsia="Aptos" w:cs="Times New Roman"/>
          <w:b/>
          <w:bCs/>
          <w:szCs w:val="24"/>
          <w:lang w:eastAsia="en-US"/>
        </w:rPr>
        <w:t>. Valsts saistības tiek paredzētas par līdz šim izsniegtajām garantijām un atbilstoši garantiju programmas izsniegšanas apjomiem 2026. gadā.</w:t>
      </w:r>
    </w:p>
    <w:p w14:paraId="45385AC9" w14:textId="4966351E" w:rsidR="00D63B9F" w:rsidRPr="00D8017D" w:rsidRDefault="00D63B9F" w:rsidP="003160BE">
      <w:pPr>
        <w:numPr>
          <w:ilvl w:val="0"/>
          <w:numId w:val="17"/>
        </w:numPr>
        <w:spacing w:before="120" w:after="0"/>
        <w:ind w:left="284" w:hanging="284"/>
        <w:contextualSpacing/>
        <w:rPr>
          <w:rFonts w:eastAsia="Aptos" w:cs="Times New Roman"/>
          <w:szCs w:val="24"/>
          <w:lang w:eastAsia="en-US"/>
        </w:rPr>
      </w:pPr>
      <w:r w:rsidRPr="00D8017D">
        <w:rPr>
          <w:rFonts w:eastAsia="Aptos" w:cs="Times New Roman"/>
          <w:b/>
          <w:bCs/>
          <w:szCs w:val="24"/>
          <w:lang w:eastAsia="en-US"/>
        </w:rPr>
        <w:t>Kredīta garantijas saimnieciskās darbības veicējiem konkurētspējas uzlabošanai</w:t>
      </w:r>
      <w:r w:rsidRPr="00D8017D">
        <w:rPr>
          <w:rFonts w:eastAsia="Aptos" w:cs="Times New Roman"/>
          <w:szCs w:val="24"/>
          <w:lang w:eastAsia="en-US"/>
        </w:rPr>
        <w:t xml:space="preserve"> </w:t>
      </w:r>
      <w:r w:rsidR="00DE2FDE" w:rsidRPr="00D8017D">
        <w:rPr>
          <w:rFonts w:eastAsia="Aptos" w:cs="Times New Roman"/>
          <w:szCs w:val="24"/>
          <w:lang w:eastAsia="en-US"/>
        </w:rPr>
        <w:t>MK</w:t>
      </w:r>
      <w:r w:rsidRPr="00D8017D">
        <w:rPr>
          <w:rFonts w:eastAsia="Aptos" w:cs="Times New Roman"/>
          <w:szCs w:val="24"/>
          <w:lang w:eastAsia="en-US"/>
        </w:rPr>
        <w:t xml:space="preserve"> 2020. gada 16. jūnija noteikumu Nr. 383 “Noteikumi par garantijām saimnieciskās darbības veicējiem konkurētspējas uzlabošanai” ietvaros. Programmas mērķis: saimnieciskās darbības veicējiem nodrošināt kredītresursus biznesa projektu īstenošanai, ja esošais nodrošinājums nav pietiekams to saņemšanai. Garantija tiek izsniegta par Latvijā reģistrētas kredītiestādes vai tās meitas sabiedrības izsniegtu finanšu pakalpojumu līdz 80 % no finansējuma pamatsummas ar kopējo termiņu līdz 15 gadiem, garantijas summa vienam saimnieciskās darbības veicējam un ar to saistīto personu grupai nepārsniedz 5 milj. </w:t>
      </w:r>
      <w:r w:rsidRPr="00D8017D">
        <w:rPr>
          <w:rFonts w:eastAsia="Aptos" w:cs="Times New Roman"/>
          <w:i/>
          <w:szCs w:val="24"/>
          <w:lang w:eastAsia="en-US"/>
        </w:rPr>
        <w:t>euro</w:t>
      </w:r>
      <w:r w:rsidRPr="00D8017D">
        <w:rPr>
          <w:rFonts w:eastAsia="Aptos" w:cs="Times New Roman"/>
          <w:iCs/>
          <w:szCs w:val="24"/>
          <w:lang w:eastAsia="en-US"/>
        </w:rPr>
        <w:t xml:space="preserve"> vai arī nepārsniedz 7 milj. </w:t>
      </w:r>
      <w:r w:rsidRPr="00D8017D">
        <w:rPr>
          <w:rFonts w:eastAsia="Aptos" w:cs="Times New Roman"/>
          <w:i/>
          <w:szCs w:val="24"/>
          <w:lang w:eastAsia="en-US"/>
        </w:rPr>
        <w:t>euro</w:t>
      </w:r>
      <w:r w:rsidRPr="00D8017D">
        <w:rPr>
          <w:rFonts w:eastAsia="Aptos" w:cs="Times New Roman"/>
          <w:iCs/>
          <w:szCs w:val="24"/>
          <w:lang w:eastAsia="en-US"/>
        </w:rPr>
        <w:t xml:space="preserve">, ja garantija tiek sniegta 1.2.2.2. pasākuma ietvaros. </w:t>
      </w:r>
      <w:r w:rsidRPr="00D8017D">
        <w:rPr>
          <w:rFonts w:eastAsia="Aptos" w:cs="Times New Roman"/>
          <w:b/>
          <w:bCs/>
          <w:szCs w:val="24"/>
          <w:lang w:eastAsia="en-US"/>
        </w:rPr>
        <w:t xml:space="preserve">Apstiprinātais programmas finansējums ir 69,81 milj. </w:t>
      </w:r>
      <w:r w:rsidRPr="00D8017D">
        <w:rPr>
          <w:rFonts w:eastAsia="Aptos" w:cs="Times New Roman"/>
          <w:b/>
          <w:bCs/>
          <w:i/>
          <w:iCs/>
          <w:szCs w:val="24"/>
          <w:lang w:eastAsia="en-US"/>
        </w:rPr>
        <w:t>euro</w:t>
      </w:r>
      <w:r w:rsidRPr="00D8017D">
        <w:rPr>
          <w:rFonts w:eastAsia="Aptos" w:cs="Times New Roman"/>
          <w:szCs w:val="24"/>
          <w:lang w:eastAsia="en-US"/>
        </w:rPr>
        <w:t xml:space="preserve">. </w:t>
      </w:r>
      <w:r w:rsidRPr="00D8017D">
        <w:rPr>
          <w:rFonts w:eastAsia="Times New Roman" w:cs="Times New Roman"/>
          <w:szCs w:val="24"/>
          <w:lang w:eastAsia="en-US"/>
        </w:rPr>
        <w:t>(t.sk. ERAF</w:t>
      </w:r>
      <w:r w:rsidR="00DE2FDE" w:rsidRPr="00D8017D">
        <w:rPr>
          <w:rFonts w:eastAsia="Times New Roman" w:cs="Times New Roman"/>
          <w:szCs w:val="24"/>
          <w:lang w:eastAsia="en-US"/>
        </w:rPr>
        <w:t xml:space="preserve"> </w:t>
      </w:r>
      <w:r w:rsidRPr="00D8017D">
        <w:rPr>
          <w:rFonts w:eastAsia="Times New Roman" w:cs="Times New Roman"/>
          <w:szCs w:val="24"/>
          <w:lang w:eastAsia="en-US"/>
        </w:rPr>
        <w:t>finansējums, atmaksātais finansējums no ES fondu 2007.-2013. gada plānošanas perioda un 2004.-2006. gada plānošanas perioda, valsts budžeta finansējums).</w:t>
      </w:r>
      <w:r w:rsidRPr="00D8017D">
        <w:rPr>
          <w:rFonts w:eastAsia="Times New Roman" w:cs="Times New Roman"/>
          <w:b/>
          <w:bCs/>
          <w:szCs w:val="24"/>
          <w:lang w:eastAsia="en-US"/>
        </w:rPr>
        <w:t xml:space="preserve"> </w:t>
      </w:r>
      <w:r w:rsidRPr="00D8017D">
        <w:rPr>
          <w:rFonts w:eastAsia="Aptos" w:cs="Times New Roman"/>
          <w:szCs w:val="24"/>
          <w:lang w:eastAsia="en-US"/>
        </w:rPr>
        <w:t xml:space="preserve">Savukārt 2021.-2027. gada ES fondu plānošanas periodā programmas turpināšanai paredzēts finansējums 29,60 milj. </w:t>
      </w:r>
      <w:r w:rsidRPr="00D8017D">
        <w:rPr>
          <w:rFonts w:eastAsia="Aptos" w:cs="Times New Roman"/>
          <w:i/>
          <w:szCs w:val="24"/>
          <w:lang w:eastAsia="en-US"/>
        </w:rPr>
        <w:t>euro</w:t>
      </w:r>
      <w:r w:rsidRPr="00D8017D">
        <w:rPr>
          <w:rFonts w:eastAsia="Aptos" w:cs="Times New Roman"/>
          <w:szCs w:val="24"/>
          <w:lang w:eastAsia="en-US"/>
        </w:rPr>
        <w:t xml:space="preserve">, tai skaitā 24,67 milj. </w:t>
      </w:r>
      <w:r w:rsidRPr="00D8017D">
        <w:rPr>
          <w:rFonts w:eastAsia="Aptos" w:cs="Times New Roman"/>
          <w:i/>
          <w:szCs w:val="24"/>
          <w:lang w:eastAsia="en-US"/>
        </w:rPr>
        <w:t>euro</w:t>
      </w:r>
      <w:r w:rsidRPr="00D8017D">
        <w:rPr>
          <w:rFonts w:eastAsia="Aptos" w:cs="Times New Roman"/>
          <w:szCs w:val="24"/>
          <w:lang w:eastAsia="en-US"/>
        </w:rPr>
        <w:t xml:space="preserve"> 1.2.3.4. pasākuma “Garantijas, portfeļgarantijas pilna cikla uzņēmējdarbībai” ietvaros (t.sk. valsts budžets 3,70 milj. </w:t>
      </w:r>
      <w:r w:rsidRPr="00D8017D">
        <w:rPr>
          <w:rFonts w:eastAsia="Aptos" w:cs="Times New Roman"/>
          <w:i/>
          <w:szCs w:val="24"/>
          <w:lang w:eastAsia="en-US"/>
        </w:rPr>
        <w:t>euro</w:t>
      </w:r>
      <w:r w:rsidRPr="00D8017D">
        <w:rPr>
          <w:rFonts w:eastAsia="Aptos" w:cs="Times New Roman"/>
          <w:szCs w:val="24"/>
          <w:lang w:eastAsia="en-US"/>
        </w:rPr>
        <w:t>, ERAF 20,97</w:t>
      </w:r>
      <w:r w:rsidR="00DE2FDE" w:rsidRPr="00D8017D">
        <w:rPr>
          <w:rFonts w:eastAsia="Aptos" w:cs="Times New Roman"/>
          <w:szCs w:val="24"/>
          <w:lang w:eastAsia="en-US"/>
        </w:rPr>
        <w:t xml:space="preserve"> </w:t>
      </w:r>
      <w:r w:rsidRPr="00D8017D">
        <w:rPr>
          <w:rFonts w:eastAsia="Aptos" w:cs="Times New Roman"/>
          <w:szCs w:val="24"/>
          <w:lang w:eastAsia="en-US"/>
        </w:rPr>
        <w:t xml:space="preserve">milj. </w:t>
      </w:r>
      <w:r w:rsidRPr="00D8017D">
        <w:rPr>
          <w:rFonts w:eastAsia="Aptos" w:cs="Times New Roman"/>
          <w:i/>
          <w:szCs w:val="24"/>
          <w:lang w:eastAsia="en-US"/>
        </w:rPr>
        <w:t>euro</w:t>
      </w:r>
      <w:r w:rsidRPr="00D8017D">
        <w:rPr>
          <w:rFonts w:eastAsia="Aptos" w:cs="Times New Roman"/>
          <w:szCs w:val="24"/>
          <w:lang w:eastAsia="en-US"/>
        </w:rPr>
        <w:t xml:space="preserve"> </w:t>
      </w:r>
      <w:r w:rsidRPr="00D8017D">
        <w:rPr>
          <w:rFonts w:eastAsia="Aptos" w:cs="Times New Roman"/>
          <w:szCs w:val="24"/>
          <w:lang w:eastAsia="en-US"/>
        </w:rPr>
        <w:lastRenderedPageBreak/>
        <w:t xml:space="preserve">finansējums) un 4,93 milj. </w:t>
      </w:r>
      <w:r w:rsidRPr="00D8017D">
        <w:rPr>
          <w:rFonts w:eastAsia="Aptos" w:cs="Times New Roman"/>
          <w:i/>
          <w:szCs w:val="24"/>
          <w:lang w:eastAsia="en-US"/>
        </w:rPr>
        <w:t>euro</w:t>
      </w:r>
      <w:r w:rsidRPr="00D8017D">
        <w:rPr>
          <w:rFonts w:eastAsia="Aptos" w:cs="Times New Roman"/>
          <w:szCs w:val="24"/>
          <w:lang w:eastAsia="en-US"/>
        </w:rPr>
        <w:t xml:space="preserve"> 1.2.2.2. pasākuma “Individuālās garantijas digitalizācijai un automatizācijai” ietvaros (t.sk. valsts budžets 740 211 </w:t>
      </w:r>
      <w:r w:rsidRPr="00D8017D">
        <w:rPr>
          <w:rFonts w:eastAsia="Aptos" w:cs="Times New Roman"/>
          <w:i/>
          <w:szCs w:val="24"/>
          <w:lang w:eastAsia="en-US"/>
        </w:rPr>
        <w:t>euro</w:t>
      </w:r>
      <w:r w:rsidRPr="00D8017D">
        <w:rPr>
          <w:rFonts w:eastAsia="Aptos" w:cs="Times New Roman"/>
          <w:szCs w:val="24"/>
          <w:lang w:eastAsia="en-US"/>
        </w:rPr>
        <w:t xml:space="preserve">, ERAF 4,19 milj. </w:t>
      </w:r>
      <w:r w:rsidRPr="00D8017D">
        <w:rPr>
          <w:rFonts w:eastAsia="Aptos" w:cs="Times New Roman"/>
          <w:i/>
          <w:szCs w:val="24"/>
          <w:lang w:eastAsia="en-US"/>
        </w:rPr>
        <w:t>euro</w:t>
      </w:r>
      <w:r w:rsidRPr="00D8017D">
        <w:rPr>
          <w:rFonts w:eastAsia="Aptos" w:cs="Times New Roman"/>
          <w:szCs w:val="24"/>
          <w:lang w:eastAsia="en-US"/>
        </w:rPr>
        <w:t xml:space="preserve">). </w:t>
      </w:r>
      <w:r w:rsidRPr="00D8017D">
        <w:rPr>
          <w:rFonts w:eastAsia="Aptos" w:cs="Times New Roman"/>
          <w:b/>
          <w:bCs/>
          <w:szCs w:val="24"/>
          <w:lang w:eastAsia="en-US"/>
        </w:rPr>
        <w:t>Valsts saistības tiek paredzētas par programmā līdz šim izsniegtajām garantijām un atbilstoši garantiju programmas izsniegšanas apjomiem 2026. gadā.</w:t>
      </w:r>
    </w:p>
    <w:p w14:paraId="1DFF9BA7" w14:textId="1678E55A" w:rsidR="00D63B9F" w:rsidRPr="00D8017D" w:rsidRDefault="00D63B9F" w:rsidP="003160BE">
      <w:pPr>
        <w:numPr>
          <w:ilvl w:val="0"/>
          <w:numId w:val="17"/>
        </w:numPr>
        <w:spacing w:before="120" w:after="0"/>
        <w:ind w:left="284" w:hanging="284"/>
        <w:rPr>
          <w:rFonts w:eastAsia="Times New Roman" w:cs="Times New Roman"/>
          <w:b/>
          <w:color w:val="FF0000"/>
          <w:szCs w:val="24"/>
          <w:lang w:eastAsia="en-US"/>
        </w:rPr>
      </w:pPr>
      <w:r w:rsidRPr="00D8017D">
        <w:rPr>
          <w:rFonts w:eastAsia="Aptos" w:cs="Times New Roman"/>
          <w:b/>
          <w:bCs/>
          <w:szCs w:val="24"/>
          <w:lang w:eastAsia="en-US"/>
        </w:rPr>
        <w:t>Kredīta garantijas lauksaimniecības, zivsaimniecības un lauku attīstības pasākumu veicināšanai</w:t>
      </w:r>
      <w:r w:rsidRPr="00D8017D">
        <w:rPr>
          <w:rFonts w:eastAsia="Aptos" w:cs="Times New Roman"/>
          <w:szCs w:val="24"/>
          <w:lang w:eastAsia="en-US"/>
        </w:rPr>
        <w:t xml:space="preserve"> </w:t>
      </w:r>
      <w:r w:rsidR="00DE2FDE" w:rsidRPr="00D8017D">
        <w:rPr>
          <w:rFonts w:eastAsia="Aptos" w:cs="Times New Roman"/>
          <w:szCs w:val="24"/>
          <w:lang w:eastAsia="en-US"/>
        </w:rPr>
        <w:t>MK</w:t>
      </w:r>
      <w:r w:rsidRPr="00D8017D">
        <w:rPr>
          <w:rFonts w:eastAsia="Aptos" w:cs="Times New Roman"/>
          <w:szCs w:val="24"/>
          <w:lang w:eastAsia="en-US"/>
        </w:rPr>
        <w:t xml:space="preserve"> 2019. gada 8. janvāra noteikumu Nr. 9 “Lauksaimniecības, zivsaimniecības un lauku attīstības garantiju programmas noteikumi” ietvaros</w:t>
      </w:r>
      <w:r w:rsidRPr="00D8017D">
        <w:rPr>
          <w:rFonts w:eastAsia="Aptos" w:cs="Times New Roman"/>
          <w:color w:val="FF0000"/>
          <w:szCs w:val="24"/>
          <w:lang w:eastAsia="en-US"/>
        </w:rPr>
        <w:t xml:space="preserve">. </w:t>
      </w:r>
      <w:r w:rsidRPr="00D8017D">
        <w:rPr>
          <w:rFonts w:eastAsia="Aptos" w:cs="Times New Roman"/>
          <w:szCs w:val="24"/>
          <w:lang w:eastAsia="en-US"/>
        </w:rPr>
        <w:t>Programmas mērķis: saimnieciskās darbības veicējiem lauksaimniecības, zivsaimniecības un lauku attīstības jomā nodrošināt finansējumu pasākumu īstenošanai, ja esošais nodrošinājums nav pietiekams to saņemšanai. Garantija tiek izsniegta par Latvijā reģistrētas kredītiestādes vai tās meitas sabiedrības vai krājaizdevu</w:t>
      </w:r>
      <w:r w:rsidR="00DE2FDE" w:rsidRPr="00D8017D">
        <w:rPr>
          <w:rFonts w:eastAsia="Aptos" w:cs="Times New Roman"/>
          <w:szCs w:val="24"/>
          <w:lang w:eastAsia="en-US"/>
        </w:rPr>
        <w:t>mu</w:t>
      </w:r>
      <w:r w:rsidRPr="00D8017D">
        <w:rPr>
          <w:rFonts w:eastAsia="Aptos" w:cs="Times New Roman"/>
          <w:szCs w:val="24"/>
          <w:lang w:eastAsia="en-US"/>
        </w:rPr>
        <w:t xml:space="preserve"> sabiedrības izsniegtu finanšu pakalpojumu līdz 80 % no finansējuma pamatsummas ar sākotnējo termiņu līdz 10 gadiem, garantijas summa vienam saimnieciskās darbības veicējam un ar to saistīto personu grupai nepārsniedz 3,5 milj. </w:t>
      </w:r>
      <w:r w:rsidRPr="00D8017D">
        <w:rPr>
          <w:rFonts w:eastAsia="Aptos" w:cs="Times New Roman"/>
          <w:i/>
          <w:szCs w:val="24"/>
          <w:lang w:eastAsia="en-US"/>
        </w:rPr>
        <w:t>euro</w:t>
      </w:r>
      <w:r w:rsidRPr="00D8017D">
        <w:rPr>
          <w:rFonts w:eastAsia="Aptos" w:cs="Times New Roman"/>
          <w:szCs w:val="24"/>
          <w:lang w:eastAsia="en-US"/>
        </w:rPr>
        <w:t xml:space="preserve">. </w:t>
      </w:r>
      <w:r w:rsidRPr="00D8017D">
        <w:rPr>
          <w:rFonts w:eastAsia="Aptos" w:cs="Times New Roman"/>
          <w:b/>
          <w:bCs/>
          <w:szCs w:val="24"/>
          <w:lang w:eastAsia="en-US"/>
        </w:rPr>
        <w:t>Apstiprinātais programmas finansējums ir</w:t>
      </w:r>
      <w:r w:rsidRPr="00D8017D">
        <w:rPr>
          <w:rFonts w:eastAsia="Aptos" w:cs="Times New Roman"/>
          <w:szCs w:val="24"/>
          <w:lang w:eastAsia="en-US"/>
        </w:rPr>
        <w:t xml:space="preserve"> </w:t>
      </w:r>
      <w:r w:rsidRPr="00D8017D">
        <w:rPr>
          <w:rFonts w:eastAsia="Aptos" w:cs="Times New Roman"/>
          <w:b/>
          <w:bCs/>
          <w:szCs w:val="24"/>
          <w:lang w:eastAsia="en-US"/>
        </w:rPr>
        <w:t>2,83 milj. </w:t>
      </w:r>
      <w:r w:rsidRPr="00D8017D">
        <w:rPr>
          <w:rFonts w:eastAsia="Aptos" w:cs="Times New Roman"/>
          <w:b/>
          <w:bCs/>
          <w:i/>
          <w:szCs w:val="24"/>
          <w:lang w:eastAsia="en-US"/>
        </w:rPr>
        <w:t>euro</w:t>
      </w:r>
      <w:r w:rsidRPr="00D8017D">
        <w:rPr>
          <w:rFonts w:eastAsia="Aptos" w:cs="Times New Roman"/>
          <w:szCs w:val="24"/>
          <w:lang w:eastAsia="en-US"/>
        </w:rPr>
        <w:t xml:space="preserve"> (Latvijas Lauku attīstības programmas 2007.-2013. gadam</w:t>
      </w:r>
      <w:r w:rsidRPr="00D8017D">
        <w:rPr>
          <w:rFonts w:eastAsia="Aptos" w:cs="Times New Roman"/>
          <w:bCs/>
          <w:szCs w:val="24"/>
          <w:lang w:eastAsia="en-US"/>
        </w:rPr>
        <w:t xml:space="preserve"> un Rīcības programmas Eiropas Zivsaimniecības fonda atbalsta ieviešanai Latvijā 2007.-2013. gada plānošanas perioda pasākuma “Kredītu fonds” atmaksu finansējums, Latvijas Lauku attīstības programmas 2014.-2020. gadam īstenošanas pārejas periodā 2021. un 2022. gadā paredzētais finansējums, valsts budžeta līdzekļi</w:t>
      </w:r>
      <w:r w:rsidRPr="00D8017D">
        <w:rPr>
          <w:rFonts w:eastAsia="Aptos" w:cs="Times New Roman"/>
          <w:szCs w:val="24"/>
          <w:lang w:eastAsia="en-US"/>
        </w:rPr>
        <w:t xml:space="preserve">). </w:t>
      </w:r>
      <w:r w:rsidRPr="00D8017D">
        <w:rPr>
          <w:rFonts w:eastAsia="Times New Roman" w:cs="Times New Roman"/>
          <w:b/>
          <w:szCs w:val="24"/>
          <w:lang w:eastAsia="en-US"/>
        </w:rPr>
        <w:t>Valsts saistības tiek paredzētas par programmā līdz šim izsniegtajām garantijām un atbilstoši garantiju programmas izsniegšanas apjomiem 2026. gadā.</w:t>
      </w:r>
    </w:p>
    <w:p w14:paraId="720305D8" w14:textId="3663066A" w:rsidR="00D63B9F" w:rsidRPr="00D8017D" w:rsidRDefault="00D63B9F" w:rsidP="003160BE">
      <w:pPr>
        <w:numPr>
          <w:ilvl w:val="0"/>
          <w:numId w:val="17"/>
        </w:numPr>
        <w:spacing w:before="120" w:after="0"/>
        <w:ind w:left="284" w:hanging="284"/>
        <w:rPr>
          <w:rFonts w:eastAsia="Times New Roman" w:cs="Times New Roman"/>
          <w:b/>
          <w:color w:val="FF0000"/>
          <w:szCs w:val="24"/>
          <w:lang w:eastAsia="en-US"/>
        </w:rPr>
      </w:pPr>
      <w:r w:rsidRPr="00D8017D">
        <w:rPr>
          <w:rFonts w:eastAsia="Aptos" w:cs="Times New Roman"/>
          <w:b/>
          <w:bCs/>
          <w:szCs w:val="24"/>
          <w:lang w:eastAsia="en-US"/>
        </w:rPr>
        <w:t>Garantijas ģimenēm ar bērniem (līdz 23 gadiem ieskaitot) un jaunajiem speciālistiem</w:t>
      </w:r>
      <w:r w:rsidRPr="00D8017D">
        <w:rPr>
          <w:rFonts w:eastAsia="Aptos" w:cs="Times New Roman"/>
          <w:szCs w:val="24"/>
          <w:lang w:eastAsia="en-US"/>
        </w:rPr>
        <w:t xml:space="preserve"> (personām, kuras ieguvušas vidējo profesionālo vai augstāko izglītību, un nepārsniedz 35 gadu vecumu) mājokļu iegādei </w:t>
      </w:r>
      <w:r w:rsidR="00DE2FDE" w:rsidRPr="00D8017D">
        <w:rPr>
          <w:rFonts w:eastAsia="Aptos" w:cs="Times New Roman"/>
          <w:szCs w:val="24"/>
          <w:lang w:eastAsia="en-US"/>
        </w:rPr>
        <w:t>MK</w:t>
      </w:r>
      <w:r w:rsidRPr="00D8017D">
        <w:rPr>
          <w:rFonts w:eastAsia="Aptos" w:cs="Times New Roman"/>
          <w:szCs w:val="24"/>
          <w:lang w:eastAsia="en-US"/>
        </w:rPr>
        <w:t xml:space="preserve"> 2018. gada 20. februāra noteikumu Nr. 95 “Noteikumi par valsts palīdzību dzīvojamās telpas iegādei vai būvniecībai” ietvaros. Programmas mērķis: sniegt valsts palīdzību mājokļa iegādei vai būvniecībai ģimenēm ar bērniem un jaunajiem speciālistiem, kā arī garantijas Nacionālo bruņoto spēku karavīriem, kuriem ir pastāvīgi ienākumi, bet nav pietiekamu uzkrājumu pirmās iemaksas veikšanai. Garantija tiek sniegta par Latvijā reģistrētas kredītiestādes, dalībvalstī reģistrētas kredītiestādes, tās filiāles vai ārvalsts kredītiestādes filiāles izsniegtu aizdevumu:</w:t>
      </w:r>
    </w:p>
    <w:p w14:paraId="790427CD" w14:textId="2C04BC81" w:rsidR="00D63B9F" w:rsidRPr="00D8017D" w:rsidRDefault="00D63B9F" w:rsidP="00DE2FDE">
      <w:pPr>
        <w:spacing w:before="120" w:after="0"/>
        <w:ind w:left="142" w:firstLine="0"/>
        <w:rPr>
          <w:rFonts w:eastAsia="Aptos" w:cs="Times New Roman"/>
          <w:szCs w:val="24"/>
          <w:lang w:eastAsia="en-US"/>
        </w:rPr>
      </w:pPr>
      <w:r w:rsidRPr="00D8017D">
        <w:rPr>
          <w:rFonts w:eastAsia="Aptos" w:cs="Times New Roman"/>
          <w:szCs w:val="24"/>
          <w:lang w:eastAsia="en-US"/>
        </w:rPr>
        <w:t>- ģimenēm ar bērniem līdz 50 % no finansējuma pamatsummas ar termiņu līdz 10 gadiem, garantijas summa nepārsniedz 50 tūkst. </w:t>
      </w:r>
      <w:r w:rsidRPr="00D8017D">
        <w:rPr>
          <w:rFonts w:eastAsia="Aptos" w:cs="Times New Roman"/>
          <w:i/>
          <w:iCs/>
          <w:szCs w:val="24"/>
          <w:lang w:eastAsia="en-US"/>
        </w:rPr>
        <w:t>euro</w:t>
      </w:r>
      <w:r w:rsidRPr="00D8017D">
        <w:rPr>
          <w:rFonts w:eastAsia="Aptos" w:cs="Times New Roman"/>
          <w:szCs w:val="24"/>
          <w:lang w:eastAsia="en-US"/>
        </w:rPr>
        <w:t xml:space="preserve"> (garantijas nosacījumi tiek noteikti, ņemot vērā bērnu skaitu ģimenē un arī no tā vai mājoklis atrodas Jūrmalas, Rīgas valstspilsētu vai Rīgas valstspilsētas piegulošo novadu (Mārupes novads, Olaines novads, Ķekavas novads, Salaspils novads, Ropažu novads, Ādažu novads) administratīvajā teritorijā vai ārpus tās);</w:t>
      </w:r>
    </w:p>
    <w:p w14:paraId="2F77D8E3" w14:textId="77777777" w:rsidR="00D63B9F" w:rsidRPr="00D8017D" w:rsidRDefault="00D63B9F" w:rsidP="00DE2FDE">
      <w:pPr>
        <w:spacing w:before="120" w:after="0"/>
        <w:ind w:left="142" w:firstLine="0"/>
        <w:rPr>
          <w:rFonts w:eastAsia="Aptos" w:cs="Times New Roman"/>
          <w:szCs w:val="24"/>
          <w:lang w:eastAsia="en-US"/>
        </w:rPr>
      </w:pPr>
      <w:r w:rsidRPr="00D8017D">
        <w:rPr>
          <w:rFonts w:eastAsia="Aptos" w:cs="Times New Roman"/>
          <w:szCs w:val="24"/>
          <w:lang w:eastAsia="en-US"/>
        </w:rPr>
        <w:t>- jaunajiem speciālistiem līdz 20 % no aizdevuma pamatsummas un ne vairāk kā 50 tūkst. </w:t>
      </w:r>
      <w:r w:rsidRPr="00D8017D">
        <w:rPr>
          <w:rFonts w:eastAsia="Aptos" w:cs="Times New Roman"/>
          <w:i/>
          <w:iCs/>
          <w:szCs w:val="24"/>
          <w:lang w:eastAsia="en-US"/>
        </w:rPr>
        <w:t>euro</w:t>
      </w:r>
      <w:r w:rsidRPr="00D8017D">
        <w:rPr>
          <w:rFonts w:eastAsia="Aptos" w:cs="Times New Roman"/>
          <w:szCs w:val="24"/>
          <w:lang w:eastAsia="en-US"/>
        </w:rPr>
        <w:t xml:space="preserve"> ar termiņu līdz 10 gadiem;</w:t>
      </w:r>
    </w:p>
    <w:p w14:paraId="23C84838" w14:textId="77777777" w:rsidR="00D63B9F" w:rsidRPr="00D8017D" w:rsidRDefault="00D63B9F" w:rsidP="00DE2FDE">
      <w:pPr>
        <w:spacing w:before="120" w:after="0"/>
        <w:ind w:left="142" w:firstLine="0"/>
        <w:rPr>
          <w:rFonts w:eastAsia="Aptos" w:cs="Times New Roman"/>
          <w:szCs w:val="24"/>
          <w:lang w:eastAsia="en-US"/>
        </w:rPr>
      </w:pPr>
      <w:r w:rsidRPr="00D8017D">
        <w:rPr>
          <w:rFonts w:eastAsia="Aptos" w:cs="Times New Roman"/>
          <w:szCs w:val="24"/>
          <w:lang w:eastAsia="en-US"/>
        </w:rPr>
        <w:t>- Nacionālo bruņoto spēku karavīriem līdz 25 % no aizdevuma pamatsummas un ne vairāk kā 20 tūkst. </w:t>
      </w:r>
      <w:r w:rsidRPr="00D8017D">
        <w:rPr>
          <w:rFonts w:eastAsia="Aptos" w:cs="Times New Roman"/>
          <w:i/>
          <w:iCs/>
          <w:szCs w:val="24"/>
          <w:lang w:eastAsia="en-US"/>
        </w:rPr>
        <w:t>euro</w:t>
      </w:r>
      <w:r w:rsidRPr="00D8017D">
        <w:rPr>
          <w:rFonts w:eastAsia="Aptos" w:cs="Times New Roman"/>
          <w:szCs w:val="24"/>
          <w:lang w:eastAsia="en-US"/>
        </w:rPr>
        <w:t xml:space="preserve"> ar termiņu līdz 10 gadiem.</w:t>
      </w:r>
    </w:p>
    <w:p w14:paraId="55875852" w14:textId="45B31B50" w:rsidR="00D63B9F" w:rsidRPr="00D8017D" w:rsidRDefault="00D63B9F" w:rsidP="00DE2FDE">
      <w:pPr>
        <w:spacing w:before="120" w:after="0"/>
        <w:ind w:left="142" w:firstLine="0"/>
        <w:rPr>
          <w:rFonts w:eastAsia="Times New Roman" w:cs="Times New Roman"/>
          <w:szCs w:val="24"/>
          <w:lang w:eastAsia="en-US"/>
        </w:rPr>
      </w:pPr>
      <w:r w:rsidRPr="00D8017D">
        <w:rPr>
          <w:rFonts w:eastAsia="Aptos" w:cs="Times New Roman"/>
          <w:b/>
          <w:bCs/>
          <w:szCs w:val="24"/>
          <w:lang w:eastAsia="en-US"/>
        </w:rPr>
        <w:t xml:space="preserve">Mājokļu programmas īstenošanai pieejamais finansējums ir 50,39 milj. </w:t>
      </w:r>
      <w:r w:rsidRPr="00D8017D">
        <w:rPr>
          <w:rFonts w:eastAsia="Aptos" w:cs="Times New Roman"/>
          <w:b/>
          <w:bCs/>
          <w:i/>
          <w:iCs/>
          <w:szCs w:val="24"/>
          <w:lang w:eastAsia="en-US"/>
        </w:rPr>
        <w:t>euro</w:t>
      </w:r>
      <w:r w:rsidRPr="00D8017D">
        <w:rPr>
          <w:rFonts w:eastAsia="Aptos" w:cs="Times New Roman"/>
          <w:b/>
          <w:bCs/>
          <w:szCs w:val="24"/>
          <w:lang w:eastAsia="en-US"/>
        </w:rPr>
        <w:t xml:space="preserve">. </w:t>
      </w:r>
      <w:r w:rsidRPr="00D8017D">
        <w:rPr>
          <w:rFonts w:eastAsia="Aptos" w:cs="Times New Roman"/>
          <w:szCs w:val="24"/>
          <w:lang w:eastAsia="en-US"/>
        </w:rPr>
        <w:t xml:space="preserve">Finansējums tiek paredzēts no valsts budžeta līdzekļiem. Programmas īstenošana un tās pieejamais finansējums ir atkarīgs no </w:t>
      </w:r>
      <w:r w:rsidR="00AC26A2" w:rsidRPr="00D8017D">
        <w:rPr>
          <w:rFonts w:eastAsia="Aptos" w:cs="Times New Roman"/>
          <w:szCs w:val="24"/>
          <w:lang w:eastAsia="en-US"/>
        </w:rPr>
        <w:t>MK</w:t>
      </w:r>
      <w:r w:rsidRPr="00D8017D">
        <w:rPr>
          <w:rFonts w:eastAsia="Aptos" w:cs="Times New Roman"/>
          <w:szCs w:val="24"/>
          <w:lang w:eastAsia="en-US"/>
        </w:rPr>
        <w:t xml:space="preserve"> un Saeimas lēmumiem, t.sk. atbilstoši </w:t>
      </w:r>
      <w:bookmarkStart w:id="142" w:name="_Hlk142578944"/>
      <w:r w:rsidRPr="00D8017D">
        <w:rPr>
          <w:rFonts w:eastAsia="Aptos" w:cs="Times New Roman"/>
          <w:i/>
          <w:iCs/>
          <w:szCs w:val="24"/>
          <w:lang w:eastAsia="en-US"/>
        </w:rPr>
        <w:t>likumā par valsts budžetu kārtējam gadam un budžeta ietvaru vidējam termiņam</w:t>
      </w:r>
      <w:bookmarkEnd w:id="142"/>
      <w:r w:rsidRPr="00D8017D">
        <w:rPr>
          <w:rFonts w:eastAsia="Aptos" w:cs="Times New Roman"/>
          <w:szCs w:val="24"/>
          <w:lang w:eastAsia="en-US"/>
        </w:rPr>
        <w:t xml:space="preserve"> piešķirtajam finansējumam. </w:t>
      </w:r>
      <w:r w:rsidRPr="00D8017D">
        <w:rPr>
          <w:rFonts w:eastAsia="Aptos" w:cs="Times New Roman"/>
          <w:b/>
          <w:bCs/>
          <w:szCs w:val="24"/>
          <w:lang w:eastAsia="en-US"/>
        </w:rPr>
        <w:t>Valsts</w:t>
      </w:r>
      <w:r w:rsidRPr="00D8017D">
        <w:rPr>
          <w:rFonts w:eastAsia="Times New Roman" w:cs="Times New Roman"/>
          <w:b/>
          <w:bCs/>
          <w:szCs w:val="24"/>
          <w:lang w:eastAsia="en-US"/>
        </w:rPr>
        <w:t xml:space="preserve"> saistības tiek paredzētas par garantijām, kas programmā izsniegtas laikā no 2016. gada 1. janvāra līdz 2019. gada 31. decembrim.</w:t>
      </w:r>
      <w:r w:rsidRPr="00D8017D">
        <w:rPr>
          <w:rFonts w:eastAsia="Times New Roman" w:cs="Times New Roman"/>
          <w:szCs w:val="24"/>
          <w:lang w:eastAsia="en-US"/>
        </w:rPr>
        <w:t xml:space="preserve"> </w:t>
      </w:r>
    </w:p>
    <w:p w14:paraId="06F27225" w14:textId="202FA33B" w:rsidR="001C5161" w:rsidRPr="00D8017D" w:rsidRDefault="001C5161" w:rsidP="008349F0">
      <w:pPr>
        <w:spacing w:after="0"/>
        <w:ind w:firstLine="0"/>
        <w:jc w:val="left"/>
        <w:rPr>
          <w:rFonts w:eastAsia="Times New Roman" w:cs="Times New Roman"/>
          <w:highlight w:val="lightGray"/>
        </w:rPr>
        <w:sectPr w:rsidR="001C5161" w:rsidRPr="00D8017D" w:rsidSect="005E1DE2">
          <w:type w:val="continuous"/>
          <w:pgSz w:w="11906" w:h="16838" w:code="9"/>
          <w:pgMar w:top="1418" w:right="1134" w:bottom="1134" w:left="1701" w:header="709" w:footer="709" w:gutter="0"/>
          <w:cols w:space="708"/>
          <w:titlePg/>
          <w:docGrid w:linePitch="360"/>
        </w:sectPr>
      </w:pPr>
    </w:p>
    <w:p w14:paraId="6CEFF664" w14:textId="425F3FE1" w:rsidR="00C203C5" w:rsidRPr="00DA3E9B" w:rsidRDefault="00C203C5" w:rsidP="008349F0">
      <w:pPr>
        <w:pStyle w:val="Heading1"/>
      </w:pPr>
      <w:bookmarkStart w:id="143" w:name="_Toc210289913"/>
      <w:r w:rsidRPr="00DA3E9B">
        <w:lastRenderedPageBreak/>
        <w:t>B</w:t>
      </w:r>
      <w:r w:rsidR="00AE7B3F" w:rsidRPr="00DA3E9B">
        <w:t>udžeta ietvara I. nodaļas pielikumi</w:t>
      </w:r>
      <w:bookmarkEnd w:id="143"/>
      <w:r w:rsidRPr="00DA3E9B">
        <w:t xml:space="preserve"> </w:t>
      </w:r>
    </w:p>
    <w:p w14:paraId="31BD6A0B" w14:textId="77777777" w:rsidR="00C203C5" w:rsidRPr="00D8017D" w:rsidRDefault="00C203C5" w:rsidP="008349F0">
      <w:pPr>
        <w:widowControl w:val="0"/>
        <w:jc w:val="right"/>
        <w:rPr>
          <w:rFonts w:eastAsia="Times New Roman" w:cs="Times New Roman"/>
          <w:color w:val="000000"/>
          <w:highlight w:val="lightGray"/>
        </w:rPr>
      </w:pPr>
    </w:p>
    <w:p w14:paraId="26874F24" w14:textId="77777777" w:rsidR="00824A22" w:rsidRPr="00DA3E9B" w:rsidRDefault="00824A22" w:rsidP="008349F0">
      <w:pPr>
        <w:widowControl w:val="0"/>
        <w:jc w:val="right"/>
        <w:rPr>
          <w:rFonts w:eastAsia="Times New Roman" w:cs="Times New Roman"/>
          <w:color w:val="000000"/>
        </w:rPr>
      </w:pPr>
      <w:r w:rsidRPr="00DA3E9B">
        <w:rPr>
          <w:rFonts w:eastAsia="Times New Roman" w:cs="Times New Roman"/>
          <w:color w:val="000000"/>
        </w:rPr>
        <w:t>1. pielikums</w:t>
      </w:r>
    </w:p>
    <w:p w14:paraId="491DD3D3" w14:textId="77777777" w:rsidR="00DA3E9B" w:rsidRPr="00DA3E9B" w:rsidRDefault="00DA3E9B" w:rsidP="00DA3E9B">
      <w:pPr>
        <w:widowControl w:val="0"/>
        <w:jc w:val="right"/>
        <w:rPr>
          <w:rFonts w:eastAsia="Times New Roman" w:cs="Times New Roman"/>
          <w:b/>
          <w:color w:val="000000"/>
          <w:sz w:val="28"/>
        </w:rPr>
      </w:pPr>
      <w:r w:rsidRPr="00DA3E9B">
        <w:rPr>
          <w:rFonts w:eastAsia="Times New Roman" w:cs="Times New Roman"/>
          <w:b/>
          <w:color w:val="000000"/>
        </w:rPr>
        <w:t>Vispārējā valdības sektorā iekļauto kapitālsabiedrību faktiskā ietekme uz vispārējās valdības B.9 neto aizdevumiem(+)/ neto aizņēmumiem(-) un parādu</w:t>
      </w:r>
    </w:p>
    <w:tbl>
      <w:tblPr>
        <w:tblW w:w="14064" w:type="dxa"/>
        <w:tblInd w:w="-30" w:type="dxa"/>
        <w:tblLayout w:type="fixed"/>
        <w:tblLook w:val="0000" w:firstRow="0" w:lastRow="0" w:firstColumn="0" w:lastColumn="0" w:noHBand="0" w:noVBand="0"/>
      </w:tblPr>
      <w:tblGrid>
        <w:gridCol w:w="1865"/>
        <w:gridCol w:w="2418"/>
        <w:gridCol w:w="2410"/>
        <w:gridCol w:w="2409"/>
        <w:gridCol w:w="2552"/>
        <w:gridCol w:w="2410"/>
      </w:tblGrid>
      <w:tr w:rsidR="00DA3E9B" w:rsidRPr="00DA3E9B" w14:paraId="2D99D3C9" w14:textId="77777777" w:rsidTr="0052209F">
        <w:trPr>
          <w:trHeight w:val="262"/>
        </w:trPr>
        <w:tc>
          <w:tcPr>
            <w:tcW w:w="1865" w:type="dxa"/>
            <w:tcBorders>
              <w:top w:val="nil"/>
              <w:left w:val="nil"/>
              <w:bottom w:val="single" w:sz="4" w:space="0" w:color="auto"/>
              <w:right w:val="nil"/>
            </w:tcBorders>
          </w:tcPr>
          <w:p w14:paraId="18542364"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18"/>
                <w:szCs w:val="18"/>
              </w:rPr>
            </w:pPr>
          </w:p>
        </w:tc>
        <w:tc>
          <w:tcPr>
            <w:tcW w:w="2418" w:type="dxa"/>
            <w:tcBorders>
              <w:top w:val="nil"/>
              <w:left w:val="nil"/>
              <w:bottom w:val="single" w:sz="4" w:space="0" w:color="auto"/>
              <w:right w:val="nil"/>
            </w:tcBorders>
          </w:tcPr>
          <w:p w14:paraId="6EDE6FB8"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nil"/>
              <w:left w:val="nil"/>
              <w:bottom w:val="single" w:sz="4" w:space="0" w:color="auto"/>
              <w:right w:val="nil"/>
            </w:tcBorders>
          </w:tcPr>
          <w:p w14:paraId="6670CF1E"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18"/>
                <w:szCs w:val="18"/>
              </w:rPr>
            </w:pPr>
          </w:p>
        </w:tc>
        <w:tc>
          <w:tcPr>
            <w:tcW w:w="2409" w:type="dxa"/>
            <w:tcBorders>
              <w:top w:val="nil"/>
              <w:left w:val="nil"/>
              <w:bottom w:val="single" w:sz="4" w:space="0" w:color="auto"/>
              <w:right w:val="nil"/>
            </w:tcBorders>
          </w:tcPr>
          <w:p w14:paraId="10C693AF"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18"/>
                <w:szCs w:val="18"/>
              </w:rPr>
            </w:pPr>
          </w:p>
        </w:tc>
        <w:tc>
          <w:tcPr>
            <w:tcW w:w="2552" w:type="dxa"/>
            <w:tcBorders>
              <w:top w:val="nil"/>
              <w:left w:val="nil"/>
              <w:bottom w:val="single" w:sz="4" w:space="0" w:color="auto"/>
              <w:right w:val="nil"/>
            </w:tcBorders>
          </w:tcPr>
          <w:p w14:paraId="2D1C55A0"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18"/>
                <w:szCs w:val="18"/>
              </w:rPr>
            </w:pPr>
          </w:p>
        </w:tc>
        <w:tc>
          <w:tcPr>
            <w:tcW w:w="2410" w:type="dxa"/>
            <w:tcBorders>
              <w:top w:val="nil"/>
              <w:left w:val="nil"/>
              <w:bottom w:val="single" w:sz="4" w:space="0" w:color="auto"/>
              <w:right w:val="nil"/>
            </w:tcBorders>
          </w:tcPr>
          <w:p w14:paraId="330DA5AE" w14:textId="77777777" w:rsidR="00DA3E9B" w:rsidRPr="00DA3E9B" w:rsidRDefault="00DA3E9B" w:rsidP="00DA3E9B">
            <w:pPr>
              <w:autoSpaceDE w:val="0"/>
              <w:autoSpaceDN w:val="0"/>
              <w:adjustRightInd w:val="0"/>
              <w:spacing w:after="0"/>
              <w:ind w:firstLine="0"/>
              <w:jc w:val="right"/>
              <w:rPr>
                <w:rFonts w:eastAsia="Times New Roman" w:cs="Times New Roman"/>
                <w:i/>
                <w:iCs/>
                <w:color w:val="000000"/>
                <w:sz w:val="18"/>
                <w:szCs w:val="18"/>
              </w:rPr>
            </w:pPr>
            <w:r w:rsidRPr="00DA3E9B">
              <w:rPr>
                <w:rFonts w:eastAsia="Times New Roman" w:cs="Times New Roman"/>
                <w:color w:val="000000"/>
                <w:sz w:val="18"/>
                <w:szCs w:val="18"/>
              </w:rPr>
              <w:t xml:space="preserve">milj. </w:t>
            </w:r>
            <w:r w:rsidRPr="00DA3E9B">
              <w:rPr>
                <w:rFonts w:eastAsia="Times New Roman" w:cs="Times New Roman"/>
                <w:i/>
                <w:iCs/>
                <w:color w:val="000000"/>
                <w:sz w:val="18"/>
                <w:szCs w:val="18"/>
              </w:rPr>
              <w:t>euro</w:t>
            </w:r>
          </w:p>
        </w:tc>
      </w:tr>
      <w:tr w:rsidR="00DA3E9B" w:rsidRPr="00DA3E9B" w14:paraId="0650BF31" w14:textId="77777777" w:rsidTr="00175FD2">
        <w:trPr>
          <w:trHeight w:val="1165"/>
        </w:trPr>
        <w:tc>
          <w:tcPr>
            <w:tcW w:w="1865" w:type="dxa"/>
            <w:tcBorders>
              <w:top w:val="single" w:sz="4" w:space="0" w:color="auto"/>
              <w:left w:val="single" w:sz="4" w:space="0" w:color="auto"/>
              <w:bottom w:val="single" w:sz="4" w:space="0" w:color="auto"/>
              <w:right w:val="single" w:sz="4" w:space="0" w:color="auto"/>
            </w:tcBorders>
            <w:shd w:val="clear" w:color="auto" w:fill="9CC2E5"/>
            <w:vAlign w:val="center"/>
          </w:tcPr>
          <w:p w14:paraId="015E9C1E" w14:textId="77777777" w:rsidR="00DA3E9B" w:rsidRPr="00DA3E9B" w:rsidRDefault="00DA3E9B" w:rsidP="00175FD2">
            <w:pPr>
              <w:autoSpaceDE w:val="0"/>
              <w:autoSpaceDN w:val="0"/>
              <w:adjustRightInd w:val="0"/>
              <w:spacing w:after="0"/>
              <w:ind w:firstLine="0"/>
              <w:jc w:val="center"/>
              <w:rPr>
                <w:rFonts w:eastAsia="Times New Roman" w:cs="Times New Roman"/>
                <w:color w:val="000000"/>
                <w:sz w:val="20"/>
                <w:szCs w:val="20"/>
              </w:rPr>
            </w:pPr>
          </w:p>
        </w:tc>
        <w:tc>
          <w:tcPr>
            <w:tcW w:w="2418" w:type="dxa"/>
            <w:tcBorders>
              <w:top w:val="single" w:sz="4" w:space="0" w:color="auto"/>
              <w:left w:val="single" w:sz="4" w:space="0" w:color="auto"/>
              <w:bottom w:val="single" w:sz="4" w:space="0" w:color="auto"/>
              <w:right w:val="single" w:sz="4" w:space="0" w:color="auto"/>
            </w:tcBorders>
            <w:shd w:val="clear" w:color="auto" w:fill="9CC2E5"/>
            <w:vAlign w:val="center"/>
          </w:tcPr>
          <w:p w14:paraId="2597D310" w14:textId="77777777" w:rsidR="00DA3E9B" w:rsidRPr="00DA3E9B" w:rsidRDefault="00DA3E9B" w:rsidP="00175FD2">
            <w:pPr>
              <w:autoSpaceDE w:val="0"/>
              <w:autoSpaceDN w:val="0"/>
              <w:adjustRightInd w:val="0"/>
              <w:spacing w:after="0"/>
              <w:ind w:firstLine="0"/>
              <w:jc w:val="center"/>
              <w:rPr>
                <w:rFonts w:eastAsia="Times New Roman" w:cs="Times New Roman"/>
                <w:b/>
                <w:bCs/>
                <w:color w:val="000000"/>
                <w:sz w:val="20"/>
                <w:szCs w:val="20"/>
              </w:rPr>
            </w:pPr>
            <w:r w:rsidRPr="00DA3E9B">
              <w:rPr>
                <w:rFonts w:eastAsia="Times New Roman" w:cs="Times New Roman"/>
                <w:b/>
                <w:bCs/>
                <w:color w:val="000000"/>
                <w:sz w:val="20"/>
                <w:szCs w:val="20"/>
              </w:rPr>
              <w:t>Ieņēmumi</w:t>
            </w:r>
          </w:p>
        </w:tc>
        <w:tc>
          <w:tcPr>
            <w:tcW w:w="2410" w:type="dxa"/>
            <w:tcBorders>
              <w:top w:val="single" w:sz="4" w:space="0" w:color="auto"/>
              <w:left w:val="single" w:sz="4" w:space="0" w:color="auto"/>
              <w:bottom w:val="single" w:sz="4" w:space="0" w:color="auto"/>
              <w:right w:val="single" w:sz="4" w:space="0" w:color="auto"/>
            </w:tcBorders>
            <w:shd w:val="clear" w:color="auto" w:fill="9CC2E5"/>
            <w:vAlign w:val="center"/>
          </w:tcPr>
          <w:p w14:paraId="4C88CE13" w14:textId="77777777" w:rsidR="00DA3E9B" w:rsidRPr="00DA3E9B" w:rsidRDefault="00DA3E9B" w:rsidP="00175FD2">
            <w:pPr>
              <w:autoSpaceDE w:val="0"/>
              <w:autoSpaceDN w:val="0"/>
              <w:adjustRightInd w:val="0"/>
              <w:spacing w:after="0"/>
              <w:ind w:firstLine="0"/>
              <w:jc w:val="center"/>
              <w:rPr>
                <w:rFonts w:eastAsia="Times New Roman" w:cs="Times New Roman"/>
                <w:b/>
                <w:bCs/>
                <w:color w:val="000000"/>
                <w:sz w:val="20"/>
                <w:szCs w:val="20"/>
              </w:rPr>
            </w:pPr>
            <w:r w:rsidRPr="00DA3E9B">
              <w:rPr>
                <w:rFonts w:eastAsia="Times New Roman" w:cs="Times New Roman"/>
                <w:b/>
                <w:bCs/>
                <w:color w:val="000000"/>
                <w:sz w:val="20"/>
                <w:szCs w:val="20"/>
              </w:rPr>
              <w:t>t.sk. ieņēmumu pozīcijas korekcija par ES fondu finansējuma izlietojumu</w:t>
            </w:r>
          </w:p>
        </w:tc>
        <w:tc>
          <w:tcPr>
            <w:tcW w:w="2409" w:type="dxa"/>
            <w:tcBorders>
              <w:top w:val="single" w:sz="4" w:space="0" w:color="auto"/>
              <w:left w:val="single" w:sz="4" w:space="0" w:color="auto"/>
              <w:bottom w:val="single" w:sz="4" w:space="0" w:color="auto"/>
              <w:right w:val="single" w:sz="4" w:space="0" w:color="auto"/>
            </w:tcBorders>
            <w:shd w:val="clear" w:color="auto" w:fill="9CC2E5"/>
            <w:vAlign w:val="center"/>
          </w:tcPr>
          <w:p w14:paraId="37569C43" w14:textId="77777777" w:rsidR="00DA3E9B" w:rsidRPr="00DA3E9B" w:rsidRDefault="00DA3E9B" w:rsidP="00175FD2">
            <w:pPr>
              <w:autoSpaceDE w:val="0"/>
              <w:autoSpaceDN w:val="0"/>
              <w:adjustRightInd w:val="0"/>
              <w:spacing w:after="0"/>
              <w:ind w:firstLine="0"/>
              <w:jc w:val="center"/>
              <w:rPr>
                <w:rFonts w:eastAsia="Times New Roman" w:cs="Times New Roman"/>
                <w:b/>
                <w:bCs/>
                <w:color w:val="000000"/>
                <w:sz w:val="20"/>
                <w:szCs w:val="20"/>
              </w:rPr>
            </w:pPr>
            <w:r w:rsidRPr="00DA3E9B">
              <w:rPr>
                <w:rFonts w:eastAsia="Times New Roman" w:cs="Times New Roman"/>
                <w:b/>
                <w:bCs/>
                <w:color w:val="000000"/>
                <w:sz w:val="20"/>
                <w:szCs w:val="20"/>
              </w:rPr>
              <w:t>Izdevumi</w:t>
            </w:r>
          </w:p>
        </w:tc>
        <w:tc>
          <w:tcPr>
            <w:tcW w:w="2552" w:type="dxa"/>
            <w:tcBorders>
              <w:top w:val="single" w:sz="4" w:space="0" w:color="auto"/>
              <w:left w:val="single" w:sz="4" w:space="0" w:color="auto"/>
              <w:bottom w:val="single" w:sz="4" w:space="0" w:color="auto"/>
              <w:right w:val="single" w:sz="4" w:space="0" w:color="auto"/>
            </w:tcBorders>
            <w:shd w:val="clear" w:color="auto" w:fill="9CC2E5"/>
            <w:vAlign w:val="center"/>
          </w:tcPr>
          <w:p w14:paraId="10B580F9" w14:textId="77777777" w:rsidR="00DA3E9B" w:rsidRPr="00DA3E9B" w:rsidRDefault="00DA3E9B" w:rsidP="00175FD2">
            <w:pPr>
              <w:autoSpaceDE w:val="0"/>
              <w:autoSpaceDN w:val="0"/>
              <w:adjustRightInd w:val="0"/>
              <w:spacing w:after="0"/>
              <w:ind w:firstLine="0"/>
              <w:jc w:val="center"/>
              <w:rPr>
                <w:rFonts w:eastAsia="Times New Roman" w:cs="Times New Roman"/>
                <w:b/>
                <w:bCs/>
                <w:color w:val="000000"/>
                <w:sz w:val="20"/>
                <w:szCs w:val="20"/>
              </w:rPr>
            </w:pPr>
            <w:r w:rsidRPr="00DA3E9B">
              <w:rPr>
                <w:rFonts w:eastAsia="Times New Roman" w:cs="Times New Roman"/>
                <w:b/>
                <w:bCs/>
                <w:color w:val="000000"/>
                <w:sz w:val="20"/>
                <w:szCs w:val="20"/>
              </w:rPr>
              <w:t>Ietekme uz B.9 neto aizdevumiem (+)/neto aizņēmumiem (-) (ieskaitot korekciju par ES fondu finansējuma izlietojumu)</w:t>
            </w:r>
          </w:p>
        </w:tc>
        <w:tc>
          <w:tcPr>
            <w:tcW w:w="2410" w:type="dxa"/>
            <w:tcBorders>
              <w:top w:val="single" w:sz="4" w:space="0" w:color="auto"/>
              <w:left w:val="single" w:sz="4" w:space="0" w:color="auto"/>
              <w:bottom w:val="single" w:sz="4" w:space="0" w:color="auto"/>
              <w:right w:val="single" w:sz="4" w:space="0" w:color="auto"/>
            </w:tcBorders>
            <w:shd w:val="clear" w:color="auto" w:fill="9CC2E5"/>
            <w:vAlign w:val="center"/>
          </w:tcPr>
          <w:p w14:paraId="1E2180A3" w14:textId="77777777" w:rsidR="00DA3E9B" w:rsidRPr="00DA3E9B" w:rsidRDefault="00DA3E9B" w:rsidP="00175FD2">
            <w:pPr>
              <w:autoSpaceDE w:val="0"/>
              <w:autoSpaceDN w:val="0"/>
              <w:adjustRightInd w:val="0"/>
              <w:spacing w:after="0"/>
              <w:ind w:firstLine="0"/>
              <w:jc w:val="center"/>
              <w:rPr>
                <w:rFonts w:eastAsia="Times New Roman" w:cs="Times New Roman"/>
                <w:b/>
                <w:bCs/>
                <w:color w:val="000000"/>
                <w:sz w:val="20"/>
                <w:szCs w:val="20"/>
              </w:rPr>
            </w:pPr>
            <w:r w:rsidRPr="00DA3E9B">
              <w:rPr>
                <w:rFonts w:eastAsia="Times New Roman" w:cs="Times New Roman"/>
                <w:b/>
                <w:bCs/>
                <w:color w:val="000000"/>
                <w:sz w:val="20"/>
                <w:szCs w:val="20"/>
              </w:rPr>
              <w:t>Ietekme uz vispārējās valdības parādu</w:t>
            </w:r>
          </w:p>
        </w:tc>
      </w:tr>
      <w:tr w:rsidR="00DA3E9B" w:rsidRPr="00DA3E9B" w14:paraId="3922A0B9" w14:textId="77777777" w:rsidTr="00DA3E9B">
        <w:trPr>
          <w:trHeight w:val="252"/>
        </w:trPr>
        <w:tc>
          <w:tcPr>
            <w:tcW w:w="1865" w:type="dxa"/>
            <w:tcBorders>
              <w:top w:val="single" w:sz="4" w:space="0" w:color="auto"/>
              <w:left w:val="single" w:sz="4" w:space="0" w:color="auto"/>
              <w:bottom w:val="single" w:sz="4" w:space="0" w:color="auto"/>
              <w:right w:val="single" w:sz="4" w:space="0" w:color="auto"/>
            </w:tcBorders>
            <w:shd w:val="clear" w:color="auto" w:fill="BDD6EE"/>
          </w:tcPr>
          <w:p w14:paraId="62C36356" w14:textId="77777777" w:rsidR="00DA3E9B" w:rsidRPr="00DA3E9B" w:rsidRDefault="00DA3E9B" w:rsidP="00DA3E9B">
            <w:pPr>
              <w:autoSpaceDE w:val="0"/>
              <w:autoSpaceDN w:val="0"/>
              <w:adjustRightInd w:val="0"/>
              <w:spacing w:after="0"/>
              <w:ind w:firstLine="0"/>
              <w:jc w:val="left"/>
              <w:rPr>
                <w:rFonts w:eastAsia="Times New Roman" w:cs="Times New Roman"/>
                <w:color w:val="000000"/>
                <w:sz w:val="20"/>
                <w:szCs w:val="20"/>
              </w:rPr>
            </w:pPr>
            <w:r w:rsidRPr="00DA3E9B">
              <w:rPr>
                <w:rFonts w:eastAsia="Times New Roman" w:cs="Times New Roman"/>
                <w:b/>
                <w:bCs/>
                <w:sz w:val="20"/>
                <w:szCs w:val="20"/>
              </w:rPr>
              <w:t>2022</w:t>
            </w:r>
          </w:p>
        </w:tc>
        <w:tc>
          <w:tcPr>
            <w:tcW w:w="2418" w:type="dxa"/>
            <w:tcBorders>
              <w:top w:val="single" w:sz="4" w:space="0" w:color="auto"/>
              <w:left w:val="single" w:sz="4" w:space="0" w:color="auto"/>
              <w:bottom w:val="single" w:sz="4" w:space="0" w:color="auto"/>
              <w:right w:val="single" w:sz="4" w:space="0" w:color="auto"/>
            </w:tcBorders>
            <w:shd w:val="clear" w:color="auto" w:fill="BDD6EE"/>
          </w:tcPr>
          <w:p w14:paraId="7CC6BE58"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BDD6EE"/>
          </w:tcPr>
          <w:p w14:paraId="6F812995"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09" w:type="dxa"/>
            <w:tcBorders>
              <w:top w:val="single" w:sz="4" w:space="0" w:color="auto"/>
              <w:left w:val="single" w:sz="4" w:space="0" w:color="auto"/>
              <w:bottom w:val="single" w:sz="4" w:space="0" w:color="auto"/>
              <w:right w:val="single" w:sz="4" w:space="0" w:color="auto"/>
            </w:tcBorders>
            <w:shd w:val="clear" w:color="auto" w:fill="BDD6EE"/>
          </w:tcPr>
          <w:p w14:paraId="49251D75"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shd w:val="clear" w:color="auto" w:fill="BDD6EE"/>
          </w:tcPr>
          <w:p w14:paraId="2FE7F3BC"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BDD6EE"/>
          </w:tcPr>
          <w:p w14:paraId="707E5227"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r>
      <w:tr w:rsidR="00DA3E9B" w:rsidRPr="00DA3E9B" w14:paraId="0F010D1D" w14:textId="77777777" w:rsidTr="0052209F">
        <w:trPr>
          <w:trHeight w:val="252"/>
        </w:trPr>
        <w:tc>
          <w:tcPr>
            <w:tcW w:w="1865" w:type="dxa"/>
            <w:tcBorders>
              <w:top w:val="single" w:sz="4" w:space="0" w:color="auto"/>
              <w:left w:val="single" w:sz="4" w:space="0" w:color="auto"/>
              <w:bottom w:val="single" w:sz="4" w:space="0" w:color="auto"/>
              <w:right w:val="single" w:sz="4" w:space="0" w:color="auto"/>
            </w:tcBorders>
          </w:tcPr>
          <w:p w14:paraId="007CAB1C"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r w:rsidRPr="00DA3E9B">
              <w:rPr>
                <w:rFonts w:eastAsia="Times New Roman" w:cs="Times New Roman"/>
                <w:sz w:val="20"/>
                <w:szCs w:val="20"/>
              </w:rPr>
              <w:t>S130130</w:t>
            </w:r>
          </w:p>
        </w:tc>
        <w:tc>
          <w:tcPr>
            <w:tcW w:w="2418" w:type="dxa"/>
            <w:tcBorders>
              <w:top w:val="single" w:sz="4" w:space="0" w:color="auto"/>
              <w:left w:val="single" w:sz="4" w:space="0" w:color="auto"/>
              <w:bottom w:val="single" w:sz="4" w:space="0" w:color="auto"/>
              <w:right w:val="single" w:sz="4" w:space="0" w:color="auto"/>
            </w:tcBorders>
            <w:vAlign w:val="bottom"/>
          </w:tcPr>
          <w:p w14:paraId="49BCF2BD"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1384,524</w:t>
            </w:r>
          </w:p>
        </w:tc>
        <w:tc>
          <w:tcPr>
            <w:tcW w:w="2410" w:type="dxa"/>
            <w:tcBorders>
              <w:top w:val="single" w:sz="4" w:space="0" w:color="auto"/>
              <w:left w:val="nil"/>
              <w:bottom w:val="single" w:sz="4" w:space="0" w:color="auto"/>
              <w:right w:val="single" w:sz="4" w:space="0" w:color="auto"/>
            </w:tcBorders>
            <w:vAlign w:val="bottom"/>
          </w:tcPr>
          <w:p w14:paraId="70B924E2"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25,950</w:t>
            </w:r>
          </w:p>
        </w:tc>
        <w:tc>
          <w:tcPr>
            <w:tcW w:w="2409" w:type="dxa"/>
            <w:tcBorders>
              <w:top w:val="single" w:sz="4" w:space="0" w:color="auto"/>
              <w:left w:val="nil"/>
              <w:bottom w:val="single" w:sz="4" w:space="0" w:color="auto"/>
              <w:right w:val="single" w:sz="4" w:space="0" w:color="auto"/>
            </w:tcBorders>
            <w:vAlign w:val="bottom"/>
          </w:tcPr>
          <w:p w14:paraId="09C8F0CF"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1398,702</w:t>
            </w:r>
          </w:p>
        </w:tc>
        <w:tc>
          <w:tcPr>
            <w:tcW w:w="2552" w:type="dxa"/>
            <w:tcBorders>
              <w:top w:val="single" w:sz="4" w:space="0" w:color="auto"/>
              <w:left w:val="single" w:sz="4" w:space="0" w:color="auto"/>
              <w:bottom w:val="single" w:sz="4" w:space="0" w:color="auto"/>
              <w:right w:val="single" w:sz="4" w:space="0" w:color="auto"/>
            </w:tcBorders>
            <w:vAlign w:val="bottom"/>
          </w:tcPr>
          <w:p w14:paraId="7CCAEEAA"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-14,178</w:t>
            </w:r>
          </w:p>
        </w:tc>
        <w:tc>
          <w:tcPr>
            <w:tcW w:w="2410" w:type="dxa"/>
            <w:tcBorders>
              <w:top w:val="single" w:sz="4" w:space="0" w:color="auto"/>
              <w:left w:val="nil"/>
              <w:bottom w:val="single" w:sz="4" w:space="0" w:color="auto"/>
              <w:right w:val="single" w:sz="4" w:space="0" w:color="auto"/>
            </w:tcBorders>
            <w:vAlign w:val="bottom"/>
          </w:tcPr>
          <w:p w14:paraId="1032FC2D"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321,834</w:t>
            </w:r>
          </w:p>
        </w:tc>
      </w:tr>
      <w:tr w:rsidR="00DA3E9B" w:rsidRPr="00DA3E9B" w14:paraId="685CA8C4" w14:textId="77777777" w:rsidTr="0052209F">
        <w:trPr>
          <w:trHeight w:val="252"/>
        </w:trPr>
        <w:tc>
          <w:tcPr>
            <w:tcW w:w="1865" w:type="dxa"/>
            <w:tcBorders>
              <w:top w:val="single" w:sz="4" w:space="0" w:color="auto"/>
              <w:left w:val="single" w:sz="4" w:space="0" w:color="auto"/>
              <w:bottom w:val="single" w:sz="4" w:space="0" w:color="auto"/>
              <w:right w:val="single" w:sz="4" w:space="0" w:color="auto"/>
            </w:tcBorders>
          </w:tcPr>
          <w:p w14:paraId="3660BEF1"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r w:rsidRPr="00DA3E9B">
              <w:rPr>
                <w:rFonts w:eastAsia="Times New Roman" w:cs="Times New Roman"/>
                <w:sz w:val="20"/>
                <w:szCs w:val="20"/>
              </w:rPr>
              <w:t>S130330</w:t>
            </w:r>
          </w:p>
        </w:tc>
        <w:tc>
          <w:tcPr>
            <w:tcW w:w="2418" w:type="dxa"/>
            <w:tcBorders>
              <w:top w:val="nil"/>
              <w:left w:val="single" w:sz="4" w:space="0" w:color="auto"/>
              <w:bottom w:val="single" w:sz="4" w:space="0" w:color="auto"/>
              <w:right w:val="single" w:sz="4" w:space="0" w:color="auto"/>
            </w:tcBorders>
            <w:vAlign w:val="bottom"/>
          </w:tcPr>
          <w:p w14:paraId="388A003D"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693,255</w:t>
            </w:r>
          </w:p>
        </w:tc>
        <w:tc>
          <w:tcPr>
            <w:tcW w:w="2410" w:type="dxa"/>
            <w:tcBorders>
              <w:top w:val="nil"/>
              <w:left w:val="nil"/>
              <w:bottom w:val="single" w:sz="4" w:space="0" w:color="auto"/>
              <w:right w:val="single" w:sz="4" w:space="0" w:color="auto"/>
            </w:tcBorders>
            <w:vAlign w:val="bottom"/>
          </w:tcPr>
          <w:p w14:paraId="2137F216"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17,444</w:t>
            </w:r>
          </w:p>
        </w:tc>
        <w:tc>
          <w:tcPr>
            <w:tcW w:w="2409" w:type="dxa"/>
            <w:tcBorders>
              <w:top w:val="nil"/>
              <w:left w:val="nil"/>
              <w:bottom w:val="single" w:sz="4" w:space="0" w:color="auto"/>
              <w:right w:val="single" w:sz="4" w:space="0" w:color="auto"/>
            </w:tcBorders>
            <w:vAlign w:val="bottom"/>
          </w:tcPr>
          <w:p w14:paraId="7A4F0C3B"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717,808</w:t>
            </w:r>
          </w:p>
        </w:tc>
        <w:tc>
          <w:tcPr>
            <w:tcW w:w="2552" w:type="dxa"/>
            <w:tcBorders>
              <w:top w:val="nil"/>
              <w:left w:val="single" w:sz="4" w:space="0" w:color="auto"/>
              <w:bottom w:val="single" w:sz="4" w:space="0" w:color="auto"/>
              <w:right w:val="single" w:sz="4" w:space="0" w:color="auto"/>
            </w:tcBorders>
            <w:vAlign w:val="bottom"/>
          </w:tcPr>
          <w:p w14:paraId="45953642"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-24,553</w:t>
            </w:r>
          </w:p>
        </w:tc>
        <w:tc>
          <w:tcPr>
            <w:tcW w:w="2410" w:type="dxa"/>
            <w:tcBorders>
              <w:top w:val="single" w:sz="4" w:space="0" w:color="auto"/>
              <w:left w:val="nil"/>
              <w:bottom w:val="single" w:sz="4" w:space="0" w:color="auto"/>
              <w:right w:val="single" w:sz="4" w:space="0" w:color="auto"/>
            </w:tcBorders>
            <w:vAlign w:val="bottom"/>
          </w:tcPr>
          <w:p w14:paraId="084F6184"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322,278</w:t>
            </w:r>
          </w:p>
        </w:tc>
      </w:tr>
      <w:tr w:rsidR="00DA3E9B" w:rsidRPr="00DA3E9B" w14:paraId="16F563B5" w14:textId="77777777" w:rsidTr="0052209F">
        <w:trPr>
          <w:trHeight w:val="252"/>
        </w:trPr>
        <w:tc>
          <w:tcPr>
            <w:tcW w:w="1865" w:type="dxa"/>
            <w:tcBorders>
              <w:top w:val="single" w:sz="4" w:space="0" w:color="auto"/>
              <w:left w:val="single" w:sz="4" w:space="0" w:color="auto"/>
              <w:bottom w:val="single" w:sz="4" w:space="0" w:color="auto"/>
              <w:right w:val="single" w:sz="4" w:space="0" w:color="auto"/>
            </w:tcBorders>
          </w:tcPr>
          <w:p w14:paraId="45C360A9"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8" w:type="dxa"/>
            <w:tcBorders>
              <w:top w:val="single" w:sz="4" w:space="0" w:color="auto"/>
              <w:left w:val="single" w:sz="4" w:space="0" w:color="auto"/>
              <w:bottom w:val="single" w:sz="4" w:space="0" w:color="auto"/>
              <w:right w:val="single" w:sz="4" w:space="0" w:color="auto"/>
            </w:tcBorders>
          </w:tcPr>
          <w:p w14:paraId="73601E17"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96F4B5F"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09" w:type="dxa"/>
            <w:tcBorders>
              <w:top w:val="single" w:sz="4" w:space="0" w:color="auto"/>
              <w:left w:val="single" w:sz="4" w:space="0" w:color="auto"/>
              <w:bottom w:val="single" w:sz="4" w:space="0" w:color="auto"/>
              <w:right w:val="single" w:sz="4" w:space="0" w:color="auto"/>
            </w:tcBorders>
          </w:tcPr>
          <w:p w14:paraId="4DAB4E75"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tcPr>
          <w:p w14:paraId="3FEDBB44"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E35F499"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r>
      <w:tr w:rsidR="00DA3E9B" w:rsidRPr="00DA3E9B" w14:paraId="4A360E63" w14:textId="77777777" w:rsidTr="00DA3E9B">
        <w:trPr>
          <w:trHeight w:val="252"/>
        </w:trPr>
        <w:tc>
          <w:tcPr>
            <w:tcW w:w="1865" w:type="dxa"/>
            <w:tcBorders>
              <w:top w:val="single" w:sz="4" w:space="0" w:color="auto"/>
              <w:left w:val="single" w:sz="4" w:space="0" w:color="auto"/>
              <w:bottom w:val="single" w:sz="4" w:space="0" w:color="auto"/>
              <w:right w:val="single" w:sz="4" w:space="0" w:color="auto"/>
            </w:tcBorders>
            <w:shd w:val="clear" w:color="auto" w:fill="BDD6EE"/>
          </w:tcPr>
          <w:p w14:paraId="5EFECD3A" w14:textId="77777777" w:rsidR="00DA3E9B" w:rsidRPr="00DA3E9B" w:rsidRDefault="00DA3E9B" w:rsidP="00DA3E9B">
            <w:pPr>
              <w:autoSpaceDE w:val="0"/>
              <w:autoSpaceDN w:val="0"/>
              <w:adjustRightInd w:val="0"/>
              <w:spacing w:after="0"/>
              <w:ind w:firstLine="0"/>
              <w:jc w:val="left"/>
              <w:rPr>
                <w:rFonts w:eastAsia="Times New Roman" w:cs="Times New Roman"/>
                <w:color w:val="000000"/>
                <w:sz w:val="20"/>
                <w:szCs w:val="20"/>
              </w:rPr>
            </w:pPr>
            <w:r w:rsidRPr="00DA3E9B">
              <w:rPr>
                <w:rFonts w:eastAsia="Times New Roman" w:cs="Times New Roman"/>
                <w:b/>
                <w:bCs/>
                <w:sz w:val="20"/>
                <w:szCs w:val="20"/>
              </w:rPr>
              <w:t>2023</w:t>
            </w:r>
          </w:p>
        </w:tc>
        <w:tc>
          <w:tcPr>
            <w:tcW w:w="2418" w:type="dxa"/>
            <w:tcBorders>
              <w:top w:val="single" w:sz="4" w:space="0" w:color="auto"/>
              <w:left w:val="single" w:sz="4" w:space="0" w:color="auto"/>
              <w:bottom w:val="single" w:sz="4" w:space="0" w:color="auto"/>
              <w:right w:val="single" w:sz="4" w:space="0" w:color="auto"/>
            </w:tcBorders>
            <w:shd w:val="clear" w:color="auto" w:fill="BDD6EE"/>
          </w:tcPr>
          <w:p w14:paraId="701405EE"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BDD6EE"/>
          </w:tcPr>
          <w:p w14:paraId="4B346FD3"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09" w:type="dxa"/>
            <w:tcBorders>
              <w:top w:val="single" w:sz="4" w:space="0" w:color="auto"/>
              <w:left w:val="single" w:sz="4" w:space="0" w:color="auto"/>
              <w:bottom w:val="single" w:sz="4" w:space="0" w:color="auto"/>
              <w:right w:val="single" w:sz="4" w:space="0" w:color="auto"/>
            </w:tcBorders>
            <w:shd w:val="clear" w:color="auto" w:fill="BDD6EE"/>
          </w:tcPr>
          <w:p w14:paraId="35B2CEF0"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shd w:val="clear" w:color="auto" w:fill="BDD6EE"/>
          </w:tcPr>
          <w:p w14:paraId="27B9AC80"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BDD6EE"/>
          </w:tcPr>
          <w:p w14:paraId="191B5FC7"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r>
      <w:tr w:rsidR="00DA3E9B" w:rsidRPr="00DA3E9B" w14:paraId="66B82DBA" w14:textId="77777777" w:rsidTr="0052209F">
        <w:trPr>
          <w:trHeight w:val="252"/>
        </w:trPr>
        <w:tc>
          <w:tcPr>
            <w:tcW w:w="1865" w:type="dxa"/>
            <w:tcBorders>
              <w:top w:val="single" w:sz="4" w:space="0" w:color="auto"/>
              <w:left w:val="single" w:sz="4" w:space="0" w:color="auto"/>
              <w:bottom w:val="single" w:sz="4" w:space="0" w:color="auto"/>
              <w:right w:val="single" w:sz="4" w:space="0" w:color="auto"/>
            </w:tcBorders>
          </w:tcPr>
          <w:p w14:paraId="16D2D58B"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r w:rsidRPr="00DA3E9B">
              <w:rPr>
                <w:rFonts w:eastAsia="Times New Roman" w:cs="Times New Roman"/>
                <w:sz w:val="20"/>
                <w:szCs w:val="20"/>
              </w:rPr>
              <w:t>S130130</w:t>
            </w:r>
          </w:p>
        </w:tc>
        <w:tc>
          <w:tcPr>
            <w:tcW w:w="2418" w:type="dxa"/>
            <w:tcBorders>
              <w:top w:val="single" w:sz="4" w:space="0" w:color="auto"/>
              <w:left w:val="single" w:sz="4" w:space="0" w:color="auto"/>
              <w:bottom w:val="single" w:sz="4" w:space="0" w:color="auto"/>
              <w:right w:val="single" w:sz="4" w:space="0" w:color="auto"/>
            </w:tcBorders>
            <w:vAlign w:val="bottom"/>
          </w:tcPr>
          <w:p w14:paraId="3156E65A"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1562,075</w:t>
            </w:r>
          </w:p>
        </w:tc>
        <w:tc>
          <w:tcPr>
            <w:tcW w:w="2410" w:type="dxa"/>
            <w:tcBorders>
              <w:top w:val="single" w:sz="4" w:space="0" w:color="auto"/>
              <w:left w:val="nil"/>
              <w:bottom w:val="single" w:sz="4" w:space="0" w:color="auto"/>
              <w:right w:val="single" w:sz="4" w:space="0" w:color="auto"/>
            </w:tcBorders>
            <w:vAlign w:val="bottom"/>
          </w:tcPr>
          <w:p w14:paraId="6DCFCEA7"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216,566</w:t>
            </w:r>
          </w:p>
        </w:tc>
        <w:tc>
          <w:tcPr>
            <w:tcW w:w="2409" w:type="dxa"/>
            <w:tcBorders>
              <w:top w:val="single" w:sz="4" w:space="0" w:color="auto"/>
              <w:left w:val="nil"/>
              <w:bottom w:val="single" w:sz="4" w:space="0" w:color="auto"/>
              <w:right w:val="single" w:sz="4" w:space="0" w:color="auto"/>
            </w:tcBorders>
            <w:vAlign w:val="bottom"/>
          </w:tcPr>
          <w:p w14:paraId="5837D334"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1693,645</w:t>
            </w:r>
          </w:p>
        </w:tc>
        <w:tc>
          <w:tcPr>
            <w:tcW w:w="2552" w:type="dxa"/>
            <w:tcBorders>
              <w:top w:val="single" w:sz="4" w:space="0" w:color="auto"/>
              <w:left w:val="nil"/>
              <w:bottom w:val="single" w:sz="4" w:space="0" w:color="auto"/>
              <w:right w:val="single" w:sz="4" w:space="0" w:color="auto"/>
            </w:tcBorders>
            <w:vAlign w:val="bottom"/>
          </w:tcPr>
          <w:p w14:paraId="70AE5984"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-131,570</w:t>
            </w:r>
          </w:p>
        </w:tc>
        <w:tc>
          <w:tcPr>
            <w:tcW w:w="2410" w:type="dxa"/>
            <w:tcBorders>
              <w:top w:val="single" w:sz="4" w:space="0" w:color="auto"/>
              <w:left w:val="nil"/>
              <w:bottom w:val="single" w:sz="4" w:space="0" w:color="auto"/>
              <w:right w:val="single" w:sz="4" w:space="0" w:color="auto"/>
            </w:tcBorders>
            <w:vAlign w:val="bottom"/>
          </w:tcPr>
          <w:p w14:paraId="6BACFECF"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333,565</w:t>
            </w:r>
          </w:p>
        </w:tc>
      </w:tr>
      <w:tr w:rsidR="00DA3E9B" w:rsidRPr="00DA3E9B" w14:paraId="37A86876" w14:textId="77777777" w:rsidTr="0052209F">
        <w:trPr>
          <w:trHeight w:val="252"/>
        </w:trPr>
        <w:tc>
          <w:tcPr>
            <w:tcW w:w="1865" w:type="dxa"/>
            <w:tcBorders>
              <w:top w:val="single" w:sz="4" w:space="0" w:color="auto"/>
              <w:left w:val="single" w:sz="4" w:space="0" w:color="auto"/>
              <w:bottom w:val="single" w:sz="4" w:space="0" w:color="auto"/>
              <w:right w:val="single" w:sz="4" w:space="0" w:color="auto"/>
            </w:tcBorders>
          </w:tcPr>
          <w:p w14:paraId="42BF3361"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r w:rsidRPr="00DA3E9B">
              <w:rPr>
                <w:rFonts w:eastAsia="Times New Roman" w:cs="Times New Roman"/>
                <w:sz w:val="20"/>
                <w:szCs w:val="20"/>
              </w:rPr>
              <w:t>S130330</w:t>
            </w:r>
          </w:p>
        </w:tc>
        <w:tc>
          <w:tcPr>
            <w:tcW w:w="2418" w:type="dxa"/>
            <w:tcBorders>
              <w:top w:val="nil"/>
              <w:left w:val="single" w:sz="4" w:space="0" w:color="auto"/>
              <w:bottom w:val="single" w:sz="4" w:space="0" w:color="auto"/>
              <w:right w:val="single" w:sz="4" w:space="0" w:color="auto"/>
            </w:tcBorders>
            <w:vAlign w:val="bottom"/>
          </w:tcPr>
          <w:p w14:paraId="3C22DEEA"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779,031</w:t>
            </w:r>
          </w:p>
        </w:tc>
        <w:tc>
          <w:tcPr>
            <w:tcW w:w="2410" w:type="dxa"/>
            <w:tcBorders>
              <w:top w:val="nil"/>
              <w:left w:val="nil"/>
              <w:bottom w:val="single" w:sz="4" w:space="0" w:color="auto"/>
              <w:right w:val="single" w:sz="4" w:space="0" w:color="auto"/>
            </w:tcBorders>
            <w:vAlign w:val="bottom"/>
          </w:tcPr>
          <w:p w14:paraId="20CE8636"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75,126</w:t>
            </w:r>
          </w:p>
        </w:tc>
        <w:tc>
          <w:tcPr>
            <w:tcW w:w="2409" w:type="dxa"/>
            <w:tcBorders>
              <w:top w:val="nil"/>
              <w:left w:val="nil"/>
              <w:bottom w:val="single" w:sz="4" w:space="0" w:color="auto"/>
              <w:right w:val="single" w:sz="4" w:space="0" w:color="auto"/>
            </w:tcBorders>
            <w:vAlign w:val="bottom"/>
          </w:tcPr>
          <w:p w14:paraId="2DFF78DF"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810,366</w:t>
            </w:r>
          </w:p>
        </w:tc>
        <w:tc>
          <w:tcPr>
            <w:tcW w:w="2552" w:type="dxa"/>
            <w:tcBorders>
              <w:top w:val="nil"/>
              <w:left w:val="nil"/>
              <w:bottom w:val="single" w:sz="4" w:space="0" w:color="auto"/>
              <w:right w:val="single" w:sz="4" w:space="0" w:color="auto"/>
            </w:tcBorders>
            <w:vAlign w:val="bottom"/>
          </w:tcPr>
          <w:p w14:paraId="3CCCBFC7"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-31,335</w:t>
            </w:r>
          </w:p>
        </w:tc>
        <w:tc>
          <w:tcPr>
            <w:tcW w:w="2410" w:type="dxa"/>
            <w:tcBorders>
              <w:top w:val="single" w:sz="4" w:space="0" w:color="auto"/>
              <w:left w:val="nil"/>
              <w:bottom w:val="single" w:sz="4" w:space="0" w:color="auto"/>
              <w:right w:val="single" w:sz="4" w:space="0" w:color="auto"/>
            </w:tcBorders>
            <w:vAlign w:val="bottom"/>
          </w:tcPr>
          <w:p w14:paraId="15E61B0C"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294,274</w:t>
            </w:r>
          </w:p>
        </w:tc>
      </w:tr>
      <w:tr w:rsidR="00DA3E9B" w:rsidRPr="00DA3E9B" w14:paraId="5303B2A9" w14:textId="77777777" w:rsidTr="0052209F">
        <w:trPr>
          <w:trHeight w:val="252"/>
        </w:trPr>
        <w:tc>
          <w:tcPr>
            <w:tcW w:w="1865" w:type="dxa"/>
            <w:tcBorders>
              <w:top w:val="single" w:sz="4" w:space="0" w:color="auto"/>
              <w:left w:val="single" w:sz="4" w:space="0" w:color="auto"/>
              <w:bottom w:val="single" w:sz="4" w:space="0" w:color="auto"/>
              <w:right w:val="single" w:sz="4" w:space="0" w:color="auto"/>
            </w:tcBorders>
          </w:tcPr>
          <w:p w14:paraId="52BC4D2F"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8" w:type="dxa"/>
            <w:tcBorders>
              <w:top w:val="single" w:sz="4" w:space="0" w:color="auto"/>
              <w:left w:val="single" w:sz="4" w:space="0" w:color="auto"/>
              <w:bottom w:val="single" w:sz="4" w:space="0" w:color="auto"/>
              <w:right w:val="single" w:sz="4" w:space="0" w:color="auto"/>
            </w:tcBorders>
          </w:tcPr>
          <w:p w14:paraId="1CE9E782"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0" w:type="dxa"/>
            <w:tcBorders>
              <w:top w:val="single" w:sz="4" w:space="0" w:color="auto"/>
              <w:left w:val="single" w:sz="4" w:space="0" w:color="auto"/>
              <w:bottom w:val="single" w:sz="4" w:space="0" w:color="auto"/>
              <w:right w:val="single" w:sz="4" w:space="0" w:color="auto"/>
            </w:tcBorders>
          </w:tcPr>
          <w:p w14:paraId="54631B20"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09" w:type="dxa"/>
            <w:tcBorders>
              <w:top w:val="single" w:sz="4" w:space="0" w:color="auto"/>
              <w:left w:val="single" w:sz="4" w:space="0" w:color="auto"/>
              <w:bottom w:val="single" w:sz="4" w:space="0" w:color="auto"/>
              <w:right w:val="single" w:sz="4" w:space="0" w:color="auto"/>
            </w:tcBorders>
          </w:tcPr>
          <w:p w14:paraId="79147D9A"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tcPr>
          <w:p w14:paraId="22237B20"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6374FF8"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r>
      <w:tr w:rsidR="00DA3E9B" w:rsidRPr="00DA3E9B" w14:paraId="56B46F65" w14:textId="77777777" w:rsidTr="00DA3E9B">
        <w:trPr>
          <w:trHeight w:val="252"/>
        </w:trPr>
        <w:tc>
          <w:tcPr>
            <w:tcW w:w="1865" w:type="dxa"/>
            <w:tcBorders>
              <w:top w:val="single" w:sz="4" w:space="0" w:color="auto"/>
              <w:left w:val="single" w:sz="4" w:space="0" w:color="auto"/>
              <w:bottom w:val="single" w:sz="4" w:space="0" w:color="auto"/>
              <w:right w:val="single" w:sz="4" w:space="0" w:color="auto"/>
            </w:tcBorders>
            <w:shd w:val="clear" w:color="auto" w:fill="BDD6EE"/>
          </w:tcPr>
          <w:p w14:paraId="4FE9E7DE" w14:textId="77777777" w:rsidR="00DA3E9B" w:rsidRPr="00DA3E9B" w:rsidRDefault="00DA3E9B" w:rsidP="00DA3E9B">
            <w:pPr>
              <w:autoSpaceDE w:val="0"/>
              <w:autoSpaceDN w:val="0"/>
              <w:adjustRightInd w:val="0"/>
              <w:spacing w:after="0"/>
              <w:ind w:firstLine="0"/>
              <w:jc w:val="left"/>
              <w:rPr>
                <w:rFonts w:eastAsia="Times New Roman" w:cs="Times New Roman"/>
                <w:color w:val="000000"/>
                <w:sz w:val="20"/>
                <w:szCs w:val="20"/>
              </w:rPr>
            </w:pPr>
            <w:r w:rsidRPr="00DA3E9B">
              <w:rPr>
                <w:rFonts w:eastAsia="Times New Roman" w:cs="Times New Roman"/>
                <w:b/>
                <w:bCs/>
                <w:sz w:val="20"/>
                <w:szCs w:val="20"/>
              </w:rPr>
              <w:t>2024</w:t>
            </w:r>
          </w:p>
        </w:tc>
        <w:tc>
          <w:tcPr>
            <w:tcW w:w="2418" w:type="dxa"/>
            <w:tcBorders>
              <w:top w:val="single" w:sz="4" w:space="0" w:color="auto"/>
              <w:left w:val="single" w:sz="4" w:space="0" w:color="auto"/>
              <w:bottom w:val="single" w:sz="4" w:space="0" w:color="auto"/>
              <w:right w:val="single" w:sz="4" w:space="0" w:color="auto"/>
            </w:tcBorders>
            <w:shd w:val="clear" w:color="auto" w:fill="BDD6EE"/>
          </w:tcPr>
          <w:p w14:paraId="5B710DC2"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BDD6EE"/>
          </w:tcPr>
          <w:p w14:paraId="1B29AAB7"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09" w:type="dxa"/>
            <w:tcBorders>
              <w:top w:val="single" w:sz="4" w:space="0" w:color="auto"/>
              <w:left w:val="single" w:sz="4" w:space="0" w:color="auto"/>
              <w:bottom w:val="single" w:sz="4" w:space="0" w:color="auto"/>
              <w:right w:val="single" w:sz="4" w:space="0" w:color="auto"/>
            </w:tcBorders>
            <w:shd w:val="clear" w:color="auto" w:fill="BDD6EE"/>
          </w:tcPr>
          <w:p w14:paraId="2886DCCA"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552" w:type="dxa"/>
            <w:tcBorders>
              <w:top w:val="single" w:sz="4" w:space="0" w:color="auto"/>
              <w:left w:val="single" w:sz="4" w:space="0" w:color="auto"/>
              <w:bottom w:val="single" w:sz="4" w:space="0" w:color="auto"/>
              <w:right w:val="single" w:sz="4" w:space="0" w:color="auto"/>
            </w:tcBorders>
            <w:shd w:val="clear" w:color="auto" w:fill="BDD6EE"/>
          </w:tcPr>
          <w:p w14:paraId="58D0EE99"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BDD6EE"/>
          </w:tcPr>
          <w:p w14:paraId="625E4CC8"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p>
        </w:tc>
      </w:tr>
      <w:tr w:rsidR="00DA3E9B" w:rsidRPr="00DA3E9B" w14:paraId="401289E7" w14:textId="77777777" w:rsidTr="0052209F">
        <w:trPr>
          <w:trHeight w:val="252"/>
        </w:trPr>
        <w:tc>
          <w:tcPr>
            <w:tcW w:w="1865" w:type="dxa"/>
            <w:tcBorders>
              <w:top w:val="single" w:sz="4" w:space="0" w:color="auto"/>
              <w:left w:val="single" w:sz="4" w:space="0" w:color="auto"/>
              <w:bottom w:val="single" w:sz="4" w:space="0" w:color="auto"/>
              <w:right w:val="single" w:sz="4" w:space="0" w:color="auto"/>
            </w:tcBorders>
          </w:tcPr>
          <w:p w14:paraId="63224E41"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r w:rsidRPr="00DA3E9B">
              <w:rPr>
                <w:rFonts w:eastAsia="Times New Roman" w:cs="Times New Roman"/>
                <w:sz w:val="20"/>
                <w:szCs w:val="20"/>
              </w:rPr>
              <w:t>S130130</w:t>
            </w:r>
          </w:p>
        </w:tc>
        <w:tc>
          <w:tcPr>
            <w:tcW w:w="2418" w:type="dxa"/>
            <w:tcBorders>
              <w:top w:val="single" w:sz="4" w:space="0" w:color="auto"/>
              <w:left w:val="single" w:sz="4" w:space="0" w:color="auto"/>
              <w:bottom w:val="single" w:sz="4" w:space="0" w:color="auto"/>
              <w:right w:val="single" w:sz="4" w:space="0" w:color="auto"/>
            </w:tcBorders>
            <w:vAlign w:val="bottom"/>
          </w:tcPr>
          <w:p w14:paraId="36210847"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1769,735</w:t>
            </w:r>
          </w:p>
        </w:tc>
        <w:tc>
          <w:tcPr>
            <w:tcW w:w="2410" w:type="dxa"/>
            <w:tcBorders>
              <w:top w:val="single" w:sz="4" w:space="0" w:color="auto"/>
              <w:left w:val="nil"/>
              <w:bottom w:val="single" w:sz="4" w:space="0" w:color="auto"/>
              <w:right w:val="single" w:sz="4" w:space="0" w:color="auto"/>
            </w:tcBorders>
            <w:vAlign w:val="bottom"/>
          </w:tcPr>
          <w:p w14:paraId="2C475E84"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127,632</w:t>
            </w:r>
          </w:p>
        </w:tc>
        <w:tc>
          <w:tcPr>
            <w:tcW w:w="2409" w:type="dxa"/>
            <w:tcBorders>
              <w:top w:val="single" w:sz="4" w:space="0" w:color="auto"/>
              <w:left w:val="nil"/>
              <w:bottom w:val="single" w:sz="4" w:space="0" w:color="auto"/>
              <w:right w:val="single" w:sz="4" w:space="0" w:color="auto"/>
            </w:tcBorders>
            <w:vAlign w:val="bottom"/>
          </w:tcPr>
          <w:p w14:paraId="4901B5CF"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1868,890</w:t>
            </w:r>
          </w:p>
        </w:tc>
        <w:tc>
          <w:tcPr>
            <w:tcW w:w="2552" w:type="dxa"/>
            <w:tcBorders>
              <w:top w:val="single" w:sz="4" w:space="0" w:color="auto"/>
              <w:left w:val="nil"/>
              <w:bottom w:val="single" w:sz="4" w:space="0" w:color="auto"/>
              <w:right w:val="single" w:sz="4" w:space="0" w:color="auto"/>
            </w:tcBorders>
            <w:vAlign w:val="bottom"/>
          </w:tcPr>
          <w:p w14:paraId="61A8A774"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-99,155</w:t>
            </w:r>
          </w:p>
        </w:tc>
        <w:tc>
          <w:tcPr>
            <w:tcW w:w="2410" w:type="dxa"/>
            <w:tcBorders>
              <w:top w:val="single" w:sz="4" w:space="0" w:color="auto"/>
              <w:left w:val="nil"/>
              <w:bottom w:val="single" w:sz="4" w:space="0" w:color="auto"/>
              <w:right w:val="single" w:sz="4" w:space="0" w:color="auto"/>
            </w:tcBorders>
            <w:vAlign w:val="bottom"/>
          </w:tcPr>
          <w:p w14:paraId="1E2D0481"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321,432</w:t>
            </w:r>
          </w:p>
        </w:tc>
      </w:tr>
      <w:tr w:rsidR="00DA3E9B" w:rsidRPr="00DA3E9B" w14:paraId="7C6B5C7E" w14:textId="77777777" w:rsidTr="0052209F">
        <w:trPr>
          <w:trHeight w:val="262"/>
        </w:trPr>
        <w:tc>
          <w:tcPr>
            <w:tcW w:w="1865" w:type="dxa"/>
            <w:tcBorders>
              <w:top w:val="single" w:sz="4" w:space="0" w:color="auto"/>
              <w:left w:val="single" w:sz="4" w:space="0" w:color="auto"/>
              <w:bottom w:val="single" w:sz="4" w:space="0" w:color="auto"/>
              <w:right w:val="single" w:sz="4" w:space="0" w:color="auto"/>
            </w:tcBorders>
          </w:tcPr>
          <w:p w14:paraId="22412FDF" w14:textId="77777777" w:rsidR="00DA3E9B" w:rsidRPr="00DA3E9B" w:rsidRDefault="00DA3E9B" w:rsidP="00DA3E9B">
            <w:pPr>
              <w:autoSpaceDE w:val="0"/>
              <w:autoSpaceDN w:val="0"/>
              <w:adjustRightInd w:val="0"/>
              <w:spacing w:after="0"/>
              <w:ind w:firstLine="0"/>
              <w:jc w:val="right"/>
              <w:rPr>
                <w:rFonts w:eastAsia="Times New Roman" w:cs="Times New Roman"/>
                <w:color w:val="000000"/>
                <w:sz w:val="20"/>
                <w:szCs w:val="20"/>
              </w:rPr>
            </w:pPr>
            <w:r w:rsidRPr="00DA3E9B">
              <w:rPr>
                <w:rFonts w:eastAsia="Times New Roman" w:cs="Times New Roman"/>
                <w:sz w:val="20"/>
                <w:szCs w:val="20"/>
              </w:rPr>
              <w:t>S130330</w:t>
            </w:r>
          </w:p>
        </w:tc>
        <w:tc>
          <w:tcPr>
            <w:tcW w:w="2418" w:type="dxa"/>
            <w:tcBorders>
              <w:top w:val="single" w:sz="4" w:space="0" w:color="auto"/>
              <w:left w:val="single" w:sz="4" w:space="0" w:color="auto"/>
              <w:bottom w:val="single" w:sz="4" w:space="0" w:color="auto"/>
              <w:right w:val="single" w:sz="4" w:space="0" w:color="auto"/>
            </w:tcBorders>
            <w:vAlign w:val="bottom"/>
          </w:tcPr>
          <w:p w14:paraId="39D64665"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782,142</w:t>
            </w:r>
          </w:p>
        </w:tc>
        <w:tc>
          <w:tcPr>
            <w:tcW w:w="2410" w:type="dxa"/>
            <w:tcBorders>
              <w:top w:val="single" w:sz="4" w:space="0" w:color="auto"/>
              <w:left w:val="nil"/>
              <w:bottom w:val="single" w:sz="4" w:space="0" w:color="auto"/>
              <w:right w:val="single" w:sz="4" w:space="0" w:color="auto"/>
            </w:tcBorders>
            <w:vAlign w:val="bottom"/>
          </w:tcPr>
          <w:p w14:paraId="6C5755FF"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17,839</w:t>
            </w:r>
          </w:p>
        </w:tc>
        <w:tc>
          <w:tcPr>
            <w:tcW w:w="2409" w:type="dxa"/>
            <w:tcBorders>
              <w:top w:val="single" w:sz="4" w:space="0" w:color="auto"/>
              <w:left w:val="nil"/>
              <w:bottom w:val="single" w:sz="4" w:space="0" w:color="auto"/>
              <w:right w:val="single" w:sz="4" w:space="0" w:color="auto"/>
            </w:tcBorders>
            <w:vAlign w:val="bottom"/>
          </w:tcPr>
          <w:p w14:paraId="6D8B1883"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754,491</w:t>
            </w:r>
          </w:p>
        </w:tc>
        <w:tc>
          <w:tcPr>
            <w:tcW w:w="2552" w:type="dxa"/>
            <w:tcBorders>
              <w:top w:val="single" w:sz="4" w:space="0" w:color="auto"/>
              <w:left w:val="nil"/>
              <w:bottom w:val="single" w:sz="4" w:space="0" w:color="auto"/>
              <w:right w:val="single" w:sz="4" w:space="0" w:color="auto"/>
            </w:tcBorders>
            <w:vAlign w:val="bottom"/>
          </w:tcPr>
          <w:p w14:paraId="0C38439E"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27,652</w:t>
            </w:r>
          </w:p>
        </w:tc>
        <w:tc>
          <w:tcPr>
            <w:tcW w:w="2410" w:type="dxa"/>
            <w:tcBorders>
              <w:top w:val="single" w:sz="4" w:space="0" w:color="auto"/>
              <w:left w:val="nil"/>
              <w:bottom w:val="single" w:sz="4" w:space="0" w:color="auto"/>
              <w:right w:val="single" w:sz="4" w:space="0" w:color="auto"/>
            </w:tcBorders>
            <w:vAlign w:val="bottom"/>
          </w:tcPr>
          <w:p w14:paraId="6586B8C5" w14:textId="77777777" w:rsidR="00DA3E9B" w:rsidRPr="00DA3E9B" w:rsidRDefault="00DA3E9B" w:rsidP="00DA3E9B">
            <w:pPr>
              <w:autoSpaceDE w:val="0"/>
              <w:autoSpaceDN w:val="0"/>
              <w:adjustRightInd w:val="0"/>
              <w:spacing w:after="0"/>
              <w:ind w:firstLine="0"/>
              <w:jc w:val="right"/>
              <w:rPr>
                <w:rFonts w:eastAsia="Calibri" w:cs="Times New Roman"/>
                <w:sz w:val="20"/>
                <w:szCs w:val="20"/>
                <w:lang w:eastAsia="en-US"/>
              </w:rPr>
            </w:pPr>
            <w:r w:rsidRPr="00DA3E9B">
              <w:rPr>
                <w:rFonts w:eastAsia="Calibri" w:cs="Times New Roman"/>
                <w:sz w:val="20"/>
                <w:szCs w:val="20"/>
                <w:lang w:eastAsia="en-US"/>
              </w:rPr>
              <w:t>272,147</w:t>
            </w:r>
          </w:p>
        </w:tc>
      </w:tr>
    </w:tbl>
    <w:p w14:paraId="01556843" w14:textId="024565F0" w:rsidR="00847A57" w:rsidRPr="00D8017D" w:rsidRDefault="00847A57" w:rsidP="008349F0">
      <w:pPr>
        <w:widowControl w:val="0"/>
        <w:spacing w:before="120"/>
        <w:ind w:firstLine="0"/>
        <w:rPr>
          <w:rFonts w:eastAsia="Times New Roman" w:cs="Times New Roman"/>
          <w:i/>
          <w:color w:val="000000"/>
          <w:sz w:val="20"/>
          <w:highlight w:val="lightGray"/>
        </w:rPr>
      </w:pPr>
      <w:r w:rsidRPr="00DA3E9B">
        <w:rPr>
          <w:rFonts w:eastAsia="Times New Roman" w:cs="Times New Roman"/>
          <w:i/>
          <w:color w:val="000000"/>
          <w:sz w:val="20"/>
        </w:rPr>
        <w:t>Datu avots: C</w:t>
      </w:r>
      <w:r w:rsidR="005853DD" w:rsidRPr="00DA3E9B">
        <w:rPr>
          <w:rFonts w:eastAsia="Times New Roman" w:cs="Times New Roman"/>
          <w:i/>
          <w:color w:val="000000"/>
          <w:sz w:val="20"/>
        </w:rPr>
        <w:t>SP (atbilstoši 202</w:t>
      </w:r>
      <w:r w:rsidR="00DA3E9B" w:rsidRPr="00DA3E9B">
        <w:rPr>
          <w:rFonts w:eastAsia="Times New Roman" w:cs="Times New Roman"/>
          <w:i/>
          <w:color w:val="000000"/>
          <w:sz w:val="20"/>
        </w:rPr>
        <w:t>5</w:t>
      </w:r>
      <w:r w:rsidR="005853DD" w:rsidRPr="00DA3E9B">
        <w:rPr>
          <w:rFonts w:eastAsia="Times New Roman" w:cs="Times New Roman"/>
          <w:i/>
          <w:color w:val="000000"/>
          <w:sz w:val="20"/>
        </w:rPr>
        <w:t>. gada 30. septembrī iesniegtajiem datiem Eurostat oktobra notifikācijas vajadzībām)</w:t>
      </w:r>
    </w:p>
    <w:p w14:paraId="74F736A4" w14:textId="4AF8353A" w:rsidR="003A0BFD" w:rsidRPr="00D8017D" w:rsidRDefault="005E41CA" w:rsidP="008349F0">
      <w:pPr>
        <w:spacing w:after="0"/>
        <w:ind w:firstLine="0"/>
        <w:jc w:val="left"/>
        <w:rPr>
          <w:rFonts w:cs="Times New Roman"/>
          <w:sz w:val="20"/>
          <w:szCs w:val="20"/>
          <w:highlight w:val="lightGray"/>
        </w:rPr>
      </w:pPr>
      <w:r w:rsidRPr="00D8017D">
        <w:rPr>
          <w:rFonts w:cs="Times New Roman"/>
          <w:sz w:val="20"/>
          <w:szCs w:val="20"/>
          <w:highlight w:val="lightGray"/>
        </w:rPr>
        <w:br w:type="page"/>
      </w:r>
    </w:p>
    <w:p w14:paraId="566B8D8D" w14:textId="77777777" w:rsidR="00961262" w:rsidRPr="00961262" w:rsidRDefault="00961262" w:rsidP="00961262">
      <w:pPr>
        <w:widowControl w:val="0"/>
        <w:jc w:val="right"/>
        <w:rPr>
          <w:rFonts w:eastAsia="Times New Roman" w:cs="Times New Roman"/>
          <w:color w:val="000000"/>
        </w:rPr>
      </w:pPr>
      <w:r w:rsidRPr="00961262">
        <w:rPr>
          <w:rFonts w:eastAsia="Times New Roman" w:cs="Times New Roman"/>
          <w:color w:val="000000"/>
        </w:rPr>
        <w:lastRenderedPageBreak/>
        <w:t>2. pielikums</w:t>
      </w:r>
    </w:p>
    <w:p w14:paraId="77224C43" w14:textId="77777777" w:rsidR="00961262" w:rsidRPr="00961262" w:rsidRDefault="00961262" w:rsidP="00961262">
      <w:pPr>
        <w:widowControl w:val="0"/>
        <w:jc w:val="right"/>
        <w:rPr>
          <w:rFonts w:eastAsia="Times New Roman" w:cs="Times New Roman"/>
          <w:b/>
          <w:szCs w:val="24"/>
        </w:rPr>
      </w:pPr>
      <w:r w:rsidRPr="00961262">
        <w:rPr>
          <w:rFonts w:eastAsia="Times New Roman" w:cs="Times New Roman"/>
          <w:b/>
          <w:szCs w:val="24"/>
        </w:rPr>
        <w:t>Vispārējās valdības sektorā iekļauto kapitālsabiedrību prognozētā ietekme uz vispārējās valdības neto aizdevumiem vai aizņēmumiem (B.9) 2026., 2027. un 2028. gadā</w:t>
      </w:r>
    </w:p>
    <w:p w14:paraId="79D491B5" w14:textId="77777777" w:rsidR="00961262" w:rsidRPr="00961262" w:rsidRDefault="00961262" w:rsidP="00961262">
      <w:pPr>
        <w:widowControl w:val="0"/>
        <w:spacing w:after="0"/>
        <w:jc w:val="right"/>
        <w:rPr>
          <w:rFonts w:eastAsia="Times New Roman" w:cs="Times New Roman"/>
          <w:i/>
          <w:sz w:val="20"/>
          <w:szCs w:val="24"/>
        </w:rPr>
      </w:pPr>
    </w:p>
    <w:tbl>
      <w:tblPr>
        <w:tblW w:w="14206" w:type="dxa"/>
        <w:tblLook w:val="04A0" w:firstRow="1" w:lastRow="0" w:firstColumn="1" w:lastColumn="0" w:noHBand="0" w:noVBand="1"/>
      </w:tblPr>
      <w:tblGrid>
        <w:gridCol w:w="1187"/>
        <w:gridCol w:w="6600"/>
        <w:gridCol w:w="2121"/>
        <w:gridCol w:w="2121"/>
        <w:gridCol w:w="2177"/>
      </w:tblGrid>
      <w:tr w:rsidR="00961262" w:rsidRPr="00961262" w14:paraId="3500D15A" w14:textId="77777777" w:rsidTr="00961262">
        <w:trPr>
          <w:trHeight w:val="324"/>
          <w:tblHeader/>
        </w:trPr>
        <w:tc>
          <w:tcPr>
            <w:tcW w:w="14206" w:type="dxa"/>
            <w:gridSpan w:val="5"/>
            <w:tcBorders>
              <w:top w:val="single" w:sz="8" w:space="0" w:color="auto"/>
              <w:left w:val="single" w:sz="8" w:space="0" w:color="auto"/>
              <w:bottom w:val="single" w:sz="8" w:space="0" w:color="auto"/>
              <w:right w:val="single" w:sz="8" w:space="0" w:color="000000"/>
            </w:tcBorders>
            <w:shd w:val="clear" w:color="000000" w:fill="9BC2E6"/>
            <w:noWrap/>
            <w:vAlign w:val="center"/>
            <w:hideMark/>
          </w:tcPr>
          <w:p w14:paraId="6AE6D831" w14:textId="77777777" w:rsidR="00961262" w:rsidRPr="00961262" w:rsidRDefault="00961262" w:rsidP="00961262">
            <w:pPr>
              <w:spacing w:after="0"/>
              <w:ind w:firstLine="0"/>
              <w:jc w:val="center"/>
              <w:rPr>
                <w:rFonts w:eastAsia="Times New Roman" w:cs="Times New Roman"/>
                <w:b/>
                <w:bCs/>
                <w:color w:val="000000"/>
                <w:sz w:val="18"/>
                <w:szCs w:val="18"/>
              </w:rPr>
            </w:pPr>
            <w:r w:rsidRPr="00961262">
              <w:rPr>
                <w:rFonts w:eastAsia="Times New Roman" w:cs="Times New Roman"/>
                <w:b/>
                <w:bCs/>
                <w:color w:val="000000"/>
                <w:sz w:val="18"/>
                <w:szCs w:val="18"/>
              </w:rPr>
              <w:t>2026</w:t>
            </w:r>
          </w:p>
        </w:tc>
      </w:tr>
      <w:tr w:rsidR="00961262" w:rsidRPr="00961262" w14:paraId="4E48EE08" w14:textId="77777777" w:rsidTr="00961262">
        <w:trPr>
          <w:trHeight w:val="738"/>
          <w:tblHeader/>
        </w:trPr>
        <w:tc>
          <w:tcPr>
            <w:tcW w:w="1187" w:type="dxa"/>
            <w:tcBorders>
              <w:top w:val="nil"/>
              <w:left w:val="single" w:sz="8" w:space="0" w:color="auto"/>
              <w:bottom w:val="single" w:sz="8" w:space="0" w:color="auto"/>
              <w:right w:val="single" w:sz="8" w:space="0" w:color="auto"/>
            </w:tcBorders>
            <w:shd w:val="clear" w:color="000000" w:fill="BDD7EE"/>
            <w:noWrap/>
            <w:vAlign w:val="center"/>
            <w:hideMark/>
          </w:tcPr>
          <w:p w14:paraId="7B6C45C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N.p.k.</w:t>
            </w:r>
          </w:p>
        </w:tc>
        <w:tc>
          <w:tcPr>
            <w:tcW w:w="6600" w:type="dxa"/>
            <w:tcBorders>
              <w:top w:val="nil"/>
              <w:left w:val="nil"/>
              <w:bottom w:val="single" w:sz="8" w:space="0" w:color="auto"/>
              <w:right w:val="single" w:sz="8" w:space="0" w:color="auto"/>
            </w:tcBorders>
            <w:shd w:val="clear" w:color="000000" w:fill="BDD7EE"/>
            <w:noWrap/>
            <w:vAlign w:val="center"/>
            <w:hideMark/>
          </w:tcPr>
          <w:p w14:paraId="03BDEC9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BDD7EE"/>
            <w:vAlign w:val="center"/>
            <w:hideMark/>
          </w:tcPr>
          <w:p w14:paraId="28292129"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t xml:space="preserve">Ieņēmumi, </w:t>
            </w:r>
            <w:r w:rsidRPr="00961262">
              <w:rPr>
                <w:rFonts w:eastAsia="Times New Roman" w:cs="Times New Roman"/>
                <w:i/>
                <w:iCs/>
                <w:color w:val="000000"/>
                <w:sz w:val="18"/>
                <w:szCs w:val="18"/>
              </w:rPr>
              <w:t>euro</w:t>
            </w:r>
          </w:p>
        </w:tc>
        <w:tc>
          <w:tcPr>
            <w:tcW w:w="2121" w:type="dxa"/>
            <w:tcBorders>
              <w:top w:val="nil"/>
              <w:left w:val="nil"/>
              <w:bottom w:val="single" w:sz="8" w:space="0" w:color="auto"/>
              <w:right w:val="single" w:sz="8" w:space="0" w:color="auto"/>
            </w:tcBorders>
            <w:shd w:val="clear" w:color="000000" w:fill="BDD7EE"/>
            <w:vAlign w:val="center"/>
            <w:hideMark/>
          </w:tcPr>
          <w:p w14:paraId="4CE9FB5C"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t xml:space="preserve">Izdevumi, </w:t>
            </w:r>
            <w:r w:rsidRPr="00961262">
              <w:rPr>
                <w:rFonts w:eastAsia="Times New Roman" w:cs="Times New Roman"/>
                <w:i/>
                <w:iCs/>
                <w:color w:val="000000"/>
                <w:sz w:val="18"/>
                <w:szCs w:val="18"/>
              </w:rPr>
              <w:t>euro</w:t>
            </w:r>
          </w:p>
        </w:tc>
        <w:tc>
          <w:tcPr>
            <w:tcW w:w="2177" w:type="dxa"/>
            <w:tcBorders>
              <w:top w:val="nil"/>
              <w:left w:val="nil"/>
              <w:bottom w:val="single" w:sz="8" w:space="0" w:color="auto"/>
              <w:right w:val="single" w:sz="8" w:space="0" w:color="auto"/>
            </w:tcBorders>
            <w:shd w:val="clear" w:color="000000" w:fill="BDD7EE"/>
            <w:vAlign w:val="center"/>
            <w:hideMark/>
          </w:tcPr>
          <w:p w14:paraId="475CCD9D"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t>Ietekme uz B.9 neto aizdevumiem (+)/neto aizņēmumiem (-),</w:t>
            </w:r>
            <w:r w:rsidRPr="00961262">
              <w:rPr>
                <w:rFonts w:eastAsia="Times New Roman" w:cs="Times New Roman"/>
                <w:i/>
                <w:iCs/>
                <w:color w:val="000000"/>
                <w:sz w:val="18"/>
                <w:szCs w:val="18"/>
              </w:rPr>
              <w:t>euro</w:t>
            </w:r>
          </w:p>
        </w:tc>
      </w:tr>
      <w:tr w:rsidR="00961262" w:rsidRPr="00961262" w14:paraId="082438C0" w14:textId="77777777" w:rsidTr="0052209F">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5EE0754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S130130</w:t>
            </w:r>
          </w:p>
        </w:tc>
        <w:tc>
          <w:tcPr>
            <w:tcW w:w="6600" w:type="dxa"/>
            <w:tcBorders>
              <w:top w:val="nil"/>
              <w:left w:val="nil"/>
              <w:bottom w:val="single" w:sz="8" w:space="0" w:color="auto"/>
              <w:right w:val="single" w:sz="8" w:space="0" w:color="auto"/>
            </w:tcBorders>
            <w:shd w:val="clear" w:color="000000" w:fill="DDEBF7"/>
            <w:noWrap/>
            <w:vAlign w:val="center"/>
            <w:hideMark/>
          </w:tcPr>
          <w:p w14:paraId="63FF425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Valsts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52A0C385"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7C799CD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6082773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r>
      <w:tr w:rsidR="00961262" w:rsidRPr="00961262" w14:paraId="0CDAD935"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hideMark/>
          </w:tcPr>
          <w:p w14:paraId="70A1C0F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w:t>
            </w:r>
          </w:p>
        </w:tc>
        <w:tc>
          <w:tcPr>
            <w:tcW w:w="6600" w:type="dxa"/>
            <w:tcBorders>
              <w:top w:val="nil"/>
              <w:left w:val="nil"/>
              <w:bottom w:val="single" w:sz="8" w:space="0" w:color="auto"/>
              <w:right w:val="single" w:sz="8" w:space="0" w:color="auto"/>
            </w:tcBorders>
            <w:noWrap/>
            <w:hideMark/>
          </w:tcPr>
          <w:p w14:paraId="0874ABC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"Bērnu psihoneiroloģiskā slimnīca "Ainaži""</w:t>
            </w:r>
          </w:p>
        </w:tc>
        <w:tc>
          <w:tcPr>
            <w:tcW w:w="2121" w:type="dxa"/>
            <w:tcBorders>
              <w:top w:val="nil"/>
              <w:left w:val="nil"/>
              <w:bottom w:val="single" w:sz="8" w:space="0" w:color="auto"/>
              <w:right w:val="single" w:sz="8" w:space="0" w:color="auto"/>
            </w:tcBorders>
            <w:noWrap/>
            <w:hideMark/>
          </w:tcPr>
          <w:p w14:paraId="7EEFE33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2 195 163</w:t>
            </w:r>
          </w:p>
        </w:tc>
        <w:tc>
          <w:tcPr>
            <w:tcW w:w="2121" w:type="dxa"/>
            <w:tcBorders>
              <w:top w:val="nil"/>
              <w:left w:val="nil"/>
              <w:bottom w:val="single" w:sz="8" w:space="0" w:color="auto"/>
              <w:right w:val="single" w:sz="8" w:space="0" w:color="auto"/>
            </w:tcBorders>
            <w:noWrap/>
            <w:hideMark/>
          </w:tcPr>
          <w:p w14:paraId="53EC859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2 163 369</w:t>
            </w:r>
          </w:p>
        </w:tc>
        <w:tc>
          <w:tcPr>
            <w:tcW w:w="2177" w:type="dxa"/>
            <w:tcBorders>
              <w:top w:val="nil"/>
              <w:left w:val="nil"/>
              <w:bottom w:val="single" w:sz="8" w:space="0" w:color="auto"/>
              <w:right w:val="single" w:sz="8" w:space="0" w:color="auto"/>
            </w:tcBorders>
            <w:noWrap/>
            <w:hideMark/>
          </w:tcPr>
          <w:p w14:paraId="33CE4FD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31 794</w:t>
            </w:r>
          </w:p>
        </w:tc>
      </w:tr>
      <w:tr w:rsidR="00961262" w:rsidRPr="00961262" w14:paraId="2EB15D70"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hideMark/>
          </w:tcPr>
          <w:p w14:paraId="42CB8CC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w:t>
            </w:r>
          </w:p>
        </w:tc>
        <w:tc>
          <w:tcPr>
            <w:tcW w:w="6600" w:type="dxa"/>
            <w:tcBorders>
              <w:top w:val="nil"/>
              <w:left w:val="nil"/>
              <w:bottom w:val="single" w:sz="8" w:space="0" w:color="auto"/>
              <w:right w:val="single" w:sz="8" w:space="0" w:color="auto"/>
            </w:tcBorders>
            <w:noWrap/>
            <w:hideMark/>
          </w:tcPr>
          <w:p w14:paraId="15E3EBC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Nodibinājums "Akadēmiskās informācijas centrs"</w:t>
            </w:r>
          </w:p>
        </w:tc>
        <w:tc>
          <w:tcPr>
            <w:tcW w:w="2121" w:type="dxa"/>
            <w:tcBorders>
              <w:top w:val="nil"/>
              <w:left w:val="nil"/>
              <w:bottom w:val="single" w:sz="8" w:space="0" w:color="auto"/>
              <w:right w:val="single" w:sz="8" w:space="0" w:color="auto"/>
            </w:tcBorders>
            <w:noWrap/>
            <w:hideMark/>
          </w:tcPr>
          <w:p w14:paraId="63D83FE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2 000 000</w:t>
            </w:r>
          </w:p>
        </w:tc>
        <w:tc>
          <w:tcPr>
            <w:tcW w:w="2121" w:type="dxa"/>
            <w:tcBorders>
              <w:top w:val="nil"/>
              <w:left w:val="nil"/>
              <w:bottom w:val="single" w:sz="8" w:space="0" w:color="auto"/>
              <w:right w:val="single" w:sz="8" w:space="0" w:color="auto"/>
            </w:tcBorders>
            <w:noWrap/>
            <w:hideMark/>
          </w:tcPr>
          <w:p w14:paraId="7A1947C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2 289 477</w:t>
            </w:r>
          </w:p>
        </w:tc>
        <w:tc>
          <w:tcPr>
            <w:tcW w:w="2177" w:type="dxa"/>
            <w:tcBorders>
              <w:top w:val="nil"/>
              <w:left w:val="nil"/>
              <w:bottom w:val="single" w:sz="8" w:space="0" w:color="auto"/>
              <w:right w:val="single" w:sz="8" w:space="0" w:color="auto"/>
            </w:tcBorders>
            <w:noWrap/>
            <w:hideMark/>
          </w:tcPr>
          <w:p w14:paraId="36E29D1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-289 477</w:t>
            </w:r>
          </w:p>
        </w:tc>
      </w:tr>
      <w:tr w:rsidR="00961262" w:rsidRPr="00961262" w14:paraId="4E418B1E"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hideMark/>
          </w:tcPr>
          <w:p w14:paraId="655A629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w:t>
            </w:r>
          </w:p>
        </w:tc>
        <w:tc>
          <w:tcPr>
            <w:tcW w:w="6600" w:type="dxa"/>
            <w:tcBorders>
              <w:top w:val="nil"/>
              <w:left w:val="nil"/>
              <w:bottom w:val="single" w:sz="8" w:space="0" w:color="auto"/>
              <w:right w:val="single" w:sz="8" w:space="0" w:color="auto"/>
            </w:tcBorders>
            <w:noWrap/>
            <w:hideMark/>
          </w:tcPr>
          <w:p w14:paraId="5785DB1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"Autotransporta direkcija"</w:t>
            </w:r>
          </w:p>
        </w:tc>
        <w:tc>
          <w:tcPr>
            <w:tcW w:w="2121" w:type="dxa"/>
            <w:tcBorders>
              <w:top w:val="nil"/>
              <w:left w:val="nil"/>
              <w:bottom w:val="single" w:sz="8" w:space="0" w:color="auto"/>
              <w:right w:val="single" w:sz="8" w:space="0" w:color="auto"/>
            </w:tcBorders>
            <w:noWrap/>
            <w:hideMark/>
          </w:tcPr>
          <w:p w14:paraId="45336BE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4 448 666</w:t>
            </w:r>
          </w:p>
        </w:tc>
        <w:tc>
          <w:tcPr>
            <w:tcW w:w="2121" w:type="dxa"/>
            <w:tcBorders>
              <w:top w:val="nil"/>
              <w:left w:val="nil"/>
              <w:bottom w:val="single" w:sz="8" w:space="0" w:color="auto"/>
              <w:right w:val="single" w:sz="8" w:space="0" w:color="auto"/>
            </w:tcBorders>
            <w:noWrap/>
            <w:hideMark/>
          </w:tcPr>
          <w:p w14:paraId="60BE851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4 508 150</w:t>
            </w:r>
          </w:p>
        </w:tc>
        <w:tc>
          <w:tcPr>
            <w:tcW w:w="2177" w:type="dxa"/>
            <w:tcBorders>
              <w:top w:val="nil"/>
              <w:left w:val="nil"/>
              <w:bottom w:val="single" w:sz="8" w:space="0" w:color="auto"/>
              <w:right w:val="single" w:sz="8" w:space="0" w:color="auto"/>
            </w:tcBorders>
            <w:noWrap/>
            <w:hideMark/>
          </w:tcPr>
          <w:p w14:paraId="08054C0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-59 484</w:t>
            </w:r>
          </w:p>
        </w:tc>
      </w:tr>
      <w:tr w:rsidR="00961262" w:rsidRPr="00961262" w14:paraId="17AE661D"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hideMark/>
          </w:tcPr>
          <w:p w14:paraId="4382E60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w:t>
            </w:r>
          </w:p>
        </w:tc>
        <w:tc>
          <w:tcPr>
            <w:tcW w:w="6600" w:type="dxa"/>
            <w:tcBorders>
              <w:top w:val="nil"/>
              <w:left w:val="nil"/>
              <w:bottom w:val="single" w:sz="8" w:space="0" w:color="auto"/>
              <w:right w:val="single" w:sz="8" w:space="0" w:color="auto"/>
            </w:tcBorders>
            <w:noWrap/>
            <w:hideMark/>
          </w:tcPr>
          <w:p w14:paraId="0FC046A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xml:space="preserve">VSIA </w:t>
            </w:r>
            <w:r w:rsidRPr="00961262">
              <w:rPr>
                <w:rFonts w:eastAsia="Calibri" w:cs="Times New Roman"/>
                <w:sz w:val="18"/>
                <w:szCs w:val="18"/>
                <w:lang w:eastAsia="en-US"/>
              </w:rPr>
              <w:t>"</w:t>
            </w:r>
            <w:r w:rsidRPr="00961262">
              <w:rPr>
                <w:rFonts w:eastAsia="Times New Roman" w:cs="Times New Roman"/>
                <w:color w:val="000000"/>
                <w:sz w:val="18"/>
                <w:szCs w:val="18"/>
              </w:rPr>
              <w:t>Bērnu klīniskā universitātes slimnīca</w:t>
            </w:r>
            <w:r w:rsidRPr="00961262">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noWrap/>
            <w:hideMark/>
          </w:tcPr>
          <w:p w14:paraId="5E627A6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83 633 253</w:t>
            </w:r>
          </w:p>
        </w:tc>
        <w:tc>
          <w:tcPr>
            <w:tcW w:w="2121" w:type="dxa"/>
            <w:tcBorders>
              <w:top w:val="nil"/>
              <w:left w:val="nil"/>
              <w:bottom w:val="single" w:sz="8" w:space="0" w:color="auto"/>
              <w:right w:val="single" w:sz="8" w:space="0" w:color="auto"/>
            </w:tcBorders>
            <w:noWrap/>
            <w:hideMark/>
          </w:tcPr>
          <w:p w14:paraId="02FDF10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83 412 474</w:t>
            </w:r>
          </w:p>
        </w:tc>
        <w:tc>
          <w:tcPr>
            <w:tcW w:w="2177" w:type="dxa"/>
            <w:tcBorders>
              <w:top w:val="nil"/>
              <w:left w:val="nil"/>
              <w:bottom w:val="single" w:sz="8" w:space="0" w:color="auto"/>
              <w:right w:val="single" w:sz="8" w:space="0" w:color="auto"/>
            </w:tcBorders>
            <w:noWrap/>
            <w:hideMark/>
          </w:tcPr>
          <w:p w14:paraId="63142A7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220 779</w:t>
            </w:r>
          </w:p>
        </w:tc>
      </w:tr>
      <w:tr w:rsidR="00961262" w:rsidRPr="00961262" w14:paraId="238D4A6F"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hideMark/>
          </w:tcPr>
          <w:p w14:paraId="18901E3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w:t>
            </w:r>
          </w:p>
        </w:tc>
        <w:tc>
          <w:tcPr>
            <w:tcW w:w="6600" w:type="dxa"/>
            <w:tcBorders>
              <w:top w:val="nil"/>
              <w:left w:val="nil"/>
              <w:bottom w:val="single" w:sz="8" w:space="0" w:color="auto"/>
              <w:right w:val="single" w:sz="8" w:space="0" w:color="auto"/>
            </w:tcBorders>
            <w:noWrap/>
            <w:hideMark/>
          </w:tcPr>
          <w:p w14:paraId="6BE3AF8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xml:space="preserve">SIA </w:t>
            </w:r>
            <w:r w:rsidRPr="00961262">
              <w:rPr>
                <w:rFonts w:eastAsia="Calibri" w:cs="Times New Roman"/>
                <w:sz w:val="18"/>
                <w:szCs w:val="18"/>
                <w:lang w:eastAsia="en-US"/>
              </w:rPr>
              <w:t>"</w:t>
            </w:r>
            <w:r w:rsidRPr="00961262">
              <w:rPr>
                <w:rFonts w:eastAsia="Times New Roman" w:cs="Times New Roman"/>
                <w:color w:val="000000"/>
                <w:sz w:val="18"/>
                <w:szCs w:val="18"/>
              </w:rPr>
              <w:t>Veselības centrs "Biķernieki"</w:t>
            </w:r>
            <w:r w:rsidRPr="00961262">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noWrap/>
            <w:hideMark/>
          </w:tcPr>
          <w:p w14:paraId="18D15A1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3 722 200</w:t>
            </w:r>
          </w:p>
        </w:tc>
        <w:tc>
          <w:tcPr>
            <w:tcW w:w="2121" w:type="dxa"/>
            <w:tcBorders>
              <w:top w:val="nil"/>
              <w:left w:val="nil"/>
              <w:bottom w:val="single" w:sz="8" w:space="0" w:color="auto"/>
              <w:right w:val="single" w:sz="8" w:space="0" w:color="auto"/>
            </w:tcBorders>
            <w:noWrap/>
            <w:hideMark/>
          </w:tcPr>
          <w:p w14:paraId="327AA11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3 720 129</w:t>
            </w:r>
          </w:p>
        </w:tc>
        <w:tc>
          <w:tcPr>
            <w:tcW w:w="2177" w:type="dxa"/>
            <w:tcBorders>
              <w:top w:val="nil"/>
              <w:left w:val="nil"/>
              <w:bottom w:val="single" w:sz="8" w:space="0" w:color="auto"/>
              <w:right w:val="single" w:sz="8" w:space="0" w:color="auto"/>
            </w:tcBorders>
            <w:noWrap/>
            <w:hideMark/>
          </w:tcPr>
          <w:p w14:paraId="2582BCA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2 071</w:t>
            </w:r>
          </w:p>
        </w:tc>
      </w:tr>
      <w:tr w:rsidR="00961262" w:rsidRPr="00961262" w14:paraId="70D39E8D"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hideMark/>
          </w:tcPr>
          <w:p w14:paraId="7E6D5B6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w:t>
            </w:r>
          </w:p>
        </w:tc>
        <w:tc>
          <w:tcPr>
            <w:tcW w:w="6600" w:type="dxa"/>
            <w:tcBorders>
              <w:top w:val="nil"/>
              <w:left w:val="nil"/>
              <w:bottom w:val="single" w:sz="8" w:space="0" w:color="auto"/>
              <w:right w:val="single" w:sz="8" w:space="0" w:color="auto"/>
            </w:tcBorders>
            <w:noWrap/>
            <w:hideMark/>
          </w:tcPr>
          <w:p w14:paraId="4457E7B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 xml:space="preserve">VSIA </w:t>
            </w:r>
            <w:r w:rsidRPr="00961262">
              <w:rPr>
                <w:rFonts w:eastAsia="Times New Roman" w:cs="Times New Roman"/>
                <w:color w:val="000000"/>
                <w:sz w:val="18"/>
                <w:szCs w:val="18"/>
              </w:rPr>
              <w:t>"</w:t>
            </w:r>
            <w:r w:rsidRPr="00961262">
              <w:rPr>
                <w:rFonts w:eastAsia="Calibri" w:cs="Times New Roman"/>
                <w:sz w:val="18"/>
                <w:szCs w:val="18"/>
                <w:lang w:eastAsia="en-US"/>
              </w:rPr>
              <w:t>Bulduru Dārzkopības vidusskola</w:t>
            </w:r>
            <w:r w:rsidRPr="00961262">
              <w:rPr>
                <w:rFonts w:eastAsia="Times New Roman" w:cs="Times New Roman"/>
                <w:color w:val="000000"/>
                <w:sz w:val="18"/>
                <w:szCs w:val="18"/>
              </w:rPr>
              <w:t>"</w:t>
            </w:r>
          </w:p>
        </w:tc>
        <w:tc>
          <w:tcPr>
            <w:tcW w:w="2121" w:type="dxa"/>
            <w:tcBorders>
              <w:top w:val="nil"/>
              <w:left w:val="nil"/>
              <w:bottom w:val="single" w:sz="8" w:space="0" w:color="auto"/>
              <w:right w:val="single" w:sz="8" w:space="0" w:color="auto"/>
            </w:tcBorders>
            <w:noWrap/>
            <w:hideMark/>
          </w:tcPr>
          <w:p w14:paraId="7B612FF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845 000</w:t>
            </w:r>
          </w:p>
        </w:tc>
        <w:tc>
          <w:tcPr>
            <w:tcW w:w="2121" w:type="dxa"/>
            <w:tcBorders>
              <w:top w:val="nil"/>
              <w:left w:val="nil"/>
              <w:bottom w:val="single" w:sz="8" w:space="0" w:color="auto"/>
              <w:right w:val="single" w:sz="8" w:space="0" w:color="auto"/>
            </w:tcBorders>
            <w:noWrap/>
            <w:hideMark/>
          </w:tcPr>
          <w:p w14:paraId="5A7A2AC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957 950</w:t>
            </w:r>
          </w:p>
        </w:tc>
        <w:tc>
          <w:tcPr>
            <w:tcW w:w="2177" w:type="dxa"/>
            <w:tcBorders>
              <w:top w:val="nil"/>
              <w:left w:val="nil"/>
              <w:bottom w:val="single" w:sz="8" w:space="0" w:color="auto"/>
              <w:right w:val="single" w:sz="8" w:space="0" w:color="auto"/>
            </w:tcBorders>
            <w:noWrap/>
            <w:hideMark/>
          </w:tcPr>
          <w:p w14:paraId="1BC85E3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-112 950</w:t>
            </w:r>
          </w:p>
        </w:tc>
      </w:tr>
      <w:tr w:rsidR="00961262" w:rsidRPr="00961262" w14:paraId="6923E543"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hideMark/>
          </w:tcPr>
          <w:p w14:paraId="01766C0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w:t>
            </w:r>
          </w:p>
        </w:tc>
        <w:tc>
          <w:tcPr>
            <w:tcW w:w="6600" w:type="dxa"/>
            <w:tcBorders>
              <w:top w:val="nil"/>
              <w:left w:val="nil"/>
              <w:bottom w:val="single" w:sz="8" w:space="0" w:color="auto"/>
              <w:right w:val="single" w:sz="8" w:space="0" w:color="auto"/>
            </w:tcBorders>
            <w:noWrap/>
            <w:hideMark/>
          </w:tcPr>
          <w:p w14:paraId="371A21A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VAS "Ceļu satiksmes drošības direkcija"</w:t>
            </w:r>
          </w:p>
        </w:tc>
        <w:tc>
          <w:tcPr>
            <w:tcW w:w="2121" w:type="dxa"/>
            <w:tcBorders>
              <w:top w:val="nil"/>
              <w:left w:val="nil"/>
              <w:bottom w:val="single" w:sz="8" w:space="0" w:color="auto"/>
              <w:right w:val="single" w:sz="8" w:space="0" w:color="auto"/>
            </w:tcBorders>
            <w:noWrap/>
            <w:hideMark/>
          </w:tcPr>
          <w:p w14:paraId="008AD65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64 816 652</w:t>
            </w:r>
          </w:p>
        </w:tc>
        <w:tc>
          <w:tcPr>
            <w:tcW w:w="2121" w:type="dxa"/>
            <w:tcBorders>
              <w:top w:val="nil"/>
              <w:left w:val="nil"/>
              <w:bottom w:val="single" w:sz="8" w:space="0" w:color="auto"/>
              <w:right w:val="single" w:sz="8" w:space="0" w:color="auto"/>
            </w:tcBorders>
            <w:noWrap/>
            <w:hideMark/>
          </w:tcPr>
          <w:p w14:paraId="694DD3D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63 523 117</w:t>
            </w:r>
          </w:p>
        </w:tc>
        <w:tc>
          <w:tcPr>
            <w:tcW w:w="2177" w:type="dxa"/>
            <w:tcBorders>
              <w:top w:val="nil"/>
              <w:left w:val="nil"/>
              <w:bottom w:val="single" w:sz="8" w:space="0" w:color="auto"/>
              <w:right w:val="single" w:sz="8" w:space="0" w:color="auto"/>
            </w:tcBorders>
            <w:noWrap/>
            <w:hideMark/>
          </w:tcPr>
          <w:p w14:paraId="69C5ED0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1 293 535</w:t>
            </w:r>
          </w:p>
        </w:tc>
      </w:tr>
      <w:tr w:rsidR="00961262" w:rsidRPr="00961262" w14:paraId="325672B1"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hideMark/>
          </w:tcPr>
          <w:p w14:paraId="211F178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w:t>
            </w:r>
          </w:p>
        </w:tc>
        <w:tc>
          <w:tcPr>
            <w:tcW w:w="6600" w:type="dxa"/>
            <w:tcBorders>
              <w:top w:val="nil"/>
              <w:left w:val="nil"/>
              <w:bottom w:val="single" w:sz="8" w:space="0" w:color="auto"/>
              <w:right w:val="single" w:sz="8" w:space="0" w:color="auto"/>
            </w:tcBorders>
            <w:noWrap/>
            <w:hideMark/>
          </w:tcPr>
          <w:p w14:paraId="40D5736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"Daugavpils psihoneiroloģiskā slimnīca"</w:t>
            </w:r>
          </w:p>
        </w:tc>
        <w:tc>
          <w:tcPr>
            <w:tcW w:w="2121" w:type="dxa"/>
            <w:tcBorders>
              <w:top w:val="nil"/>
              <w:left w:val="nil"/>
              <w:bottom w:val="single" w:sz="8" w:space="0" w:color="auto"/>
              <w:right w:val="single" w:sz="8" w:space="0" w:color="auto"/>
            </w:tcBorders>
            <w:noWrap/>
            <w:hideMark/>
          </w:tcPr>
          <w:p w14:paraId="57B7F69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23 853 244</w:t>
            </w:r>
          </w:p>
        </w:tc>
        <w:tc>
          <w:tcPr>
            <w:tcW w:w="2121" w:type="dxa"/>
            <w:tcBorders>
              <w:top w:val="nil"/>
              <w:left w:val="nil"/>
              <w:bottom w:val="single" w:sz="8" w:space="0" w:color="auto"/>
              <w:right w:val="single" w:sz="8" w:space="0" w:color="auto"/>
            </w:tcBorders>
            <w:noWrap/>
            <w:hideMark/>
          </w:tcPr>
          <w:p w14:paraId="477C4BC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24 471 444</w:t>
            </w:r>
          </w:p>
        </w:tc>
        <w:tc>
          <w:tcPr>
            <w:tcW w:w="2177" w:type="dxa"/>
            <w:tcBorders>
              <w:top w:val="nil"/>
              <w:left w:val="nil"/>
              <w:bottom w:val="single" w:sz="8" w:space="0" w:color="auto"/>
              <w:right w:val="single" w:sz="8" w:space="0" w:color="auto"/>
            </w:tcBorders>
            <w:noWrap/>
            <w:hideMark/>
          </w:tcPr>
          <w:p w14:paraId="06742FB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-618 200</w:t>
            </w:r>
          </w:p>
        </w:tc>
      </w:tr>
      <w:tr w:rsidR="00961262" w:rsidRPr="00961262" w14:paraId="730905D5"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hideMark/>
          </w:tcPr>
          <w:p w14:paraId="397ABE8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w:t>
            </w:r>
          </w:p>
        </w:tc>
        <w:tc>
          <w:tcPr>
            <w:tcW w:w="6600" w:type="dxa"/>
            <w:tcBorders>
              <w:top w:val="nil"/>
              <w:left w:val="nil"/>
              <w:bottom w:val="single" w:sz="8" w:space="0" w:color="auto"/>
              <w:right w:val="single" w:sz="8" w:space="0" w:color="auto"/>
            </w:tcBorders>
            <w:noWrap/>
          </w:tcPr>
          <w:p w14:paraId="34EC0CC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xml:space="preserve">SIA </w:t>
            </w:r>
            <w:r w:rsidRPr="00961262">
              <w:rPr>
                <w:rFonts w:eastAsia="Calibri" w:cs="Times New Roman"/>
                <w:sz w:val="18"/>
                <w:szCs w:val="18"/>
                <w:lang w:eastAsia="en-US"/>
              </w:rPr>
              <w:t>"Daugavpils Reģionālā slimnīca"</w:t>
            </w:r>
          </w:p>
        </w:tc>
        <w:tc>
          <w:tcPr>
            <w:tcW w:w="2121" w:type="dxa"/>
            <w:tcBorders>
              <w:top w:val="nil"/>
              <w:left w:val="nil"/>
              <w:bottom w:val="single" w:sz="8" w:space="0" w:color="auto"/>
              <w:right w:val="single" w:sz="8" w:space="0" w:color="auto"/>
            </w:tcBorders>
            <w:noWrap/>
          </w:tcPr>
          <w:p w14:paraId="5EB3BA1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58 345 882</w:t>
            </w:r>
          </w:p>
        </w:tc>
        <w:tc>
          <w:tcPr>
            <w:tcW w:w="2121" w:type="dxa"/>
            <w:tcBorders>
              <w:top w:val="nil"/>
              <w:left w:val="nil"/>
              <w:bottom w:val="single" w:sz="8" w:space="0" w:color="auto"/>
              <w:right w:val="single" w:sz="8" w:space="0" w:color="auto"/>
            </w:tcBorders>
            <w:noWrap/>
          </w:tcPr>
          <w:p w14:paraId="2FF6BEE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57 771 955</w:t>
            </w:r>
          </w:p>
        </w:tc>
        <w:tc>
          <w:tcPr>
            <w:tcW w:w="2177" w:type="dxa"/>
            <w:tcBorders>
              <w:top w:val="nil"/>
              <w:left w:val="nil"/>
              <w:bottom w:val="single" w:sz="8" w:space="0" w:color="auto"/>
              <w:right w:val="single" w:sz="8" w:space="0" w:color="auto"/>
            </w:tcBorders>
            <w:noWrap/>
          </w:tcPr>
          <w:p w14:paraId="28056BE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573 927</w:t>
            </w:r>
          </w:p>
        </w:tc>
      </w:tr>
      <w:tr w:rsidR="00961262" w:rsidRPr="00961262" w14:paraId="76BB291D"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3C31ADD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w:t>
            </w:r>
          </w:p>
        </w:tc>
        <w:tc>
          <w:tcPr>
            <w:tcW w:w="6600" w:type="dxa"/>
            <w:tcBorders>
              <w:top w:val="nil"/>
              <w:left w:val="nil"/>
              <w:bottom w:val="single" w:sz="8" w:space="0" w:color="auto"/>
              <w:right w:val="single" w:sz="8" w:space="0" w:color="auto"/>
            </w:tcBorders>
            <w:noWrap/>
          </w:tcPr>
          <w:p w14:paraId="58E62B6D"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"Daugavpils teātris"</w:t>
            </w:r>
          </w:p>
        </w:tc>
        <w:tc>
          <w:tcPr>
            <w:tcW w:w="2121" w:type="dxa"/>
            <w:tcBorders>
              <w:top w:val="nil"/>
              <w:left w:val="nil"/>
              <w:bottom w:val="single" w:sz="8" w:space="0" w:color="auto"/>
              <w:right w:val="single" w:sz="8" w:space="0" w:color="auto"/>
            </w:tcBorders>
            <w:noWrap/>
          </w:tcPr>
          <w:p w14:paraId="111CE22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2 602 621</w:t>
            </w:r>
          </w:p>
        </w:tc>
        <w:tc>
          <w:tcPr>
            <w:tcW w:w="2121" w:type="dxa"/>
            <w:tcBorders>
              <w:top w:val="nil"/>
              <w:left w:val="nil"/>
              <w:bottom w:val="single" w:sz="8" w:space="0" w:color="auto"/>
              <w:right w:val="single" w:sz="8" w:space="0" w:color="auto"/>
            </w:tcBorders>
            <w:noWrap/>
          </w:tcPr>
          <w:p w14:paraId="1C1C6E5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2 601 021</w:t>
            </w:r>
          </w:p>
        </w:tc>
        <w:tc>
          <w:tcPr>
            <w:tcW w:w="2177" w:type="dxa"/>
            <w:tcBorders>
              <w:top w:val="nil"/>
              <w:left w:val="nil"/>
              <w:bottom w:val="single" w:sz="8" w:space="0" w:color="auto"/>
              <w:right w:val="single" w:sz="8" w:space="0" w:color="auto"/>
            </w:tcBorders>
            <w:noWrap/>
          </w:tcPr>
          <w:p w14:paraId="09C21C0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1 600</w:t>
            </w:r>
          </w:p>
        </w:tc>
      </w:tr>
      <w:tr w:rsidR="00961262" w:rsidRPr="00961262" w14:paraId="072F34EB"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05252A2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w:t>
            </w:r>
          </w:p>
        </w:tc>
        <w:tc>
          <w:tcPr>
            <w:tcW w:w="6600" w:type="dxa"/>
            <w:tcBorders>
              <w:top w:val="nil"/>
              <w:left w:val="nil"/>
              <w:bottom w:val="single" w:sz="8" w:space="0" w:color="auto"/>
              <w:right w:val="single" w:sz="8" w:space="0" w:color="auto"/>
            </w:tcBorders>
            <w:noWrap/>
          </w:tcPr>
          <w:p w14:paraId="7DD00F3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"Eiropas Dzelzceļa līnijas"</w:t>
            </w:r>
          </w:p>
        </w:tc>
        <w:tc>
          <w:tcPr>
            <w:tcW w:w="2121" w:type="dxa"/>
            <w:tcBorders>
              <w:top w:val="nil"/>
              <w:left w:val="nil"/>
              <w:bottom w:val="single" w:sz="8" w:space="0" w:color="auto"/>
              <w:right w:val="single" w:sz="8" w:space="0" w:color="auto"/>
            </w:tcBorders>
            <w:noWrap/>
          </w:tcPr>
          <w:p w14:paraId="31E5598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4 921 512</w:t>
            </w:r>
          </w:p>
        </w:tc>
        <w:tc>
          <w:tcPr>
            <w:tcW w:w="2121" w:type="dxa"/>
            <w:tcBorders>
              <w:top w:val="nil"/>
              <w:left w:val="nil"/>
              <w:bottom w:val="single" w:sz="8" w:space="0" w:color="auto"/>
              <w:right w:val="single" w:sz="8" w:space="0" w:color="auto"/>
            </w:tcBorders>
            <w:noWrap/>
          </w:tcPr>
          <w:p w14:paraId="46A9274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4 921 512</w:t>
            </w:r>
          </w:p>
        </w:tc>
        <w:tc>
          <w:tcPr>
            <w:tcW w:w="2177" w:type="dxa"/>
            <w:tcBorders>
              <w:top w:val="nil"/>
              <w:left w:val="nil"/>
              <w:bottom w:val="single" w:sz="8" w:space="0" w:color="auto"/>
              <w:right w:val="single" w:sz="8" w:space="0" w:color="auto"/>
            </w:tcBorders>
            <w:noWrap/>
          </w:tcPr>
          <w:p w14:paraId="62558DD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3A3B4C78"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390DDD9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w:t>
            </w:r>
          </w:p>
        </w:tc>
        <w:tc>
          <w:tcPr>
            <w:tcW w:w="6600" w:type="dxa"/>
            <w:tcBorders>
              <w:top w:val="nil"/>
              <w:left w:val="nil"/>
              <w:bottom w:val="single" w:sz="8" w:space="0" w:color="auto"/>
              <w:right w:val="single" w:sz="8" w:space="0" w:color="auto"/>
            </w:tcBorders>
            <w:noWrap/>
          </w:tcPr>
          <w:p w14:paraId="63FB730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"Enerģijas publiskais tirgotājs"</w:t>
            </w:r>
          </w:p>
        </w:tc>
        <w:tc>
          <w:tcPr>
            <w:tcW w:w="2121" w:type="dxa"/>
            <w:tcBorders>
              <w:top w:val="nil"/>
              <w:left w:val="nil"/>
              <w:bottom w:val="single" w:sz="8" w:space="0" w:color="auto"/>
              <w:right w:val="single" w:sz="8" w:space="0" w:color="auto"/>
            </w:tcBorders>
            <w:noWrap/>
          </w:tcPr>
          <w:p w14:paraId="4078A6B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36 534 648</w:t>
            </w:r>
          </w:p>
        </w:tc>
        <w:tc>
          <w:tcPr>
            <w:tcW w:w="2121" w:type="dxa"/>
            <w:tcBorders>
              <w:top w:val="nil"/>
              <w:left w:val="nil"/>
              <w:bottom w:val="single" w:sz="8" w:space="0" w:color="auto"/>
              <w:right w:val="single" w:sz="8" w:space="0" w:color="auto"/>
            </w:tcBorders>
            <w:noWrap/>
          </w:tcPr>
          <w:p w14:paraId="6FA085C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68 458 367</w:t>
            </w:r>
          </w:p>
        </w:tc>
        <w:tc>
          <w:tcPr>
            <w:tcW w:w="2177" w:type="dxa"/>
            <w:tcBorders>
              <w:top w:val="nil"/>
              <w:left w:val="nil"/>
              <w:bottom w:val="single" w:sz="8" w:space="0" w:color="auto"/>
              <w:right w:val="single" w:sz="8" w:space="0" w:color="auto"/>
            </w:tcBorders>
            <w:noWrap/>
          </w:tcPr>
          <w:p w14:paraId="7C39388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-31 923 719</w:t>
            </w:r>
          </w:p>
        </w:tc>
      </w:tr>
      <w:tr w:rsidR="00961262" w:rsidRPr="00961262" w14:paraId="6FAF5A1F"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0FF169F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w:t>
            </w:r>
          </w:p>
        </w:tc>
        <w:tc>
          <w:tcPr>
            <w:tcW w:w="6600" w:type="dxa"/>
            <w:tcBorders>
              <w:top w:val="nil"/>
              <w:left w:val="nil"/>
              <w:bottom w:val="single" w:sz="8" w:space="0" w:color="auto"/>
              <w:right w:val="single" w:sz="8" w:space="0" w:color="auto"/>
            </w:tcBorders>
            <w:noWrap/>
          </w:tcPr>
          <w:p w14:paraId="3B7A0DE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"FeLM"</w:t>
            </w:r>
          </w:p>
        </w:tc>
        <w:tc>
          <w:tcPr>
            <w:tcW w:w="2121" w:type="dxa"/>
            <w:tcBorders>
              <w:top w:val="nil"/>
              <w:left w:val="nil"/>
              <w:bottom w:val="single" w:sz="8" w:space="0" w:color="auto"/>
              <w:right w:val="single" w:sz="8" w:space="0" w:color="auto"/>
            </w:tcBorders>
            <w:noWrap/>
          </w:tcPr>
          <w:p w14:paraId="547532F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noWrap/>
          </w:tcPr>
          <w:p w14:paraId="2F30D67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noWrap/>
          </w:tcPr>
          <w:p w14:paraId="7FA1726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0BC31EDA"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35213CC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w:t>
            </w:r>
          </w:p>
        </w:tc>
        <w:tc>
          <w:tcPr>
            <w:tcW w:w="6600" w:type="dxa"/>
            <w:tcBorders>
              <w:top w:val="nil"/>
              <w:left w:val="nil"/>
              <w:bottom w:val="single" w:sz="8" w:space="0" w:color="auto"/>
              <w:right w:val="single" w:sz="8" w:space="0" w:color="auto"/>
            </w:tcBorders>
          </w:tcPr>
          <w:p w14:paraId="5725F00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"Slimnīca "Ģintermuiža""</w:t>
            </w:r>
          </w:p>
        </w:tc>
        <w:tc>
          <w:tcPr>
            <w:tcW w:w="2121" w:type="dxa"/>
            <w:tcBorders>
              <w:top w:val="nil"/>
              <w:left w:val="nil"/>
              <w:bottom w:val="single" w:sz="8" w:space="0" w:color="auto"/>
              <w:right w:val="single" w:sz="8" w:space="0" w:color="auto"/>
            </w:tcBorders>
            <w:noWrap/>
          </w:tcPr>
          <w:p w14:paraId="6575B31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13 976 165</w:t>
            </w:r>
          </w:p>
        </w:tc>
        <w:tc>
          <w:tcPr>
            <w:tcW w:w="2121" w:type="dxa"/>
            <w:tcBorders>
              <w:top w:val="nil"/>
              <w:left w:val="nil"/>
              <w:bottom w:val="single" w:sz="8" w:space="0" w:color="auto"/>
              <w:right w:val="single" w:sz="8" w:space="0" w:color="auto"/>
            </w:tcBorders>
            <w:noWrap/>
          </w:tcPr>
          <w:p w14:paraId="6F64CAA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13 967 702</w:t>
            </w:r>
          </w:p>
        </w:tc>
        <w:tc>
          <w:tcPr>
            <w:tcW w:w="2177" w:type="dxa"/>
            <w:tcBorders>
              <w:top w:val="nil"/>
              <w:left w:val="nil"/>
              <w:bottom w:val="single" w:sz="8" w:space="0" w:color="auto"/>
              <w:right w:val="single" w:sz="8" w:space="0" w:color="auto"/>
            </w:tcBorders>
            <w:noWrap/>
          </w:tcPr>
          <w:p w14:paraId="08BE68B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8 463</w:t>
            </w:r>
          </w:p>
        </w:tc>
      </w:tr>
      <w:tr w:rsidR="00961262" w:rsidRPr="00961262" w14:paraId="4F26209C"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7834EC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w:t>
            </w:r>
          </w:p>
        </w:tc>
        <w:tc>
          <w:tcPr>
            <w:tcW w:w="6600" w:type="dxa"/>
            <w:tcBorders>
              <w:top w:val="nil"/>
              <w:left w:val="nil"/>
              <w:bottom w:val="single" w:sz="8" w:space="0" w:color="auto"/>
              <w:right w:val="single" w:sz="8" w:space="0" w:color="auto"/>
            </w:tcBorders>
          </w:tcPr>
          <w:p w14:paraId="63725AB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"Iekšlietu ministrijas poliklīnika"</w:t>
            </w:r>
          </w:p>
        </w:tc>
        <w:tc>
          <w:tcPr>
            <w:tcW w:w="2121" w:type="dxa"/>
            <w:tcBorders>
              <w:top w:val="nil"/>
              <w:left w:val="nil"/>
              <w:bottom w:val="single" w:sz="8" w:space="0" w:color="auto"/>
              <w:right w:val="single" w:sz="8" w:space="0" w:color="auto"/>
            </w:tcBorders>
            <w:noWrap/>
          </w:tcPr>
          <w:p w14:paraId="350E4B2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3 309 800</w:t>
            </w:r>
          </w:p>
        </w:tc>
        <w:tc>
          <w:tcPr>
            <w:tcW w:w="2121" w:type="dxa"/>
            <w:tcBorders>
              <w:top w:val="nil"/>
              <w:left w:val="nil"/>
              <w:bottom w:val="single" w:sz="8" w:space="0" w:color="auto"/>
              <w:right w:val="single" w:sz="8" w:space="0" w:color="auto"/>
            </w:tcBorders>
            <w:noWrap/>
          </w:tcPr>
          <w:p w14:paraId="00663E5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3 283 768</w:t>
            </w:r>
          </w:p>
        </w:tc>
        <w:tc>
          <w:tcPr>
            <w:tcW w:w="2177" w:type="dxa"/>
            <w:tcBorders>
              <w:top w:val="nil"/>
              <w:left w:val="nil"/>
              <w:bottom w:val="single" w:sz="8" w:space="0" w:color="auto"/>
              <w:right w:val="single" w:sz="8" w:space="0" w:color="auto"/>
            </w:tcBorders>
            <w:noWrap/>
          </w:tcPr>
          <w:p w14:paraId="6D7225E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26 032</w:t>
            </w:r>
          </w:p>
        </w:tc>
      </w:tr>
      <w:tr w:rsidR="00961262" w:rsidRPr="00961262" w14:paraId="083C4F49"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04BDE05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16</w:t>
            </w:r>
          </w:p>
        </w:tc>
        <w:tc>
          <w:tcPr>
            <w:tcW w:w="6600" w:type="dxa"/>
            <w:tcBorders>
              <w:top w:val="nil"/>
              <w:left w:val="nil"/>
              <w:bottom w:val="single" w:sz="8" w:space="0" w:color="auto"/>
              <w:right w:val="single" w:sz="8" w:space="0" w:color="auto"/>
            </w:tcBorders>
            <w:noWrap/>
          </w:tcPr>
          <w:p w14:paraId="0354DB2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AS "LatRailNet"</w:t>
            </w:r>
          </w:p>
        </w:tc>
        <w:tc>
          <w:tcPr>
            <w:tcW w:w="2121" w:type="dxa"/>
            <w:tcBorders>
              <w:top w:val="nil"/>
              <w:left w:val="nil"/>
              <w:bottom w:val="single" w:sz="8" w:space="0" w:color="auto"/>
              <w:right w:val="single" w:sz="8" w:space="0" w:color="auto"/>
            </w:tcBorders>
            <w:noWrap/>
          </w:tcPr>
          <w:p w14:paraId="6969183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1 641 012</w:t>
            </w:r>
          </w:p>
        </w:tc>
        <w:tc>
          <w:tcPr>
            <w:tcW w:w="2121" w:type="dxa"/>
            <w:tcBorders>
              <w:top w:val="nil"/>
              <w:left w:val="nil"/>
              <w:bottom w:val="single" w:sz="8" w:space="0" w:color="auto"/>
              <w:right w:val="single" w:sz="8" w:space="0" w:color="auto"/>
            </w:tcBorders>
            <w:noWrap/>
          </w:tcPr>
          <w:p w14:paraId="7FD247F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1 641 012</w:t>
            </w:r>
          </w:p>
        </w:tc>
        <w:tc>
          <w:tcPr>
            <w:tcW w:w="2177" w:type="dxa"/>
            <w:tcBorders>
              <w:top w:val="nil"/>
              <w:left w:val="nil"/>
              <w:bottom w:val="single" w:sz="8" w:space="0" w:color="auto"/>
              <w:right w:val="single" w:sz="8" w:space="0" w:color="auto"/>
            </w:tcBorders>
            <w:noWrap/>
          </w:tcPr>
          <w:p w14:paraId="41201E6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58DF976C"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0CBA578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17</w:t>
            </w:r>
          </w:p>
        </w:tc>
        <w:tc>
          <w:tcPr>
            <w:tcW w:w="6600" w:type="dxa"/>
            <w:tcBorders>
              <w:top w:val="nil"/>
              <w:left w:val="nil"/>
              <w:bottom w:val="single" w:sz="8" w:space="0" w:color="auto"/>
              <w:right w:val="single" w:sz="8" w:space="0" w:color="auto"/>
            </w:tcBorders>
            <w:noWrap/>
          </w:tcPr>
          <w:p w14:paraId="63BC656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"Valsts Akadēmiskais koris "Latvija""</w:t>
            </w:r>
          </w:p>
        </w:tc>
        <w:tc>
          <w:tcPr>
            <w:tcW w:w="2121" w:type="dxa"/>
            <w:tcBorders>
              <w:top w:val="nil"/>
              <w:left w:val="nil"/>
              <w:bottom w:val="single" w:sz="8" w:space="0" w:color="auto"/>
              <w:right w:val="single" w:sz="8" w:space="0" w:color="auto"/>
            </w:tcBorders>
            <w:noWrap/>
          </w:tcPr>
          <w:p w14:paraId="4D8B035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137 500</w:t>
            </w:r>
          </w:p>
        </w:tc>
        <w:tc>
          <w:tcPr>
            <w:tcW w:w="2121" w:type="dxa"/>
            <w:tcBorders>
              <w:top w:val="nil"/>
              <w:left w:val="nil"/>
              <w:bottom w:val="single" w:sz="8" w:space="0" w:color="auto"/>
              <w:right w:val="single" w:sz="8" w:space="0" w:color="auto"/>
            </w:tcBorders>
            <w:noWrap/>
          </w:tcPr>
          <w:p w14:paraId="690B57F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135 500</w:t>
            </w:r>
          </w:p>
        </w:tc>
        <w:tc>
          <w:tcPr>
            <w:tcW w:w="2177" w:type="dxa"/>
            <w:tcBorders>
              <w:top w:val="nil"/>
              <w:left w:val="nil"/>
              <w:bottom w:val="single" w:sz="8" w:space="0" w:color="auto"/>
              <w:right w:val="single" w:sz="8" w:space="0" w:color="auto"/>
            </w:tcBorders>
            <w:noWrap/>
          </w:tcPr>
          <w:p w14:paraId="733BD17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2 000</w:t>
            </w:r>
          </w:p>
        </w:tc>
      </w:tr>
      <w:tr w:rsidR="00961262" w:rsidRPr="00961262" w14:paraId="6F319F55"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14C0F84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18</w:t>
            </w:r>
          </w:p>
        </w:tc>
        <w:tc>
          <w:tcPr>
            <w:tcW w:w="6600" w:type="dxa"/>
            <w:tcBorders>
              <w:top w:val="nil"/>
              <w:left w:val="nil"/>
              <w:bottom w:val="single" w:sz="8" w:space="0" w:color="auto"/>
              <w:right w:val="single" w:sz="8" w:space="0" w:color="auto"/>
            </w:tcBorders>
            <w:noWrap/>
          </w:tcPr>
          <w:p w14:paraId="4A029BA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VAS "Latvijas Attīstības finanšu institūcija Altum"</w:t>
            </w:r>
          </w:p>
        </w:tc>
        <w:tc>
          <w:tcPr>
            <w:tcW w:w="2121" w:type="dxa"/>
            <w:tcBorders>
              <w:top w:val="nil"/>
              <w:left w:val="nil"/>
              <w:bottom w:val="single" w:sz="8" w:space="0" w:color="auto"/>
              <w:right w:val="single" w:sz="8" w:space="0" w:color="auto"/>
            </w:tcBorders>
            <w:noWrap/>
          </w:tcPr>
          <w:p w14:paraId="611A554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25 258 795</w:t>
            </w:r>
          </w:p>
        </w:tc>
        <w:tc>
          <w:tcPr>
            <w:tcW w:w="2121" w:type="dxa"/>
            <w:tcBorders>
              <w:top w:val="nil"/>
              <w:left w:val="nil"/>
              <w:bottom w:val="single" w:sz="8" w:space="0" w:color="auto"/>
              <w:right w:val="single" w:sz="8" w:space="0" w:color="auto"/>
            </w:tcBorders>
            <w:noWrap/>
          </w:tcPr>
          <w:p w14:paraId="4A461EB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11 723 740</w:t>
            </w:r>
          </w:p>
        </w:tc>
        <w:tc>
          <w:tcPr>
            <w:tcW w:w="2177" w:type="dxa"/>
            <w:tcBorders>
              <w:top w:val="nil"/>
              <w:left w:val="nil"/>
              <w:bottom w:val="single" w:sz="8" w:space="0" w:color="auto"/>
              <w:right w:val="single" w:sz="8" w:space="0" w:color="auto"/>
            </w:tcBorders>
            <w:noWrap/>
          </w:tcPr>
          <w:p w14:paraId="7F154CD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13 535 055</w:t>
            </w:r>
          </w:p>
        </w:tc>
      </w:tr>
      <w:tr w:rsidR="00961262" w:rsidRPr="00961262" w14:paraId="618E1E20"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DBA67C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w:t>
            </w:r>
          </w:p>
        </w:tc>
        <w:tc>
          <w:tcPr>
            <w:tcW w:w="6600" w:type="dxa"/>
            <w:tcBorders>
              <w:top w:val="nil"/>
              <w:left w:val="nil"/>
              <w:bottom w:val="single" w:sz="8" w:space="0" w:color="auto"/>
              <w:right w:val="single" w:sz="8" w:space="0" w:color="auto"/>
            </w:tcBorders>
            <w:noWrap/>
          </w:tcPr>
          <w:p w14:paraId="532D2147"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VAS "Latvijas autoceļu uzturētājs"</w:t>
            </w:r>
          </w:p>
        </w:tc>
        <w:tc>
          <w:tcPr>
            <w:tcW w:w="2121" w:type="dxa"/>
            <w:tcBorders>
              <w:top w:val="nil"/>
              <w:left w:val="nil"/>
              <w:bottom w:val="single" w:sz="8" w:space="0" w:color="auto"/>
              <w:right w:val="single" w:sz="8" w:space="0" w:color="auto"/>
            </w:tcBorders>
            <w:noWrap/>
          </w:tcPr>
          <w:p w14:paraId="056279A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71 769 752</w:t>
            </w:r>
          </w:p>
        </w:tc>
        <w:tc>
          <w:tcPr>
            <w:tcW w:w="2121" w:type="dxa"/>
            <w:tcBorders>
              <w:top w:val="nil"/>
              <w:left w:val="nil"/>
              <w:bottom w:val="single" w:sz="8" w:space="0" w:color="auto"/>
              <w:right w:val="single" w:sz="8" w:space="0" w:color="auto"/>
            </w:tcBorders>
            <w:noWrap/>
          </w:tcPr>
          <w:p w14:paraId="2DE20C3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69 419 974</w:t>
            </w:r>
          </w:p>
        </w:tc>
        <w:tc>
          <w:tcPr>
            <w:tcW w:w="2177" w:type="dxa"/>
            <w:tcBorders>
              <w:top w:val="nil"/>
              <w:left w:val="nil"/>
              <w:bottom w:val="single" w:sz="8" w:space="0" w:color="auto"/>
              <w:right w:val="single" w:sz="8" w:space="0" w:color="auto"/>
            </w:tcBorders>
            <w:noWrap/>
          </w:tcPr>
          <w:p w14:paraId="53FB0F7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2 349 778</w:t>
            </w:r>
          </w:p>
        </w:tc>
      </w:tr>
      <w:tr w:rsidR="00961262" w:rsidRPr="00961262" w14:paraId="46510399"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426AB2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lastRenderedPageBreak/>
              <w:t>20</w:t>
            </w:r>
          </w:p>
        </w:tc>
        <w:tc>
          <w:tcPr>
            <w:tcW w:w="6600" w:type="dxa"/>
            <w:tcBorders>
              <w:top w:val="nil"/>
              <w:left w:val="nil"/>
              <w:bottom w:val="single" w:sz="8" w:space="0" w:color="auto"/>
              <w:right w:val="single" w:sz="8" w:space="0" w:color="auto"/>
            </w:tcBorders>
            <w:noWrap/>
          </w:tcPr>
          <w:p w14:paraId="7A810F32"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"Latvijas Digitālās veselības centrs"</w:t>
            </w:r>
          </w:p>
        </w:tc>
        <w:tc>
          <w:tcPr>
            <w:tcW w:w="2121" w:type="dxa"/>
            <w:tcBorders>
              <w:top w:val="nil"/>
              <w:left w:val="nil"/>
              <w:bottom w:val="single" w:sz="8" w:space="0" w:color="auto"/>
              <w:right w:val="single" w:sz="8" w:space="0" w:color="auto"/>
            </w:tcBorders>
            <w:noWrap/>
          </w:tcPr>
          <w:p w14:paraId="4430E00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7 137 983</w:t>
            </w:r>
          </w:p>
        </w:tc>
        <w:tc>
          <w:tcPr>
            <w:tcW w:w="2121" w:type="dxa"/>
            <w:tcBorders>
              <w:top w:val="nil"/>
              <w:left w:val="nil"/>
              <w:bottom w:val="single" w:sz="8" w:space="0" w:color="auto"/>
              <w:right w:val="single" w:sz="8" w:space="0" w:color="auto"/>
            </w:tcBorders>
            <w:noWrap/>
          </w:tcPr>
          <w:p w14:paraId="221072B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7 137 983</w:t>
            </w:r>
          </w:p>
        </w:tc>
        <w:tc>
          <w:tcPr>
            <w:tcW w:w="2177" w:type="dxa"/>
            <w:tcBorders>
              <w:top w:val="nil"/>
              <w:left w:val="nil"/>
              <w:bottom w:val="single" w:sz="8" w:space="0" w:color="auto"/>
              <w:right w:val="single" w:sz="8" w:space="0" w:color="auto"/>
            </w:tcBorders>
            <w:noWrap/>
          </w:tcPr>
          <w:p w14:paraId="6C0CE8E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49EEC0A9"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D03D84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21</w:t>
            </w:r>
          </w:p>
        </w:tc>
        <w:tc>
          <w:tcPr>
            <w:tcW w:w="6600" w:type="dxa"/>
            <w:tcBorders>
              <w:top w:val="nil"/>
              <w:left w:val="nil"/>
              <w:bottom w:val="single" w:sz="8" w:space="0" w:color="auto"/>
              <w:right w:val="single" w:sz="8" w:space="0" w:color="auto"/>
            </w:tcBorders>
            <w:noWrap/>
          </w:tcPr>
          <w:p w14:paraId="078CF18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VAS "Latvijas dzelzceļš"</w:t>
            </w:r>
          </w:p>
        </w:tc>
        <w:tc>
          <w:tcPr>
            <w:tcW w:w="2121" w:type="dxa"/>
            <w:tcBorders>
              <w:top w:val="nil"/>
              <w:left w:val="nil"/>
              <w:bottom w:val="single" w:sz="8" w:space="0" w:color="auto"/>
              <w:right w:val="single" w:sz="8" w:space="0" w:color="auto"/>
            </w:tcBorders>
            <w:noWrap/>
          </w:tcPr>
          <w:p w14:paraId="451A00A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139 678 390</w:t>
            </w:r>
          </w:p>
        </w:tc>
        <w:tc>
          <w:tcPr>
            <w:tcW w:w="2121" w:type="dxa"/>
            <w:tcBorders>
              <w:top w:val="nil"/>
              <w:left w:val="nil"/>
              <w:bottom w:val="single" w:sz="8" w:space="0" w:color="auto"/>
              <w:right w:val="single" w:sz="8" w:space="0" w:color="auto"/>
            </w:tcBorders>
            <w:noWrap/>
          </w:tcPr>
          <w:p w14:paraId="1197431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132 762 783</w:t>
            </w:r>
          </w:p>
        </w:tc>
        <w:tc>
          <w:tcPr>
            <w:tcW w:w="2177" w:type="dxa"/>
            <w:tcBorders>
              <w:top w:val="nil"/>
              <w:left w:val="nil"/>
              <w:bottom w:val="single" w:sz="8" w:space="0" w:color="auto"/>
              <w:right w:val="single" w:sz="8" w:space="0" w:color="auto"/>
            </w:tcBorders>
            <w:noWrap/>
          </w:tcPr>
          <w:p w14:paraId="72F55C9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6 915 607</w:t>
            </w:r>
          </w:p>
        </w:tc>
      </w:tr>
      <w:tr w:rsidR="00961262" w:rsidRPr="00961262" w14:paraId="7CC4B0F1"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6761F42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22</w:t>
            </w:r>
          </w:p>
        </w:tc>
        <w:tc>
          <w:tcPr>
            <w:tcW w:w="6600" w:type="dxa"/>
            <w:tcBorders>
              <w:top w:val="nil"/>
              <w:left w:val="nil"/>
              <w:bottom w:val="single" w:sz="8" w:space="0" w:color="auto"/>
              <w:right w:val="single" w:sz="8" w:space="0" w:color="auto"/>
            </w:tcBorders>
            <w:noWrap/>
          </w:tcPr>
          <w:p w14:paraId="33DF5C9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Koncerti"</w:t>
            </w:r>
          </w:p>
        </w:tc>
        <w:tc>
          <w:tcPr>
            <w:tcW w:w="2121" w:type="dxa"/>
            <w:tcBorders>
              <w:top w:val="nil"/>
              <w:left w:val="nil"/>
              <w:bottom w:val="single" w:sz="8" w:space="0" w:color="auto"/>
              <w:right w:val="single" w:sz="8" w:space="0" w:color="auto"/>
            </w:tcBorders>
            <w:noWrap/>
          </w:tcPr>
          <w:p w14:paraId="1AEF2AE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5 167 550</w:t>
            </w:r>
          </w:p>
        </w:tc>
        <w:tc>
          <w:tcPr>
            <w:tcW w:w="2121" w:type="dxa"/>
            <w:tcBorders>
              <w:top w:val="nil"/>
              <w:left w:val="nil"/>
              <w:bottom w:val="single" w:sz="8" w:space="0" w:color="auto"/>
              <w:right w:val="single" w:sz="8" w:space="0" w:color="auto"/>
            </w:tcBorders>
            <w:noWrap/>
          </w:tcPr>
          <w:p w14:paraId="644E906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5 166 573</w:t>
            </w:r>
          </w:p>
        </w:tc>
        <w:tc>
          <w:tcPr>
            <w:tcW w:w="2177" w:type="dxa"/>
            <w:tcBorders>
              <w:top w:val="nil"/>
              <w:left w:val="nil"/>
              <w:bottom w:val="single" w:sz="8" w:space="0" w:color="auto"/>
              <w:right w:val="single" w:sz="8" w:space="0" w:color="auto"/>
            </w:tcBorders>
            <w:noWrap/>
          </w:tcPr>
          <w:p w14:paraId="350786A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977</w:t>
            </w:r>
          </w:p>
        </w:tc>
      </w:tr>
      <w:tr w:rsidR="00961262" w:rsidRPr="00961262" w14:paraId="5862E194"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0C5015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w:t>
            </w:r>
          </w:p>
        </w:tc>
        <w:tc>
          <w:tcPr>
            <w:tcW w:w="6600" w:type="dxa"/>
            <w:tcBorders>
              <w:top w:val="nil"/>
              <w:left w:val="nil"/>
              <w:bottom w:val="single" w:sz="8" w:space="0" w:color="auto"/>
              <w:right w:val="single" w:sz="8" w:space="0" w:color="auto"/>
            </w:tcBorders>
            <w:noWrap/>
          </w:tcPr>
          <w:p w14:paraId="40D04C5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Leļļu teātris"</w:t>
            </w:r>
          </w:p>
        </w:tc>
        <w:tc>
          <w:tcPr>
            <w:tcW w:w="2121" w:type="dxa"/>
            <w:tcBorders>
              <w:top w:val="nil"/>
              <w:left w:val="nil"/>
              <w:bottom w:val="single" w:sz="8" w:space="0" w:color="auto"/>
              <w:right w:val="single" w:sz="8" w:space="0" w:color="auto"/>
            </w:tcBorders>
            <w:noWrap/>
          </w:tcPr>
          <w:p w14:paraId="120D0C6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950 000</w:t>
            </w:r>
          </w:p>
        </w:tc>
        <w:tc>
          <w:tcPr>
            <w:tcW w:w="2121" w:type="dxa"/>
            <w:tcBorders>
              <w:top w:val="nil"/>
              <w:left w:val="nil"/>
              <w:bottom w:val="single" w:sz="8" w:space="0" w:color="auto"/>
              <w:right w:val="single" w:sz="8" w:space="0" w:color="auto"/>
            </w:tcBorders>
            <w:noWrap/>
          </w:tcPr>
          <w:p w14:paraId="19A2B09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949 713</w:t>
            </w:r>
          </w:p>
        </w:tc>
        <w:tc>
          <w:tcPr>
            <w:tcW w:w="2177" w:type="dxa"/>
            <w:tcBorders>
              <w:top w:val="nil"/>
              <w:left w:val="nil"/>
              <w:bottom w:val="single" w:sz="8" w:space="0" w:color="auto"/>
              <w:right w:val="single" w:sz="8" w:space="0" w:color="auto"/>
            </w:tcBorders>
            <w:noWrap/>
          </w:tcPr>
          <w:p w14:paraId="115DD93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287</w:t>
            </w:r>
          </w:p>
        </w:tc>
      </w:tr>
      <w:tr w:rsidR="00961262" w:rsidRPr="00961262" w14:paraId="4D67E53C"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6474D95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24</w:t>
            </w:r>
          </w:p>
        </w:tc>
        <w:tc>
          <w:tcPr>
            <w:tcW w:w="6600" w:type="dxa"/>
            <w:tcBorders>
              <w:top w:val="nil"/>
              <w:left w:val="nil"/>
              <w:bottom w:val="single" w:sz="8" w:space="0" w:color="auto"/>
              <w:right w:val="single" w:sz="8" w:space="0" w:color="auto"/>
            </w:tcBorders>
            <w:noWrap/>
          </w:tcPr>
          <w:p w14:paraId="71C37C28" w14:textId="77777777" w:rsidR="00961262" w:rsidRPr="00961262" w:rsidRDefault="00961262" w:rsidP="00961262">
            <w:pPr>
              <w:spacing w:after="0"/>
              <w:ind w:firstLine="0"/>
              <w:jc w:val="left"/>
              <w:rPr>
                <w:rFonts w:eastAsia="Times New Roman" w:cs="Times New Roman"/>
                <w:color w:val="000000"/>
                <w:sz w:val="18"/>
                <w:szCs w:val="18"/>
                <w:highlight w:val="yellow"/>
              </w:rPr>
            </w:pPr>
            <w:r w:rsidRPr="00961262">
              <w:rPr>
                <w:rFonts w:eastAsia="Calibri" w:cs="Times New Roman"/>
                <w:sz w:val="18"/>
                <w:szCs w:val="18"/>
                <w:lang w:eastAsia="en-US"/>
              </w:rPr>
              <w:t>VSIA "Latvijas Nacionālā opera un balets"</w:t>
            </w:r>
          </w:p>
        </w:tc>
        <w:tc>
          <w:tcPr>
            <w:tcW w:w="2121" w:type="dxa"/>
            <w:tcBorders>
              <w:top w:val="nil"/>
              <w:left w:val="nil"/>
              <w:bottom w:val="single" w:sz="8" w:space="0" w:color="auto"/>
              <w:right w:val="single" w:sz="8" w:space="0" w:color="auto"/>
            </w:tcBorders>
            <w:noWrap/>
          </w:tcPr>
          <w:p w14:paraId="737EED4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4 800 000</w:t>
            </w:r>
          </w:p>
        </w:tc>
        <w:tc>
          <w:tcPr>
            <w:tcW w:w="2121" w:type="dxa"/>
            <w:tcBorders>
              <w:top w:val="nil"/>
              <w:left w:val="nil"/>
              <w:bottom w:val="single" w:sz="8" w:space="0" w:color="auto"/>
              <w:right w:val="single" w:sz="8" w:space="0" w:color="auto"/>
            </w:tcBorders>
            <w:noWrap/>
          </w:tcPr>
          <w:p w14:paraId="6761F2F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4 790 000</w:t>
            </w:r>
          </w:p>
        </w:tc>
        <w:tc>
          <w:tcPr>
            <w:tcW w:w="2177" w:type="dxa"/>
            <w:tcBorders>
              <w:top w:val="nil"/>
              <w:left w:val="nil"/>
              <w:bottom w:val="single" w:sz="8" w:space="0" w:color="auto"/>
              <w:right w:val="single" w:sz="8" w:space="0" w:color="auto"/>
            </w:tcBorders>
            <w:noWrap/>
          </w:tcPr>
          <w:p w14:paraId="33B1F74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10 000</w:t>
            </w:r>
          </w:p>
        </w:tc>
      </w:tr>
      <w:tr w:rsidR="00961262" w:rsidRPr="00961262" w14:paraId="4FF6C428"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5D2207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25</w:t>
            </w:r>
          </w:p>
        </w:tc>
        <w:tc>
          <w:tcPr>
            <w:tcW w:w="6600" w:type="dxa"/>
            <w:tcBorders>
              <w:top w:val="nil"/>
              <w:left w:val="nil"/>
              <w:bottom w:val="single" w:sz="8" w:space="0" w:color="auto"/>
              <w:right w:val="single" w:sz="8" w:space="0" w:color="auto"/>
            </w:tcBorders>
            <w:noWrap/>
          </w:tcPr>
          <w:p w14:paraId="09343DC4" w14:textId="77777777" w:rsidR="00961262" w:rsidRPr="00961262" w:rsidRDefault="00961262" w:rsidP="00961262">
            <w:pPr>
              <w:spacing w:after="0"/>
              <w:ind w:firstLine="0"/>
              <w:jc w:val="left"/>
              <w:rPr>
                <w:rFonts w:eastAsia="Times New Roman" w:cs="Times New Roman"/>
                <w:color w:val="000000"/>
                <w:sz w:val="18"/>
                <w:szCs w:val="18"/>
                <w:highlight w:val="yellow"/>
              </w:rPr>
            </w:pPr>
            <w:r w:rsidRPr="00961262">
              <w:rPr>
                <w:rFonts w:eastAsia="Calibri" w:cs="Times New Roman"/>
                <w:sz w:val="18"/>
                <w:szCs w:val="18"/>
                <w:lang w:eastAsia="en-US"/>
              </w:rPr>
              <w:t>VSIA "Latvijas Nacionālais simfoniskais orķestris"</w:t>
            </w:r>
          </w:p>
        </w:tc>
        <w:tc>
          <w:tcPr>
            <w:tcW w:w="2121" w:type="dxa"/>
            <w:tcBorders>
              <w:top w:val="nil"/>
              <w:left w:val="nil"/>
              <w:bottom w:val="single" w:sz="8" w:space="0" w:color="auto"/>
              <w:right w:val="single" w:sz="8" w:space="0" w:color="auto"/>
            </w:tcBorders>
            <w:noWrap/>
          </w:tcPr>
          <w:p w14:paraId="3432351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4 339 000</w:t>
            </w:r>
          </w:p>
        </w:tc>
        <w:tc>
          <w:tcPr>
            <w:tcW w:w="2121" w:type="dxa"/>
            <w:tcBorders>
              <w:top w:val="nil"/>
              <w:left w:val="nil"/>
              <w:bottom w:val="single" w:sz="8" w:space="0" w:color="auto"/>
              <w:right w:val="single" w:sz="8" w:space="0" w:color="auto"/>
            </w:tcBorders>
            <w:noWrap/>
          </w:tcPr>
          <w:p w14:paraId="052B5F4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4 338 800</w:t>
            </w:r>
          </w:p>
        </w:tc>
        <w:tc>
          <w:tcPr>
            <w:tcW w:w="2177" w:type="dxa"/>
            <w:tcBorders>
              <w:top w:val="nil"/>
              <w:left w:val="nil"/>
              <w:bottom w:val="single" w:sz="8" w:space="0" w:color="auto"/>
              <w:right w:val="single" w:sz="8" w:space="0" w:color="auto"/>
            </w:tcBorders>
            <w:noWrap/>
          </w:tcPr>
          <w:p w14:paraId="6BF2781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200</w:t>
            </w:r>
          </w:p>
        </w:tc>
      </w:tr>
      <w:tr w:rsidR="00961262" w:rsidRPr="00961262" w14:paraId="29C9C890"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48D0014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26</w:t>
            </w:r>
          </w:p>
        </w:tc>
        <w:tc>
          <w:tcPr>
            <w:tcW w:w="6600" w:type="dxa"/>
            <w:tcBorders>
              <w:top w:val="nil"/>
              <w:left w:val="nil"/>
              <w:bottom w:val="single" w:sz="8" w:space="0" w:color="auto"/>
              <w:right w:val="single" w:sz="8" w:space="0" w:color="auto"/>
            </w:tcBorders>
            <w:noWrap/>
          </w:tcPr>
          <w:p w14:paraId="6ECDFD52" w14:textId="77777777" w:rsidR="00961262" w:rsidRPr="00961262" w:rsidRDefault="00961262" w:rsidP="00961262">
            <w:pPr>
              <w:spacing w:after="0"/>
              <w:ind w:firstLine="0"/>
              <w:jc w:val="left"/>
              <w:rPr>
                <w:rFonts w:eastAsia="Times New Roman" w:cs="Times New Roman"/>
                <w:color w:val="000000"/>
                <w:sz w:val="18"/>
                <w:szCs w:val="18"/>
                <w:highlight w:val="yellow"/>
              </w:rPr>
            </w:pPr>
            <w:r w:rsidRPr="00961262">
              <w:rPr>
                <w:rFonts w:eastAsia="Calibri" w:cs="Times New Roman"/>
                <w:sz w:val="18"/>
                <w:szCs w:val="18"/>
                <w:lang w:eastAsia="en-US"/>
              </w:rPr>
              <w:t>SIA "Latvijas Nacionālais sporta centrs"</w:t>
            </w:r>
          </w:p>
        </w:tc>
        <w:tc>
          <w:tcPr>
            <w:tcW w:w="2121" w:type="dxa"/>
            <w:tcBorders>
              <w:top w:val="nil"/>
              <w:left w:val="nil"/>
              <w:bottom w:val="single" w:sz="8" w:space="0" w:color="auto"/>
              <w:right w:val="single" w:sz="8" w:space="0" w:color="auto"/>
            </w:tcBorders>
            <w:noWrap/>
          </w:tcPr>
          <w:p w14:paraId="6F7C2EA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5 859 753</w:t>
            </w:r>
          </w:p>
        </w:tc>
        <w:tc>
          <w:tcPr>
            <w:tcW w:w="2121" w:type="dxa"/>
            <w:tcBorders>
              <w:top w:val="nil"/>
              <w:left w:val="nil"/>
              <w:bottom w:val="single" w:sz="8" w:space="0" w:color="auto"/>
              <w:right w:val="single" w:sz="8" w:space="0" w:color="auto"/>
            </w:tcBorders>
            <w:noWrap/>
          </w:tcPr>
          <w:p w14:paraId="0A16538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5 629 663</w:t>
            </w:r>
          </w:p>
        </w:tc>
        <w:tc>
          <w:tcPr>
            <w:tcW w:w="2177" w:type="dxa"/>
            <w:tcBorders>
              <w:top w:val="nil"/>
              <w:left w:val="nil"/>
              <w:bottom w:val="single" w:sz="8" w:space="0" w:color="auto"/>
              <w:right w:val="single" w:sz="8" w:space="0" w:color="auto"/>
            </w:tcBorders>
            <w:noWrap/>
          </w:tcPr>
          <w:p w14:paraId="158EFE9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230 090</w:t>
            </w:r>
          </w:p>
        </w:tc>
      </w:tr>
      <w:tr w:rsidR="00961262" w:rsidRPr="00961262" w14:paraId="1D1449D9"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3D2010C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w:t>
            </w:r>
          </w:p>
        </w:tc>
        <w:tc>
          <w:tcPr>
            <w:tcW w:w="6600" w:type="dxa"/>
            <w:tcBorders>
              <w:top w:val="nil"/>
              <w:left w:val="nil"/>
              <w:bottom w:val="single" w:sz="8" w:space="0" w:color="auto"/>
              <w:right w:val="single" w:sz="8" w:space="0" w:color="auto"/>
            </w:tcBorders>
            <w:noWrap/>
          </w:tcPr>
          <w:p w14:paraId="122FB128" w14:textId="77777777" w:rsidR="00961262" w:rsidRPr="00961262" w:rsidRDefault="00961262" w:rsidP="00961262">
            <w:pPr>
              <w:spacing w:after="0"/>
              <w:ind w:firstLine="0"/>
              <w:jc w:val="left"/>
              <w:rPr>
                <w:rFonts w:eastAsia="Calibri" w:cs="Times New Roman"/>
                <w:sz w:val="18"/>
                <w:szCs w:val="18"/>
                <w:highlight w:val="yellow"/>
                <w:lang w:eastAsia="en-US"/>
              </w:rPr>
            </w:pPr>
            <w:r w:rsidRPr="00961262">
              <w:rPr>
                <w:rFonts w:eastAsia="Calibri" w:cs="Times New Roman"/>
                <w:sz w:val="18"/>
                <w:szCs w:val="18"/>
                <w:lang w:eastAsia="en-US"/>
              </w:rPr>
              <w:t>VSIA "Latvijas Nacionālais teātris"</w:t>
            </w:r>
          </w:p>
        </w:tc>
        <w:tc>
          <w:tcPr>
            <w:tcW w:w="2121" w:type="dxa"/>
            <w:tcBorders>
              <w:top w:val="nil"/>
              <w:left w:val="nil"/>
              <w:bottom w:val="single" w:sz="8" w:space="0" w:color="auto"/>
              <w:right w:val="single" w:sz="8" w:space="0" w:color="auto"/>
            </w:tcBorders>
            <w:noWrap/>
          </w:tcPr>
          <w:p w14:paraId="4AABF45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6 999 000</w:t>
            </w:r>
          </w:p>
        </w:tc>
        <w:tc>
          <w:tcPr>
            <w:tcW w:w="2121" w:type="dxa"/>
            <w:tcBorders>
              <w:top w:val="nil"/>
              <w:left w:val="nil"/>
              <w:bottom w:val="single" w:sz="8" w:space="0" w:color="auto"/>
              <w:right w:val="single" w:sz="8" w:space="0" w:color="auto"/>
            </w:tcBorders>
            <w:noWrap/>
          </w:tcPr>
          <w:p w14:paraId="41CA93C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6 967 006</w:t>
            </w:r>
          </w:p>
        </w:tc>
        <w:tc>
          <w:tcPr>
            <w:tcW w:w="2177" w:type="dxa"/>
            <w:tcBorders>
              <w:top w:val="nil"/>
              <w:left w:val="nil"/>
              <w:bottom w:val="single" w:sz="8" w:space="0" w:color="auto"/>
              <w:right w:val="single" w:sz="8" w:space="0" w:color="auto"/>
            </w:tcBorders>
            <w:noWrap/>
          </w:tcPr>
          <w:p w14:paraId="139382F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31 994</w:t>
            </w:r>
          </w:p>
        </w:tc>
      </w:tr>
      <w:tr w:rsidR="00961262" w:rsidRPr="00961262" w14:paraId="76740708"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E61D6E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w:t>
            </w:r>
          </w:p>
        </w:tc>
        <w:tc>
          <w:tcPr>
            <w:tcW w:w="6600" w:type="dxa"/>
            <w:tcBorders>
              <w:top w:val="nil"/>
              <w:left w:val="nil"/>
              <w:bottom w:val="single" w:sz="8" w:space="0" w:color="auto"/>
              <w:right w:val="single" w:sz="8" w:space="0" w:color="auto"/>
            </w:tcBorders>
            <w:noWrap/>
          </w:tcPr>
          <w:p w14:paraId="7A7F6523"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"Latvijas Proves birojs"</w:t>
            </w:r>
          </w:p>
        </w:tc>
        <w:tc>
          <w:tcPr>
            <w:tcW w:w="2121" w:type="dxa"/>
            <w:tcBorders>
              <w:top w:val="nil"/>
              <w:left w:val="nil"/>
              <w:bottom w:val="single" w:sz="8" w:space="0" w:color="auto"/>
              <w:right w:val="single" w:sz="8" w:space="0" w:color="auto"/>
            </w:tcBorders>
            <w:noWrap/>
          </w:tcPr>
          <w:p w14:paraId="0457F98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825 000</w:t>
            </w:r>
          </w:p>
        </w:tc>
        <w:tc>
          <w:tcPr>
            <w:tcW w:w="2121" w:type="dxa"/>
            <w:tcBorders>
              <w:top w:val="nil"/>
              <w:left w:val="nil"/>
              <w:bottom w:val="single" w:sz="8" w:space="0" w:color="auto"/>
              <w:right w:val="single" w:sz="8" w:space="0" w:color="auto"/>
            </w:tcBorders>
            <w:noWrap/>
          </w:tcPr>
          <w:p w14:paraId="3E0BCB9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697 000</w:t>
            </w:r>
          </w:p>
        </w:tc>
        <w:tc>
          <w:tcPr>
            <w:tcW w:w="2177" w:type="dxa"/>
            <w:tcBorders>
              <w:top w:val="nil"/>
              <w:left w:val="nil"/>
              <w:bottom w:val="single" w:sz="8" w:space="0" w:color="auto"/>
              <w:right w:val="single" w:sz="8" w:space="0" w:color="auto"/>
            </w:tcBorders>
            <w:noWrap/>
          </w:tcPr>
          <w:p w14:paraId="658D3D4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128 000</w:t>
            </w:r>
          </w:p>
        </w:tc>
      </w:tr>
      <w:tr w:rsidR="00961262" w:rsidRPr="00961262" w14:paraId="78AAF900"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C3EB9F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29</w:t>
            </w:r>
          </w:p>
        </w:tc>
        <w:tc>
          <w:tcPr>
            <w:tcW w:w="6600" w:type="dxa"/>
            <w:tcBorders>
              <w:top w:val="nil"/>
              <w:left w:val="nil"/>
              <w:bottom w:val="single" w:sz="8" w:space="0" w:color="auto"/>
              <w:right w:val="single" w:sz="8" w:space="0" w:color="auto"/>
            </w:tcBorders>
            <w:noWrap/>
          </w:tcPr>
          <w:p w14:paraId="6D71F0F4"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"Latvijas sabiedriskais medijs"</w:t>
            </w:r>
          </w:p>
        </w:tc>
        <w:tc>
          <w:tcPr>
            <w:tcW w:w="2121" w:type="dxa"/>
            <w:tcBorders>
              <w:top w:val="nil"/>
              <w:left w:val="nil"/>
              <w:bottom w:val="single" w:sz="8" w:space="0" w:color="auto"/>
              <w:right w:val="single" w:sz="8" w:space="0" w:color="auto"/>
            </w:tcBorders>
            <w:noWrap/>
          </w:tcPr>
          <w:p w14:paraId="4735BCD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54 876 590</w:t>
            </w:r>
          </w:p>
        </w:tc>
        <w:tc>
          <w:tcPr>
            <w:tcW w:w="2121" w:type="dxa"/>
            <w:tcBorders>
              <w:top w:val="nil"/>
              <w:left w:val="nil"/>
              <w:bottom w:val="single" w:sz="8" w:space="0" w:color="auto"/>
              <w:right w:val="single" w:sz="8" w:space="0" w:color="auto"/>
            </w:tcBorders>
            <w:noWrap/>
          </w:tcPr>
          <w:p w14:paraId="739B972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54 856 069</w:t>
            </w:r>
          </w:p>
        </w:tc>
        <w:tc>
          <w:tcPr>
            <w:tcW w:w="2177" w:type="dxa"/>
            <w:tcBorders>
              <w:top w:val="nil"/>
              <w:left w:val="nil"/>
              <w:bottom w:val="single" w:sz="8" w:space="0" w:color="auto"/>
              <w:right w:val="single" w:sz="8" w:space="0" w:color="auto"/>
            </w:tcBorders>
            <w:noWrap/>
          </w:tcPr>
          <w:p w14:paraId="3302420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20 521</w:t>
            </w:r>
          </w:p>
        </w:tc>
      </w:tr>
      <w:tr w:rsidR="00961262" w:rsidRPr="00961262" w14:paraId="28C96398"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21F70A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30</w:t>
            </w:r>
          </w:p>
        </w:tc>
        <w:tc>
          <w:tcPr>
            <w:tcW w:w="6600" w:type="dxa"/>
            <w:tcBorders>
              <w:top w:val="nil"/>
              <w:left w:val="nil"/>
              <w:bottom w:val="single" w:sz="8" w:space="0" w:color="auto"/>
              <w:right w:val="single" w:sz="8" w:space="0" w:color="auto"/>
            </w:tcBorders>
            <w:noWrap/>
          </w:tcPr>
          <w:p w14:paraId="1B30C59B"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"Latvijas standarts"</w:t>
            </w:r>
          </w:p>
        </w:tc>
        <w:tc>
          <w:tcPr>
            <w:tcW w:w="2121" w:type="dxa"/>
            <w:tcBorders>
              <w:top w:val="nil"/>
              <w:left w:val="nil"/>
              <w:bottom w:val="single" w:sz="8" w:space="0" w:color="auto"/>
              <w:right w:val="single" w:sz="8" w:space="0" w:color="auto"/>
            </w:tcBorders>
            <w:noWrap/>
          </w:tcPr>
          <w:p w14:paraId="39197B1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986 371</w:t>
            </w:r>
          </w:p>
        </w:tc>
        <w:tc>
          <w:tcPr>
            <w:tcW w:w="2121" w:type="dxa"/>
            <w:tcBorders>
              <w:top w:val="nil"/>
              <w:left w:val="nil"/>
              <w:bottom w:val="single" w:sz="8" w:space="0" w:color="auto"/>
              <w:right w:val="single" w:sz="8" w:space="0" w:color="auto"/>
            </w:tcBorders>
            <w:noWrap/>
          </w:tcPr>
          <w:p w14:paraId="2194DD0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962 422</w:t>
            </w:r>
          </w:p>
        </w:tc>
        <w:tc>
          <w:tcPr>
            <w:tcW w:w="2177" w:type="dxa"/>
            <w:tcBorders>
              <w:top w:val="nil"/>
              <w:left w:val="nil"/>
              <w:bottom w:val="single" w:sz="8" w:space="0" w:color="auto"/>
              <w:right w:val="single" w:sz="8" w:space="0" w:color="auto"/>
            </w:tcBorders>
            <w:noWrap/>
          </w:tcPr>
          <w:p w14:paraId="66F0390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23 949</w:t>
            </w:r>
          </w:p>
        </w:tc>
      </w:tr>
      <w:tr w:rsidR="00961262" w:rsidRPr="00961262" w14:paraId="202C5166"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0FE76B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w:t>
            </w:r>
          </w:p>
        </w:tc>
        <w:tc>
          <w:tcPr>
            <w:tcW w:w="6600" w:type="dxa"/>
            <w:tcBorders>
              <w:top w:val="nil"/>
              <w:left w:val="nil"/>
              <w:bottom w:val="single" w:sz="8" w:space="0" w:color="auto"/>
              <w:right w:val="single" w:sz="8" w:space="0" w:color="auto"/>
            </w:tcBorders>
            <w:noWrap/>
            <w:hideMark/>
          </w:tcPr>
          <w:p w14:paraId="4D1D22AC"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"Latvijas Universitātes nekustamā īpašuma aģentūra"</w:t>
            </w:r>
          </w:p>
        </w:tc>
        <w:tc>
          <w:tcPr>
            <w:tcW w:w="2121" w:type="dxa"/>
            <w:tcBorders>
              <w:top w:val="nil"/>
              <w:left w:val="nil"/>
              <w:bottom w:val="single" w:sz="8" w:space="0" w:color="auto"/>
              <w:right w:val="single" w:sz="8" w:space="0" w:color="auto"/>
            </w:tcBorders>
            <w:noWrap/>
            <w:hideMark/>
          </w:tcPr>
          <w:p w14:paraId="71C7F24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noWrap/>
            <w:hideMark/>
          </w:tcPr>
          <w:p w14:paraId="1EA781A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noWrap/>
            <w:hideMark/>
          </w:tcPr>
          <w:p w14:paraId="1B261CD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42670D42"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F3B76D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w:t>
            </w:r>
          </w:p>
        </w:tc>
        <w:tc>
          <w:tcPr>
            <w:tcW w:w="6600" w:type="dxa"/>
            <w:tcBorders>
              <w:top w:val="nil"/>
              <w:left w:val="nil"/>
              <w:bottom w:val="single" w:sz="8" w:space="0" w:color="auto"/>
              <w:right w:val="single" w:sz="8" w:space="0" w:color="auto"/>
            </w:tcBorders>
            <w:noWrap/>
            <w:hideMark/>
          </w:tcPr>
          <w:p w14:paraId="074C0110"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"Latvijas Valsts ceļi"</w:t>
            </w:r>
          </w:p>
        </w:tc>
        <w:tc>
          <w:tcPr>
            <w:tcW w:w="2121" w:type="dxa"/>
            <w:tcBorders>
              <w:top w:val="nil"/>
              <w:left w:val="nil"/>
              <w:bottom w:val="single" w:sz="8" w:space="0" w:color="auto"/>
              <w:right w:val="single" w:sz="8" w:space="0" w:color="auto"/>
            </w:tcBorders>
            <w:noWrap/>
            <w:hideMark/>
          </w:tcPr>
          <w:p w14:paraId="09D1713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20 518 850</w:t>
            </w:r>
          </w:p>
        </w:tc>
        <w:tc>
          <w:tcPr>
            <w:tcW w:w="2121" w:type="dxa"/>
            <w:tcBorders>
              <w:top w:val="nil"/>
              <w:left w:val="nil"/>
              <w:bottom w:val="single" w:sz="8" w:space="0" w:color="auto"/>
              <w:right w:val="single" w:sz="8" w:space="0" w:color="auto"/>
            </w:tcBorders>
            <w:noWrap/>
            <w:hideMark/>
          </w:tcPr>
          <w:p w14:paraId="42F04F5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20 418 850</w:t>
            </w:r>
          </w:p>
        </w:tc>
        <w:tc>
          <w:tcPr>
            <w:tcW w:w="2177" w:type="dxa"/>
            <w:tcBorders>
              <w:top w:val="nil"/>
              <w:left w:val="nil"/>
              <w:bottom w:val="single" w:sz="8" w:space="0" w:color="auto"/>
              <w:right w:val="single" w:sz="8" w:space="0" w:color="auto"/>
            </w:tcBorders>
            <w:noWrap/>
            <w:hideMark/>
          </w:tcPr>
          <w:p w14:paraId="1820EE6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100 000</w:t>
            </w:r>
          </w:p>
        </w:tc>
      </w:tr>
      <w:tr w:rsidR="00961262" w:rsidRPr="00961262" w14:paraId="17ECB67C"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0674720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33</w:t>
            </w:r>
          </w:p>
        </w:tc>
        <w:tc>
          <w:tcPr>
            <w:tcW w:w="6600" w:type="dxa"/>
            <w:tcBorders>
              <w:top w:val="nil"/>
              <w:left w:val="nil"/>
              <w:bottom w:val="single" w:sz="8" w:space="0" w:color="auto"/>
              <w:right w:val="single" w:sz="8" w:space="0" w:color="auto"/>
            </w:tcBorders>
            <w:noWrap/>
          </w:tcPr>
          <w:p w14:paraId="3C4709E0"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"Latvijas Vēstnesis"</w:t>
            </w:r>
          </w:p>
        </w:tc>
        <w:tc>
          <w:tcPr>
            <w:tcW w:w="2121" w:type="dxa"/>
            <w:tcBorders>
              <w:top w:val="nil"/>
              <w:left w:val="nil"/>
              <w:bottom w:val="single" w:sz="8" w:space="0" w:color="auto"/>
              <w:right w:val="single" w:sz="8" w:space="0" w:color="auto"/>
            </w:tcBorders>
            <w:noWrap/>
          </w:tcPr>
          <w:p w14:paraId="0C52AAF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2 411 501</w:t>
            </w:r>
          </w:p>
        </w:tc>
        <w:tc>
          <w:tcPr>
            <w:tcW w:w="2121" w:type="dxa"/>
            <w:tcBorders>
              <w:top w:val="nil"/>
              <w:left w:val="nil"/>
              <w:bottom w:val="single" w:sz="8" w:space="0" w:color="auto"/>
              <w:right w:val="single" w:sz="8" w:space="0" w:color="auto"/>
            </w:tcBorders>
            <w:noWrap/>
          </w:tcPr>
          <w:p w14:paraId="5A75C8B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2 411 501</w:t>
            </w:r>
          </w:p>
        </w:tc>
        <w:tc>
          <w:tcPr>
            <w:tcW w:w="2177" w:type="dxa"/>
            <w:tcBorders>
              <w:top w:val="nil"/>
              <w:left w:val="nil"/>
              <w:bottom w:val="single" w:sz="8" w:space="0" w:color="auto"/>
              <w:right w:val="single" w:sz="8" w:space="0" w:color="auto"/>
            </w:tcBorders>
            <w:noWrap/>
          </w:tcPr>
          <w:p w14:paraId="73A18EB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7D4DAE5C"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6F2168E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34</w:t>
            </w:r>
          </w:p>
        </w:tc>
        <w:tc>
          <w:tcPr>
            <w:tcW w:w="6600" w:type="dxa"/>
            <w:tcBorders>
              <w:top w:val="nil"/>
              <w:left w:val="nil"/>
              <w:bottom w:val="single" w:sz="8" w:space="0" w:color="auto"/>
              <w:right w:val="single" w:sz="8" w:space="0" w:color="auto"/>
            </w:tcBorders>
            <w:noWrap/>
            <w:hideMark/>
          </w:tcPr>
          <w:p w14:paraId="6FC2F036"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"Latvijas Vides, ģeoloģijas un meteoroloģijas centrs"</w:t>
            </w:r>
          </w:p>
        </w:tc>
        <w:tc>
          <w:tcPr>
            <w:tcW w:w="2121" w:type="dxa"/>
            <w:tcBorders>
              <w:top w:val="nil"/>
              <w:left w:val="nil"/>
              <w:bottom w:val="single" w:sz="8" w:space="0" w:color="auto"/>
              <w:right w:val="single" w:sz="8" w:space="0" w:color="auto"/>
            </w:tcBorders>
            <w:noWrap/>
            <w:hideMark/>
          </w:tcPr>
          <w:p w14:paraId="248636B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3 522 545</w:t>
            </w:r>
          </w:p>
        </w:tc>
        <w:tc>
          <w:tcPr>
            <w:tcW w:w="2121" w:type="dxa"/>
            <w:tcBorders>
              <w:top w:val="nil"/>
              <w:left w:val="nil"/>
              <w:bottom w:val="single" w:sz="8" w:space="0" w:color="auto"/>
              <w:right w:val="single" w:sz="8" w:space="0" w:color="auto"/>
            </w:tcBorders>
            <w:noWrap/>
            <w:hideMark/>
          </w:tcPr>
          <w:p w14:paraId="4BEEB28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3 198 940</w:t>
            </w:r>
          </w:p>
        </w:tc>
        <w:tc>
          <w:tcPr>
            <w:tcW w:w="2177" w:type="dxa"/>
            <w:tcBorders>
              <w:top w:val="nil"/>
              <w:left w:val="nil"/>
              <w:bottom w:val="single" w:sz="8" w:space="0" w:color="auto"/>
              <w:right w:val="single" w:sz="8" w:space="0" w:color="auto"/>
            </w:tcBorders>
            <w:noWrap/>
            <w:hideMark/>
          </w:tcPr>
          <w:p w14:paraId="1F438B8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323 605</w:t>
            </w:r>
          </w:p>
        </w:tc>
      </w:tr>
      <w:tr w:rsidR="00961262" w:rsidRPr="00961262" w14:paraId="7901B38C"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826EF3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35</w:t>
            </w:r>
          </w:p>
        </w:tc>
        <w:tc>
          <w:tcPr>
            <w:tcW w:w="6600" w:type="dxa"/>
            <w:tcBorders>
              <w:top w:val="nil"/>
              <w:left w:val="nil"/>
              <w:bottom w:val="single" w:sz="8" w:space="0" w:color="auto"/>
              <w:right w:val="single" w:sz="8" w:space="0" w:color="auto"/>
            </w:tcBorders>
            <w:noWrap/>
          </w:tcPr>
          <w:p w14:paraId="78B3EB1E"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"LDZ apsardze"</w:t>
            </w:r>
          </w:p>
        </w:tc>
        <w:tc>
          <w:tcPr>
            <w:tcW w:w="2121" w:type="dxa"/>
            <w:tcBorders>
              <w:top w:val="nil"/>
              <w:left w:val="nil"/>
              <w:bottom w:val="single" w:sz="8" w:space="0" w:color="auto"/>
              <w:right w:val="single" w:sz="8" w:space="0" w:color="auto"/>
            </w:tcBorders>
            <w:noWrap/>
          </w:tcPr>
          <w:p w14:paraId="294FCB7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9 745 470</w:t>
            </w:r>
          </w:p>
        </w:tc>
        <w:tc>
          <w:tcPr>
            <w:tcW w:w="2121" w:type="dxa"/>
            <w:tcBorders>
              <w:top w:val="nil"/>
              <w:left w:val="nil"/>
              <w:bottom w:val="single" w:sz="8" w:space="0" w:color="auto"/>
              <w:right w:val="single" w:sz="8" w:space="0" w:color="auto"/>
            </w:tcBorders>
            <w:noWrap/>
          </w:tcPr>
          <w:p w14:paraId="753C9D7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9 542 548</w:t>
            </w:r>
          </w:p>
        </w:tc>
        <w:tc>
          <w:tcPr>
            <w:tcW w:w="2177" w:type="dxa"/>
            <w:tcBorders>
              <w:top w:val="nil"/>
              <w:left w:val="nil"/>
              <w:bottom w:val="single" w:sz="8" w:space="0" w:color="auto"/>
              <w:right w:val="single" w:sz="8" w:space="0" w:color="auto"/>
            </w:tcBorders>
            <w:noWrap/>
          </w:tcPr>
          <w:p w14:paraId="3171E24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202 922</w:t>
            </w:r>
          </w:p>
        </w:tc>
      </w:tr>
      <w:tr w:rsidR="00961262" w:rsidRPr="00961262" w14:paraId="01F64FA4"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151FD3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36</w:t>
            </w:r>
          </w:p>
        </w:tc>
        <w:tc>
          <w:tcPr>
            <w:tcW w:w="6600" w:type="dxa"/>
            <w:tcBorders>
              <w:top w:val="nil"/>
              <w:left w:val="nil"/>
              <w:bottom w:val="single" w:sz="8" w:space="0" w:color="auto"/>
              <w:right w:val="single" w:sz="8" w:space="0" w:color="auto"/>
            </w:tcBorders>
            <w:noWrap/>
          </w:tcPr>
          <w:p w14:paraId="516B1A0A"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"LDZ Loģistika"</w:t>
            </w:r>
          </w:p>
        </w:tc>
        <w:tc>
          <w:tcPr>
            <w:tcW w:w="2121" w:type="dxa"/>
            <w:tcBorders>
              <w:top w:val="nil"/>
              <w:left w:val="nil"/>
              <w:bottom w:val="single" w:sz="8" w:space="0" w:color="auto"/>
              <w:right w:val="single" w:sz="8" w:space="0" w:color="auto"/>
            </w:tcBorders>
            <w:noWrap/>
          </w:tcPr>
          <w:p w14:paraId="14D2D84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8 651 000</w:t>
            </w:r>
          </w:p>
        </w:tc>
        <w:tc>
          <w:tcPr>
            <w:tcW w:w="2121" w:type="dxa"/>
            <w:tcBorders>
              <w:top w:val="nil"/>
              <w:left w:val="nil"/>
              <w:bottom w:val="single" w:sz="8" w:space="0" w:color="auto"/>
              <w:right w:val="single" w:sz="8" w:space="0" w:color="auto"/>
            </w:tcBorders>
            <w:noWrap/>
          </w:tcPr>
          <w:p w14:paraId="77C03C8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8 878 000</w:t>
            </w:r>
          </w:p>
        </w:tc>
        <w:tc>
          <w:tcPr>
            <w:tcW w:w="2177" w:type="dxa"/>
            <w:tcBorders>
              <w:top w:val="nil"/>
              <w:left w:val="nil"/>
              <w:bottom w:val="single" w:sz="8" w:space="0" w:color="auto"/>
              <w:right w:val="single" w:sz="8" w:space="0" w:color="auto"/>
            </w:tcBorders>
            <w:noWrap/>
          </w:tcPr>
          <w:p w14:paraId="24DE5F2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-227 000</w:t>
            </w:r>
          </w:p>
        </w:tc>
      </w:tr>
      <w:tr w:rsidR="00961262" w:rsidRPr="00961262" w14:paraId="34244A4E"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6159F79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37</w:t>
            </w:r>
          </w:p>
        </w:tc>
        <w:tc>
          <w:tcPr>
            <w:tcW w:w="6600" w:type="dxa"/>
            <w:tcBorders>
              <w:top w:val="nil"/>
              <w:left w:val="nil"/>
              <w:bottom w:val="single" w:sz="8" w:space="0" w:color="auto"/>
              <w:right w:val="single" w:sz="8" w:space="0" w:color="auto"/>
            </w:tcBorders>
            <w:noWrap/>
          </w:tcPr>
          <w:p w14:paraId="537BE107"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"Liepājas simfoniskais orķestris"</w:t>
            </w:r>
          </w:p>
        </w:tc>
        <w:tc>
          <w:tcPr>
            <w:tcW w:w="2121" w:type="dxa"/>
            <w:tcBorders>
              <w:top w:val="nil"/>
              <w:left w:val="nil"/>
              <w:bottom w:val="single" w:sz="8" w:space="0" w:color="auto"/>
              <w:right w:val="single" w:sz="8" w:space="0" w:color="auto"/>
            </w:tcBorders>
            <w:noWrap/>
          </w:tcPr>
          <w:p w14:paraId="5274A87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377 662</w:t>
            </w:r>
          </w:p>
        </w:tc>
        <w:tc>
          <w:tcPr>
            <w:tcW w:w="2121" w:type="dxa"/>
            <w:tcBorders>
              <w:top w:val="nil"/>
              <w:left w:val="nil"/>
              <w:bottom w:val="single" w:sz="8" w:space="0" w:color="auto"/>
              <w:right w:val="single" w:sz="8" w:space="0" w:color="auto"/>
            </w:tcBorders>
            <w:noWrap/>
          </w:tcPr>
          <w:p w14:paraId="60702F7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383 046</w:t>
            </w:r>
          </w:p>
        </w:tc>
        <w:tc>
          <w:tcPr>
            <w:tcW w:w="2177" w:type="dxa"/>
            <w:tcBorders>
              <w:top w:val="nil"/>
              <w:left w:val="nil"/>
              <w:bottom w:val="single" w:sz="8" w:space="0" w:color="auto"/>
              <w:right w:val="single" w:sz="8" w:space="0" w:color="auto"/>
            </w:tcBorders>
            <w:noWrap/>
          </w:tcPr>
          <w:p w14:paraId="4ADA4F6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-5 384</w:t>
            </w:r>
          </w:p>
        </w:tc>
      </w:tr>
      <w:tr w:rsidR="00961262" w:rsidRPr="00961262" w14:paraId="1FC53C57"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6F4354C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38</w:t>
            </w:r>
          </w:p>
        </w:tc>
        <w:tc>
          <w:tcPr>
            <w:tcW w:w="6600" w:type="dxa"/>
            <w:tcBorders>
              <w:top w:val="nil"/>
              <w:left w:val="nil"/>
              <w:bottom w:val="single" w:sz="8" w:space="0" w:color="auto"/>
              <w:right w:val="single" w:sz="8" w:space="0" w:color="auto"/>
            </w:tcBorders>
            <w:noWrap/>
          </w:tcPr>
          <w:p w14:paraId="0518F460"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"Ludzas medicīnas centrs"</w:t>
            </w:r>
          </w:p>
        </w:tc>
        <w:tc>
          <w:tcPr>
            <w:tcW w:w="2121" w:type="dxa"/>
            <w:tcBorders>
              <w:top w:val="nil"/>
              <w:left w:val="nil"/>
              <w:bottom w:val="single" w:sz="8" w:space="0" w:color="auto"/>
              <w:right w:val="single" w:sz="8" w:space="0" w:color="auto"/>
            </w:tcBorders>
            <w:noWrap/>
          </w:tcPr>
          <w:p w14:paraId="2963A77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4 600 000</w:t>
            </w:r>
          </w:p>
        </w:tc>
        <w:tc>
          <w:tcPr>
            <w:tcW w:w="2121" w:type="dxa"/>
            <w:tcBorders>
              <w:top w:val="nil"/>
              <w:left w:val="nil"/>
              <w:bottom w:val="single" w:sz="8" w:space="0" w:color="auto"/>
              <w:right w:val="single" w:sz="8" w:space="0" w:color="auto"/>
            </w:tcBorders>
            <w:noWrap/>
          </w:tcPr>
          <w:p w14:paraId="6F1C80F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4 520 000</w:t>
            </w:r>
          </w:p>
        </w:tc>
        <w:tc>
          <w:tcPr>
            <w:tcW w:w="2177" w:type="dxa"/>
            <w:tcBorders>
              <w:top w:val="nil"/>
              <w:left w:val="nil"/>
              <w:bottom w:val="single" w:sz="8" w:space="0" w:color="auto"/>
              <w:right w:val="single" w:sz="8" w:space="0" w:color="auto"/>
            </w:tcBorders>
            <w:noWrap/>
          </w:tcPr>
          <w:p w14:paraId="338C131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80 000</w:t>
            </w:r>
          </w:p>
        </w:tc>
      </w:tr>
      <w:tr w:rsidR="00961262" w:rsidRPr="00961262" w14:paraId="1BD78B2D"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6CA8870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39</w:t>
            </w:r>
          </w:p>
        </w:tc>
        <w:tc>
          <w:tcPr>
            <w:tcW w:w="6600" w:type="dxa"/>
            <w:tcBorders>
              <w:top w:val="nil"/>
              <w:left w:val="nil"/>
              <w:bottom w:val="single" w:sz="8" w:space="0" w:color="auto"/>
              <w:right w:val="single" w:sz="8" w:space="0" w:color="auto"/>
            </w:tcBorders>
            <w:noWrap/>
          </w:tcPr>
          <w:p w14:paraId="18521FCC"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"Mihaila Čehova Rīgas Krievu teātris"</w:t>
            </w:r>
          </w:p>
        </w:tc>
        <w:tc>
          <w:tcPr>
            <w:tcW w:w="2121" w:type="dxa"/>
            <w:tcBorders>
              <w:top w:val="nil"/>
              <w:left w:val="nil"/>
              <w:bottom w:val="single" w:sz="8" w:space="0" w:color="auto"/>
              <w:right w:val="single" w:sz="8" w:space="0" w:color="auto"/>
            </w:tcBorders>
            <w:noWrap/>
          </w:tcPr>
          <w:p w14:paraId="219A846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2 567 639</w:t>
            </w:r>
          </w:p>
        </w:tc>
        <w:tc>
          <w:tcPr>
            <w:tcW w:w="2121" w:type="dxa"/>
            <w:tcBorders>
              <w:top w:val="nil"/>
              <w:left w:val="nil"/>
              <w:bottom w:val="single" w:sz="8" w:space="0" w:color="auto"/>
              <w:right w:val="single" w:sz="8" w:space="0" w:color="auto"/>
            </w:tcBorders>
            <w:noWrap/>
          </w:tcPr>
          <w:p w14:paraId="3FD5BB6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2 487 099</w:t>
            </w:r>
          </w:p>
        </w:tc>
        <w:tc>
          <w:tcPr>
            <w:tcW w:w="2177" w:type="dxa"/>
            <w:tcBorders>
              <w:top w:val="nil"/>
              <w:left w:val="nil"/>
              <w:bottom w:val="single" w:sz="8" w:space="0" w:color="auto"/>
              <w:right w:val="single" w:sz="8" w:space="0" w:color="auto"/>
            </w:tcBorders>
            <w:noWrap/>
          </w:tcPr>
          <w:p w14:paraId="05835EC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80 540</w:t>
            </w:r>
          </w:p>
        </w:tc>
      </w:tr>
      <w:tr w:rsidR="00961262" w:rsidRPr="00961262" w14:paraId="34895B4C"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37030E7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40</w:t>
            </w:r>
          </w:p>
        </w:tc>
        <w:tc>
          <w:tcPr>
            <w:tcW w:w="6600" w:type="dxa"/>
            <w:tcBorders>
              <w:top w:val="nil"/>
              <w:left w:val="nil"/>
              <w:bottom w:val="single" w:sz="8" w:space="0" w:color="auto"/>
              <w:right w:val="single" w:sz="8" w:space="0" w:color="auto"/>
            </w:tcBorders>
            <w:noWrap/>
          </w:tcPr>
          <w:p w14:paraId="0B4FED1D"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"Nacionālais psihiskās veselības centrs"</w:t>
            </w:r>
          </w:p>
        </w:tc>
        <w:tc>
          <w:tcPr>
            <w:tcW w:w="2121" w:type="dxa"/>
            <w:tcBorders>
              <w:top w:val="nil"/>
              <w:left w:val="nil"/>
              <w:bottom w:val="single" w:sz="8" w:space="0" w:color="auto"/>
              <w:right w:val="single" w:sz="8" w:space="0" w:color="auto"/>
            </w:tcBorders>
            <w:noWrap/>
          </w:tcPr>
          <w:p w14:paraId="1448363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35 246 031</w:t>
            </w:r>
          </w:p>
        </w:tc>
        <w:tc>
          <w:tcPr>
            <w:tcW w:w="2121" w:type="dxa"/>
            <w:tcBorders>
              <w:top w:val="nil"/>
              <w:left w:val="nil"/>
              <w:bottom w:val="single" w:sz="8" w:space="0" w:color="auto"/>
              <w:right w:val="single" w:sz="8" w:space="0" w:color="auto"/>
            </w:tcBorders>
            <w:noWrap/>
          </w:tcPr>
          <w:p w14:paraId="3155D80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35 246 031</w:t>
            </w:r>
          </w:p>
        </w:tc>
        <w:tc>
          <w:tcPr>
            <w:tcW w:w="2177" w:type="dxa"/>
            <w:tcBorders>
              <w:top w:val="nil"/>
              <w:left w:val="nil"/>
              <w:bottom w:val="single" w:sz="8" w:space="0" w:color="auto"/>
              <w:right w:val="single" w:sz="8" w:space="0" w:color="auto"/>
            </w:tcBorders>
            <w:noWrap/>
          </w:tcPr>
          <w:p w14:paraId="454CF61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2732A43A"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14803A0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41</w:t>
            </w:r>
          </w:p>
        </w:tc>
        <w:tc>
          <w:tcPr>
            <w:tcW w:w="6600" w:type="dxa"/>
            <w:tcBorders>
              <w:top w:val="nil"/>
              <w:left w:val="nil"/>
              <w:bottom w:val="single" w:sz="8" w:space="0" w:color="auto"/>
              <w:right w:val="single" w:sz="8" w:space="0" w:color="auto"/>
            </w:tcBorders>
            <w:noWrap/>
          </w:tcPr>
          <w:p w14:paraId="163E8944"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AS "Pasažieru vilciens"</w:t>
            </w:r>
          </w:p>
        </w:tc>
        <w:tc>
          <w:tcPr>
            <w:tcW w:w="2121" w:type="dxa"/>
            <w:tcBorders>
              <w:top w:val="nil"/>
              <w:left w:val="nil"/>
              <w:bottom w:val="single" w:sz="8" w:space="0" w:color="auto"/>
              <w:right w:val="single" w:sz="8" w:space="0" w:color="auto"/>
            </w:tcBorders>
            <w:noWrap/>
          </w:tcPr>
          <w:p w14:paraId="7824B91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76 209 449</w:t>
            </w:r>
          </w:p>
        </w:tc>
        <w:tc>
          <w:tcPr>
            <w:tcW w:w="2121" w:type="dxa"/>
            <w:tcBorders>
              <w:top w:val="nil"/>
              <w:left w:val="nil"/>
              <w:bottom w:val="single" w:sz="8" w:space="0" w:color="auto"/>
              <w:right w:val="single" w:sz="8" w:space="0" w:color="auto"/>
            </w:tcBorders>
            <w:noWrap/>
          </w:tcPr>
          <w:p w14:paraId="33DC7FF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77 077 561</w:t>
            </w:r>
          </w:p>
        </w:tc>
        <w:tc>
          <w:tcPr>
            <w:tcW w:w="2177" w:type="dxa"/>
            <w:tcBorders>
              <w:top w:val="nil"/>
              <w:left w:val="nil"/>
              <w:bottom w:val="single" w:sz="8" w:space="0" w:color="auto"/>
              <w:right w:val="single" w:sz="8" w:space="0" w:color="auto"/>
            </w:tcBorders>
            <w:noWrap/>
          </w:tcPr>
          <w:p w14:paraId="2D2608F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-868 112</w:t>
            </w:r>
          </w:p>
        </w:tc>
      </w:tr>
      <w:tr w:rsidR="00961262" w:rsidRPr="00961262" w14:paraId="4A16EEC5"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CD31D4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42</w:t>
            </w:r>
          </w:p>
        </w:tc>
        <w:tc>
          <w:tcPr>
            <w:tcW w:w="6600" w:type="dxa"/>
            <w:tcBorders>
              <w:top w:val="nil"/>
              <w:left w:val="nil"/>
              <w:bottom w:val="single" w:sz="8" w:space="0" w:color="auto"/>
              <w:right w:val="single" w:sz="8" w:space="0" w:color="auto"/>
            </w:tcBorders>
            <w:noWrap/>
          </w:tcPr>
          <w:p w14:paraId="2A16652A"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"Paula Stradiņa klīniskā universitātes slimnīca"</w:t>
            </w:r>
          </w:p>
        </w:tc>
        <w:tc>
          <w:tcPr>
            <w:tcW w:w="2121" w:type="dxa"/>
            <w:tcBorders>
              <w:top w:val="nil"/>
              <w:left w:val="nil"/>
              <w:bottom w:val="single" w:sz="8" w:space="0" w:color="auto"/>
              <w:right w:val="single" w:sz="8" w:space="0" w:color="auto"/>
            </w:tcBorders>
            <w:noWrap/>
          </w:tcPr>
          <w:p w14:paraId="3833BD3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202 183 642</w:t>
            </w:r>
          </w:p>
        </w:tc>
        <w:tc>
          <w:tcPr>
            <w:tcW w:w="2121" w:type="dxa"/>
            <w:tcBorders>
              <w:top w:val="nil"/>
              <w:left w:val="nil"/>
              <w:bottom w:val="single" w:sz="8" w:space="0" w:color="auto"/>
              <w:right w:val="single" w:sz="8" w:space="0" w:color="auto"/>
            </w:tcBorders>
            <w:noWrap/>
          </w:tcPr>
          <w:p w14:paraId="33EEF9B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207 133 742</w:t>
            </w:r>
          </w:p>
        </w:tc>
        <w:tc>
          <w:tcPr>
            <w:tcW w:w="2177" w:type="dxa"/>
            <w:tcBorders>
              <w:top w:val="nil"/>
              <w:left w:val="nil"/>
              <w:bottom w:val="single" w:sz="8" w:space="0" w:color="auto"/>
              <w:right w:val="single" w:sz="8" w:space="0" w:color="auto"/>
            </w:tcBorders>
            <w:noWrap/>
          </w:tcPr>
          <w:p w14:paraId="71EDC7C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-4 950 100</w:t>
            </w:r>
          </w:p>
        </w:tc>
      </w:tr>
      <w:tr w:rsidR="00961262" w:rsidRPr="00961262" w14:paraId="31319358"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6CD2D99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lastRenderedPageBreak/>
              <w:t>43</w:t>
            </w:r>
          </w:p>
        </w:tc>
        <w:tc>
          <w:tcPr>
            <w:tcW w:w="6600" w:type="dxa"/>
            <w:tcBorders>
              <w:top w:val="nil"/>
              <w:left w:val="nil"/>
              <w:bottom w:val="single" w:sz="8" w:space="0" w:color="auto"/>
              <w:right w:val="single" w:sz="8" w:space="0" w:color="auto"/>
            </w:tcBorders>
            <w:noWrap/>
          </w:tcPr>
          <w:p w14:paraId="6FF2C135"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"Piejūras slimnīca"</w:t>
            </w:r>
          </w:p>
        </w:tc>
        <w:tc>
          <w:tcPr>
            <w:tcW w:w="2121" w:type="dxa"/>
            <w:tcBorders>
              <w:top w:val="nil"/>
              <w:left w:val="nil"/>
              <w:bottom w:val="single" w:sz="8" w:space="0" w:color="auto"/>
              <w:right w:val="single" w:sz="8" w:space="0" w:color="auto"/>
            </w:tcBorders>
            <w:noWrap/>
          </w:tcPr>
          <w:p w14:paraId="4EEB0D8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6 426 600</w:t>
            </w:r>
          </w:p>
        </w:tc>
        <w:tc>
          <w:tcPr>
            <w:tcW w:w="2121" w:type="dxa"/>
            <w:tcBorders>
              <w:top w:val="nil"/>
              <w:left w:val="nil"/>
              <w:bottom w:val="single" w:sz="8" w:space="0" w:color="auto"/>
              <w:right w:val="single" w:sz="8" w:space="0" w:color="auto"/>
            </w:tcBorders>
            <w:noWrap/>
          </w:tcPr>
          <w:p w14:paraId="2A73F1C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6 239 972</w:t>
            </w:r>
          </w:p>
        </w:tc>
        <w:tc>
          <w:tcPr>
            <w:tcW w:w="2177" w:type="dxa"/>
            <w:tcBorders>
              <w:top w:val="nil"/>
              <w:left w:val="nil"/>
              <w:bottom w:val="single" w:sz="8" w:space="0" w:color="auto"/>
              <w:right w:val="single" w:sz="8" w:space="0" w:color="auto"/>
            </w:tcBorders>
            <w:noWrap/>
          </w:tcPr>
          <w:p w14:paraId="3D1030E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186 628</w:t>
            </w:r>
          </w:p>
        </w:tc>
      </w:tr>
      <w:tr w:rsidR="00961262" w:rsidRPr="00961262" w14:paraId="35502BE6"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5EE66F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44</w:t>
            </w:r>
          </w:p>
        </w:tc>
        <w:tc>
          <w:tcPr>
            <w:tcW w:w="6600" w:type="dxa"/>
            <w:tcBorders>
              <w:top w:val="nil"/>
              <w:left w:val="nil"/>
              <w:bottom w:val="single" w:sz="8" w:space="0" w:color="auto"/>
              <w:right w:val="single" w:sz="8" w:space="0" w:color="auto"/>
            </w:tcBorders>
            <w:noWrap/>
          </w:tcPr>
          <w:p w14:paraId="35F1F7D0"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"Publisko aktīvu pārvaldītājs Possessor"</w:t>
            </w:r>
          </w:p>
        </w:tc>
        <w:tc>
          <w:tcPr>
            <w:tcW w:w="2121" w:type="dxa"/>
            <w:tcBorders>
              <w:top w:val="nil"/>
              <w:left w:val="nil"/>
              <w:bottom w:val="single" w:sz="8" w:space="0" w:color="auto"/>
              <w:right w:val="single" w:sz="8" w:space="0" w:color="auto"/>
            </w:tcBorders>
            <w:noWrap/>
          </w:tcPr>
          <w:p w14:paraId="1EBCC2B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3 465 000</w:t>
            </w:r>
          </w:p>
        </w:tc>
        <w:tc>
          <w:tcPr>
            <w:tcW w:w="2121" w:type="dxa"/>
            <w:tcBorders>
              <w:top w:val="nil"/>
              <w:left w:val="nil"/>
              <w:bottom w:val="single" w:sz="8" w:space="0" w:color="auto"/>
              <w:right w:val="single" w:sz="8" w:space="0" w:color="auto"/>
            </w:tcBorders>
            <w:noWrap/>
          </w:tcPr>
          <w:p w14:paraId="4A871D1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3 415 750</w:t>
            </w:r>
          </w:p>
        </w:tc>
        <w:tc>
          <w:tcPr>
            <w:tcW w:w="2177" w:type="dxa"/>
            <w:tcBorders>
              <w:top w:val="nil"/>
              <w:left w:val="nil"/>
              <w:bottom w:val="single" w:sz="8" w:space="0" w:color="auto"/>
              <w:right w:val="single" w:sz="8" w:space="0" w:color="auto"/>
            </w:tcBorders>
            <w:noWrap/>
          </w:tcPr>
          <w:p w14:paraId="3C737B5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49 250</w:t>
            </w:r>
          </w:p>
        </w:tc>
      </w:tr>
      <w:tr w:rsidR="00961262" w:rsidRPr="00961262" w14:paraId="1AD31194"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FB0E83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45</w:t>
            </w:r>
          </w:p>
        </w:tc>
        <w:tc>
          <w:tcPr>
            <w:tcW w:w="6600" w:type="dxa"/>
            <w:tcBorders>
              <w:top w:val="nil"/>
              <w:left w:val="nil"/>
              <w:bottom w:val="single" w:sz="8" w:space="0" w:color="auto"/>
              <w:right w:val="single" w:sz="8" w:space="0" w:color="auto"/>
            </w:tcBorders>
            <w:noWrap/>
          </w:tcPr>
          <w:p w14:paraId="20C9D276"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"REAP"</w:t>
            </w:r>
          </w:p>
        </w:tc>
        <w:tc>
          <w:tcPr>
            <w:tcW w:w="2121" w:type="dxa"/>
            <w:tcBorders>
              <w:top w:val="nil"/>
              <w:left w:val="nil"/>
              <w:bottom w:val="single" w:sz="8" w:space="0" w:color="auto"/>
              <w:right w:val="single" w:sz="8" w:space="0" w:color="auto"/>
            </w:tcBorders>
            <w:noWrap/>
          </w:tcPr>
          <w:p w14:paraId="799BC71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195 200</w:t>
            </w:r>
          </w:p>
        </w:tc>
        <w:tc>
          <w:tcPr>
            <w:tcW w:w="2121" w:type="dxa"/>
            <w:tcBorders>
              <w:top w:val="nil"/>
              <w:left w:val="nil"/>
              <w:bottom w:val="single" w:sz="8" w:space="0" w:color="auto"/>
              <w:right w:val="single" w:sz="8" w:space="0" w:color="auto"/>
            </w:tcBorders>
            <w:noWrap/>
          </w:tcPr>
          <w:p w14:paraId="6831AF7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195 200</w:t>
            </w:r>
          </w:p>
        </w:tc>
        <w:tc>
          <w:tcPr>
            <w:tcW w:w="2177" w:type="dxa"/>
            <w:tcBorders>
              <w:top w:val="nil"/>
              <w:left w:val="nil"/>
              <w:bottom w:val="single" w:sz="8" w:space="0" w:color="auto"/>
              <w:right w:val="single" w:sz="8" w:space="0" w:color="auto"/>
            </w:tcBorders>
            <w:noWrap/>
          </w:tcPr>
          <w:p w14:paraId="5525810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0BD18E4B"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E562B2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46</w:t>
            </w:r>
          </w:p>
        </w:tc>
        <w:tc>
          <w:tcPr>
            <w:tcW w:w="6600" w:type="dxa"/>
            <w:tcBorders>
              <w:top w:val="nil"/>
              <w:left w:val="nil"/>
              <w:bottom w:val="single" w:sz="8" w:space="0" w:color="auto"/>
              <w:right w:val="single" w:sz="8" w:space="0" w:color="auto"/>
            </w:tcBorders>
            <w:noWrap/>
          </w:tcPr>
          <w:p w14:paraId="3AC2C047"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AS "Reverta"</w:t>
            </w:r>
          </w:p>
        </w:tc>
        <w:tc>
          <w:tcPr>
            <w:tcW w:w="2121" w:type="dxa"/>
            <w:tcBorders>
              <w:top w:val="nil"/>
              <w:left w:val="nil"/>
              <w:bottom w:val="single" w:sz="8" w:space="0" w:color="auto"/>
              <w:right w:val="single" w:sz="8" w:space="0" w:color="auto"/>
            </w:tcBorders>
            <w:noWrap/>
          </w:tcPr>
          <w:p w14:paraId="5C572B5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noWrap/>
          </w:tcPr>
          <w:p w14:paraId="1726E11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noWrap/>
          </w:tcPr>
          <w:p w14:paraId="49959DB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19E8D5D5"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014C87E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47</w:t>
            </w:r>
          </w:p>
        </w:tc>
        <w:tc>
          <w:tcPr>
            <w:tcW w:w="6600" w:type="dxa"/>
            <w:tcBorders>
              <w:top w:val="nil"/>
              <w:left w:val="nil"/>
              <w:bottom w:val="single" w:sz="8" w:space="0" w:color="auto"/>
              <w:right w:val="single" w:sz="8" w:space="0" w:color="auto"/>
            </w:tcBorders>
            <w:noWrap/>
          </w:tcPr>
          <w:p w14:paraId="700736CF"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"Rīgas Austrumu klīniskā universitātes slimnīca"</w:t>
            </w:r>
          </w:p>
        </w:tc>
        <w:tc>
          <w:tcPr>
            <w:tcW w:w="2121" w:type="dxa"/>
            <w:tcBorders>
              <w:top w:val="nil"/>
              <w:left w:val="nil"/>
              <w:bottom w:val="single" w:sz="8" w:space="0" w:color="auto"/>
              <w:right w:val="single" w:sz="8" w:space="0" w:color="auto"/>
            </w:tcBorders>
            <w:noWrap/>
          </w:tcPr>
          <w:p w14:paraId="5FCE876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275 901 000</w:t>
            </w:r>
          </w:p>
        </w:tc>
        <w:tc>
          <w:tcPr>
            <w:tcW w:w="2121" w:type="dxa"/>
            <w:tcBorders>
              <w:top w:val="nil"/>
              <w:left w:val="nil"/>
              <w:bottom w:val="single" w:sz="8" w:space="0" w:color="auto"/>
              <w:right w:val="single" w:sz="8" w:space="0" w:color="auto"/>
            </w:tcBorders>
            <w:noWrap/>
          </w:tcPr>
          <w:p w14:paraId="112C741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276 844 852</w:t>
            </w:r>
          </w:p>
        </w:tc>
        <w:tc>
          <w:tcPr>
            <w:tcW w:w="2177" w:type="dxa"/>
            <w:tcBorders>
              <w:top w:val="nil"/>
              <w:left w:val="nil"/>
              <w:bottom w:val="single" w:sz="8" w:space="0" w:color="auto"/>
              <w:right w:val="single" w:sz="8" w:space="0" w:color="auto"/>
            </w:tcBorders>
            <w:noWrap/>
          </w:tcPr>
          <w:p w14:paraId="716DBC9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-943 852</w:t>
            </w:r>
          </w:p>
        </w:tc>
      </w:tr>
      <w:tr w:rsidR="00961262" w:rsidRPr="00961262" w14:paraId="4E3EF1BC"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1460124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48</w:t>
            </w:r>
          </w:p>
        </w:tc>
        <w:tc>
          <w:tcPr>
            <w:tcW w:w="6600" w:type="dxa"/>
            <w:tcBorders>
              <w:top w:val="nil"/>
              <w:left w:val="nil"/>
              <w:bottom w:val="single" w:sz="8" w:space="0" w:color="auto"/>
              <w:right w:val="single" w:sz="8" w:space="0" w:color="auto"/>
            </w:tcBorders>
            <w:noWrap/>
          </w:tcPr>
          <w:p w14:paraId="44AA666B"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"Rīgas Cirks"</w:t>
            </w:r>
          </w:p>
        </w:tc>
        <w:tc>
          <w:tcPr>
            <w:tcW w:w="2121" w:type="dxa"/>
            <w:tcBorders>
              <w:top w:val="nil"/>
              <w:left w:val="nil"/>
              <w:bottom w:val="single" w:sz="8" w:space="0" w:color="auto"/>
              <w:right w:val="single" w:sz="8" w:space="0" w:color="auto"/>
            </w:tcBorders>
            <w:noWrap/>
          </w:tcPr>
          <w:p w14:paraId="5827DFE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1 962 070</w:t>
            </w:r>
          </w:p>
        </w:tc>
        <w:tc>
          <w:tcPr>
            <w:tcW w:w="2121" w:type="dxa"/>
            <w:tcBorders>
              <w:top w:val="nil"/>
              <w:left w:val="nil"/>
              <w:bottom w:val="single" w:sz="8" w:space="0" w:color="auto"/>
              <w:right w:val="single" w:sz="8" w:space="0" w:color="auto"/>
            </w:tcBorders>
            <w:noWrap/>
          </w:tcPr>
          <w:p w14:paraId="0CC664C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1 951 345</w:t>
            </w:r>
          </w:p>
        </w:tc>
        <w:tc>
          <w:tcPr>
            <w:tcW w:w="2177" w:type="dxa"/>
            <w:tcBorders>
              <w:top w:val="nil"/>
              <w:left w:val="nil"/>
              <w:bottom w:val="single" w:sz="8" w:space="0" w:color="auto"/>
              <w:right w:val="single" w:sz="8" w:space="0" w:color="auto"/>
            </w:tcBorders>
            <w:noWrap/>
          </w:tcPr>
          <w:p w14:paraId="3214424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10 725</w:t>
            </w:r>
          </w:p>
        </w:tc>
      </w:tr>
      <w:tr w:rsidR="00961262" w:rsidRPr="00961262" w14:paraId="768A030C"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FCC9AA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49</w:t>
            </w:r>
          </w:p>
        </w:tc>
        <w:tc>
          <w:tcPr>
            <w:tcW w:w="6600" w:type="dxa"/>
            <w:tcBorders>
              <w:top w:val="nil"/>
              <w:left w:val="nil"/>
              <w:bottom w:val="single" w:sz="8" w:space="0" w:color="auto"/>
              <w:right w:val="single" w:sz="8" w:space="0" w:color="auto"/>
            </w:tcBorders>
            <w:noWrap/>
          </w:tcPr>
          <w:p w14:paraId="4754EA74"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"Rīgas Tūrisma un radošās industrijas tehnikums"</w:t>
            </w:r>
          </w:p>
        </w:tc>
        <w:tc>
          <w:tcPr>
            <w:tcW w:w="2121" w:type="dxa"/>
            <w:tcBorders>
              <w:top w:val="nil"/>
              <w:left w:val="nil"/>
              <w:bottom w:val="single" w:sz="8" w:space="0" w:color="auto"/>
              <w:right w:val="single" w:sz="8" w:space="0" w:color="auto"/>
            </w:tcBorders>
            <w:noWrap/>
          </w:tcPr>
          <w:p w14:paraId="1FB3476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8 559 000</w:t>
            </w:r>
          </w:p>
        </w:tc>
        <w:tc>
          <w:tcPr>
            <w:tcW w:w="2121" w:type="dxa"/>
            <w:tcBorders>
              <w:top w:val="nil"/>
              <w:left w:val="nil"/>
              <w:bottom w:val="single" w:sz="8" w:space="0" w:color="auto"/>
              <w:right w:val="single" w:sz="8" w:space="0" w:color="auto"/>
            </w:tcBorders>
            <w:noWrap/>
          </w:tcPr>
          <w:p w14:paraId="3BC7C79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8 558 820</w:t>
            </w:r>
          </w:p>
        </w:tc>
        <w:tc>
          <w:tcPr>
            <w:tcW w:w="2177" w:type="dxa"/>
            <w:tcBorders>
              <w:top w:val="nil"/>
              <w:left w:val="nil"/>
              <w:bottom w:val="single" w:sz="8" w:space="0" w:color="auto"/>
              <w:right w:val="single" w:sz="8" w:space="0" w:color="auto"/>
            </w:tcBorders>
            <w:noWrap/>
          </w:tcPr>
          <w:p w14:paraId="7A3FA42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180</w:t>
            </w:r>
          </w:p>
        </w:tc>
      </w:tr>
      <w:tr w:rsidR="00961262" w:rsidRPr="00961262" w14:paraId="5C15A151"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7A3E64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50</w:t>
            </w:r>
          </w:p>
        </w:tc>
        <w:tc>
          <w:tcPr>
            <w:tcW w:w="6600" w:type="dxa"/>
            <w:tcBorders>
              <w:top w:val="nil"/>
              <w:left w:val="nil"/>
              <w:bottom w:val="single" w:sz="8" w:space="0" w:color="auto"/>
              <w:right w:val="single" w:sz="8" w:space="0" w:color="auto"/>
            </w:tcBorders>
            <w:noWrap/>
          </w:tcPr>
          <w:p w14:paraId="55C55867"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"RTU Starptautiskā zinātņu un tehnoloģiju skola"</w:t>
            </w:r>
          </w:p>
        </w:tc>
        <w:tc>
          <w:tcPr>
            <w:tcW w:w="2121" w:type="dxa"/>
            <w:tcBorders>
              <w:top w:val="nil"/>
              <w:left w:val="nil"/>
              <w:bottom w:val="single" w:sz="8" w:space="0" w:color="auto"/>
              <w:right w:val="single" w:sz="8" w:space="0" w:color="auto"/>
            </w:tcBorders>
            <w:noWrap/>
          </w:tcPr>
          <w:p w14:paraId="0EDD4CE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1 059 325</w:t>
            </w:r>
          </w:p>
        </w:tc>
        <w:tc>
          <w:tcPr>
            <w:tcW w:w="2121" w:type="dxa"/>
            <w:tcBorders>
              <w:top w:val="nil"/>
              <w:left w:val="nil"/>
              <w:bottom w:val="single" w:sz="8" w:space="0" w:color="auto"/>
              <w:right w:val="single" w:sz="8" w:space="0" w:color="auto"/>
            </w:tcBorders>
            <w:noWrap/>
          </w:tcPr>
          <w:p w14:paraId="5ADADE9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950 355</w:t>
            </w:r>
          </w:p>
        </w:tc>
        <w:tc>
          <w:tcPr>
            <w:tcW w:w="2177" w:type="dxa"/>
            <w:tcBorders>
              <w:top w:val="nil"/>
              <w:left w:val="nil"/>
              <w:bottom w:val="single" w:sz="8" w:space="0" w:color="auto"/>
              <w:right w:val="single" w:sz="8" w:space="0" w:color="auto"/>
            </w:tcBorders>
            <w:noWrap/>
          </w:tcPr>
          <w:p w14:paraId="199AA0C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108 970</w:t>
            </w:r>
          </w:p>
        </w:tc>
      </w:tr>
      <w:tr w:rsidR="00961262" w:rsidRPr="00961262" w14:paraId="76512FBD"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44DA89C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51</w:t>
            </w:r>
          </w:p>
        </w:tc>
        <w:tc>
          <w:tcPr>
            <w:tcW w:w="6600" w:type="dxa"/>
            <w:tcBorders>
              <w:top w:val="nil"/>
              <w:left w:val="nil"/>
              <w:bottom w:val="single" w:sz="8" w:space="0" w:color="auto"/>
              <w:right w:val="single" w:sz="8" w:space="0" w:color="auto"/>
            </w:tcBorders>
            <w:noWrap/>
          </w:tcPr>
          <w:p w14:paraId="0EE4599C"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"Šampētera nams"</w:t>
            </w:r>
          </w:p>
        </w:tc>
        <w:tc>
          <w:tcPr>
            <w:tcW w:w="2121" w:type="dxa"/>
            <w:tcBorders>
              <w:top w:val="nil"/>
              <w:left w:val="nil"/>
              <w:bottom w:val="single" w:sz="8" w:space="0" w:color="auto"/>
              <w:right w:val="single" w:sz="8" w:space="0" w:color="auto"/>
            </w:tcBorders>
            <w:noWrap/>
          </w:tcPr>
          <w:p w14:paraId="694E5FA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2 795 660</w:t>
            </w:r>
          </w:p>
        </w:tc>
        <w:tc>
          <w:tcPr>
            <w:tcW w:w="2121" w:type="dxa"/>
            <w:tcBorders>
              <w:top w:val="nil"/>
              <w:left w:val="nil"/>
              <w:bottom w:val="single" w:sz="8" w:space="0" w:color="auto"/>
              <w:right w:val="single" w:sz="8" w:space="0" w:color="auto"/>
            </w:tcBorders>
            <w:noWrap/>
          </w:tcPr>
          <w:p w14:paraId="7EB798E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2 767 944</w:t>
            </w:r>
          </w:p>
        </w:tc>
        <w:tc>
          <w:tcPr>
            <w:tcW w:w="2177" w:type="dxa"/>
            <w:tcBorders>
              <w:top w:val="nil"/>
              <w:left w:val="nil"/>
              <w:bottom w:val="single" w:sz="8" w:space="0" w:color="auto"/>
              <w:right w:val="single" w:sz="8" w:space="0" w:color="auto"/>
            </w:tcBorders>
            <w:noWrap/>
          </w:tcPr>
          <w:p w14:paraId="6471A19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27 716</w:t>
            </w:r>
          </w:p>
        </w:tc>
      </w:tr>
      <w:tr w:rsidR="00961262" w:rsidRPr="00961262" w14:paraId="14E5CEAF"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3A1589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52</w:t>
            </w:r>
          </w:p>
        </w:tc>
        <w:tc>
          <w:tcPr>
            <w:tcW w:w="6600" w:type="dxa"/>
            <w:tcBorders>
              <w:top w:val="nil"/>
              <w:left w:val="nil"/>
              <w:bottom w:val="single" w:sz="8" w:space="0" w:color="auto"/>
              <w:right w:val="single" w:sz="8" w:space="0" w:color="auto"/>
            </w:tcBorders>
            <w:noWrap/>
          </w:tcPr>
          <w:p w14:paraId="7FD0D7FE"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"Starptautiskā Rakstnieku un tulkotāju māja"</w:t>
            </w:r>
          </w:p>
        </w:tc>
        <w:tc>
          <w:tcPr>
            <w:tcW w:w="2121" w:type="dxa"/>
            <w:tcBorders>
              <w:top w:val="nil"/>
              <w:left w:val="nil"/>
              <w:bottom w:val="single" w:sz="8" w:space="0" w:color="auto"/>
              <w:right w:val="single" w:sz="8" w:space="0" w:color="auto"/>
            </w:tcBorders>
            <w:noWrap/>
          </w:tcPr>
          <w:p w14:paraId="09FB397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848 315</w:t>
            </w:r>
          </w:p>
        </w:tc>
        <w:tc>
          <w:tcPr>
            <w:tcW w:w="2121" w:type="dxa"/>
            <w:tcBorders>
              <w:top w:val="nil"/>
              <w:left w:val="nil"/>
              <w:bottom w:val="single" w:sz="8" w:space="0" w:color="auto"/>
              <w:right w:val="single" w:sz="8" w:space="0" w:color="auto"/>
            </w:tcBorders>
            <w:noWrap/>
          </w:tcPr>
          <w:p w14:paraId="05D940F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848 171</w:t>
            </w:r>
          </w:p>
        </w:tc>
        <w:tc>
          <w:tcPr>
            <w:tcW w:w="2177" w:type="dxa"/>
            <w:tcBorders>
              <w:top w:val="nil"/>
              <w:left w:val="nil"/>
              <w:bottom w:val="single" w:sz="8" w:space="0" w:color="auto"/>
              <w:right w:val="single" w:sz="8" w:space="0" w:color="auto"/>
            </w:tcBorders>
            <w:noWrap/>
          </w:tcPr>
          <w:p w14:paraId="7A9DDAF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144</w:t>
            </w:r>
          </w:p>
        </w:tc>
      </w:tr>
      <w:tr w:rsidR="00961262" w:rsidRPr="00961262" w14:paraId="7E052A63"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4F36D5C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53</w:t>
            </w:r>
          </w:p>
        </w:tc>
        <w:tc>
          <w:tcPr>
            <w:tcW w:w="6600" w:type="dxa"/>
            <w:tcBorders>
              <w:top w:val="nil"/>
              <w:left w:val="nil"/>
              <w:bottom w:val="single" w:sz="8" w:space="0" w:color="auto"/>
              <w:right w:val="single" w:sz="8" w:space="0" w:color="auto"/>
            </w:tcBorders>
            <w:noWrap/>
          </w:tcPr>
          <w:p w14:paraId="05B43B11" w14:textId="77777777" w:rsidR="00961262" w:rsidRPr="00961262" w:rsidRDefault="00961262" w:rsidP="00961262">
            <w:pPr>
              <w:spacing w:after="0"/>
              <w:ind w:firstLine="0"/>
              <w:jc w:val="left"/>
              <w:rPr>
                <w:rFonts w:eastAsia="Calibri" w:cs="Times New Roman"/>
                <w:sz w:val="18"/>
                <w:szCs w:val="18"/>
                <w:highlight w:val="yellow"/>
                <w:lang w:eastAsia="en-US"/>
              </w:rPr>
            </w:pPr>
            <w:r w:rsidRPr="00961262">
              <w:rPr>
                <w:rFonts w:eastAsia="Calibri" w:cs="Times New Roman"/>
                <w:sz w:val="18"/>
                <w:szCs w:val="18"/>
                <w:lang w:eastAsia="en-US"/>
              </w:rPr>
              <w:t>VSIA "Strenču psihoneiroloģiskā slimnīca"</w:t>
            </w:r>
          </w:p>
        </w:tc>
        <w:tc>
          <w:tcPr>
            <w:tcW w:w="2121" w:type="dxa"/>
            <w:tcBorders>
              <w:top w:val="nil"/>
              <w:left w:val="nil"/>
              <w:bottom w:val="single" w:sz="8" w:space="0" w:color="auto"/>
              <w:right w:val="single" w:sz="8" w:space="0" w:color="auto"/>
            </w:tcBorders>
            <w:noWrap/>
          </w:tcPr>
          <w:p w14:paraId="6E4AB3B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10 134 450</w:t>
            </w:r>
          </w:p>
        </w:tc>
        <w:tc>
          <w:tcPr>
            <w:tcW w:w="2121" w:type="dxa"/>
            <w:tcBorders>
              <w:top w:val="nil"/>
              <w:left w:val="nil"/>
              <w:bottom w:val="single" w:sz="8" w:space="0" w:color="auto"/>
              <w:right w:val="single" w:sz="8" w:space="0" w:color="auto"/>
            </w:tcBorders>
            <w:noWrap/>
          </w:tcPr>
          <w:p w14:paraId="42DE858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11 726 833</w:t>
            </w:r>
          </w:p>
        </w:tc>
        <w:tc>
          <w:tcPr>
            <w:tcW w:w="2177" w:type="dxa"/>
            <w:tcBorders>
              <w:top w:val="nil"/>
              <w:left w:val="nil"/>
              <w:bottom w:val="single" w:sz="8" w:space="0" w:color="auto"/>
              <w:right w:val="single" w:sz="8" w:space="0" w:color="auto"/>
            </w:tcBorders>
            <w:noWrap/>
          </w:tcPr>
          <w:p w14:paraId="6DB619B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-1 592 383</w:t>
            </w:r>
          </w:p>
        </w:tc>
      </w:tr>
      <w:tr w:rsidR="00961262" w:rsidRPr="00961262" w14:paraId="41A4CB93"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7381F1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54</w:t>
            </w:r>
          </w:p>
        </w:tc>
        <w:tc>
          <w:tcPr>
            <w:tcW w:w="6600" w:type="dxa"/>
            <w:tcBorders>
              <w:top w:val="nil"/>
              <w:left w:val="nil"/>
              <w:bottom w:val="single" w:sz="8" w:space="0" w:color="auto"/>
              <w:right w:val="single" w:sz="8" w:space="0" w:color="auto"/>
            </w:tcBorders>
            <w:noWrap/>
          </w:tcPr>
          <w:p w14:paraId="2F0C6F79"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"Tiesu namu aģentūra"</w:t>
            </w:r>
          </w:p>
        </w:tc>
        <w:tc>
          <w:tcPr>
            <w:tcW w:w="2121" w:type="dxa"/>
            <w:tcBorders>
              <w:top w:val="nil"/>
              <w:left w:val="nil"/>
              <w:bottom w:val="single" w:sz="8" w:space="0" w:color="auto"/>
              <w:right w:val="single" w:sz="8" w:space="0" w:color="auto"/>
            </w:tcBorders>
            <w:noWrap/>
          </w:tcPr>
          <w:p w14:paraId="0B1D337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9 250 000</w:t>
            </w:r>
          </w:p>
        </w:tc>
        <w:tc>
          <w:tcPr>
            <w:tcW w:w="2121" w:type="dxa"/>
            <w:tcBorders>
              <w:top w:val="nil"/>
              <w:left w:val="nil"/>
              <w:bottom w:val="single" w:sz="8" w:space="0" w:color="auto"/>
              <w:right w:val="single" w:sz="8" w:space="0" w:color="auto"/>
            </w:tcBorders>
            <w:noWrap/>
          </w:tcPr>
          <w:p w14:paraId="7A4B88F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9 250 000</w:t>
            </w:r>
          </w:p>
        </w:tc>
        <w:tc>
          <w:tcPr>
            <w:tcW w:w="2177" w:type="dxa"/>
            <w:tcBorders>
              <w:top w:val="nil"/>
              <w:left w:val="nil"/>
              <w:bottom w:val="single" w:sz="8" w:space="0" w:color="auto"/>
              <w:right w:val="single" w:sz="8" w:space="0" w:color="auto"/>
            </w:tcBorders>
            <w:noWrap/>
          </w:tcPr>
          <w:p w14:paraId="3ED30CF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499864C3"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6A22A58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55</w:t>
            </w:r>
          </w:p>
        </w:tc>
        <w:tc>
          <w:tcPr>
            <w:tcW w:w="6600" w:type="dxa"/>
            <w:tcBorders>
              <w:top w:val="nil"/>
              <w:left w:val="nil"/>
              <w:bottom w:val="single" w:sz="8" w:space="0" w:color="auto"/>
              <w:right w:val="single" w:sz="8" w:space="0" w:color="auto"/>
            </w:tcBorders>
            <w:noWrap/>
          </w:tcPr>
          <w:p w14:paraId="4E365303"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"Traumatoloģijas un ortopēdijas slimnīca"</w:t>
            </w:r>
          </w:p>
        </w:tc>
        <w:tc>
          <w:tcPr>
            <w:tcW w:w="2121" w:type="dxa"/>
            <w:tcBorders>
              <w:top w:val="nil"/>
              <w:left w:val="nil"/>
              <w:bottom w:val="single" w:sz="8" w:space="0" w:color="auto"/>
              <w:right w:val="single" w:sz="8" w:space="0" w:color="auto"/>
            </w:tcBorders>
            <w:noWrap/>
          </w:tcPr>
          <w:p w14:paraId="151B81C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31 126 200</w:t>
            </w:r>
          </w:p>
        </w:tc>
        <w:tc>
          <w:tcPr>
            <w:tcW w:w="2121" w:type="dxa"/>
            <w:tcBorders>
              <w:top w:val="nil"/>
              <w:left w:val="nil"/>
              <w:bottom w:val="single" w:sz="8" w:space="0" w:color="auto"/>
              <w:right w:val="single" w:sz="8" w:space="0" w:color="auto"/>
            </w:tcBorders>
            <w:noWrap/>
          </w:tcPr>
          <w:p w14:paraId="5B4F0B3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31 115 000</w:t>
            </w:r>
          </w:p>
        </w:tc>
        <w:tc>
          <w:tcPr>
            <w:tcW w:w="2177" w:type="dxa"/>
            <w:tcBorders>
              <w:top w:val="nil"/>
              <w:left w:val="nil"/>
              <w:bottom w:val="single" w:sz="8" w:space="0" w:color="auto"/>
              <w:right w:val="single" w:sz="8" w:space="0" w:color="auto"/>
            </w:tcBorders>
            <w:noWrap/>
          </w:tcPr>
          <w:p w14:paraId="026DCE8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11 200</w:t>
            </w:r>
          </w:p>
        </w:tc>
      </w:tr>
      <w:tr w:rsidR="00961262" w:rsidRPr="00961262" w14:paraId="1866EA87"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765E594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56</w:t>
            </w:r>
          </w:p>
        </w:tc>
        <w:tc>
          <w:tcPr>
            <w:tcW w:w="6600" w:type="dxa"/>
            <w:tcBorders>
              <w:top w:val="nil"/>
              <w:left w:val="nil"/>
              <w:bottom w:val="single" w:sz="8" w:space="0" w:color="auto"/>
              <w:right w:val="single" w:sz="8" w:space="0" w:color="auto"/>
            </w:tcBorders>
            <w:noWrap/>
          </w:tcPr>
          <w:p w14:paraId="1C93810A"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"Nacionālais rehabilitācijas centrs "Vaivari""</w:t>
            </w:r>
          </w:p>
        </w:tc>
        <w:tc>
          <w:tcPr>
            <w:tcW w:w="2121" w:type="dxa"/>
            <w:tcBorders>
              <w:top w:val="nil"/>
              <w:left w:val="nil"/>
              <w:bottom w:val="single" w:sz="8" w:space="0" w:color="auto"/>
              <w:right w:val="single" w:sz="8" w:space="0" w:color="auto"/>
            </w:tcBorders>
            <w:noWrap/>
          </w:tcPr>
          <w:p w14:paraId="61CA0F8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27 286 729</w:t>
            </w:r>
          </w:p>
        </w:tc>
        <w:tc>
          <w:tcPr>
            <w:tcW w:w="2121" w:type="dxa"/>
            <w:tcBorders>
              <w:top w:val="nil"/>
              <w:left w:val="nil"/>
              <w:bottom w:val="single" w:sz="8" w:space="0" w:color="auto"/>
              <w:right w:val="single" w:sz="8" w:space="0" w:color="auto"/>
            </w:tcBorders>
            <w:noWrap/>
          </w:tcPr>
          <w:p w14:paraId="1FC1D4E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27 294 566</w:t>
            </w:r>
          </w:p>
        </w:tc>
        <w:tc>
          <w:tcPr>
            <w:tcW w:w="2177" w:type="dxa"/>
            <w:tcBorders>
              <w:top w:val="nil"/>
              <w:left w:val="nil"/>
              <w:bottom w:val="single" w:sz="8" w:space="0" w:color="auto"/>
              <w:right w:val="single" w:sz="8" w:space="0" w:color="auto"/>
            </w:tcBorders>
            <w:noWrap/>
          </w:tcPr>
          <w:p w14:paraId="6A108FB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-7 837</w:t>
            </w:r>
          </w:p>
        </w:tc>
      </w:tr>
      <w:tr w:rsidR="00961262" w:rsidRPr="00961262" w14:paraId="4AAE6E9E"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3F3FFE9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57</w:t>
            </w:r>
          </w:p>
        </w:tc>
        <w:tc>
          <w:tcPr>
            <w:tcW w:w="6600" w:type="dxa"/>
            <w:tcBorders>
              <w:top w:val="nil"/>
              <w:left w:val="nil"/>
              <w:bottom w:val="single" w:sz="8" w:space="0" w:color="auto"/>
              <w:right w:val="single" w:sz="8" w:space="0" w:color="auto"/>
            </w:tcBorders>
            <w:noWrap/>
          </w:tcPr>
          <w:p w14:paraId="151757AE"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"Valmieras drāmas teātris"</w:t>
            </w:r>
          </w:p>
        </w:tc>
        <w:tc>
          <w:tcPr>
            <w:tcW w:w="2121" w:type="dxa"/>
            <w:tcBorders>
              <w:top w:val="nil"/>
              <w:left w:val="nil"/>
              <w:bottom w:val="single" w:sz="8" w:space="0" w:color="auto"/>
              <w:right w:val="single" w:sz="8" w:space="0" w:color="auto"/>
            </w:tcBorders>
            <w:noWrap/>
          </w:tcPr>
          <w:p w14:paraId="3B8B59B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1 108 192</w:t>
            </w:r>
          </w:p>
        </w:tc>
        <w:tc>
          <w:tcPr>
            <w:tcW w:w="2121" w:type="dxa"/>
            <w:tcBorders>
              <w:top w:val="nil"/>
              <w:left w:val="nil"/>
              <w:bottom w:val="single" w:sz="8" w:space="0" w:color="auto"/>
              <w:right w:val="single" w:sz="8" w:space="0" w:color="auto"/>
            </w:tcBorders>
            <w:noWrap/>
          </w:tcPr>
          <w:p w14:paraId="6BFEBC5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983 169</w:t>
            </w:r>
          </w:p>
        </w:tc>
        <w:tc>
          <w:tcPr>
            <w:tcW w:w="2177" w:type="dxa"/>
            <w:tcBorders>
              <w:top w:val="nil"/>
              <w:left w:val="nil"/>
              <w:bottom w:val="single" w:sz="8" w:space="0" w:color="auto"/>
              <w:right w:val="single" w:sz="8" w:space="0" w:color="auto"/>
            </w:tcBorders>
            <w:noWrap/>
          </w:tcPr>
          <w:p w14:paraId="268B57A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125 023</w:t>
            </w:r>
          </w:p>
        </w:tc>
      </w:tr>
      <w:tr w:rsidR="00961262" w:rsidRPr="00961262" w14:paraId="4BCF9D60"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0D6922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58</w:t>
            </w:r>
          </w:p>
        </w:tc>
        <w:tc>
          <w:tcPr>
            <w:tcW w:w="6600" w:type="dxa"/>
            <w:tcBorders>
              <w:top w:val="nil"/>
              <w:left w:val="nil"/>
              <w:bottom w:val="single" w:sz="8" w:space="0" w:color="auto"/>
              <w:right w:val="single" w:sz="8" w:space="0" w:color="auto"/>
            </w:tcBorders>
            <w:noWrap/>
          </w:tcPr>
          <w:p w14:paraId="62B15AC0"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"Valsts aizsardzības korporācijas"</w:t>
            </w:r>
          </w:p>
        </w:tc>
        <w:tc>
          <w:tcPr>
            <w:tcW w:w="2121" w:type="dxa"/>
            <w:tcBorders>
              <w:top w:val="nil"/>
              <w:left w:val="nil"/>
              <w:bottom w:val="single" w:sz="8" w:space="0" w:color="auto"/>
              <w:right w:val="single" w:sz="8" w:space="0" w:color="auto"/>
            </w:tcBorders>
            <w:noWrap/>
          </w:tcPr>
          <w:p w14:paraId="48F3524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11 027 878</w:t>
            </w:r>
          </w:p>
        </w:tc>
        <w:tc>
          <w:tcPr>
            <w:tcW w:w="2121" w:type="dxa"/>
            <w:tcBorders>
              <w:top w:val="nil"/>
              <w:left w:val="nil"/>
              <w:bottom w:val="single" w:sz="8" w:space="0" w:color="auto"/>
              <w:right w:val="single" w:sz="8" w:space="0" w:color="auto"/>
            </w:tcBorders>
            <w:noWrap/>
          </w:tcPr>
          <w:p w14:paraId="39A7BE5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23 363 152</w:t>
            </w:r>
          </w:p>
        </w:tc>
        <w:tc>
          <w:tcPr>
            <w:tcW w:w="2177" w:type="dxa"/>
            <w:tcBorders>
              <w:top w:val="nil"/>
              <w:left w:val="nil"/>
              <w:bottom w:val="single" w:sz="8" w:space="0" w:color="auto"/>
              <w:right w:val="single" w:sz="8" w:space="0" w:color="auto"/>
            </w:tcBorders>
            <w:noWrap/>
          </w:tcPr>
          <w:p w14:paraId="733ED07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-12 335 274</w:t>
            </w:r>
          </w:p>
        </w:tc>
      </w:tr>
      <w:tr w:rsidR="00961262" w:rsidRPr="00961262" w14:paraId="1085905B"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76D53E5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59</w:t>
            </w:r>
          </w:p>
        </w:tc>
        <w:tc>
          <w:tcPr>
            <w:tcW w:w="6600" w:type="dxa"/>
            <w:tcBorders>
              <w:top w:val="nil"/>
              <w:left w:val="nil"/>
              <w:bottom w:val="single" w:sz="8" w:space="0" w:color="auto"/>
              <w:right w:val="single" w:sz="8" w:space="0" w:color="auto"/>
            </w:tcBorders>
            <w:noWrap/>
          </w:tcPr>
          <w:p w14:paraId="6DC69BD3"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AS "Valsts nekustamie īpašumi"</w:t>
            </w:r>
          </w:p>
        </w:tc>
        <w:tc>
          <w:tcPr>
            <w:tcW w:w="2121" w:type="dxa"/>
            <w:tcBorders>
              <w:top w:val="nil"/>
              <w:left w:val="nil"/>
              <w:bottom w:val="single" w:sz="8" w:space="0" w:color="auto"/>
              <w:right w:val="single" w:sz="8" w:space="0" w:color="auto"/>
            </w:tcBorders>
            <w:noWrap/>
          </w:tcPr>
          <w:p w14:paraId="7754DB4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48 195 009</w:t>
            </w:r>
          </w:p>
        </w:tc>
        <w:tc>
          <w:tcPr>
            <w:tcW w:w="2121" w:type="dxa"/>
            <w:tcBorders>
              <w:top w:val="nil"/>
              <w:left w:val="nil"/>
              <w:bottom w:val="single" w:sz="8" w:space="0" w:color="auto"/>
              <w:right w:val="single" w:sz="8" w:space="0" w:color="auto"/>
            </w:tcBorders>
            <w:noWrap/>
          </w:tcPr>
          <w:p w14:paraId="0D6CDC6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50 490 566</w:t>
            </w:r>
          </w:p>
        </w:tc>
        <w:tc>
          <w:tcPr>
            <w:tcW w:w="2177" w:type="dxa"/>
            <w:tcBorders>
              <w:top w:val="nil"/>
              <w:left w:val="nil"/>
              <w:bottom w:val="single" w:sz="8" w:space="0" w:color="auto"/>
              <w:right w:val="single" w:sz="8" w:space="0" w:color="auto"/>
            </w:tcBorders>
            <w:noWrap/>
          </w:tcPr>
          <w:p w14:paraId="244F47E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-2 295 557</w:t>
            </w:r>
          </w:p>
        </w:tc>
      </w:tr>
      <w:tr w:rsidR="00961262" w:rsidRPr="00961262" w14:paraId="65FDBD2B"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6EFFB21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60</w:t>
            </w:r>
          </w:p>
        </w:tc>
        <w:tc>
          <w:tcPr>
            <w:tcW w:w="6600" w:type="dxa"/>
            <w:tcBorders>
              <w:top w:val="nil"/>
              <w:left w:val="nil"/>
              <w:bottom w:val="single" w:sz="8" w:space="0" w:color="auto"/>
              <w:right w:val="single" w:sz="8" w:space="0" w:color="auto"/>
            </w:tcBorders>
            <w:noWrap/>
          </w:tcPr>
          <w:p w14:paraId="625F5386"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"Vides investīciju fonds"</w:t>
            </w:r>
          </w:p>
        </w:tc>
        <w:tc>
          <w:tcPr>
            <w:tcW w:w="2121" w:type="dxa"/>
            <w:tcBorders>
              <w:top w:val="nil"/>
              <w:left w:val="nil"/>
              <w:bottom w:val="single" w:sz="8" w:space="0" w:color="auto"/>
              <w:right w:val="single" w:sz="8" w:space="0" w:color="auto"/>
            </w:tcBorders>
            <w:noWrap/>
          </w:tcPr>
          <w:p w14:paraId="7E14269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1 314 816</w:t>
            </w:r>
          </w:p>
        </w:tc>
        <w:tc>
          <w:tcPr>
            <w:tcW w:w="2121" w:type="dxa"/>
            <w:tcBorders>
              <w:top w:val="nil"/>
              <w:left w:val="nil"/>
              <w:bottom w:val="single" w:sz="8" w:space="0" w:color="auto"/>
              <w:right w:val="single" w:sz="8" w:space="0" w:color="auto"/>
            </w:tcBorders>
            <w:noWrap/>
          </w:tcPr>
          <w:p w14:paraId="6619C38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1 271 264</w:t>
            </w:r>
          </w:p>
        </w:tc>
        <w:tc>
          <w:tcPr>
            <w:tcW w:w="2177" w:type="dxa"/>
            <w:tcBorders>
              <w:top w:val="nil"/>
              <w:left w:val="nil"/>
              <w:bottom w:val="single" w:sz="8" w:space="0" w:color="auto"/>
              <w:right w:val="single" w:sz="8" w:space="0" w:color="auto"/>
            </w:tcBorders>
            <w:noWrap/>
          </w:tcPr>
          <w:p w14:paraId="056DF28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43 552</w:t>
            </w:r>
          </w:p>
        </w:tc>
      </w:tr>
      <w:tr w:rsidR="00961262" w:rsidRPr="00961262" w14:paraId="5E0C44DB"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24F0731"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Times New Roman" w:cs="Times New Roman"/>
                <w:color w:val="000000"/>
                <w:sz w:val="18"/>
                <w:szCs w:val="18"/>
              </w:rPr>
              <w:t>61</w:t>
            </w:r>
          </w:p>
        </w:tc>
        <w:tc>
          <w:tcPr>
            <w:tcW w:w="6600" w:type="dxa"/>
            <w:tcBorders>
              <w:top w:val="nil"/>
              <w:left w:val="nil"/>
              <w:bottom w:val="single" w:sz="8" w:space="0" w:color="auto"/>
              <w:right w:val="single" w:sz="8" w:space="0" w:color="auto"/>
            </w:tcBorders>
            <w:noWrap/>
          </w:tcPr>
          <w:p w14:paraId="3CD3C435"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"Zemkopības ministrijas nekustamie īpašumi"</w:t>
            </w:r>
          </w:p>
        </w:tc>
        <w:tc>
          <w:tcPr>
            <w:tcW w:w="2121" w:type="dxa"/>
            <w:tcBorders>
              <w:top w:val="nil"/>
              <w:left w:val="nil"/>
              <w:bottom w:val="single" w:sz="8" w:space="0" w:color="auto"/>
              <w:right w:val="single" w:sz="8" w:space="0" w:color="auto"/>
            </w:tcBorders>
            <w:noWrap/>
          </w:tcPr>
          <w:p w14:paraId="231B043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2 000 000</w:t>
            </w:r>
          </w:p>
        </w:tc>
        <w:tc>
          <w:tcPr>
            <w:tcW w:w="2121" w:type="dxa"/>
            <w:tcBorders>
              <w:top w:val="nil"/>
              <w:left w:val="nil"/>
              <w:bottom w:val="single" w:sz="8" w:space="0" w:color="auto"/>
              <w:right w:val="single" w:sz="8" w:space="0" w:color="auto"/>
            </w:tcBorders>
            <w:noWrap/>
          </w:tcPr>
          <w:p w14:paraId="5E7C849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1 968 500</w:t>
            </w:r>
          </w:p>
        </w:tc>
        <w:tc>
          <w:tcPr>
            <w:tcW w:w="2177" w:type="dxa"/>
            <w:tcBorders>
              <w:top w:val="nil"/>
              <w:left w:val="nil"/>
              <w:bottom w:val="single" w:sz="8" w:space="0" w:color="auto"/>
              <w:right w:val="single" w:sz="8" w:space="0" w:color="auto"/>
            </w:tcBorders>
            <w:noWrap/>
          </w:tcPr>
          <w:p w14:paraId="69F7AF4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31 500</w:t>
            </w:r>
          </w:p>
        </w:tc>
      </w:tr>
      <w:tr w:rsidR="00961262" w:rsidRPr="00961262" w14:paraId="002D73BA" w14:textId="77777777" w:rsidTr="0052209F">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17BA6E63"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t>S130330</w:t>
            </w:r>
          </w:p>
        </w:tc>
        <w:tc>
          <w:tcPr>
            <w:tcW w:w="6600" w:type="dxa"/>
            <w:tcBorders>
              <w:top w:val="nil"/>
              <w:left w:val="nil"/>
              <w:bottom w:val="single" w:sz="8" w:space="0" w:color="auto"/>
              <w:right w:val="single" w:sz="8" w:space="0" w:color="auto"/>
            </w:tcBorders>
            <w:shd w:val="clear" w:color="000000" w:fill="DDEBF7"/>
            <w:noWrap/>
            <w:vAlign w:val="center"/>
            <w:hideMark/>
          </w:tcPr>
          <w:p w14:paraId="662983D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Pašvaldības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61B47C1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6409712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59467CC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 </w:t>
            </w:r>
          </w:p>
        </w:tc>
      </w:tr>
      <w:tr w:rsidR="00961262" w:rsidRPr="00961262" w14:paraId="0A10E75F"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ABD5818"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62</w:t>
            </w:r>
          </w:p>
        </w:tc>
        <w:tc>
          <w:tcPr>
            <w:tcW w:w="6600" w:type="dxa"/>
            <w:tcBorders>
              <w:top w:val="nil"/>
              <w:left w:val="nil"/>
              <w:bottom w:val="single" w:sz="8" w:space="0" w:color="auto"/>
              <w:right w:val="single" w:sz="8" w:space="0" w:color="auto"/>
            </w:tcBorders>
            <w:noWrap/>
            <w:hideMark/>
          </w:tcPr>
          <w:p w14:paraId="7CE9936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"Aviasabiedrība "Liepāja""</w:t>
            </w:r>
          </w:p>
        </w:tc>
        <w:tc>
          <w:tcPr>
            <w:tcW w:w="2121" w:type="dxa"/>
            <w:tcBorders>
              <w:top w:val="nil"/>
              <w:left w:val="nil"/>
              <w:bottom w:val="single" w:sz="8" w:space="0" w:color="auto"/>
              <w:right w:val="single" w:sz="8" w:space="0" w:color="auto"/>
            </w:tcBorders>
            <w:noWrap/>
            <w:hideMark/>
          </w:tcPr>
          <w:p w14:paraId="27C8698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2 010 614</w:t>
            </w:r>
          </w:p>
        </w:tc>
        <w:tc>
          <w:tcPr>
            <w:tcW w:w="2121" w:type="dxa"/>
            <w:tcBorders>
              <w:top w:val="nil"/>
              <w:left w:val="nil"/>
              <w:bottom w:val="single" w:sz="8" w:space="0" w:color="auto"/>
              <w:right w:val="single" w:sz="8" w:space="0" w:color="auto"/>
            </w:tcBorders>
            <w:noWrap/>
            <w:hideMark/>
          </w:tcPr>
          <w:p w14:paraId="4E851FC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1 336 437</w:t>
            </w:r>
          </w:p>
        </w:tc>
        <w:tc>
          <w:tcPr>
            <w:tcW w:w="2177" w:type="dxa"/>
            <w:tcBorders>
              <w:top w:val="nil"/>
              <w:left w:val="nil"/>
              <w:bottom w:val="single" w:sz="8" w:space="0" w:color="auto"/>
              <w:right w:val="single" w:sz="8" w:space="0" w:color="auto"/>
            </w:tcBorders>
            <w:noWrap/>
            <w:hideMark/>
          </w:tcPr>
          <w:p w14:paraId="642211C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674 177</w:t>
            </w:r>
          </w:p>
        </w:tc>
      </w:tr>
      <w:tr w:rsidR="00961262" w:rsidRPr="00961262" w14:paraId="17F479EA"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588E67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63</w:t>
            </w:r>
          </w:p>
        </w:tc>
        <w:tc>
          <w:tcPr>
            <w:tcW w:w="6600" w:type="dxa"/>
            <w:tcBorders>
              <w:top w:val="nil"/>
              <w:left w:val="nil"/>
              <w:bottom w:val="single" w:sz="8" w:space="0" w:color="auto"/>
              <w:right w:val="single" w:sz="8" w:space="0" w:color="auto"/>
            </w:tcBorders>
            <w:noWrap/>
            <w:hideMark/>
          </w:tcPr>
          <w:p w14:paraId="2FFDB9C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"Cēsu klīnika"</w:t>
            </w:r>
          </w:p>
        </w:tc>
        <w:tc>
          <w:tcPr>
            <w:tcW w:w="2121" w:type="dxa"/>
            <w:tcBorders>
              <w:top w:val="nil"/>
              <w:left w:val="nil"/>
              <w:bottom w:val="single" w:sz="8" w:space="0" w:color="auto"/>
              <w:right w:val="single" w:sz="8" w:space="0" w:color="auto"/>
            </w:tcBorders>
            <w:noWrap/>
            <w:hideMark/>
          </w:tcPr>
          <w:p w14:paraId="33CD8FC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11 200 000</w:t>
            </w:r>
          </w:p>
        </w:tc>
        <w:tc>
          <w:tcPr>
            <w:tcW w:w="2121" w:type="dxa"/>
            <w:tcBorders>
              <w:top w:val="nil"/>
              <w:left w:val="nil"/>
              <w:bottom w:val="single" w:sz="8" w:space="0" w:color="auto"/>
              <w:right w:val="single" w:sz="8" w:space="0" w:color="auto"/>
            </w:tcBorders>
            <w:noWrap/>
            <w:hideMark/>
          </w:tcPr>
          <w:p w14:paraId="7012199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11 200 000</w:t>
            </w:r>
          </w:p>
        </w:tc>
        <w:tc>
          <w:tcPr>
            <w:tcW w:w="2177" w:type="dxa"/>
            <w:tcBorders>
              <w:top w:val="nil"/>
              <w:left w:val="nil"/>
              <w:bottom w:val="single" w:sz="8" w:space="0" w:color="auto"/>
              <w:right w:val="single" w:sz="8" w:space="0" w:color="auto"/>
            </w:tcBorders>
            <w:noWrap/>
            <w:hideMark/>
          </w:tcPr>
          <w:p w14:paraId="016B99B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329EBD7B"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8F5D29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64</w:t>
            </w:r>
          </w:p>
        </w:tc>
        <w:tc>
          <w:tcPr>
            <w:tcW w:w="6600" w:type="dxa"/>
            <w:tcBorders>
              <w:top w:val="nil"/>
              <w:left w:val="nil"/>
              <w:bottom w:val="single" w:sz="8" w:space="0" w:color="auto"/>
              <w:right w:val="single" w:sz="8" w:space="0" w:color="auto"/>
            </w:tcBorders>
            <w:noWrap/>
            <w:hideMark/>
          </w:tcPr>
          <w:p w14:paraId="299C9BE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"Daugavpils bērnu veselības centrs"</w:t>
            </w:r>
          </w:p>
        </w:tc>
        <w:tc>
          <w:tcPr>
            <w:tcW w:w="2121" w:type="dxa"/>
            <w:tcBorders>
              <w:top w:val="nil"/>
              <w:left w:val="nil"/>
              <w:bottom w:val="single" w:sz="8" w:space="0" w:color="auto"/>
              <w:right w:val="single" w:sz="8" w:space="0" w:color="auto"/>
            </w:tcBorders>
            <w:noWrap/>
            <w:hideMark/>
          </w:tcPr>
          <w:p w14:paraId="781588C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2 711 940</w:t>
            </w:r>
          </w:p>
        </w:tc>
        <w:tc>
          <w:tcPr>
            <w:tcW w:w="2121" w:type="dxa"/>
            <w:tcBorders>
              <w:top w:val="nil"/>
              <w:left w:val="nil"/>
              <w:bottom w:val="single" w:sz="8" w:space="0" w:color="auto"/>
              <w:right w:val="single" w:sz="8" w:space="0" w:color="auto"/>
            </w:tcBorders>
            <w:noWrap/>
            <w:hideMark/>
          </w:tcPr>
          <w:p w14:paraId="6D2C2D2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2 700 090</w:t>
            </w:r>
          </w:p>
        </w:tc>
        <w:tc>
          <w:tcPr>
            <w:tcW w:w="2177" w:type="dxa"/>
            <w:tcBorders>
              <w:top w:val="nil"/>
              <w:left w:val="nil"/>
              <w:bottom w:val="single" w:sz="8" w:space="0" w:color="auto"/>
              <w:right w:val="single" w:sz="8" w:space="0" w:color="auto"/>
            </w:tcBorders>
            <w:noWrap/>
            <w:hideMark/>
          </w:tcPr>
          <w:p w14:paraId="52CD8CC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11 850</w:t>
            </w:r>
          </w:p>
        </w:tc>
      </w:tr>
      <w:tr w:rsidR="00961262" w:rsidRPr="00961262" w14:paraId="0F4A61B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ED7F5F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lastRenderedPageBreak/>
              <w:t>65</w:t>
            </w:r>
          </w:p>
        </w:tc>
        <w:tc>
          <w:tcPr>
            <w:tcW w:w="6600" w:type="dxa"/>
            <w:tcBorders>
              <w:top w:val="nil"/>
              <w:left w:val="nil"/>
              <w:bottom w:val="single" w:sz="8" w:space="0" w:color="auto"/>
              <w:right w:val="single" w:sz="8" w:space="0" w:color="auto"/>
            </w:tcBorders>
            <w:noWrap/>
          </w:tcPr>
          <w:p w14:paraId="0E030BBA"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AS "Daugavpils satiksme"</w:t>
            </w:r>
          </w:p>
        </w:tc>
        <w:tc>
          <w:tcPr>
            <w:tcW w:w="2121" w:type="dxa"/>
            <w:tcBorders>
              <w:top w:val="nil"/>
              <w:left w:val="nil"/>
              <w:bottom w:val="single" w:sz="8" w:space="0" w:color="auto"/>
              <w:right w:val="single" w:sz="8" w:space="0" w:color="auto"/>
            </w:tcBorders>
            <w:noWrap/>
          </w:tcPr>
          <w:p w14:paraId="25E584A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12 755 351</w:t>
            </w:r>
          </w:p>
        </w:tc>
        <w:tc>
          <w:tcPr>
            <w:tcW w:w="2121" w:type="dxa"/>
            <w:tcBorders>
              <w:top w:val="nil"/>
              <w:left w:val="nil"/>
              <w:bottom w:val="single" w:sz="8" w:space="0" w:color="auto"/>
              <w:right w:val="single" w:sz="8" w:space="0" w:color="auto"/>
            </w:tcBorders>
            <w:noWrap/>
          </w:tcPr>
          <w:p w14:paraId="711E1F2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12 658 646</w:t>
            </w:r>
          </w:p>
        </w:tc>
        <w:tc>
          <w:tcPr>
            <w:tcW w:w="2177" w:type="dxa"/>
            <w:tcBorders>
              <w:top w:val="nil"/>
              <w:left w:val="nil"/>
              <w:bottom w:val="single" w:sz="8" w:space="0" w:color="auto"/>
              <w:right w:val="single" w:sz="8" w:space="0" w:color="auto"/>
            </w:tcBorders>
            <w:noWrap/>
          </w:tcPr>
          <w:p w14:paraId="2B9F09D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96 705</w:t>
            </w:r>
          </w:p>
        </w:tc>
      </w:tr>
      <w:tr w:rsidR="00961262" w:rsidRPr="00961262" w14:paraId="5CEB4BBF"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3928730"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66</w:t>
            </w:r>
          </w:p>
        </w:tc>
        <w:tc>
          <w:tcPr>
            <w:tcW w:w="6600" w:type="dxa"/>
            <w:tcBorders>
              <w:top w:val="nil"/>
              <w:left w:val="nil"/>
              <w:bottom w:val="single" w:sz="8" w:space="0" w:color="auto"/>
              <w:right w:val="single" w:sz="8" w:space="0" w:color="auto"/>
            </w:tcBorders>
            <w:noWrap/>
          </w:tcPr>
          <w:p w14:paraId="175905A5"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"Dobeles un apkārtnes slimnīca"</w:t>
            </w:r>
          </w:p>
        </w:tc>
        <w:tc>
          <w:tcPr>
            <w:tcW w:w="2121" w:type="dxa"/>
            <w:tcBorders>
              <w:top w:val="nil"/>
              <w:left w:val="nil"/>
              <w:bottom w:val="single" w:sz="8" w:space="0" w:color="auto"/>
              <w:right w:val="single" w:sz="8" w:space="0" w:color="auto"/>
            </w:tcBorders>
            <w:noWrap/>
          </w:tcPr>
          <w:p w14:paraId="4D3A502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8 270 364</w:t>
            </w:r>
          </w:p>
        </w:tc>
        <w:tc>
          <w:tcPr>
            <w:tcW w:w="2121" w:type="dxa"/>
            <w:tcBorders>
              <w:top w:val="nil"/>
              <w:left w:val="nil"/>
              <w:bottom w:val="single" w:sz="8" w:space="0" w:color="auto"/>
              <w:right w:val="single" w:sz="8" w:space="0" w:color="auto"/>
            </w:tcBorders>
            <w:noWrap/>
          </w:tcPr>
          <w:p w14:paraId="5122A1E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8 501 985</w:t>
            </w:r>
          </w:p>
        </w:tc>
        <w:tc>
          <w:tcPr>
            <w:tcW w:w="2177" w:type="dxa"/>
            <w:tcBorders>
              <w:top w:val="nil"/>
              <w:left w:val="nil"/>
              <w:bottom w:val="single" w:sz="8" w:space="0" w:color="auto"/>
              <w:right w:val="single" w:sz="8" w:space="0" w:color="auto"/>
            </w:tcBorders>
            <w:noWrap/>
          </w:tcPr>
          <w:p w14:paraId="38A995F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-231 621</w:t>
            </w:r>
          </w:p>
        </w:tc>
      </w:tr>
      <w:tr w:rsidR="00961262" w:rsidRPr="00961262" w14:paraId="7CF3A39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9C5B381"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67</w:t>
            </w:r>
          </w:p>
        </w:tc>
        <w:tc>
          <w:tcPr>
            <w:tcW w:w="6600" w:type="dxa"/>
            <w:tcBorders>
              <w:top w:val="nil"/>
              <w:left w:val="nil"/>
              <w:bottom w:val="single" w:sz="8" w:space="0" w:color="auto"/>
              <w:right w:val="single" w:sz="8" w:space="0" w:color="auto"/>
            </w:tcBorders>
            <w:noWrap/>
          </w:tcPr>
          <w:p w14:paraId="408442E4"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"Jelgavas pilsētas slimnīca"</w:t>
            </w:r>
          </w:p>
        </w:tc>
        <w:tc>
          <w:tcPr>
            <w:tcW w:w="2121" w:type="dxa"/>
            <w:tcBorders>
              <w:top w:val="nil"/>
              <w:left w:val="nil"/>
              <w:bottom w:val="single" w:sz="8" w:space="0" w:color="auto"/>
              <w:right w:val="single" w:sz="8" w:space="0" w:color="auto"/>
            </w:tcBorders>
            <w:noWrap/>
          </w:tcPr>
          <w:p w14:paraId="2D06F54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19 876 367</w:t>
            </w:r>
          </w:p>
        </w:tc>
        <w:tc>
          <w:tcPr>
            <w:tcW w:w="2121" w:type="dxa"/>
            <w:tcBorders>
              <w:top w:val="nil"/>
              <w:left w:val="nil"/>
              <w:bottom w:val="single" w:sz="8" w:space="0" w:color="auto"/>
              <w:right w:val="single" w:sz="8" w:space="0" w:color="auto"/>
            </w:tcBorders>
            <w:noWrap/>
          </w:tcPr>
          <w:p w14:paraId="7EFD67F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19 604 785</w:t>
            </w:r>
          </w:p>
        </w:tc>
        <w:tc>
          <w:tcPr>
            <w:tcW w:w="2177" w:type="dxa"/>
            <w:tcBorders>
              <w:top w:val="nil"/>
              <w:left w:val="nil"/>
              <w:bottom w:val="single" w:sz="8" w:space="0" w:color="auto"/>
              <w:right w:val="single" w:sz="8" w:space="0" w:color="auto"/>
            </w:tcBorders>
            <w:noWrap/>
          </w:tcPr>
          <w:p w14:paraId="5A8A0BC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271 582</w:t>
            </w:r>
          </w:p>
        </w:tc>
      </w:tr>
      <w:tr w:rsidR="00961262" w:rsidRPr="00961262" w14:paraId="61460D7B"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9D7DC2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68</w:t>
            </w:r>
          </w:p>
        </w:tc>
        <w:tc>
          <w:tcPr>
            <w:tcW w:w="6600" w:type="dxa"/>
            <w:tcBorders>
              <w:top w:val="nil"/>
              <w:left w:val="nil"/>
              <w:bottom w:val="single" w:sz="8" w:space="0" w:color="auto"/>
              <w:right w:val="single" w:sz="8" w:space="0" w:color="auto"/>
            </w:tcBorders>
            <w:noWrap/>
          </w:tcPr>
          <w:p w14:paraId="5926A228"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"Jēkabpils reģionālā slimnīca"</w:t>
            </w:r>
          </w:p>
        </w:tc>
        <w:tc>
          <w:tcPr>
            <w:tcW w:w="2121" w:type="dxa"/>
            <w:tcBorders>
              <w:top w:val="nil"/>
              <w:left w:val="nil"/>
              <w:bottom w:val="single" w:sz="8" w:space="0" w:color="auto"/>
              <w:right w:val="single" w:sz="8" w:space="0" w:color="auto"/>
            </w:tcBorders>
            <w:noWrap/>
          </w:tcPr>
          <w:p w14:paraId="3A27C36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21 357 469</w:t>
            </w:r>
          </w:p>
        </w:tc>
        <w:tc>
          <w:tcPr>
            <w:tcW w:w="2121" w:type="dxa"/>
            <w:tcBorders>
              <w:top w:val="nil"/>
              <w:left w:val="nil"/>
              <w:bottom w:val="single" w:sz="8" w:space="0" w:color="auto"/>
              <w:right w:val="single" w:sz="8" w:space="0" w:color="auto"/>
            </w:tcBorders>
            <w:noWrap/>
          </w:tcPr>
          <w:p w14:paraId="227F3AD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21 052 884</w:t>
            </w:r>
          </w:p>
        </w:tc>
        <w:tc>
          <w:tcPr>
            <w:tcW w:w="2177" w:type="dxa"/>
            <w:tcBorders>
              <w:top w:val="nil"/>
              <w:left w:val="nil"/>
              <w:bottom w:val="single" w:sz="8" w:space="0" w:color="auto"/>
              <w:right w:val="single" w:sz="8" w:space="0" w:color="auto"/>
            </w:tcBorders>
            <w:noWrap/>
          </w:tcPr>
          <w:p w14:paraId="0600A1A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304 585</w:t>
            </w:r>
          </w:p>
        </w:tc>
      </w:tr>
      <w:tr w:rsidR="00961262" w:rsidRPr="00961262" w14:paraId="09A424FC"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780200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69</w:t>
            </w:r>
          </w:p>
        </w:tc>
        <w:tc>
          <w:tcPr>
            <w:tcW w:w="6600" w:type="dxa"/>
            <w:tcBorders>
              <w:top w:val="nil"/>
              <w:left w:val="nil"/>
              <w:bottom w:val="single" w:sz="8" w:space="0" w:color="auto"/>
              <w:right w:val="single" w:sz="8" w:space="0" w:color="auto"/>
            </w:tcBorders>
            <w:noWrap/>
          </w:tcPr>
          <w:p w14:paraId="69592EB7"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"Jūrmalas slimnīca"</w:t>
            </w:r>
          </w:p>
        </w:tc>
        <w:tc>
          <w:tcPr>
            <w:tcW w:w="2121" w:type="dxa"/>
            <w:tcBorders>
              <w:top w:val="nil"/>
              <w:left w:val="nil"/>
              <w:bottom w:val="single" w:sz="8" w:space="0" w:color="auto"/>
              <w:right w:val="single" w:sz="8" w:space="0" w:color="auto"/>
            </w:tcBorders>
            <w:noWrap/>
          </w:tcPr>
          <w:p w14:paraId="1D62069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12 455 753</w:t>
            </w:r>
          </w:p>
        </w:tc>
        <w:tc>
          <w:tcPr>
            <w:tcW w:w="2121" w:type="dxa"/>
            <w:tcBorders>
              <w:top w:val="nil"/>
              <w:left w:val="nil"/>
              <w:bottom w:val="single" w:sz="8" w:space="0" w:color="auto"/>
              <w:right w:val="single" w:sz="8" w:space="0" w:color="auto"/>
            </w:tcBorders>
            <w:noWrap/>
          </w:tcPr>
          <w:p w14:paraId="54A375B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11 987 938</w:t>
            </w:r>
          </w:p>
        </w:tc>
        <w:tc>
          <w:tcPr>
            <w:tcW w:w="2177" w:type="dxa"/>
            <w:tcBorders>
              <w:top w:val="nil"/>
              <w:left w:val="nil"/>
              <w:bottom w:val="single" w:sz="8" w:space="0" w:color="auto"/>
              <w:right w:val="single" w:sz="8" w:space="0" w:color="auto"/>
            </w:tcBorders>
            <w:noWrap/>
          </w:tcPr>
          <w:p w14:paraId="1DE8DE4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467 815</w:t>
            </w:r>
          </w:p>
        </w:tc>
      </w:tr>
      <w:tr w:rsidR="00961262" w:rsidRPr="00961262" w14:paraId="3FBFB5DE"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792B8D31"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70</w:t>
            </w:r>
          </w:p>
        </w:tc>
        <w:tc>
          <w:tcPr>
            <w:tcW w:w="6600" w:type="dxa"/>
            <w:tcBorders>
              <w:top w:val="nil"/>
              <w:left w:val="nil"/>
              <w:bottom w:val="single" w:sz="8" w:space="0" w:color="auto"/>
              <w:right w:val="single" w:sz="8" w:space="0" w:color="auto"/>
            </w:tcBorders>
            <w:noWrap/>
          </w:tcPr>
          <w:p w14:paraId="16D4931B"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"Kuldīgas slimnīca"</w:t>
            </w:r>
          </w:p>
        </w:tc>
        <w:tc>
          <w:tcPr>
            <w:tcW w:w="2121" w:type="dxa"/>
            <w:tcBorders>
              <w:top w:val="nil"/>
              <w:left w:val="nil"/>
              <w:bottom w:val="single" w:sz="8" w:space="0" w:color="auto"/>
              <w:right w:val="single" w:sz="8" w:space="0" w:color="auto"/>
            </w:tcBorders>
            <w:noWrap/>
          </w:tcPr>
          <w:p w14:paraId="741C217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12 047 619</w:t>
            </w:r>
          </w:p>
        </w:tc>
        <w:tc>
          <w:tcPr>
            <w:tcW w:w="2121" w:type="dxa"/>
            <w:tcBorders>
              <w:top w:val="nil"/>
              <w:left w:val="nil"/>
              <w:bottom w:val="single" w:sz="8" w:space="0" w:color="auto"/>
              <w:right w:val="single" w:sz="8" w:space="0" w:color="auto"/>
            </w:tcBorders>
            <w:noWrap/>
          </w:tcPr>
          <w:p w14:paraId="763D987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12 035 799</w:t>
            </w:r>
          </w:p>
        </w:tc>
        <w:tc>
          <w:tcPr>
            <w:tcW w:w="2177" w:type="dxa"/>
            <w:tcBorders>
              <w:top w:val="nil"/>
              <w:left w:val="nil"/>
              <w:bottom w:val="single" w:sz="8" w:space="0" w:color="auto"/>
              <w:right w:val="single" w:sz="8" w:space="0" w:color="auto"/>
            </w:tcBorders>
            <w:noWrap/>
          </w:tcPr>
          <w:p w14:paraId="340F085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11 820</w:t>
            </w:r>
          </w:p>
        </w:tc>
      </w:tr>
      <w:tr w:rsidR="00961262" w:rsidRPr="00961262" w14:paraId="4DBC59E5"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38B0CB5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71</w:t>
            </w:r>
          </w:p>
        </w:tc>
        <w:tc>
          <w:tcPr>
            <w:tcW w:w="6600" w:type="dxa"/>
            <w:tcBorders>
              <w:top w:val="nil"/>
              <w:left w:val="nil"/>
              <w:bottom w:val="single" w:sz="8" w:space="0" w:color="auto"/>
              <w:right w:val="single" w:sz="8" w:space="0" w:color="auto"/>
            </w:tcBorders>
            <w:noWrap/>
          </w:tcPr>
          <w:p w14:paraId="717552DE"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"Liepājas Olimpiskais Centrs"</w:t>
            </w:r>
          </w:p>
        </w:tc>
        <w:tc>
          <w:tcPr>
            <w:tcW w:w="2121" w:type="dxa"/>
            <w:tcBorders>
              <w:top w:val="nil"/>
              <w:left w:val="nil"/>
              <w:bottom w:val="single" w:sz="8" w:space="0" w:color="auto"/>
              <w:right w:val="single" w:sz="8" w:space="0" w:color="auto"/>
            </w:tcBorders>
            <w:noWrap/>
          </w:tcPr>
          <w:p w14:paraId="3CF90A6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3 398 801</w:t>
            </w:r>
          </w:p>
        </w:tc>
        <w:tc>
          <w:tcPr>
            <w:tcW w:w="2121" w:type="dxa"/>
            <w:tcBorders>
              <w:top w:val="nil"/>
              <w:left w:val="nil"/>
              <w:bottom w:val="single" w:sz="8" w:space="0" w:color="auto"/>
              <w:right w:val="single" w:sz="8" w:space="0" w:color="auto"/>
            </w:tcBorders>
            <w:noWrap/>
          </w:tcPr>
          <w:p w14:paraId="3911FA8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2 527 420</w:t>
            </w:r>
          </w:p>
        </w:tc>
        <w:tc>
          <w:tcPr>
            <w:tcW w:w="2177" w:type="dxa"/>
            <w:tcBorders>
              <w:top w:val="nil"/>
              <w:left w:val="nil"/>
              <w:bottom w:val="single" w:sz="8" w:space="0" w:color="auto"/>
              <w:right w:val="single" w:sz="8" w:space="0" w:color="auto"/>
            </w:tcBorders>
            <w:noWrap/>
          </w:tcPr>
          <w:p w14:paraId="01C3C07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871 381</w:t>
            </w:r>
          </w:p>
        </w:tc>
      </w:tr>
      <w:tr w:rsidR="00961262" w:rsidRPr="00961262" w14:paraId="42EA953F"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4DD181E8"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72</w:t>
            </w:r>
          </w:p>
        </w:tc>
        <w:tc>
          <w:tcPr>
            <w:tcW w:w="6600" w:type="dxa"/>
            <w:tcBorders>
              <w:top w:val="nil"/>
              <w:left w:val="nil"/>
              <w:bottom w:val="single" w:sz="8" w:space="0" w:color="auto"/>
              <w:right w:val="single" w:sz="8" w:space="0" w:color="auto"/>
            </w:tcBorders>
            <w:noWrap/>
          </w:tcPr>
          <w:p w14:paraId="79717858"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"Liepājas reģionālā slimnīca"</w:t>
            </w:r>
          </w:p>
        </w:tc>
        <w:tc>
          <w:tcPr>
            <w:tcW w:w="2121" w:type="dxa"/>
            <w:tcBorders>
              <w:top w:val="nil"/>
              <w:left w:val="nil"/>
              <w:bottom w:val="single" w:sz="8" w:space="0" w:color="auto"/>
              <w:right w:val="single" w:sz="8" w:space="0" w:color="auto"/>
            </w:tcBorders>
            <w:noWrap/>
          </w:tcPr>
          <w:p w14:paraId="1122CAB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46 107 571</w:t>
            </w:r>
          </w:p>
        </w:tc>
        <w:tc>
          <w:tcPr>
            <w:tcW w:w="2121" w:type="dxa"/>
            <w:tcBorders>
              <w:top w:val="nil"/>
              <w:left w:val="nil"/>
              <w:bottom w:val="single" w:sz="8" w:space="0" w:color="auto"/>
              <w:right w:val="single" w:sz="8" w:space="0" w:color="auto"/>
            </w:tcBorders>
            <w:noWrap/>
          </w:tcPr>
          <w:p w14:paraId="7EC7CD5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45 208 751</w:t>
            </w:r>
          </w:p>
        </w:tc>
        <w:tc>
          <w:tcPr>
            <w:tcW w:w="2177" w:type="dxa"/>
            <w:tcBorders>
              <w:top w:val="nil"/>
              <w:left w:val="nil"/>
              <w:bottom w:val="single" w:sz="8" w:space="0" w:color="auto"/>
              <w:right w:val="single" w:sz="8" w:space="0" w:color="auto"/>
            </w:tcBorders>
            <w:noWrap/>
          </w:tcPr>
          <w:p w14:paraId="521D239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898 820</w:t>
            </w:r>
          </w:p>
        </w:tc>
      </w:tr>
      <w:tr w:rsidR="00961262" w:rsidRPr="00961262" w14:paraId="15664020"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3C6C595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73</w:t>
            </w:r>
          </w:p>
        </w:tc>
        <w:tc>
          <w:tcPr>
            <w:tcW w:w="6600" w:type="dxa"/>
            <w:tcBorders>
              <w:top w:val="nil"/>
              <w:left w:val="nil"/>
              <w:bottom w:val="single" w:sz="8" w:space="0" w:color="auto"/>
              <w:right w:val="single" w:sz="8" w:space="0" w:color="auto"/>
            </w:tcBorders>
            <w:noWrap/>
          </w:tcPr>
          <w:p w14:paraId="23AD4FEE"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"Liepājas tramvajs"</w:t>
            </w:r>
          </w:p>
        </w:tc>
        <w:tc>
          <w:tcPr>
            <w:tcW w:w="2121" w:type="dxa"/>
            <w:tcBorders>
              <w:top w:val="nil"/>
              <w:left w:val="nil"/>
              <w:bottom w:val="single" w:sz="8" w:space="0" w:color="auto"/>
              <w:right w:val="single" w:sz="8" w:space="0" w:color="auto"/>
            </w:tcBorders>
            <w:noWrap/>
          </w:tcPr>
          <w:p w14:paraId="4AE01CB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2 740 075</w:t>
            </w:r>
          </w:p>
        </w:tc>
        <w:tc>
          <w:tcPr>
            <w:tcW w:w="2121" w:type="dxa"/>
            <w:tcBorders>
              <w:top w:val="nil"/>
              <w:left w:val="nil"/>
              <w:bottom w:val="single" w:sz="8" w:space="0" w:color="auto"/>
              <w:right w:val="single" w:sz="8" w:space="0" w:color="auto"/>
            </w:tcBorders>
            <w:noWrap/>
          </w:tcPr>
          <w:p w14:paraId="12B9E48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2 740 075</w:t>
            </w:r>
          </w:p>
        </w:tc>
        <w:tc>
          <w:tcPr>
            <w:tcW w:w="2177" w:type="dxa"/>
            <w:tcBorders>
              <w:top w:val="nil"/>
              <w:left w:val="nil"/>
              <w:bottom w:val="single" w:sz="8" w:space="0" w:color="auto"/>
              <w:right w:val="single" w:sz="8" w:space="0" w:color="auto"/>
            </w:tcBorders>
            <w:noWrap/>
          </w:tcPr>
          <w:p w14:paraId="0081FA2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1D22A3A5"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EB6C79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74</w:t>
            </w:r>
          </w:p>
        </w:tc>
        <w:tc>
          <w:tcPr>
            <w:tcW w:w="6600" w:type="dxa"/>
            <w:tcBorders>
              <w:top w:val="nil"/>
              <w:left w:val="nil"/>
              <w:bottom w:val="single" w:sz="8" w:space="0" w:color="auto"/>
              <w:right w:val="single" w:sz="8" w:space="0" w:color="auto"/>
            </w:tcBorders>
            <w:noWrap/>
          </w:tcPr>
          <w:p w14:paraId="1512F702"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"Madonas slimnīca"</w:t>
            </w:r>
          </w:p>
        </w:tc>
        <w:tc>
          <w:tcPr>
            <w:tcW w:w="2121" w:type="dxa"/>
            <w:tcBorders>
              <w:top w:val="nil"/>
              <w:left w:val="nil"/>
              <w:bottom w:val="single" w:sz="8" w:space="0" w:color="auto"/>
              <w:right w:val="single" w:sz="8" w:space="0" w:color="auto"/>
            </w:tcBorders>
            <w:noWrap/>
          </w:tcPr>
          <w:p w14:paraId="139AC41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16 000 000</w:t>
            </w:r>
          </w:p>
        </w:tc>
        <w:tc>
          <w:tcPr>
            <w:tcW w:w="2121" w:type="dxa"/>
            <w:tcBorders>
              <w:top w:val="nil"/>
              <w:left w:val="nil"/>
              <w:bottom w:val="single" w:sz="8" w:space="0" w:color="auto"/>
              <w:right w:val="single" w:sz="8" w:space="0" w:color="auto"/>
            </w:tcBorders>
            <w:noWrap/>
          </w:tcPr>
          <w:p w14:paraId="33612C3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15 251 780</w:t>
            </w:r>
          </w:p>
        </w:tc>
        <w:tc>
          <w:tcPr>
            <w:tcW w:w="2177" w:type="dxa"/>
            <w:tcBorders>
              <w:top w:val="nil"/>
              <w:left w:val="nil"/>
              <w:bottom w:val="single" w:sz="8" w:space="0" w:color="auto"/>
              <w:right w:val="single" w:sz="8" w:space="0" w:color="auto"/>
            </w:tcBorders>
            <w:noWrap/>
          </w:tcPr>
          <w:p w14:paraId="31EAF0B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748 220</w:t>
            </w:r>
          </w:p>
        </w:tc>
      </w:tr>
      <w:tr w:rsidR="00961262" w:rsidRPr="00961262" w14:paraId="40F5CB6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4ECC16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75</w:t>
            </w:r>
          </w:p>
        </w:tc>
        <w:tc>
          <w:tcPr>
            <w:tcW w:w="6600" w:type="dxa"/>
            <w:tcBorders>
              <w:top w:val="nil"/>
              <w:left w:val="nil"/>
              <w:bottom w:val="single" w:sz="8" w:space="0" w:color="auto"/>
              <w:right w:val="single" w:sz="8" w:space="0" w:color="auto"/>
            </w:tcBorders>
            <w:noWrap/>
          </w:tcPr>
          <w:p w14:paraId="19C36C90"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"Ogres rajona slimnīca"</w:t>
            </w:r>
          </w:p>
        </w:tc>
        <w:tc>
          <w:tcPr>
            <w:tcW w:w="2121" w:type="dxa"/>
            <w:tcBorders>
              <w:top w:val="nil"/>
              <w:left w:val="nil"/>
              <w:bottom w:val="single" w:sz="8" w:space="0" w:color="auto"/>
              <w:right w:val="single" w:sz="8" w:space="0" w:color="auto"/>
            </w:tcBorders>
            <w:noWrap/>
          </w:tcPr>
          <w:p w14:paraId="792882A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19 025 562</w:t>
            </w:r>
          </w:p>
        </w:tc>
        <w:tc>
          <w:tcPr>
            <w:tcW w:w="2121" w:type="dxa"/>
            <w:tcBorders>
              <w:top w:val="nil"/>
              <w:left w:val="nil"/>
              <w:bottom w:val="single" w:sz="8" w:space="0" w:color="auto"/>
              <w:right w:val="single" w:sz="8" w:space="0" w:color="auto"/>
            </w:tcBorders>
            <w:noWrap/>
          </w:tcPr>
          <w:p w14:paraId="22298FF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19 011 289</w:t>
            </w:r>
          </w:p>
        </w:tc>
        <w:tc>
          <w:tcPr>
            <w:tcW w:w="2177" w:type="dxa"/>
            <w:tcBorders>
              <w:top w:val="nil"/>
              <w:left w:val="nil"/>
              <w:bottom w:val="single" w:sz="8" w:space="0" w:color="auto"/>
              <w:right w:val="single" w:sz="8" w:space="0" w:color="auto"/>
            </w:tcBorders>
            <w:noWrap/>
          </w:tcPr>
          <w:p w14:paraId="2F85F43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14 273</w:t>
            </w:r>
          </w:p>
        </w:tc>
      </w:tr>
      <w:tr w:rsidR="00961262" w:rsidRPr="00961262" w14:paraId="7FC9BA2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087F7F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76</w:t>
            </w:r>
          </w:p>
        </w:tc>
        <w:tc>
          <w:tcPr>
            <w:tcW w:w="6600" w:type="dxa"/>
            <w:tcBorders>
              <w:top w:val="nil"/>
              <w:left w:val="nil"/>
              <w:bottom w:val="single" w:sz="8" w:space="0" w:color="auto"/>
              <w:right w:val="single" w:sz="8" w:space="0" w:color="auto"/>
            </w:tcBorders>
            <w:noWrap/>
          </w:tcPr>
          <w:p w14:paraId="6B40B39E"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"Preiļu slimnīca"</w:t>
            </w:r>
          </w:p>
        </w:tc>
        <w:tc>
          <w:tcPr>
            <w:tcW w:w="2121" w:type="dxa"/>
            <w:tcBorders>
              <w:top w:val="nil"/>
              <w:left w:val="nil"/>
              <w:bottom w:val="single" w:sz="8" w:space="0" w:color="auto"/>
              <w:right w:val="single" w:sz="8" w:space="0" w:color="auto"/>
            </w:tcBorders>
            <w:noWrap/>
          </w:tcPr>
          <w:p w14:paraId="2C379C0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6 809 171</w:t>
            </w:r>
          </w:p>
        </w:tc>
        <w:tc>
          <w:tcPr>
            <w:tcW w:w="2121" w:type="dxa"/>
            <w:tcBorders>
              <w:top w:val="nil"/>
              <w:left w:val="nil"/>
              <w:bottom w:val="single" w:sz="8" w:space="0" w:color="auto"/>
              <w:right w:val="single" w:sz="8" w:space="0" w:color="auto"/>
            </w:tcBorders>
            <w:noWrap/>
          </w:tcPr>
          <w:p w14:paraId="6C69741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6 662 887</w:t>
            </w:r>
          </w:p>
        </w:tc>
        <w:tc>
          <w:tcPr>
            <w:tcW w:w="2177" w:type="dxa"/>
            <w:tcBorders>
              <w:top w:val="nil"/>
              <w:left w:val="nil"/>
              <w:bottom w:val="single" w:sz="8" w:space="0" w:color="auto"/>
              <w:right w:val="single" w:sz="8" w:space="0" w:color="auto"/>
            </w:tcBorders>
            <w:noWrap/>
          </w:tcPr>
          <w:p w14:paraId="24983F8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146 284</w:t>
            </w:r>
          </w:p>
        </w:tc>
      </w:tr>
      <w:tr w:rsidR="00961262" w:rsidRPr="00961262" w14:paraId="06215CFD"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78F6D55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77</w:t>
            </w:r>
          </w:p>
        </w:tc>
        <w:tc>
          <w:tcPr>
            <w:tcW w:w="6600" w:type="dxa"/>
            <w:tcBorders>
              <w:top w:val="nil"/>
              <w:left w:val="nil"/>
              <w:bottom w:val="single" w:sz="8" w:space="0" w:color="auto"/>
              <w:right w:val="single" w:sz="8" w:space="0" w:color="auto"/>
            </w:tcBorders>
            <w:noWrap/>
          </w:tcPr>
          <w:p w14:paraId="30633190"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"Rēzeknes Satiksme"</w:t>
            </w:r>
          </w:p>
        </w:tc>
        <w:tc>
          <w:tcPr>
            <w:tcW w:w="2121" w:type="dxa"/>
            <w:tcBorders>
              <w:top w:val="nil"/>
              <w:left w:val="nil"/>
              <w:bottom w:val="single" w:sz="8" w:space="0" w:color="auto"/>
              <w:right w:val="single" w:sz="8" w:space="0" w:color="auto"/>
            </w:tcBorders>
            <w:noWrap/>
          </w:tcPr>
          <w:p w14:paraId="68713BC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2 818 398</w:t>
            </w:r>
          </w:p>
        </w:tc>
        <w:tc>
          <w:tcPr>
            <w:tcW w:w="2121" w:type="dxa"/>
            <w:tcBorders>
              <w:top w:val="nil"/>
              <w:left w:val="nil"/>
              <w:bottom w:val="single" w:sz="8" w:space="0" w:color="auto"/>
              <w:right w:val="single" w:sz="8" w:space="0" w:color="auto"/>
            </w:tcBorders>
            <w:noWrap/>
          </w:tcPr>
          <w:p w14:paraId="5B0E17C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5 498 808</w:t>
            </w:r>
          </w:p>
        </w:tc>
        <w:tc>
          <w:tcPr>
            <w:tcW w:w="2177" w:type="dxa"/>
            <w:tcBorders>
              <w:top w:val="nil"/>
              <w:left w:val="nil"/>
              <w:bottom w:val="single" w:sz="8" w:space="0" w:color="auto"/>
              <w:right w:val="single" w:sz="8" w:space="0" w:color="auto"/>
            </w:tcBorders>
            <w:noWrap/>
          </w:tcPr>
          <w:p w14:paraId="46B4189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-2 680 410</w:t>
            </w:r>
          </w:p>
        </w:tc>
      </w:tr>
      <w:tr w:rsidR="00961262" w:rsidRPr="00961262" w14:paraId="1E52C286"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48F9057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78</w:t>
            </w:r>
          </w:p>
        </w:tc>
        <w:tc>
          <w:tcPr>
            <w:tcW w:w="6600" w:type="dxa"/>
            <w:tcBorders>
              <w:top w:val="nil"/>
              <w:left w:val="nil"/>
              <w:bottom w:val="single" w:sz="8" w:space="0" w:color="auto"/>
              <w:right w:val="single" w:sz="8" w:space="0" w:color="auto"/>
            </w:tcBorders>
            <w:noWrap/>
          </w:tcPr>
          <w:p w14:paraId="1454735D"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"Rēzeknes slimnīca"</w:t>
            </w:r>
          </w:p>
        </w:tc>
        <w:tc>
          <w:tcPr>
            <w:tcW w:w="2121" w:type="dxa"/>
            <w:tcBorders>
              <w:top w:val="nil"/>
              <w:left w:val="nil"/>
              <w:bottom w:val="single" w:sz="8" w:space="0" w:color="auto"/>
              <w:right w:val="single" w:sz="8" w:space="0" w:color="auto"/>
            </w:tcBorders>
            <w:noWrap/>
          </w:tcPr>
          <w:p w14:paraId="06DA804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28 788 162</w:t>
            </w:r>
          </w:p>
        </w:tc>
        <w:tc>
          <w:tcPr>
            <w:tcW w:w="2121" w:type="dxa"/>
            <w:tcBorders>
              <w:top w:val="nil"/>
              <w:left w:val="nil"/>
              <w:bottom w:val="single" w:sz="8" w:space="0" w:color="auto"/>
              <w:right w:val="single" w:sz="8" w:space="0" w:color="auto"/>
            </w:tcBorders>
            <w:noWrap/>
          </w:tcPr>
          <w:p w14:paraId="077877F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28 756 438</w:t>
            </w:r>
          </w:p>
        </w:tc>
        <w:tc>
          <w:tcPr>
            <w:tcW w:w="2177" w:type="dxa"/>
            <w:tcBorders>
              <w:top w:val="nil"/>
              <w:left w:val="nil"/>
              <w:bottom w:val="single" w:sz="8" w:space="0" w:color="auto"/>
              <w:right w:val="single" w:sz="8" w:space="0" w:color="auto"/>
            </w:tcBorders>
            <w:noWrap/>
          </w:tcPr>
          <w:p w14:paraId="33A00E5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31 724</w:t>
            </w:r>
          </w:p>
        </w:tc>
      </w:tr>
      <w:tr w:rsidR="00961262" w:rsidRPr="00961262" w14:paraId="00B03D0E"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67FD5AE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79</w:t>
            </w:r>
          </w:p>
        </w:tc>
        <w:tc>
          <w:tcPr>
            <w:tcW w:w="6600" w:type="dxa"/>
            <w:tcBorders>
              <w:top w:val="nil"/>
              <w:left w:val="nil"/>
              <w:bottom w:val="single" w:sz="8" w:space="0" w:color="auto"/>
              <w:right w:val="single" w:sz="8" w:space="0" w:color="auto"/>
            </w:tcBorders>
            <w:noWrap/>
          </w:tcPr>
          <w:p w14:paraId="7D945F86"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"Rīgas 1.slimnīca"</w:t>
            </w:r>
          </w:p>
        </w:tc>
        <w:tc>
          <w:tcPr>
            <w:tcW w:w="2121" w:type="dxa"/>
            <w:tcBorders>
              <w:top w:val="nil"/>
              <w:left w:val="nil"/>
              <w:bottom w:val="single" w:sz="8" w:space="0" w:color="auto"/>
              <w:right w:val="single" w:sz="8" w:space="0" w:color="auto"/>
            </w:tcBorders>
            <w:noWrap/>
          </w:tcPr>
          <w:p w14:paraId="4021863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33 651 231</w:t>
            </w:r>
          </w:p>
        </w:tc>
        <w:tc>
          <w:tcPr>
            <w:tcW w:w="2121" w:type="dxa"/>
            <w:tcBorders>
              <w:top w:val="nil"/>
              <w:left w:val="nil"/>
              <w:bottom w:val="single" w:sz="8" w:space="0" w:color="auto"/>
              <w:right w:val="single" w:sz="8" w:space="0" w:color="auto"/>
            </w:tcBorders>
            <w:noWrap/>
          </w:tcPr>
          <w:p w14:paraId="6126295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32 833 446</w:t>
            </w:r>
          </w:p>
        </w:tc>
        <w:tc>
          <w:tcPr>
            <w:tcW w:w="2177" w:type="dxa"/>
            <w:tcBorders>
              <w:top w:val="nil"/>
              <w:left w:val="nil"/>
              <w:bottom w:val="single" w:sz="8" w:space="0" w:color="auto"/>
              <w:right w:val="single" w:sz="8" w:space="0" w:color="auto"/>
            </w:tcBorders>
            <w:noWrap/>
          </w:tcPr>
          <w:p w14:paraId="100DE8F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817 785</w:t>
            </w:r>
          </w:p>
        </w:tc>
      </w:tr>
      <w:tr w:rsidR="00961262" w:rsidRPr="00961262" w14:paraId="312966D5"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0423015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80</w:t>
            </w:r>
          </w:p>
        </w:tc>
        <w:tc>
          <w:tcPr>
            <w:tcW w:w="6600" w:type="dxa"/>
            <w:tcBorders>
              <w:top w:val="nil"/>
              <w:left w:val="nil"/>
              <w:bottom w:val="single" w:sz="8" w:space="0" w:color="auto"/>
              <w:right w:val="single" w:sz="8" w:space="0" w:color="auto"/>
            </w:tcBorders>
            <w:noWrap/>
          </w:tcPr>
          <w:p w14:paraId="4DF6B2AE"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"Rīgas 2.slimnīca"</w:t>
            </w:r>
          </w:p>
        </w:tc>
        <w:tc>
          <w:tcPr>
            <w:tcW w:w="2121" w:type="dxa"/>
            <w:tcBorders>
              <w:top w:val="nil"/>
              <w:left w:val="nil"/>
              <w:bottom w:val="single" w:sz="8" w:space="0" w:color="auto"/>
              <w:right w:val="single" w:sz="8" w:space="0" w:color="auto"/>
            </w:tcBorders>
            <w:noWrap/>
          </w:tcPr>
          <w:p w14:paraId="0C31A74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13 477 725</w:t>
            </w:r>
          </w:p>
        </w:tc>
        <w:tc>
          <w:tcPr>
            <w:tcW w:w="2121" w:type="dxa"/>
            <w:tcBorders>
              <w:top w:val="nil"/>
              <w:left w:val="nil"/>
              <w:bottom w:val="single" w:sz="8" w:space="0" w:color="auto"/>
              <w:right w:val="single" w:sz="8" w:space="0" w:color="auto"/>
            </w:tcBorders>
            <w:noWrap/>
          </w:tcPr>
          <w:p w14:paraId="67EAC56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13 141 529</w:t>
            </w:r>
          </w:p>
        </w:tc>
        <w:tc>
          <w:tcPr>
            <w:tcW w:w="2177" w:type="dxa"/>
            <w:tcBorders>
              <w:top w:val="nil"/>
              <w:left w:val="nil"/>
              <w:bottom w:val="single" w:sz="8" w:space="0" w:color="auto"/>
              <w:right w:val="single" w:sz="8" w:space="0" w:color="auto"/>
            </w:tcBorders>
            <w:noWrap/>
          </w:tcPr>
          <w:p w14:paraId="34A4CBC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336 196</w:t>
            </w:r>
          </w:p>
        </w:tc>
      </w:tr>
      <w:tr w:rsidR="00961262" w:rsidRPr="00961262" w14:paraId="711585FB"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1C5ACA4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81</w:t>
            </w:r>
          </w:p>
        </w:tc>
        <w:tc>
          <w:tcPr>
            <w:tcW w:w="6600" w:type="dxa"/>
            <w:tcBorders>
              <w:top w:val="nil"/>
              <w:left w:val="nil"/>
              <w:bottom w:val="single" w:sz="8" w:space="0" w:color="auto"/>
              <w:right w:val="single" w:sz="8" w:space="0" w:color="auto"/>
            </w:tcBorders>
            <w:noWrap/>
          </w:tcPr>
          <w:p w14:paraId="620FCC67"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"Rīgas Dzemdību nams"</w:t>
            </w:r>
          </w:p>
        </w:tc>
        <w:tc>
          <w:tcPr>
            <w:tcW w:w="2121" w:type="dxa"/>
            <w:tcBorders>
              <w:top w:val="nil"/>
              <w:left w:val="nil"/>
              <w:bottom w:val="single" w:sz="8" w:space="0" w:color="auto"/>
              <w:right w:val="single" w:sz="8" w:space="0" w:color="auto"/>
            </w:tcBorders>
            <w:noWrap/>
          </w:tcPr>
          <w:p w14:paraId="132182D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13 497 615</w:t>
            </w:r>
          </w:p>
        </w:tc>
        <w:tc>
          <w:tcPr>
            <w:tcW w:w="2121" w:type="dxa"/>
            <w:tcBorders>
              <w:top w:val="nil"/>
              <w:left w:val="nil"/>
              <w:bottom w:val="single" w:sz="8" w:space="0" w:color="auto"/>
              <w:right w:val="single" w:sz="8" w:space="0" w:color="auto"/>
            </w:tcBorders>
            <w:noWrap/>
          </w:tcPr>
          <w:p w14:paraId="07A5D39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13 181 245</w:t>
            </w:r>
          </w:p>
        </w:tc>
        <w:tc>
          <w:tcPr>
            <w:tcW w:w="2177" w:type="dxa"/>
            <w:tcBorders>
              <w:top w:val="nil"/>
              <w:left w:val="nil"/>
              <w:bottom w:val="single" w:sz="8" w:space="0" w:color="auto"/>
              <w:right w:val="single" w:sz="8" w:space="0" w:color="auto"/>
            </w:tcBorders>
            <w:noWrap/>
          </w:tcPr>
          <w:p w14:paraId="7FB22A8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316 370</w:t>
            </w:r>
          </w:p>
        </w:tc>
      </w:tr>
      <w:tr w:rsidR="00961262" w:rsidRPr="00961262" w14:paraId="7A0D8FF6"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61C1D66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82</w:t>
            </w:r>
          </w:p>
        </w:tc>
        <w:tc>
          <w:tcPr>
            <w:tcW w:w="6600" w:type="dxa"/>
            <w:tcBorders>
              <w:top w:val="nil"/>
              <w:left w:val="nil"/>
              <w:bottom w:val="single" w:sz="8" w:space="0" w:color="auto"/>
              <w:right w:val="single" w:sz="8" w:space="0" w:color="auto"/>
            </w:tcBorders>
            <w:noWrap/>
          </w:tcPr>
          <w:p w14:paraId="644B4718"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"Rīgas satiksme"</w:t>
            </w:r>
          </w:p>
        </w:tc>
        <w:tc>
          <w:tcPr>
            <w:tcW w:w="2121" w:type="dxa"/>
            <w:tcBorders>
              <w:top w:val="nil"/>
              <w:left w:val="nil"/>
              <w:bottom w:val="single" w:sz="8" w:space="0" w:color="auto"/>
              <w:right w:val="single" w:sz="8" w:space="0" w:color="auto"/>
            </w:tcBorders>
            <w:noWrap/>
          </w:tcPr>
          <w:p w14:paraId="36F3527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203 482 877</w:t>
            </w:r>
          </w:p>
        </w:tc>
        <w:tc>
          <w:tcPr>
            <w:tcW w:w="2121" w:type="dxa"/>
            <w:tcBorders>
              <w:top w:val="nil"/>
              <w:left w:val="nil"/>
              <w:bottom w:val="single" w:sz="8" w:space="0" w:color="auto"/>
              <w:right w:val="single" w:sz="8" w:space="0" w:color="auto"/>
            </w:tcBorders>
            <w:noWrap/>
          </w:tcPr>
          <w:p w14:paraId="2FAF648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208 475 040</w:t>
            </w:r>
          </w:p>
        </w:tc>
        <w:tc>
          <w:tcPr>
            <w:tcW w:w="2177" w:type="dxa"/>
            <w:tcBorders>
              <w:top w:val="nil"/>
              <w:left w:val="nil"/>
              <w:bottom w:val="single" w:sz="8" w:space="0" w:color="auto"/>
              <w:right w:val="single" w:sz="8" w:space="0" w:color="auto"/>
            </w:tcBorders>
            <w:noWrap/>
          </w:tcPr>
          <w:p w14:paraId="76B0DCA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-4 992 163</w:t>
            </w:r>
          </w:p>
        </w:tc>
      </w:tr>
      <w:tr w:rsidR="00961262" w:rsidRPr="00961262" w14:paraId="6BFAF882"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7558D17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83</w:t>
            </w:r>
          </w:p>
        </w:tc>
        <w:tc>
          <w:tcPr>
            <w:tcW w:w="6600" w:type="dxa"/>
            <w:tcBorders>
              <w:top w:val="nil"/>
              <w:left w:val="nil"/>
              <w:bottom w:val="single" w:sz="8" w:space="0" w:color="auto"/>
              <w:right w:val="single" w:sz="8" w:space="0" w:color="auto"/>
            </w:tcBorders>
            <w:noWrap/>
          </w:tcPr>
          <w:p w14:paraId="6B68C13B"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"Rīgas veselības centrs"</w:t>
            </w:r>
          </w:p>
        </w:tc>
        <w:tc>
          <w:tcPr>
            <w:tcW w:w="2121" w:type="dxa"/>
            <w:tcBorders>
              <w:top w:val="nil"/>
              <w:left w:val="nil"/>
              <w:bottom w:val="single" w:sz="8" w:space="0" w:color="auto"/>
              <w:right w:val="single" w:sz="8" w:space="0" w:color="auto"/>
            </w:tcBorders>
            <w:noWrap/>
          </w:tcPr>
          <w:p w14:paraId="2CC9F02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12 873 115</w:t>
            </w:r>
          </w:p>
        </w:tc>
        <w:tc>
          <w:tcPr>
            <w:tcW w:w="2121" w:type="dxa"/>
            <w:tcBorders>
              <w:top w:val="nil"/>
              <w:left w:val="nil"/>
              <w:bottom w:val="single" w:sz="8" w:space="0" w:color="auto"/>
              <w:right w:val="single" w:sz="8" w:space="0" w:color="auto"/>
            </w:tcBorders>
            <w:noWrap/>
          </w:tcPr>
          <w:p w14:paraId="5A0E6AB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12 872 517</w:t>
            </w:r>
          </w:p>
        </w:tc>
        <w:tc>
          <w:tcPr>
            <w:tcW w:w="2177" w:type="dxa"/>
            <w:tcBorders>
              <w:top w:val="nil"/>
              <w:left w:val="nil"/>
              <w:bottom w:val="single" w:sz="8" w:space="0" w:color="auto"/>
              <w:right w:val="single" w:sz="8" w:space="0" w:color="auto"/>
            </w:tcBorders>
            <w:noWrap/>
          </w:tcPr>
          <w:p w14:paraId="7621064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598</w:t>
            </w:r>
          </w:p>
        </w:tc>
      </w:tr>
      <w:tr w:rsidR="00961262" w:rsidRPr="00961262" w14:paraId="3E1F83AF"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161C72E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84</w:t>
            </w:r>
          </w:p>
        </w:tc>
        <w:tc>
          <w:tcPr>
            <w:tcW w:w="6600" w:type="dxa"/>
            <w:tcBorders>
              <w:top w:val="nil"/>
              <w:left w:val="nil"/>
              <w:bottom w:val="single" w:sz="8" w:space="0" w:color="auto"/>
              <w:right w:val="single" w:sz="8" w:space="0" w:color="auto"/>
            </w:tcBorders>
            <w:noWrap/>
          </w:tcPr>
          <w:p w14:paraId="5C712CD5"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"Salaspils Veselības Centrs"</w:t>
            </w:r>
          </w:p>
        </w:tc>
        <w:tc>
          <w:tcPr>
            <w:tcW w:w="2121" w:type="dxa"/>
            <w:tcBorders>
              <w:top w:val="nil"/>
              <w:left w:val="nil"/>
              <w:bottom w:val="single" w:sz="8" w:space="0" w:color="auto"/>
              <w:right w:val="single" w:sz="8" w:space="0" w:color="auto"/>
            </w:tcBorders>
            <w:noWrap/>
          </w:tcPr>
          <w:p w14:paraId="7CD1DF8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3 746 348</w:t>
            </w:r>
          </w:p>
        </w:tc>
        <w:tc>
          <w:tcPr>
            <w:tcW w:w="2121" w:type="dxa"/>
            <w:tcBorders>
              <w:top w:val="nil"/>
              <w:left w:val="nil"/>
              <w:bottom w:val="single" w:sz="8" w:space="0" w:color="auto"/>
              <w:right w:val="single" w:sz="8" w:space="0" w:color="auto"/>
            </w:tcBorders>
            <w:noWrap/>
          </w:tcPr>
          <w:p w14:paraId="1A7A7EA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4 352 800</w:t>
            </w:r>
          </w:p>
        </w:tc>
        <w:tc>
          <w:tcPr>
            <w:tcW w:w="2177" w:type="dxa"/>
            <w:tcBorders>
              <w:top w:val="nil"/>
              <w:left w:val="nil"/>
              <w:bottom w:val="single" w:sz="8" w:space="0" w:color="auto"/>
              <w:right w:val="single" w:sz="8" w:space="0" w:color="auto"/>
            </w:tcBorders>
            <w:noWrap/>
          </w:tcPr>
          <w:p w14:paraId="68591FA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-606 452</w:t>
            </w:r>
          </w:p>
        </w:tc>
      </w:tr>
      <w:tr w:rsidR="00961262" w:rsidRPr="00961262" w14:paraId="6075168F"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A0BB7C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85</w:t>
            </w:r>
          </w:p>
        </w:tc>
        <w:tc>
          <w:tcPr>
            <w:tcW w:w="6600" w:type="dxa"/>
            <w:tcBorders>
              <w:top w:val="nil"/>
              <w:left w:val="nil"/>
              <w:bottom w:val="single" w:sz="8" w:space="0" w:color="auto"/>
              <w:right w:val="single" w:sz="8" w:space="0" w:color="auto"/>
            </w:tcBorders>
            <w:noWrap/>
          </w:tcPr>
          <w:p w14:paraId="0E951F2A"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"Olimpiskais centrs "Ventspils""</w:t>
            </w:r>
          </w:p>
        </w:tc>
        <w:tc>
          <w:tcPr>
            <w:tcW w:w="2121" w:type="dxa"/>
            <w:tcBorders>
              <w:top w:val="nil"/>
              <w:left w:val="nil"/>
              <w:bottom w:val="single" w:sz="8" w:space="0" w:color="auto"/>
              <w:right w:val="single" w:sz="8" w:space="0" w:color="auto"/>
            </w:tcBorders>
            <w:noWrap/>
          </w:tcPr>
          <w:p w14:paraId="09D93CA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4 505 526</w:t>
            </w:r>
          </w:p>
        </w:tc>
        <w:tc>
          <w:tcPr>
            <w:tcW w:w="2121" w:type="dxa"/>
            <w:tcBorders>
              <w:top w:val="nil"/>
              <w:left w:val="nil"/>
              <w:bottom w:val="single" w:sz="8" w:space="0" w:color="auto"/>
              <w:right w:val="single" w:sz="8" w:space="0" w:color="auto"/>
            </w:tcBorders>
            <w:noWrap/>
          </w:tcPr>
          <w:p w14:paraId="6DF823C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4 495 243</w:t>
            </w:r>
          </w:p>
        </w:tc>
        <w:tc>
          <w:tcPr>
            <w:tcW w:w="2177" w:type="dxa"/>
            <w:tcBorders>
              <w:top w:val="nil"/>
              <w:left w:val="nil"/>
              <w:bottom w:val="single" w:sz="8" w:space="0" w:color="auto"/>
              <w:right w:val="single" w:sz="8" w:space="0" w:color="auto"/>
            </w:tcBorders>
            <w:noWrap/>
          </w:tcPr>
          <w:p w14:paraId="6380D4E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10 283</w:t>
            </w:r>
          </w:p>
        </w:tc>
      </w:tr>
      <w:tr w:rsidR="00961262" w:rsidRPr="00961262" w14:paraId="6D045D2B"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06EF47F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86</w:t>
            </w:r>
          </w:p>
        </w:tc>
        <w:tc>
          <w:tcPr>
            <w:tcW w:w="6600" w:type="dxa"/>
            <w:tcBorders>
              <w:top w:val="nil"/>
              <w:left w:val="nil"/>
              <w:bottom w:val="single" w:sz="8" w:space="0" w:color="auto"/>
              <w:right w:val="single" w:sz="8" w:space="0" w:color="auto"/>
            </w:tcBorders>
            <w:noWrap/>
          </w:tcPr>
          <w:p w14:paraId="24A8844E"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"Vidzemes slimnīca"</w:t>
            </w:r>
          </w:p>
        </w:tc>
        <w:tc>
          <w:tcPr>
            <w:tcW w:w="2121" w:type="dxa"/>
            <w:tcBorders>
              <w:top w:val="nil"/>
              <w:left w:val="nil"/>
              <w:bottom w:val="single" w:sz="8" w:space="0" w:color="auto"/>
              <w:right w:val="single" w:sz="8" w:space="0" w:color="auto"/>
            </w:tcBorders>
            <w:noWrap/>
          </w:tcPr>
          <w:p w14:paraId="6FE8794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32 274 866</w:t>
            </w:r>
          </w:p>
        </w:tc>
        <w:tc>
          <w:tcPr>
            <w:tcW w:w="2121" w:type="dxa"/>
            <w:tcBorders>
              <w:top w:val="nil"/>
              <w:left w:val="nil"/>
              <w:bottom w:val="single" w:sz="8" w:space="0" w:color="auto"/>
              <w:right w:val="single" w:sz="8" w:space="0" w:color="auto"/>
            </w:tcBorders>
            <w:noWrap/>
          </w:tcPr>
          <w:p w14:paraId="44827E6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31 924 467</w:t>
            </w:r>
          </w:p>
        </w:tc>
        <w:tc>
          <w:tcPr>
            <w:tcW w:w="2177" w:type="dxa"/>
            <w:tcBorders>
              <w:top w:val="nil"/>
              <w:left w:val="nil"/>
              <w:bottom w:val="single" w:sz="8" w:space="0" w:color="auto"/>
              <w:right w:val="single" w:sz="8" w:space="0" w:color="auto"/>
            </w:tcBorders>
            <w:noWrap/>
          </w:tcPr>
          <w:p w14:paraId="5D38F46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350 399</w:t>
            </w:r>
          </w:p>
        </w:tc>
      </w:tr>
      <w:tr w:rsidR="00961262" w:rsidRPr="00961262" w14:paraId="271F420A"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tcPr>
          <w:p w14:paraId="5B77275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87</w:t>
            </w:r>
          </w:p>
        </w:tc>
        <w:tc>
          <w:tcPr>
            <w:tcW w:w="6600" w:type="dxa"/>
            <w:tcBorders>
              <w:top w:val="nil"/>
              <w:left w:val="nil"/>
              <w:bottom w:val="single" w:sz="8" w:space="0" w:color="auto"/>
              <w:right w:val="single" w:sz="8" w:space="0" w:color="auto"/>
            </w:tcBorders>
            <w:noWrap/>
          </w:tcPr>
          <w:p w14:paraId="052D2407"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"Ziemeļkurzemes reģionālā slimnīca"</w:t>
            </w:r>
          </w:p>
        </w:tc>
        <w:tc>
          <w:tcPr>
            <w:tcW w:w="2121" w:type="dxa"/>
            <w:tcBorders>
              <w:top w:val="nil"/>
              <w:left w:val="nil"/>
              <w:bottom w:val="single" w:sz="8" w:space="0" w:color="auto"/>
              <w:right w:val="single" w:sz="8" w:space="0" w:color="auto"/>
            </w:tcBorders>
            <w:noWrap/>
          </w:tcPr>
          <w:p w14:paraId="2FCBD7D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31 575 556</w:t>
            </w:r>
          </w:p>
        </w:tc>
        <w:tc>
          <w:tcPr>
            <w:tcW w:w="2121" w:type="dxa"/>
            <w:tcBorders>
              <w:top w:val="nil"/>
              <w:left w:val="nil"/>
              <w:bottom w:val="single" w:sz="8" w:space="0" w:color="auto"/>
              <w:right w:val="single" w:sz="8" w:space="0" w:color="auto"/>
            </w:tcBorders>
            <w:noWrap/>
          </w:tcPr>
          <w:p w14:paraId="3A242EE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31 034 317</w:t>
            </w:r>
          </w:p>
        </w:tc>
        <w:tc>
          <w:tcPr>
            <w:tcW w:w="2177" w:type="dxa"/>
            <w:tcBorders>
              <w:top w:val="nil"/>
              <w:left w:val="nil"/>
              <w:bottom w:val="single" w:sz="8" w:space="0" w:color="auto"/>
              <w:right w:val="single" w:sz="8" w:space="0" w:color="auto"/>
            </w:tcBorders>
            <w:noWrap/>
          </w:tcPr>
          <w:p w14:paraId="1927CE3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541 239</w:t>
            </w:r>
          </w:p>
        </w:tc>
      </w:tr>
      <w:tr w:rsidR="00961262" w:rsidRPr="00961262" w14:paraId="19883DDD" w14:textId="77777777" w:rsidTr="0052209F">
        <w:trPr>
          <w:trHeight w:val="468"/>
        </w:trPr>
        <w:tc>
          <w:tcPr>
            <w:tcW w:w="14206" w:type="dxa"/>
            <w:gridSpan w:val="5"/>
            <w:tcBorders>
              <w:top w:val="single" w:sz="8" w:space="0" w:color="auto"/>
              <w:left w:val="single" w:sz="8" w:space="0" w:color="auto"/>
              <w:bottom w:val="nil"/>
              <w:right w:val="single" w:sz="8" w:space="0" w:color="000000"/>
            </w:tcBorders>
            <w:noWrap/>
            <w:vAlign w:val="center"/>
            <w:hideMark/>
          </w:tcPr>
          <w:p w14:paraId="75355199" w14:textId="77777777" w:rsidR="00961262" w:rsidRPr="00961262" w:rsidRDefault="00961262" w:rsidP="00961262">
            <w:pPr>
              <w:spacing w:after="0"/>
              <w:ind w:firstLine="0"/>
              <w:rPr>
                <w:rFonts w:eastAsia="Times New Roman" w:cs="Times New Roman"/>
                <w:color w:val="000000"/>
                <w:sz w:val="18"/>
                <w:szCs w:val="18"/>
              </w:rPr>
            </w:pPr>
            <w:r w:rsidRPr="00961262">
              <w:rPr>
                <w:rFonts w:eastAsia="Times New Roman" w:cs="Times New Roman"/>
                <w:color w:val="000000"/>
                <w:sz w:val="18"/>
                <w:szCs w:val="18"/>
              </w:rPr>
              <w:lastRenderedPageBreak/>
              <w:t>Prognozes izstrādātas atbilstoši 2025. gada jūnijā-jūlijā FM iesniegtajai informācijai par visu centrālās valdības komersantu (61) un fiskāli nozīmīgu vietējās valdības (pašvaldību) komersantu (26) prognozēto saimniecisko un finanšu darbību, kā arī ņemot vērā tieši saistītos MK lēmumus 2025. gada septembrī.</w:t>
            </w:r>
          </w:p>
        </w:tc>
      </w:tr>
      <w:tr w:rsidR="00961262" w:rsidRPr="00961262" w14:paraId="6FB86FC3" w14:textId="77777777" w:rsidTr="0052209F">
        <w:trPr>
          <w:trHeight w:val="492"/>
        </w:trPr>
        <w:tc>
          <w:tcPr>
            <w:tcW w:w="14206" w:type="dxa"/>
            <w:gridSpan w:val="5"/>
            <w:tcBorders>
              <w:top w:val="nil"/>
              <w:left w:val="single" w:sz="8" w:space="0" w:color="auto"/>
              <w:bottom w:val="single" w:sz="8" w:space="0" w:color="auto"/>
              <w:right w:val="single" w:sz="8" w:space="0" w:color="000000"/>
            </w:tcBorders>
            <w:noWrap/>
            <w:vAlign w:val="center"/>
            <w:hideMark/>
          </w:tcPr>
          <w:p w14:paraId="1ABA14B0" w14:textId="77777777" w:rsidR="00961262" w:rsidRPr="00961262" w:rsidRDefault="00961262" w:rsidP="00961262">
            <w:pPr>
              <w:spacing w:after="0"/>
              <w:ind w:firstLine="0"/>
              <w:rPr>
                <w:rFonts w:eastAsia="Times New Roman" w:cs="Times New Roman"/>
                <w:color w:val="000000"/>
                <w:sz w:val="18"/>
                <w:szCs w:val="18"/>
              </w:rPr>
            </w:pPr>
            <w:r w:rsidRPr="00961262">
              <w:rPr>
                <w:rFonts w:eastAsia="Times New Roman" w:cs="Times New Roman"/>
                <w:color w:val="000000"/>
                <w:sz w:val="18"/>
                <w:szCs w:val="18"/>
              </w:rPr>
              <w:t xml:space="preserve">Vispārējās valdības budžeta pieklasificēto kapitālsabiedrību ietekme uz B.9 neto aizdevumiem (+)/neto aizņēmumiem (-), kas iekļauta vispārējās valdības budžeta prognozēs 2026. gadā ir -31 029 255 </w:t>
            </w:r>
            <w:r w:rsidRPr="00961262">
              <w:rPr>
                <w:rFonts w:eastAsia="Times New Roman" w:cs="Times New Roman"/>
                <w:i/>
                <w:iCs/>
                <w:color w:val="000000"/>
                <w:sz w:val="18"/>
                <w:szCs w:val="18"/>
              </w:rPr>
              <w:t>euro.</w:t>
            </w:r>
            <w:r w:rsidRPr="00961262">
              <w:rPr>
                <w:rFonts w:ascii="Calibri" w:eastAsia="Calibri" w:hAnsi="Calibri" w:cs="Times New Roman"/>
                <w:sz w:val="22"/>
                <w:lang w:eastAsia="en-US"/>
              </w:rPr>
              <w:t xml:space="preserve"> </w:t>
            </w:r>
          </w:p>
        </w:tc>
      </w:tr>
    </w:tbl>
    <w:p w14:paraId="6F94DFA3" w14:textId="77777777" w:rsidR="00961262" w:rsidRPr="00961262" w:rsidRDefault="00961262" w:rsidP="00961262">
      <w:pPr>
        <w:widowControl w:val="0"/>
        <w:ind w:firstLine="0"/>
        <w:jc w:val="left"/>
        <w:rPr>
          <w:rFonts w:eastAsia="Times New Roman" w:cs="Times New Roman"/>
          <w:b/>
          <w:sz w:val="18"/>
          <w:szCs w:val="18"/>
        </w:rPr>
      </w:pPr>
    </w:p>
    <w:tbl>
      <w:tblPr>
        <w:tblW w:w="14206" w:type="dxa"/>
        <w:tblLook w:val="04A0" w:firstRow="1" w:lastRow="0" w:firstColumn="1" w:lastColumn="0" w:noHBand="0" w:noVBand="1"/>
      </w:tblPr>
      <w:tblGrid>
        <w:gridCol w:w="1187"/>
        <w:gridCol w:w="6600"/>
        <w:gridCol w:w="2121"/>
        <w:gridCol w:w="2121"/>
        <w:gridCol w:w="2177"/>
      </w:tblGrid>
      <w:tr w:rsidR="00961262" w:rsidRPr="00961262" w14:paraId="6BB72733" w14:textId="77777777" w:rsidTr="00961262">
        <w:trPr>
          <w:trHeight w:val="324"/>
          <w:tblHeader/>
        </w:trPr>
        <w:tc>
          <w:tcPr>
            <w:tcW w:w="14206" w:type="dxa"/>
            <w:gridSpan w:val="5"/>
            <w:tcBorders>
              <w:top w:val="single" w:sz="8" w:space="0" w:color="auto"/>
              <w:left w:val="single" w:sz="8" w:space="0" w:color="auto"/>
              <w:bottom w:val="single" w:sz="8" w:space="0" w:color="auto"/>
              <w:right w:val="single" w:sz="8" w:space="0" w:color="000000"/>
            </w:tcBorders>
            <w:shd w:val="clear" w:color="000000" w:fill="9BC2E6"/>
            <w:noWrap/>
            <w:vAlign w:val="center"/>
            <w:hideMark/>
          </w:tcPr>
          <w:p w14:paraId="3D547271" w14:textId="77777777" w:rsidR="00961262" w:rsidRPr="00961262" w:rsidRDefault="00961262" w:rsidP="00961262">
            <w:pPr>
              <w:spacing w:after="0"/>
              <w:ind w:firstLine="0"/>
              <w:jc w:val="center"/>
              <w:rPr>
                <w:rFonts w:eastAsia="Times New Roman" w:cs="Times New Roman"/>
                <w:b/>
                <w:bCs/>
                <w:color w:val="000000"/>
                <w:sz w:val="18"/>
                <w:szCs w:val="18"/>
              </w:rPr>
            </w:pPr>
            <w:r w:rsidRPr="00961262">
              <w:rPr>
                <w:rFonts w:eastAsia="Times New Roman" w:cs="Times New Roman"/>
                <w:b/>
                <w:bCs/>
                <w:color w:val="000000"/>
                <w:sz w:val="18"/>
                <w:szCs w:val="18"/>
              </w:rPr>
              <w:t>2027</w:t>
            </w:r>
          </w:p>
        </w:tc>
      </w:tr>
      <w:tr w:rsidR="00961262" w:rsidRPr="00961262" w14:paraId="3A6D275B" w14:textId="77777777" w:rsidTr="00961262">
        <w:trPr>
          <w:trHeight w:val="745"/>
          <w:tblHeader/>
        </w:trPr>
        <w:tc>
          <w:tcPr>
            <w:tcW w:w="1187" w:type="dxa"/>
            <w:tcBorders>
              <w:top w:val="nil"/>
              <w:left w:val="single" w:sz="8" w:space="0" w:color="auto"/>
              <w:bottom w:val="single" w:sz="8" w:space="0" w:color="auto"/>
              <w:right w:val="single" w:sz="8" w:space="0" w:color="auto"/>
            </w:tcBorders>
            <w:shd w:val="clear" w:color="000000" w:fill="BDD7EE"/>
            <w:noWrap/>
            <w:vAlign w:val="center"/>
            <w:hideMark/>
          </w:tcPr>
          <w:p w14:paraId="6C67BAA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N.p.k.</w:t>
            </w:r>
          </w:p>
        </w:tc>
        <w:tc>
          <w:tcPr>
            <w:tcW w:w="6600" w:type="dxa"/>
            <w:tcBorders>
              <w:top w:val="nil"/>
              <w:left w:val="nil"/>
              <w:bottom w:val="single" w:sz="8" w:space="0" w:color="auto"/>
              <w:right w:val="single" w:sz="8" w:space="0" w:color="auto"/>
            </w:tcBorders>
            <w:shd w:val="clear" w:color="000000" w:fill="BDD7EE"/>
            <w:noWrap/>
            <w:vAlign w:val="center"/>
            <w:hideMark/>
          </w:tcPr>
          <w:p w14:paraId="62714F1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BDD7EE"/>
            <w:vAlign w:val="center"/>
            <w:hideMark/>
          </w:tcPr>
          <w:p w14:paraId="2FF43A3D"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t xml:space="preserve">Ieņēmumi, </w:t>
            </w:r>
            <w:r w:rsidRPr="00961262">
              <w:rPr>
                <w:rFonts w:eastAsia="Times New Roman" w:cs="Times New Roman"/>
                <w:i/>
                <w:iCs/>
                <w:color w:val="000000"/>
                <w:sz w:val="18"/>
                <w:szCs w:val="18"/>
              </w:rPr>
              <w:t>euro</w:t>
            </w:r>
          </w:p>
        </w:tc>
        <w:tc>
          <w:tcPr>
            <w:tcW w:w="2121" w:type="dxa"/>
            <w:tcBorders>
              <w:top w:val="nil"/>
              <w:left w:val="nil"/>
              <w:bottom w:val="single" w:sz="8" w:space="0" w:color="auto"/>
              <w:right w:val="single" w:sz="8" w:space="0" w:color="auto"/>
            </w:tcBorders>
            <w:shd w:val="clear" w:color="000000" w:fill="BDD7EE"/>
            <w:vAlign w:val="center"/>
            <w:hideMark/>
          </w:tcPr>
          <w:p w14:paraId="476B0CED"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t xml:space="preserve">Izdevumi, </w:t>
            </w:r>
            <w:r w:rsidRPr="00961262">
              <w:rPr>
                <w:rFonts w:eastAsia="Times New Roman" w:cs="Times New Roman"/>
                <w:i/>
                <w:iCs/>
                <w:color w:val="000000"/>
                <w:sz w:val="18"/>
                <w:szCs w:val="18"/>
              </w:rPr>
              <w:t>euro</w:t>
            </w:r>
          </w:p>
        </w:tc>
        <w:tc>
          <w:tcPr>
            <w:tcW w:w="2177" w:type="dxa"/>
            <w:tcBorders>
              <w:top w:val="nil"/>
              <w:left w:val="nil"/>
              <w:bottom w:val="single" w:sz="8" w:space="0" w:color="auto"/>
              <w:right w:val="single" w:sz="8" w:space="0" w:color="auto"/>
            </w:tcBorders>
            <w:shd w:val="clear" w:color="000000" w:fill="BDD7EE"/>
            <w:vAlign w:val="center"/>
            <w:hideMark/>
          </w:tcPr>
          <w:p w14:paraId="70DBC6F9"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t>Ietekme uz B.9 neto aizdevumiem (+)/neto aizņēmumiem (-),</w:t>
            </w:r>
            <w:r w:rsidRPr="00961262">
              <w:rPr>
                <w:rFonts w:eastAsia="Times New Roman" w:cs="Times New Roman"/>
                <w:i/>
                <w:iCs/>
                <w:color w:val="000000"/>
                <w:sz w:val="18"/>
                <w:szCs w:val="18"/>
              </w:rPr>
              <w:t>euro</w:t>
            </w:r>
          </w:p>
        </w:tc>
      </w:tr>
      <w:tr w:rsidR="00961262" w:rsidRPr="00961262" w14:paraId="4545709B" w14:textId="77777777" w:rsidTr="0052209F">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088BB34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S130130</w:t>
            </w:r>
          </w:p>
        </w:tc>
        <w:tc>
          <w:tcPr>
            <w:tcW w:w="6600" w:type="dxa"/>
            <w:tcBorders>
              <w:top w:val="nil"/>
              <w:left w:val="nil"/>
              <w:bottom w:val="single" w:sz="8" w:space="0" w:color="auto"/>
              <w:right w:val="single" w:sz="8" w:space="0" w:color="auto"/>
            </w:tcBorders>
            <w:shd w:val="clear" w:color="000000" w:fill="DDEBF7"/>
            <w:noWrap/>
            <w:vAlign w:val="center"/>
            <w:hideMark/>
          </w:tcPr>
          <w:p w14:paraId="7269E09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Valsts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62D90DD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3BF4D1FD"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3A28AB6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r>
      <w:tr w:rsidR="00961262" w:rsidRPr="00961262" w14:paraId="7C78F79D"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3FDB56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w:t>
            </w:r>
          </w:p>
        </w:tc>
        <w:tc>
          <w:tcPr>
            <w:tcW w:w="6600" w:type="dxa"/>
            <w:tcBorders>
              <w:top w:val="nil"/>
              <w:left w:val="nil"/>
              <w:bottom w:val="single" w:sz="8" w:space="0" w:color="auto"/>
              <w:right w:val="single" w:sz="8" w:space="0" w:color="auto"/>
            </w:tcBorders>
            <w:noWrap/>
            <w:hideMark/>
          </w:tcPr>
          <w:p w14:paraId="072470F5"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"Bērnu psihoneiroloģiskā slimnīca "Ainaži""</w:t>
            </w:r>
          </w:p>
        </w:tc>
        <w:tc>
          <w:tcPr>
            <w:tcW w:w="2121" w:type="dxa"/>
            <w:tcBorders>
              <w:top w:val="nil"/>
              <w:left w:val="nil"/>
              <w:bottom w:val="single" w:sz="8" w:space="0" w:color="auto"/>
              <w:right w:val="single" w:sz="8" w:space="0" w:color="auto"/>
            </w:tcBorders>
            <w:noWrap/>
            <w:hideMark/>
          </w:tcPr>
          <w:p w14:paraId="1C0E204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2 195 163</w:t>
            </w:r>
          </w:p>
        </w:tc>
        <w:tc>
          <w:tcPr>
            <w:tcW w:w="2121" w:type="dxa"/>
            <w:tcBorders>
              <w:top w:val="nil"/>
              <w:left w:val="nil"/>
              <w:bottom w:val="single" w:sz="8" w:space="0" w:color="auto"/>
              <w:right w:val="single" w:sz="8" w:space="0" w:color="auto"/>
            </w:tcBorders>
            <w:noWrap/>
            <w:hideMark/>
          </w:tcPr>
          <w:p w14:paraId="64F8086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2 163 369</w:t>
            </w:r>
          </w:p>
        </w:tc>
        <w:tc>
          <w:tcPr>
            <w:tcW w:w="2177" w:type="dxa"/>
            <w:tcBorders>
              <w:top w:val="nil"/>
              <w:left w:val="nil"/>
              <w:bottom w:val="single" w:sz="8" w:space="0" w:color="auto"/>
              <w:right w:val="single" w:sz="8" w:space="0" w:color="auto"/>
            </w:tcBorders>
            <w:noWrap/>
            <w:hideMark/>
          </w:tcPr>
          <w:p w14:paraId="1A67000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31 794</w:t>
            </w:r>
          </w:p>
        </w:tc>
      </w:tr>
      <w:tr w:rsidR="00961262" w:rsidRPr="00961262" w14:paraId="6C5FCB5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7C0318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w:t>
            </w:r>
          </w:p>
        </w:tc>
        <w:tc>
          <w:tcPr>
            <w:tcW w:w="6600" w:type="dxa"/>
            <w:tcBorders>
              <w:top w:val="nil"/>
              <w:left w:val="nil"/>
              <w:bottom w:val="single" w:sz="8" w:space="0" w:color="auto"/>
              <w:right w:val="single" w:sz="8" w:space="0" w:color="auto"/>
            </w:tcBorders>
            <w:noWrap/>
            <w:hideMark/>
          </w:tcPr>
          <w:p w14:paraId="3338ECA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Nodibinājums "Akadēmiskās informācijas centrs"</w:t>
            </w:r>
          </w:p>
        </w:tc>
        <w:tc>
          <w:tcPr>
            <w:tcW w:w="2121" w:type="dxa"/>
            <w:tcBorders>
              <w:top w:val="nil"/>
              <w:left w:val="nil"/>
              <w:bottom w:val="single" w:sz="8" w:space="0" w:color="auto"/>
              <w:right w:val="single" w:sz="8" w:space="0" w:color="auto"/>
            </w:tcBorders>
            <w:noWrap/>
            <w:hideMark/>
          </w:tcPr>
          <w:p w14:paraId="29DC5A2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2 000 000</w:t>
            </w:r>
          </w:p>
        </w:tc>
        <w:tc>
          <w:tcPr>
            <w:tcW w:w="2121" w:type="dxa"/>
            <w:tcBorders>
              <w:top w:val="nil"/>
              <w:left w:val="nil"/>
              <w:bottom w:val="single" w:sz="8" w:space="0" w:color="auto"/>
              <w:right w:val="single" w:sz="8" w:space="0" w:color="auto"/>
            </w:tcBorders>
            <w:noWrap/>
            <w:hideMark/>
          </w:tcPr>
          <w:p w14:paraId="057B519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2 293 000</w:t>
            </w:r>
          </w:p>
        </w:tc>
        <w:tc>
          <w:tcPr>
            <w:tcW w:w="2177" w:type="dxa"/>
            <w:tcBorders>
              <w:top w:val="nil"/>
              <w:left w:val="nil"/>
              <w:bottom w:val="single" w:sz="8" w:space="0" w:color="auto"/>
              <w:right w:val="single" w:sz="8" w:space="0" w:color="auto"/>
            </w:tcBorders>
            <w:noWrap/>
            <w:hideMark/>
          </w:tcPr>
          <w:p w14:paraId="66F5523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-293 000</w:t>
            </w:r>
          </w:p>
        </w:tc>
      </w:tr>
      <w:tr w:rsidR="00961262" w:rsidRPr="00961262" w14:paraId="23B8160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208ADC3"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w:t>
            </w:r>
          </w:p>
        </w:tc>
        <w:tc>
          <w:tcPr>
            <w:tcW w:w="6600" w:type="dxa"/>
            <w:tcBorders>
              <w:top w:val="nil"/>
              <w:left w:val="nil"/>
              <w:bottom w:val="single" w:sz="8" w:space="0" w:color="auto"/>
              <w:right w:val="single" w:sz="8" w:space="0" w:color="auto"/>
            </w:tcBorders>
            <w:noWrap/>
            <w:hideMark/>
          </w:tcPr>
          <w:p w14:paraId="11FECDB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"Autotransporta direkcija"</w:t>
            </w:r>
          </w:p>
        </w:tc>
        <w:tc>
          <w:tcPr>
            <w:tcW w:w="2121" w:type="dxa"/>
            <w:tcBorders>
              <w:top w:val="nil"/>
              <w:left w:val="nil"/>
              <w:bottom w:val="single" w:sz="8" w:space="0" w:color="auto"/>
              <w:right w:val="single" w:sz="8" w:space="0" w:color="auto"/>
            </w:tcBorders>
            <w:noWrap/>
            <w:hideMark/>
          </w:tcPr>
          <w:p w14:paraId="7726779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4 448 666</w:t>
            </w:r>
          </w:p>
        </w:tc>
        <w:tc>
          <w:tcPr>
            <w:tcW w:w="2121" w:type="dxa"/>
            <w:tcBorders>
              <w:top w:val="nil"/>
              <w:left w:val="nil"/>
              <w:bottom w:val="single" w:sz="8" w:space="0" w:color="auto"/>
              <w:right w:val="single" w:sz="8" w:space="0" w:color="auto"/>
            </w:tcBorders>
            <w:noWrap/>
            <w:hideMark/>
          </w:tcPr>
          <w:p w14:paraId="19C79A3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4 480 666</w:t>
            </w:r>
          </w:p>
        </w:tc>
        <w:tc>
          <w:tcPr>
            <w:tcW w:w="2177" w:type="dxa"/>
            <w:tcBorders>
              <w:top w:val="nil"/>
              <w:left w:val="nil"/>
              <w:bottom w:val="single" w:sz="8" w:space="0" w:color="auto"/>
              <w:right w:val="single" w:sz="8" w:space="0" w:color="auto"/>
            </w:tcBorders>
            <w:noWrap/>
            <w:hideMark/>
          </w:tcPr>
          <w:p w14:paraId="197474F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-32 000</w:t>
            </w:r>
          </w:p>
        </w:tc>
      </w:tr>
      <w:tr w:rsidR="00961262" w:rsidRPr="00961262" w14:paraId="140CB9AC"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831CC6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w:t>
            </w:r>
          </w:p>
        </w:tc>
        <w:tc>
          <w:tcPr>
            <w:tcW w:w="6600" w:type="dxa"/>
            <w:tcBorders>
              <w:top w:val="nil"/>
              <w:left w:val="nil"/>
              <w:bottom w:val="single" w:sz="8" w:space="0" w:color="auto"/>
              <w:right w:val="single" w:sz="8" w:space="0" w:color="auto"/>
            </w:tcBorders>
            <w:noWrap/>
            <w:hideMark/>
          </w:tcPr>
          <w:p w14:paraId="597B7EA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xml:space="preserve">VSIA </w:t>
            </w:r>
            <w:r w:rsidRPr="00961262">
              <w:rPr>
                <w:rFonts w:eastAsia="Calibri" w:cs="Times New Roman"/>
                <w:sz w:val="18"/>
                <w:szCs w:val="18"/>
                <w:lang w:eastAsia="en-US"/>
              </w:rPr>
              <w:t>"</w:t>
            </w:r>
            <w:r w:rsidRPr="00961262">
              <w:rPr>
                <w:rFonts w:eastAsia="Times New Roman" w:cs="Times New Roman"/>
                <w:color w:val="000000"/>
                <w:sz w:val="18"/>
                <w:szCs w:val="18"/>
              </w:rPr>
              <w:t>Bērnu klīniskā universitātes slimnīca</w:t>
            </w:r>
            <w:r w:rsidRPr="00961262">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noWrap/>
            <w:hideMark/>
          </w:tcPr>
          <w:p w14:paraId="71B6DAC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83 398 333</w:t>
            </w:r>
          </w:p>
        </w:tc>
        <w:tc>
          <w:tcPr>
            <w:tcW w:w="2121" w:type="dxa"/>
            <w:tcBorders>
              <w:top w:val="nil"/>
              <w:left w:val="nil"/>
              <w:bottom w:val="single" w:sz="8" w:space="0" w:color="auto"/>
              <w:right w:val="single" w:sz="8" w:space="0" w:color="auto"/>
            </w:tcBorders>
            <w:noWrap/>
            <w:hideMark/>
          </w:tcPr>
          <w:p w14:paraId="0EF500A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83 468 625</w:t>
            </w:r>
          </w:p>
        </w:tc>
        <w:tc>
          <w:tcPr>
            <w:tcW w:w="2177" w:type="dxa"/>
            <w:tcBorders>
              <w:top w:val="nil"/>
              <w:left w:val="nil"/>
              <w:bottom w:val="single" w:sz="8" w:space="0" w:color="auto"/>
              <w:right w:val="single" w:sz="8" w:space="0" w:color="auto"/>
            </w:tcBorders>
            <w:noWrap/>
            <w:hideMark/>
          </w:tcPr>
          <w:p w14:paraId="6825FAA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-70 292</w:t>
            </w:r>
          </w:p>
        </w:tc>
      </w:tr>
      <w:tr w:rsidR="00961262" w:rsidRPr="00961262" w14:paraId="678C55FD"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73BC46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w:t>
            </w:r>
          </w:p>
        </w:tc>
        <w:tc>
          <w:tcPr>
            <w:tcW w:w="6600" w:type="dxa"/>
            <w:tcBorders>
              <w:top w:val="nil"/>
              <w:left w:val="nil"/>
              <w:bottom w:val="single" w:sz="8" w:space="0" w:color="auto"/>
              <w:right w:val="single" w:sz="8" w:space="0" w:color="auto"/>
            </w:tcBorders>
            <w:noWrap/>
            <w:hideMark/>
          </w:tcPr>
          <w:p w14:paraId="5AEA000D"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xml:space="preserve">SIA </w:t>
            </w:r>
            <w:r w:rsidRPr="00961262">
              <w:rPr>
                <w:rFonts w:eastAsia="Calibri" w:cs="Times New Roman"/>
                <w:sz w:val="18"/>
                <w:szCs w:val="18"/>
                <w:lang w:eastAsia="en-US"/>
              </w:rPr>
              <w:t>"</w:t>
            </w:r>
            <w:r w:rsidRPr="00961262">
              <w:rPr>
                <w:rFonts w:eastAsia="Times New Roman" w:cs="Times New Roman"/>
                <w:color w:val="000000"/>
                <w:sz w:val="18"/>
                <w:szCs w:val="18"/>
              </w:rPr>
              <w:t>Veselības centrs "Biķernieki"</w:t>
            </w:r>
            <w:r w:rsidRPr="00961262">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noWrap/>
            <w:hideMark/>
          </w:tcPr>
          <w:p w14:paraId="5E10D6C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3 795 000</w:t>
            </w:r>
          </w:p>
        </w:tc>
        <w:tc>
          <w:tcPr>
            <w:tcW w:w="2121" w:type="dxa"/>
            <w:tcBorders>
              <w:top w:val="nil"/>
              <w:left w:val="nil"/>
              <w:bottom w:val="single" w:sz="8" w:space="0" w:color="auto"/>
              <w:right w:val="single" w:sz="8" w:space="0" w:color="auto"/>
            </w:tcBorders>
            <w:noWrap/>
            <w:hideMark/>
          </w:tcPr>
          <w:p w14:paraId="470B706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3 792 509</w:t>
            </w:r>
          </w:p>
        </w:tc>
        <w:tc>
          <w:tcPr>
            <w:tcW w:w="2177" w:type="dxa"/>
            <w:tcBorders>
              <w:top w:val="nil"/>
              <w:left w:val="nil"/>
              <w:bottom w:val="single" w:sz="8" w:space="0" w:color="auto"/>
              <w:right w:val="single" w:sz="8" w:space="0" w:color="auto"/>
            </w:tcBorders>
            <w:noWrap/>
            <w:hideMark/>
          </w:tcPr>
          <w:p w14:paraId="1CE3BB1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2 491</w:t>
            </w:r>
          </w:p>
        </w:tc>
      </w:tr>
      <w:tr w:rsidR="00961262" w:rsidRPr="00961262" w14:paraId="68BC57B8"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DCBAA7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w:t>
            </w:r>
          </w:p>
        </w:tc>
        <w:tc>
          <w:tcPr>
            <w:tcW w:w="6600" w:type="dxa"/>
            <w:tcBorders>
              <w:top w:val="nil"/>
              <w:left w:val="nil"/>
              <w:bottom w:val="single" w:sz="8" w:space="0" w:color="auto"/>
              <w:right w:val="single" w:sz="8" w:space="0" w:color="auto"/>
            </w:tcBorders>
            <w:noWrap/>
            <w:hideMark/>
          </w:tcPr>
          <w:p w14:paraId="5956A19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 xml:space="preserve">VSIA </w:t>
            </w:r>
            <w:r w:rsidRPr="00961262">
              <w:rPr>
                <w:rFonts w:eastAsia="Times New Roman" w:cs="Times New Roman"/>
                <w:color w:val="000000"/>
                <w:sz w:val="18"/>
                <w:szCs w:val="18"/>
              </w:rPr>
              <w:t>"</w:t>
            </w:r>
            <w:r w:rsidRPr="00961262">
              <w:rPr>
                <w:rFonts w:eastAsia="Calibri" w:cs="Times New Roman"/>
                <w:sz w:val="18"/>
                <w:szCs w:val="18"/>
                <w:lang w:eastAsia="en-US"/>
              </w:rPr>
              <w:t>Bulduru Dārzkopības vidusskola</w:t>
            </w:r>
            <w:r w:rsidRPr="00961262">
              <w:rPr>
                <w:rFonts w:eastAsia="Times New Roman" w:cs="Times New Roman"/>
                <w:color w:val="000000"/>
                <w:sz w:val="18"/>
                <w:szCs w:val="18"/>
              </w:rPr>
              <w:t>"</w:t>
            </w:r>
          </w:p>
        </w:tc>
        <w:tc>
          <w:tcPr>
            <w:tcW w:w="2121" w:type="dxa"/>
            <w:tcBorders>
              <w:top w:val="nil"/>
              <w:left w:val="nil"/>
              <w:bottom w:val="single" w:sz="8" w:space="0" w:color="auto"/>
              <w:right w:val="single" w:sz="8" w:space="0" w:color="auto"/>
            </w:tcBorders>
            <w:noWrap/>
            <w:hideMark/>
          </w:tcPr>
          <w:p w14:paraId="6B82175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850 000</w:t>
            </w:r>
          </w:p>
        </w:tc>
        <w:tc>
          <w:tcPr>
            <w:tcW w:w="2121" w:type="dxa"/>
            <w:tcBorders>
              <w:top w:val="nil"/>
              <w:left w:val="nil"/>
              <w:bottom w:val="single" w:sz="8" w:space="0" w:color="auto"/>
              <w:right w:val="single" w:sz="8" w:space="0" w:color="auto"/>
            </w:tcBorders>
            <w:noWrap/>
            <w:hideMark/>
          </w:tcPr>
          <w:p w14:paraId="78C542C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958 970</w:t>
            </w:r>
          </w:p>
        </w:tc>
        <w:tc>
          <w:tcPr>
            <w:tcW w:w="2177" w:type="dxa"/>
            <w:tcBorders>
              <w:top w:val="nil"/>
              <w:left w:val="nil"/>
              <w:bottom w:val="single" w:sz="8" w:space="0" w:color="auto"/>
              <w:right w:val="single" w:sz="8" w:space="0" w:color="auto"/>
            </w:tcBorders>
            <w:noWrap/>
            <w:hideMark/>
          </w:tcPr>
          <w:p w14:paraId="429EFF7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-108 970</w:t>
            </w:r>
          </w:p>
        </w:tc>
      </w:tr>
      <w:tr w:rsidR="00961262" w:rsidRPr="00961262" w14:paraId="7B33C75D"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C7E0A9C"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w:t>
            </w:r>
          </w:p>
        </w:tc>
        <w:tc>
          <w:tcPr>
            <w:tcW w:w="6600" w:type="dxa"/>
            <w:tcBorders>
              <w:top w:val="nil"/>
              <w:left w:val="nil"/>
              <w:bottom w:val="single" w:sz="8" w:space="0" w:color="auto"/>
              <w:right w:val="single" w:sz="8" w:space="0" w:color="auto"/>
            </w:tcBorders>
            <w:noWrap/>
            <w:hideMark/>
          </w:tcPr>
          <w:p w14:paraId="2A69B13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VAS "Ceļu satiksmes drošības direkcija"</w:t>
            </w:r>
          </w:p>
        </w:tc>
        <w:tc>
          <w:tcPr>
            <w:tcW w:w="2121" w:type="dxa"/>
            <w:tcBorders>
              <w:top w:val="nil"/>
              <w:left w:val="nil"/>
              <w:bottom w:val="single" w:sz="8" w:space="0" w:color="auto"/>
              <w:right w:val="single" w:sz="8" w:space="0" w:color="auto"/>
            </w:tcBorders>
            <w:noWrap/>
            <w:hideMark/>
          </w:tcPr>
          <w:p w14:paraId="33BFEA0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66 042 297</w:t>
            </w:r>
          </w:p>
        </w:tc>
        <w:tc>
          <w:tcPr>
            <w:tcW w:w="2121" w:type="dxa"/>
            <w:tcBorders>
              <w:top w:val="nil"/>
              <w:left w:val="nil"/>
              <w:bottom w:val="single" w:sz="8" w:space="0" w:color="auto"/>
              <w:right w:val="single" w:sz="8" w:space="0" w:color="auto"/>
            </w:tcBorders>
            <w:noWrap/>
            <w:hideMark/>
          </w:tcPr>
          <w:p w14:paraId="648151E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64 571 343</w:t>
            </w:r>
          </w:p>
        </w:tc>
        <w:tc>
          <w:tcPr>
            <w:tcW w:w="2177" w:type="dxa"/>
            <w:tcBorders>
              <w:top w:val="nil"/>
              <w:left w:val="nil"/>
              <w:bottom w:val="single" w:sz="8" w:space="0" w:color="auto"/>
              <w:right w:val="single" w:sz="8" w:space="0" w:color="auto"/>
            </w:tcBorders>
            <w:noWrap/>
            <w:hideMark/>
          </w:tcPr>
          <w:p w14:paraId="5030CCF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1 470 954</w:t>
            </w:r>
          </w:p>
        </w:tc>
      </w:tr>
      <w:tr w:rsidR="00961262" w:rsidRPr="00961262" w14:paraId="4F382004"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C743E5D"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8</w:t>
            </w:r>
          </w:p>
        </w:tc>
        <w:tc>
          <w:tcPr>
            <w:tcW w:w="6600" w:type="dxa"/>
            <w:tcBorders>
              <w:top w:val="nil"/>
              <w:left w:val="nil"/>
              <w:bottom w:val="single" w:sz="8" w:space="0" w:color="auto"/>
              <w:right w:val="single" w:sz="8" w:space="0" w:color="auto"/>
            </w:tcBorders>
            <w:noWrap/>
            <w:hideMark/>
          </w:tcPr>
          <w:p w14:paraId="628927C3"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"Daugavpils psihoneiroloģiskā slimnīca"</w:t>
            </w:r>
          </w:p>
        </w:tc>
        <w:tc>
          <w:tcPr>
            <w:tcW w:w="2121" w:type="dxa"/>
            <w:tcBorders>
              <w:top w:val="nil"/>
              <w:left w:val="nil"/>
              <w:bottom w:val="single" w:sz="8" w:space="0" w:color="auto"/>
              <w:right w:val="single" w:sz="8" w:space="0" w:color="auto"/>
            </w:tcBorders>
            <w:noWrap/>
            <w:hideMark/>
          </w:tcPr>
          <w:p w14:paraId="42C7439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23 853 244</w:t>
            </w:r>
          </w:p>
        </w:tc>
        <w:tc>
          <w:tcPr>
            <w:tcW w:w="2121" w:type="dxa"/>
            <w:tcBorders>
              <w:top w:val="nil"/>
              <w:left w:val="nil"/>
              <w:bottom w:val="single" w:sz="8" w:space="0" w:color="auto"/>
              <w:right w:val="single" w:sz="8" w:space="0" w:color="auto"/>
            </w:tcBorders>
            <w:noWrap/>
            <w:hideMark/>
          </w:tcPr>
          <w:p w14:paraId="717923A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24 204 029</w:t>
            </w:r>
          </w:p>
        </w:tc>
        <w:tc>
          <w:tcPr>
            <w:tcW w:w="2177" w:type="dxa"/>
            <w:tcBorders>
              <w:top w:val="nil"/>
              <w:left w:val="nil"/>
              <w:bottom w:val="single" w:sz="8" w:space="0" w:color="auto"/>
              <w:right w:val="single" w:sz="8" w:space="0" w:color="auto"/>
            </w:tcBorders>
            <w:noWrap/>
            <w:hideMark/>
          </w:tcPr>
          <w:p w14:paraId="4F5A1DD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-350 785</w:t>
            </w:r>
          </w:p>
        </w:tc>
      </w:tr>
      <w:tr w:rsidR="00961262" w:rsidRPr="00961262" w14:paraId="4DD4DC32"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73121E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9</w:t>
            </w:r>
          </w:p>
        </w:tc>
        <w:tc>
          <w:tcPr>
            <w:tcW w:w="6600" w:type="dxa"/>
            <w:tcBorders>
              <w:top w:val="nil"/>
              <w:left w:val="nil"/>
              <w:bottom w:val="single" w:sz="8" w:space="0" w:color="auto"/>
              <w:right w:val="single" w:sz="8" w:space="0" w:color="auto"/>
            </w:tcBorders>
            <w:noWrap/>
            <w:hideMark/>
          </w:tcPr>
          <w:p w14:paraId="72EE7CB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xml:space="preserve">SIA </w:t>
            </w:r>
            <w:r w:rsidRPr="00961262">
              <w:rPr>
                <w:rFonts w:eastAsia="Calibri" w:cs="Times New Roman"/>
                <w:sz w:val="18"/>
                <w:szCs w:val="18"/>
                <w:lang w:eastAsia="en-US"/>
              </w:rPr>
              <w:t>"Daugavpils Reģionālā slimnīca"</w:t>
            </w:r>
          </w:p>
        </w:tc>
        <w:tc>
          <w:tcPr>
            <w:tcW w:w="2121" w:type="dxa"/>
            <w:tcBorders>
              <w:top w:val="nil"/>
              <w:left w:val="nil"/>
              <w:bottom w:val="single" w:sz="8" w:space="0" w:color="auto"/>
              <w:right w:val="single" w:sz="8" w:space="0" w:color="auto"/>
            </w:tcBorders>
            <w:noWrap/>
            <w:hideMark/>
          </w:tcPr>
          <w:p w14:paraId="4232BA7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59 512 799</w:t>
            </w:r>
          </w:p>
        </w:tc>
        <w:tc>
          <w:tcPr>
            <w:tcW w:w="2121" w:type="dxa"/>
            <w:tcBorders>
              <w:top w:val="nil"/>
              <w:left w:val="nil"/>
              <w:bottom w:val="single" w:sz="8" w:space="0" w:color="auto"/>
              <w:right w:val="single" w:sz="8" w:space="0" w:color="auto"/>
            </w:tcBorders>
            <w:noWrap/>
            <w:hideMark/>
          </w:tcPr>
          <w:p w14:paraId="2F274B9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59 008 431</w:t>
            </w:r>
          </w:p>
        </w:tc>
        <w:tc>
          <w:tcPr>
            <w:tcW w:w="2177" w:type="dxa"/>
            <w:tcBorders>
              <w:top w:val="nil"/>
              <w:left w:val="nil"/>
              <w:bottom w:val="single" w:sz="8" w:space="0" w:color="auto"/>
              <w:right w:val="single" w:sz="8" w:space="0" w:color="auto"/>
            </w:tcBorders>
            <w:noWrap/>
            <w:hideMark/>
          </w:tcPr>
          <w:p w14:paraId="118C48E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504 368</w:t>
            </w:r>
          </w:p>
        </w:tc>
      </w:tr>
      <w:tr w:rsidR="00961262" w:rsidRPr="00961262" w14:paraId="19047F4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A1038B0"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10</w:t>
            </w:r>
          </w:p>
        </w:tc>
        <w:tc>
          <w:tcPr>
            <w:tcW w:w="6600" w:type="dxa"/>
            <w:tcBorders>
              <w:top w:val="nil"/>
              <w:left w:val="nil"/>
              <w:bottom w:val="single" w:sz="8" w:space="0" w:color="auto"/>
              <w:right w:val="single" w:sz="8" w:space="0" w:color="auto"/>
            </w:tcBorders>
            <w:noWrap/>
            <w:hideMark/>
          </w:tcPr>
          <w:p w14:paraId="5B5B9F9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"Daugavpils teātris"</w:t>
            </w:r>
          </w:p>
        </w:tc>
        <w:tc>
          <w:tcPr>
            <w:tcW w:w="2121" w:type="dxa"/>
            <w:tcBorders>
              <w:top w:val="nil"/>
              <w:left w:val="nil"/>
              <w:bottom w:val="single" w:sz="8" w:space="0" w:color="auto"/>
              <w:right w:val="single" w:sz="8" w:space="0" w:color="auto"/>
            </w:tcBorders>
            <w:noWrap/>
            <w:hideMark/>
          </w:tcPr>
          <w:p w14:paraId="6505393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2 800 062</w:t>
            </w:r>
          </w:p>
        </w:tc>
        <w:tc>
          <w:tcPr>
            <w:tcW w:w="2121" w:type="dxa"/>
            <w:tcBorders>
              <w:top w:val="nil"/>
              <w:left w:val="nil"/>
              <w:bottom w:val="single" w:sz="8" w:space="0" w:color="auto"/>
              <w:right w:val="single" w:sz="8" w:space="0" w:color="auto"/>
            </w:tcBorders>
            <w:noWrap/>
            <w:hideMark/>
          </w:tcPr>
          <w:p w14:paraId="1471E8E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2 798 062</w:t>
            </w:r>
          </w:p>
        </w:tc>
        <w:tc>
          <w:tcPr>
            <w:tcW w:w="2177" w:type="dxa"/>
            <w:tcBorders>
              <w:top w:val="nil"/>
              <w:left w:val="nil"/>
              <w:bottom w:val="single" w:sz="8" w:space="0" w:color="auto"/>
              <w:right w:val="single" w:sz="8" w:space="0" w:color="auto"/>
            </w:tcBorders>
            <w:noWrap/>
            <w:hideMark/>
          </w:tcPr>
          <w:p w14:paraId="70FF9BA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2 000</w:t>
            </w:r>
          </w:p>
        </w:tc>
      </w:tr>
      <w:tr w:rsidR="00961262" w:rsidRPr="00961262" w14:paraId="607DC01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C92FC63"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11</w:t>
            </w:r>
          </w:p>
        </w:tc>
        <w:tc>
          <w:tcPr>
            <w:tcW w:w="6600" w:type="dxa"/>
            <w:tcBorders>
              <w:top w:val="nil"/>
              <w:left w:val="nil"/>
              <w:bottom w:val="single" w:sz="8" w:space="0" w:color="auto"/>
              <w:right w:val="single" w:sz="8" w:space="0" w:color="auto"/>
            </w:tcBorders>
            <w:noWrap/>
            <w:hideMark/>
          </w:tcPr>
          <w:p w14:paraId="0DE9540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"Eiropas Dzelzceļa līnijas"</w:t>
            </w:r>
          </w:p>
        </w:tc>
        <w:tc>
          <w:tcPr>
            <w:tcW w:w="2121" w:type="dxa"/>
            <w:tcBorders>
              <w:top w:val="nil"/>
              <w:left w:val="nil"/>
              <w:bottom w:val="single" w:sz="8" w:space="0" w:color="auto"/>
              <w:right w:val="single" w:sz="8" w:space="0" w:color="auto"/>
            </w:tcBorders>
            <w:noWrap/>
            <w:hideMark/>
          </w:tcPr>
          <w:p w14:paraId="4B4895B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4 927 374</w:t>
            </w:r>
          </w:p>
        </w:tc>
        <w:tc>
          <w:tcPr>
            <w:tcW w:w="2121" w:type="dxa"/>
            <w:tcBorders>
              <w:top w:val="nil"/>
              <w:left w:val="nil"/>
              <w:bottom w:val="single" w:sz="8" w:space="0" w:color="auto"/>
              <w:right w:val="single" w:sz="8" w:space="0" w:color="auto"/>
            </w:tcBorders>
            <w:noWrap/>
            <w:hideMark/>
          </w:tcPr>
          <w:p w14:paraId="3AA5324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4 927 374</w:t>
            </w:r>
          </w:p>
        </w:tc>
        <w:tc>
          <w:tcPr>
            <w:tcW w:w="2177" w:type="dxa"/>
            <w:tcBorders>
              <w:top w:val="nil"/>
              <w:left w:val="nil"/>
              <w:bottom w:val="single" w:sz="8" w:space="0" w:color="auto"/>
              <w:right w:val="single" w:sz="8" w:space="0" w:color="auto"/>
            </w:tcBorders>
            <w:noWrap/>
            <w:hideMark/>
          </w:tcPr>
          <w:p w14:paraId="6E87881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3FF72F3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33E05A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12</w:t>
            </w:r>
          </w:p>
        </w:tc>
        <w:tc>
          <w:tcPr>
            <w:tcW w:w="6600" w:type="dxa"/>
            <w:tcBorders>
              <w:top w:val="nil"/>
              <w:left w:val="nil"/>
              <w:bottom w:val="single" w:sz="8" w:space="0" w:color="auto"/>
              <w:right w:val="single" w:sz="8" w:space="0" w:color="auto"/>
            </w:tcBorders>
            <w:noWrap/>
            <w:hideMark/>
          </w:tcPr>
          <w:p w14:paraId="0D6B70F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"Enerģijas publiskais tirgotājs"</w:t>
            </w:r>
          </w:p>
        </w:tc>
        <w:tc>
          <w:tcPr>
            <w:tcW w:w="2121" w:type="dxa"/>
            <w:tcBorders>
              <w:top w:val="nil"/>
              <w:left w:val="nil"/>
              <w:bottom w:val="single" w:sz="8" w:space="0" w:color="auto"/>
              <w:right w:val="single" w:sz="8" w:space="0" w:color="auto"/>
            </w:tcBorders>
            <w:noWrap/>
            <w:hideMark/>
          </w:tcPr>
          <w:p w14:paraId="6DDAA93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39 098 501</w:t>
            </w:r>
          </w:p>
        </w:tc>
        <w:tc>
          <w:tcPr>
            <w:tcW w:w="2121" w:type="dxa"/>
            <w:tcBorders>
              <w:top w:val="nil"/>
              <w:left w:val="nil"/>
              <w:bottom w:val="single" w:sz="8" w:space="0" w:color="auto"/>
              <w:right w:val="single" w:sz="8" w:space="0" w:color="auto"/>
            </w:tcBorders>
            <w:noWrap/>
            <w:hideMark/>
          </w:tcPr>
          <w:p w14:paraId="789BC21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71 609 610</w:t>
            </w:r>
          </w:p>
        </w:tc>
        <w:tc>
          <w:tcPr>
            <w:tcW w:w="2177" w:type="dxa"/>
            <w:tcBorders>
              <w:top w:val="nil"/>
              <w:left w:val="nil"/>
              <w:bottom w:val="single" w:sz="8" w:space="0" w:color="auto"/>
              <w:right w:val="single" w:sz="8" w:space="0" w:color="auto"/>
            </w:tcBorders>
            <w:noWrap/>
            <w:hideMark/>
          </w:tcPr>
          <w:p w14:paraId="0A71849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-32 511 109</w:t>
            </w:r>
          </w:p>
        </w:tc>
      </w:tr>
      <w:tr w:rsidR="00961262" w:rsidRPr="00961262" w14:paraId="0DDFE50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8DA9BC9"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13</w:t>
            </w:r>
          </w:p>
        </w:tc>
        <w:tc>
          <w:tcPr>
            <w:tcW w:w="6600" w:type="dxa"/>
            <w:tcBorders>
              <w:top w:val="nil"/>
              <w:left w:val="nil"/>
              <w:bottom w:val="single" w:sz="8" w:space="0" w:color="auto"/>
              <w:right w:val="single" w:sz="8" w:space="0" w:color="auto"/>
            </w:tcBorders>
            <w:hideMark/>
          </w:tcPr>
          <w:p w14:paraId="459722D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"FeLM"</w:t>
            </w:r>
          </w:p>
        </w:tc>
        <w:tc>
          <w:tcPr>
            <w:tcW w:w="2121" w:type="dxa"/>
            <w:tcBorders>
              <w:top w:val="nil"/>
              <w:left w:val="nil"/>
              <w:bottom w:val="single" w:sz="8" w:space="0" w:color="auto"/>
              <w:right w:val="single" w:sz="8" w:space="0" w:color="auto"/>
            </w:tcBorders>
            <w:noWrap/>
            <w:hideMark/>
          </w:tcPr>
          <w:p w14:paraId="5220947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noWrap/>
            <w:hideMark/>
          </w:tcPr>
          <w:p w14:paraId="46ED0E9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noWrap/>
            <w:hideMark/>
          </w:tcPr>
          <w:p w14:paraId="0F56BEB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4A6FD709"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161EFE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14</w:t>
            </w:r>
          </w:p>
        </w:tc>
        <w:tc>
          <w:tcPr>
            <w:tcW w:w="6600" w:type="dxa"/>
            <w:tcBorders>
              <w:top w:val="nil"/>
              <w:left w:val="nil"/>
              <w:bottom w:val="single" w:sz="8" w:space="0" w:color="auto"/>
              <w:right w:val="single" w:sz="8" w:space="0" w:color="auto"/>
            </w:tcBorders>
            <w:hideMark/>
          </w:tcPr>
          <w:p w14:paraId="053D006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"Slimnīca "Ģintermuiža""</w:t>
            </w:r>
          </w:p>
        </w:tc>
        <w:tc>
          <w:tcPr>
            <w:tcW w:w="2121" w:type="dxa"/>
            <w:tcBorders>
              <w:top w:val="nil"/>
              <w:left w:val="nil"/>
              <w:bottom w:val="single" w:sz="8" w:space="0" w:color="auto"/>
              <w:right w:val="single" w:sz="8" w:space="0" w:color="auto"/>
            </w:tcBorders>
            <w:noWrap/>
            <w:hideMark/>
          </w:tcPr>
          <w:p w14:paraId="1046467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13 977 375</w:t>
            </w:r>
          </w:p>
        </w:tc>
        <w:tc>
          <w:tcPr>
            <w:tcW w:w="2121" w:type="dxa"/>
            <w:tcBorders>
              <w:top w:val="nil"/>
              <w:left w:val="nil"/>
              <w:bottom w:val="single" w:sz="8" w:space="0" w:color="auto"/>
              <w:right w:val="single" w:sz="8" w:space="0" w:color="auto"/>
            </w:tcBorders>
            <w:noWrap/>
            <w:hideMark/>
          </w:tcPr>
          <w:p w14:paraId="730925A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13 966 826</w:t>
            </w:r>
          </w:p>
        </w:tc>
        <w:tc>
          <w:tcPr>
            <w:tcW w:w="2177" w:type="dxa"/>
            <w:tcBorders>
              <w:top w:val="nil"/>
              <w:left w:val="nil"/>
              <w:bottom w:val="single" w:sz="8" w:space="0" w:color="auto"/>
              <w:right w:val="single" w:sz="8" w:space="0" w:color="auto"/>
            </w:tcBorders>
            <w:noWrap/>
            <w:hideMark/>
          </w:tcPr>
          <w:p w14:paraId="40F6783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10 549</w:t>
            </w:r>
          </w:p>
        </w:tc>
      </w:tr>
      <w:tr w:rsidR="00961262" w:rsidRPr="00961262" w14:paraId="5AF4345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F995F6B"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15</w:t>
            </w:r>
          </w:p>
        </w:tc>
        <w:tc>
          <w:tcPr>
            <w:tcW w:w="6600" w:type="dxa"/>
            <w:tcBorders>
              <w:top w:val="nil"/>
              <w:left w:val="nil"/>
              <w:bottom w:val="single" w:sz="8" w:space="0" w:color="auto"/>
              <w:right w:val="single" w:sz="8" w:space="0" w:color="auto"/>
            </w:tcBorders>
            <w:noWrap/>
            <w:hideMark/>
          </w:tcPr>
          <w:p w14:paraId="79EE5BF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"Iekšlietu ministrijas poliklīnika"</w:t>
            </w:r>
          </w:p>
        </w:tc>
        <w:tc>
          <w:tcPr>
            <w:tcW w:w="2121" w:type="dxa"/>
            <w:tcBorders>
              <w:top w:val="nil"/>
              <w:left w:val="nil"/>
              <w:bottom w:val="single" w:sz="8" w:space="0" w:color="auto"/>
              <w:right w:val="single" w:sz="8" w:space="0" w:color="auto"/>
            </w:tcBorders>
            <w:noWrap/>
            <w:hideMark/>
          </w:tcPr>
          <w:p w14:paraId="484B199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3 344 100</w:t>
            </w:r>
          </w:p>
        </w:tc>
        <w:tc>
          <w:tcPr>
            <w:tcW w:w="2121" w:type="dxa"/>
            <w:tcBorders>
              <w:top w:val="nil"/>
              <w:left w:val="nil"/>
              <w:bottom w:val="single" w:sz="8" w:space="0" w:color="auto"/>
              <w:right w:val="single" w:sz="8" w:space="0" w:color="auto"/>
            </w:tcBorders>
            <w:noWrap/>
            <w:hideMark/>
          </w:tcPr>
          <w:p w14:paraId="042200F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3 321 958</w:t>
            </w:r>
          </w:p>
        </w:tc>
        <w:tc>
          <w:tcPr>
            <w:tcW w:w="2177" w:type="dxa"/>
            <w:tcBorders>
              <w:top w:val="nil"/>
              <w:left w:val="nil"/>
              <w:bottom w:val="single" w:sz="8" w:space="0" w:color="auto"/>
              <w:right w:val="single" w:sz="8" w:space="0" w:color="auto"/>
            </w:tcBorders>
            <w:noWrap/>
            <w:hideMark/>
          </w:tcPr>
          <w:p w14:paraId="278CADC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22 142</w:t>
            </w:r>
          </w:p>
        </w:tc>
      </w:tr>
      <w:tr w:rsidR="00961262" w:rsidRPr="00961262" w14:paraId="3FF391B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587CCA8"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lastRenderedPageBreak/>
              <w:t>16</w:t>
            </w:r>
          </w:p>
        </w:tc>
        <w:tc>
          <w:tcPr>
            <w:tcW w:w="6600" w:type="dxa"/>
            <w:tcBorders>
              <w:top w:val="nil"/>
              <w:left w:val="nil"/>
              <w:bottom w:val="single" w:sz="8" w:space="0" w:color="auto"/>
              <w:right w:val="single" w:sz="8" w:space="0" w:color="auto"/>
            </w:tcBorders>
            <w:noWrap/>
            <w:hideMark/>
          </w:tcPr>
          <w:p w14:paraId="25C342F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AS "LatRailNet"</w:t>
            </w:r>
          </w:p>
        </w:tc>
        <w:tc>
          <w:tcPr>
            <w:tcW w:w="2121" w:type="dxa"/>
            <w:tcBorders>
              <w:top w:val="nil"/>
              <w:left w:val="nil"/>
              <w:bottom w:val="single" w:sz="8" w:space="0" w:color="auto"/>
              <w:right w:val="single" w:sz="8" w:space="0" w:color="auto"/>
            </w:tcBorders>
            <w:noWrap/>
            <w:hideMark/>
          </w:tcPr>
          <w:p w14:paraId="4EEBDF5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1 682 037</w:t>
            </w:r>
          </w:p>
        </w:tc>
        <w:tc>
          <w:tcPr>
            <w:tcW w:w="2121" w:type="dxa"/>
            <w:tcBorders>
              <w:top w:val="nil"/>
              <w:left w:val="nil"/>
              <w:bottom w:val="single" w:sz="8" w:space="0" w:color="auto"/>
              <w:right w:val="single" w:sz="8" w:space="0" w:color="auto"/>
            </w:tcBorders>
            <w:noWrap/>
            <w:hideMark/>
          </w:tcPr>
          <w:p w14:paraId="49E39A2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1 682 037</w:t>
            </w:r>
          </w:p>
        </w:tc>
        <w:tc>
          <w:tcPr>
            <w:tcW w:w="2177" w:type="dxa"/>
            <w:tcBorders>
              <w:top w:val="nil"/>
              <w:left w:val="nil"/>
              <w:bottom w:val="single" w:sz="8" w:space="0" w:color="auto"/>
              <w:right w:val="single" w:sz="8" w:space="0" w:color="auto"/>
            </w:tcBorders>
            <w:noWrap/>
            <w:hideMark/>
          </w:tcPr>
          <w:p w14:paraId="3B9E38B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400B3059"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E28DD68"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17</w:t>
            </w:r>
          </w:p>
        </w:tc>
        <w:tc>
          <w:tcPr>
            <w:tcW w:w="6600" w:type="dxa"/>
            <w:tcBorders>
              <w:top w:val="nil"/>
              <w:left w:val="nil"/>
              <w:bottom w:val="single" w:sz="8" w:space="0" w:color="auto"/>
              <w:right w:val="single" w:sz="8" w:space="0" w:color="auto"/>
            </w:tcBorders>
            <w:noWrap/>
            <w:hideMark/>
          </w:tcPr>
          <w:p w14:paraId="00C2E22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"Valsts Akadēmiskais koris "Latvija""</w:t>
            </w:r>
          </w:p>
        </w:tc>
        <w:tc>
          <w:tcPr>
            <w:tcW w:w="2121" w:type="dxa"/>
            <w:tcBorders>
              <w:top w:val="nil"/>
              <w:left w:val="nil"/>
              <w:bottom w:val="single" w:sz="8" w:space="0" w:color="auto"/>
              <w:right w:val="single" w:sz="8" w:space="0" w:color="auto"/>
            </w:tcBorders>
            <w:noWrap/>
            <w:hideMark/>
          </w:tcPr>
          <w:p w14:paraId="4F69F5D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146 500</w:t>
            </w:r>
          </w:p>
        </w:tc>
        <w:tc>
          <w:tcPr>
            <w:tcW w:w="2121" w:type="dxa"/>
            <w:tcBorders>
              <w:top w:val="nil"/>
              <w:left w:val="nil"/>
              <w:bottom w:val="single" w:sz="8" w:space="0" w:color="auto"/>
              <w:right w:val="single" w:sz="8" w:space="0" w:color="auto"/>
            </w:tcBorders>
            <w:noWrap/>
            <w:hideMark/>
          </w:tcPr>
          <w:p w14:paraId="2F09EC0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144 500</w:t>
            </w:r>
          </w:p>
        </w:tc>
        <w:tc>
          <w:tcPr>
            <w:tcW w:w="2177" w:type="dxa"/>
            <w:tcBorders>
              <w:top w:val="nil"/>
              <w:left w:val="nil"/>
              <w:bottom w:val="single" w:sz="8" w:space="0" w:color="auto"/>
              <w:right w:val="single" w:sz="8" w:space="0" w:color="auto"/>
            </w:tcBorders>
            <w:noWrap/>
            <w:hideMark/>
          </w:tcPr>
          <w:p w14:paraId="2AB0146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2 000</w:t>
            </w:r>
          </w:p>
        </w:tc>
      </w:tr>
      <w:tr w:rsidR="00961262" w:rsidRPr="00961262" w14:paraId="1E80B45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84A8F0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18</w:t>
            </w:r>
          </w:p>
        </w:tc>
        <w:tc>
          <w:tcPr>
            <w:tcW w:w="6600" w:type="dxa"/>
            <w:tcBorders>
              <w:top w:val="nil"/>
              <w:left w:val="nil"/>
              <w:bottom w:val="single" w:sz="8" w:space="0" w:color="auto"/>
              <w:right w:val="single" w:sz="8" w:space="0" w:color="auto"/>
            </w:tcBorders>
            <w:noWrap/>
            <w:hideMark/>
          </w:tcPr>
          <w:p w14:paraId="2F5D474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VAS "Latvijas Attīstības finanšu institūcija Altum"</w:t>
            </w:r>
          </w:p>
        </w:tc>
        <w:tc>
          <w:tcPr>
            <w:tcW w:w="2121" w:type="dxa"/>
            <w:tcBorders>
              <w:top w:val="nil"/>
              <w:left w:val="nil"/>
              <w:bottom w:val="single" w:sz="8" w:space="0" w:color="auto"/>
              <w:right w:val="single" w:sz="8" w:space="0" w:color="auto"/>
            </w:tcBorders>
            <w:noWrap/>
            <w:hideMark/>
          </w:tcPr>
          <w:p w14:paraId="2884127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27 248 685</w:t>
            </w:r>
          </w:p>
        </w:tc>
        <w:tc>
          <w:tcPr>
            <w:tcW w:w="2121" w:type="dxa"/>
            <w:tcBorders>
              <w:top w:val="nil"/>
              <w:left w:val="nil"/>
              <w:bottom w:val="single" w:sz="8" w:space="0" w:color="auto"/>
              <w:right w:val="single" w:sz="8" w:space="0" w:color="auto"/>
            </w:tcBorders>
            <w:noWrap/>
            <w:hideMark/>
          </w:tcPr>
          <w:p w14:paraId="6DC4FE0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11 993 170</w:t>
            </w:r>
          </w:p>
        </w:tc>
        <w:tc>
          <w:tcPr>
            <w:tcW w:w="2177" w:type="dxa"/>
            <w:tcBorders>
              <w:top w:val="nil"/>
              <w:left w:val="nil"/>
              <w:bottom w:val="single" w:sz="8" w:space="0" w:color="auto"/>
              <w:right w:val="single" w:sz="8" w:space="0" w:color="auto"/>
            </w:tcBorders>
            <w:noWrap/>
            <w:hideMark/>
          </w:tcPr>
          <w:p w14:paraId="39521F1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15 255 515</w:t>
            </w:r>
          </w:p>
        </w:tc>
      </w:tr>
      <w:tr w:rsidR="00961262" w:rsidRPr="00961262" w14:paraId="5CB3005D"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A9248E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19</w:t>
            </w:r>
          </w:p>
        </w:tc>
        <w:tc>
          <w:tcPr>
            <w:tcW w:w="6600" w:type="dxa"/>
            <w:tcBorders>
              <w:top w:val="nil"/>
              <w:left w:val="nil"/>
              <w:bottom w:val="single" w:sz="8" w:space="0" w:color="auto"/>
              <w:right w:val="single" w:sz="8" w:space="0" w:color="auto"/>
            </w:tcBorders>
            <w:noWrap/>
            <w:hideMark/>
          </w:tcPr>
          <w:p w14:paraId="6904096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VAS "Latvijas autoceļu uzturētājs"</w:t>
            </w:r>
          </w:p>
        </w:tc>
        <w:tc>
          <w:tcPr>
            <w:tcW w:w="2121" w:type="dxa"/>
            <w:tcBorders>
              <w:top w:val="nil"/>
              <w:left w:val="nil"/>
              <w:bottom w:val="single" w:sz="8" w:space="0" w:color="auto"/>
              <w:right w:val="single" w:sz="8" w:space="0" w:color="auto"/>
            </w:tcBorders>
            <w:noWrap/>
            <w:hideMark/>
          </w:tcPr>
          <w:p w14:paraId="5AE9B0C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75 285 741</w:t>
            </w:r>
          </w:p>
        </w:tc>
        <w:tc>
          <w:tcPr>
            <w:tcW w:w="2121" w:type="dxa"/>
            <w:tcBorders>
              <w:top w:val="nil"/>
              <w:left w:val="nil"/>
              <w:bottom w:val="single" w:sz="8" w:space="0" w:color="auto"/>
              <w:right w:val="single" w:sz="8" w:space="0" w:color="auto"/>
            </w:tcBorders>
            <w:noWrap/>
            <w:hideMark/>
          </w:tcPr>
          <w:p w14:paraId="5230700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75 205 209</w:t>
            </w:r>
          </w:p>
        </w:tc>
        <w:tc>
          <w:tcPr>
            <w:tcW w:w="2177" w:type="dxa"/>
            <w:tcBorders>
              <w:top w:val="nil"/>
              <w:left w:val="nil"/>
              <w:bottom w:val="single" w:sz="8" w:space="0" w:color="auto"/>
              <w:right w:val="single" w:sz="8" w:space="0" w:color="auto"/>
            </w:tcBorders>
            <w:noWrap/>
            <w:hideMark/>
          </w:tcPr>
          <w:p w14:paraId="2746A84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80 532</w:t>
            </w:r>
          </w:p>
        </w:tc>
      </w:tr>
      <w:tr w:rsidR="00961262" w:rsidRPr="00961262" w14:paraId="51C811F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A21D5B0"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20</w:t>
            </w:r>
          </w:p>
        </w:tc>
        <w:tc>
          <w:tcPr>
            <w:tcW w:w="6600" w:type="dxa"/>
            <w:tcBorders>
              <w:top w:val="nil"/>
              <w:left w:val="nil"/>
              <w:bottom w:val="single" w:sz="8" w:space="0" w:color="auto"/>
              <w:right w:val="single" w:sz="8" w:space="0" w:color="auto"/>
            </w:tcBorders>
            <w:noWrap/>
            <w:hideMark/>
          </w:tcPr>
          <w:p w14:paraId="5F0F9BF9"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"Latvijas Digitālās veselības centrs"</w:t>
            </w:r>
          </w:p>
        </w:tc>
        <w:tc>
          <w:tcPr>
            <w:tcW w:w="2121" w:type="dxa"/>
            <w:tcBorders>
              <w:top w:val="nil"/>
              <w:left w:val="nil"/>
              <w:bottom w:val="single" w:sz="8" w:space="0" w:color="auto"/>
              <w:right w:val="single" w:sz="8" w:space="0" w:color="auto"/>
            </w:tcBorders>
            <w:noWrap/>
            <w:hideMark/>
          </w:tcPr>
          <w:p w14:paraId="74DF93E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7 137 983</w:t>
            </w:r>
          </w:p>
        </w:tc>
        <w:tc>
          <w:tcPr>
            <w:tcW w:w="2121" w:type="dxa"/>
            <w:tcBorders>
              <w:top w:val="nil"/>
              <w:left w:val="nil"/>
              <w:bottom w:val="single" w:sz="8" w:space="0" w:color="auto"/>
              <w:right w:val="single" w:sz="8" w:space="0" w:color="auto"/>
            </w:tcBorders>
            <w:noWrap/>
            <w:hideMark/>
          </w:tcPr>
          <w:p w14:paraId="40399C5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7 137 983</w:t>
            </w:r>
          </w:p>
        </w:tc>
        <w:tc>
          <w:tcPr>
            <w:tcW w:w="2177" w:type="dxa"/>
            <w:tcBorders>
              <w:top w:val="nil"/>
              <w:left w:val="nil"/>
              <w:bottom w:val="single" w:sz="8" w:space="0" w:color="auto"/>
              <w:right w:val="single" w:sz="8" w:space="0" w:color="auto"/>
            </w:tcBorders>
            <w:noWrap/>
            <w:hideMark/>
          </w:tcPr>
          <w:p w14:paraId="7D30BCC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0F61E87B"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364FBA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21</w:t>
            </w:r>
          </w:p>
        </w:tc>
        <w:tc>
          <w:tcPr>
            <w:tcW w:w="6600" w:type="dxa"/>
            <w:tcBorders>
              <w:top w:val="nil"/>
              <w:left w:val="nil"/>
              <w:bottom w:val="single" w:sz="8" w:space="0" w:color="auto"/>
              <w:right w:val="single" w:sz="8" w:space="0" w:color="auto"/>
            </w:tcBorders>
            <w:noWrap/>
            <w:hideMark/>
          </w:tcPr>
          <w:p w14:paraId="5416285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VAS "Latvijas dzelzceļš"</w:t>
            </w:r>
          </w:p>
        </w:tc>
        <w:tc>
          <w:tcPr>
            <w:tcW w:w="2121" w:type="dxa"/>
            <w:tcBorders>
              <w:top w:val="nil"/>
              <w:left w:val="nil"/>
              <w:bottom w:val="single" w:sz="8" w:space="0" w:color="auto"/>
              <w:right w:val="single" w:sz="8" w:space="0" w:color="auto"/>
            </w:tcBorders>
            <w:noWrap/>
            <w:hideMark/>
          </w:tcPr>
          <w:p w14:paraId="7116EED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118 268 526</w:t>
            </w:r>
          </w:p>
        </w:tc>
        <w:tc>
          <w:tcPr>
            <w:tcW w:w="2121" w:type="dxa"/>
            <w:tcBorders>
              <w:top w:val="nil"/>
              <w:left w:val="nil"/>
              <w:bottom w:val="single" w:sz="8" w:space="0" w:color="auto"/>
              <w:right w:val="single" w:sz="8" w:space="0" w:color="auto"/>
            </w:tcBorders>
            <w:noWrap/>
            <w:hideMark/>
          </w:tcPr>
          <w:p w14:paraId="17D6A34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135 983 139</w:t>
            </w:r>
          </w:p>
        </w:tc>
        <w:tc>
          <w:tcPr>
            <w:tcW w:w="2177" w:type="dxa"/>
            <w:tcBorders>
              <w:top w:val="nil"/>
              <w:left w:val="nil"/>
              <w:bottom w:val="single" w:sz="8" w:space="0" w:color="auto"/>
              <w:right w:val="single" w:sz="8" w:space="0" w:color="auto"/>
            </w:tcBorders>
            <w:noWrap/>
            <w:hideMark/>
          </w:tcPr>
          <w:p w14:paraId="2041979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-17 714 612</w:t>
            </w:r>
          </w:p>
        </w:tc>
      </w:tr>
      <w:tr w:rsidR="00961262" w:rsidRPr="00961262" w14:paraId="7B397535"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A2081FD"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22</w:t>
            </w:r>
          </w:p>
        </w:tc>
        <w:tc>
          <w:tcPr>
            <w:tcW w:w="6600" w:type="dxa"/>
            <w:tcBorders>
              <w:top w:val="nil"/>
              <w:left w:val="nil"/>
              <w:bottom w:val="single" w:sz="8" w:space="0" w:color="auto"/>
              <w:right w:val="single" w:sz="8" w:space="0" w:color="auto"/>
            </w:tcBorders>
            <w:noWrap/>
            <w:hideMark/>
          </w:tcPr>
          <w:p w14:paraId="0C278F7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Koncerti"</w:t>
            </w:r>
          </w:p>
        </w:tc>
        <w:tc>
          <w:tcPr>
            <w:tcW w:w="2121" w:type="dxa"/>
            <w:tcBorders>
              <w:top w:val="nil"/>
              <w:left w:val="nil"/>
              <w:bottom w:val="single" w:sz="8" w:space="0" w:color="auto"/>
              <w:right w:val="single" w:sz="8" w:space="0" w:color="auto"/>
            </w:tcBorders>
            <w:noWrap/>
            <w:hideMark/>
          </w:tcPr>
          <w:p w14:paraId="64B6B54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5 169 700</w:t>
            </w:r>
          </w:p>
        </w:tc>
        <w:tc>
          <w:tcPr>
            <w:tcW w:w="2121" w:type="dxa"/>
            <w:tcBorders>
              <w:top w:val="nil"/>
              <w:left w:val="nil"/>
              <w:bottom w:val="single" w:sz="8" w:space="0" w:color="auto"/>
              <w:right w:val="single" w:sz="8" w:space="0" w:color="auto"/>
            </w:tcBorders>
            <w:noWrap/>
            <w:hideMark/>
          </w:tcPr>
          <w:p w14:paraId="5055F6E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5 166 843</w:t>
            </w:r>
          </w:p>
        </w:tc>
        <w:tc>
          <w:tcPr>
            <w:tcW w:w="2177" w:type="dxa"/>
            <w:tcBorders>
              <w:top w:val="nil"/>
              <w:left w:val="nil"/>
              <w:bottom w:val="single" w:sz="8" w:space="0" w:color="auto"/>
              <w:right w:val="single" w:sz="8" w:space="0" w:color="auto"/>
            </w:tcBorders>
            <w:noWrap/>
            <w:hideMark/>
          </w:tcPr>
          <w:p w14:paraId="0CED008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2 857</w:t>
            </w:r>
          </w:p>
        </w:tc>
      </w:tr>
      <w:tr w:rsidR="00961262" w:rsidRPr="00961262" w14:paraId="533878D5"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652675D"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23</w:t>
            </w:r>
          </w:p>
        </w:tc>
        <w:tc>
          <w:tcPr>
            <w:tcW w:w="6600" w:type="dxa"/>
            <w:tcBorders>
              <w:top w:val="nil"/>
              <w:left w:val="nil"/>
              <w:bottom w:val="single" w:sz="8" w:space="0" w:color="auto"/>
              <w:right w:val="single" w:sz="8" w:space="0" w:color="auto"/>
            </w:tcBorders>
            <w:noWrap/>
            <w:hideMark/>
          </w:tcPr>
          <w:p w14:paraId="02545765"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Leļļu teātris"</w:t>
            </w:r>
          </w:p>
        </w:tc>
        <w:tc>
          <w:tcPr>
            <w:tcW w:w="2121" w:type="dxa"/>
            <w:tcBorders>
              <w:top w:val="nil"/>
              <w:left w:val="nil"/>
              <w:bottom w:val="single" w:sz="8" w:space="0" w:color="auto"/>
              <w:right w:val="single" w:sz="8" w:space="0" w:color="auto"/>
            </w:tcBorders>
            <w:noWrap/>
            <w:hideMark/>
          </w:tcPr>
          <w:p w14:paraId="78A973C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1 120 000</w:t>
            </w:r>
          </w:p>
        </w:tc>
        <w:tc>
          <w:tcPr>
            <w:tcW w:w="2121" w:type="dxa"/>
            <w:tcBorders>
              <w:top w:val="nil"/>
              <w:left w:val="nil"/>
              <w:bottom w:val="single" w:sz="8" w:space="0" w:color="auto"/>
              <w:right w:val="single" w:sz="8" w:space="0" w:color="auto"/>
            </w:tcBorders>
            <w:noWrap/>
            <w:hideMark/>
          </w:tcPr>
          <w:p w14:paraId="17CBEBC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1 119 852</w:t>
            </w:r>
          </w:p>
        </w:tc>
        <w:tc>
          <w:tcPr>
            <w:tcW w:w="2177" w:type="dxa"/>
            <w:tcBorders>
              <w:top w:val="nil"/>
              <w:left w:val="nil"/>
              <w:bottom w:val="single" w:sz="8" w:space="0" w:color="auto"/>
              <w:right w:val="single" w:sz="8" w:space="0" w:color="auto"/>
            </w:tcBorders>
            <w:noWrap/>
            <w:hideMark/>
          </w:tcPr>
          <w:p w14:paraId="0520B7D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148</w:t>
            </w:r>
          </w:p>
        </w:tc>
      </w:tr>
      <w:tr w:rsidR="00961262" w:rsidRPr="00961262" w14:paraId="6F04327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8806E2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24</w:t>
            </w:r>
          </w:p>
        </w:tc>
        <w:tc>
          <w:tcPr>
            <w:tcW w:w="6600" w:type="dxa"/>
            <w:tcBorders>
              <w:top w:val="nil"/>
              <w:left w:val="nil"/>
              <w:bottom w:val="single" w:sz="8" w:space="0" w:color="auto"/>
              <w:right w:val="single" w:sz="8" w:space="0" w:color="auto"/>
            </w:tcBorders>
            <w:noWrap/>
            <w:hideMark/>
          </w:tcPr>
          <w:p w14:paraId="320EA1C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Nacionālā opera un balets"</w:t>
            </w:r>
          </w:p>
        </w:tc>
        <w:tc>
          <w:tcPr>
            <w:tcW w:w="2121" w:type="dxa"/>
            <w:tcBorders>
              <w:top w:val="nil"/>
              <w:left w:val="nil"/>
              <w:bottom w:val="single" w:sz="8" w:space="0" w:color="auto"/>
              <w:right w:val="single" w:sz="8" w:space="0" w:color="auto"/>
            </w:tcBorders>
            <w:noWrap/>
            <w:hideMark/>
          </w:tcPr>
          <w:p w14:paraId="7661912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5 700 000</w:t>
            </w:r>
          </w:p>
        </w:tc>
        <w:tc>
          <w:tcPr>
            <w:tcW w:w="2121" w:type="dxa"/>
            <w:tcBorders>
              <w:top w:val="nil"/>
              <w:left w:val="nil"/>
              <w:bottom w:val="single" w:sz="8" w:space="0" w:color="auto"/>
              <w:right w:val="single" w:sz="8" w:space="0" w:color="auto"/>
            </w:tcBorders>
            <w:noWrap/>
            <w:hideMark/>
          </w:tcPr>
          <w:p w14:paraId="18099B8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5 690 000</w:t>
            </w:r>
          </w:p>
        </w:tc>
        <w:tc>
          <w:tcPr>
            <w:tcW w:w="2177" w:type="dxa"/>
            <w:tcBorders>
              <w:top w:val="nil"/>
              <w:left w:val="nil"/>
              <w:bottom w:val="single" w:sz="8" w:space="0" w:color="auto"/>
              <w:right w:val="single" w:sz="8" w:space="0" w:color="auto"/>
            </w:tcBorders>
            <w:noWrap/>
            <w:hideMark/>
          </w:tcPr>
          <w:p w14:paraId="43A012F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10 000</w:t>
            </w:r>
          </w:p>
        </w:tc>
      </w:tr>
      <w:tr w:rsidR="00961262" w:rsidRPr="00961262" w14:paraId="646A6F5C"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F101968"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25</w:t>
            </w:r>
          </w:p>
        </w:tc>
        <w:tc>
          <w:tcPr>
            <w:tcW w:w="6600" w:type="dxa"/>
            <w:tcBorders>
              <w:top w:val="nil"/>
              <w:left w:val="nil"/>
              <w:bottom w:val="single" w:sz="8" w:space="0" w:color="auto"/>
              <w:right w:val="single" w:sz="8" w:space="0" w:color="auto"/>
            </w:tcBorders>
            <w:noWrap/>
            <w:hideMark/>
          </w:tcPr>
          <w:p w14:paraId="77AB6419"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Nacionālais simfoniskais orķestris"</w:t>
            </w:r>
          </w:p>
        </w:tc>
        <w:tc>
          <w:tcPr>
            <w:tcW w:w="2121" w:type="dxa"/>
            <w:tcBorders>
              <w:top w:val="nil"/>
              <w:left w:val="nil"/>
              <w:bottom w:val="single" w:sz="8" w:space="0" w:color="auto"/>
              <w:right w:val="single" w:sz="8" w:space="0" w:color="auto"/>
            </w:tcBorders>
            <w:noWrap/>
            <w:hideMark/>
          </w:tcPr>
          <w:p w14:paraId="052C119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4 339 000</w:t>
            </w:r>
          </w:p>
        </w:tc>
        <w:tc>
          <w:tcPr>
            <w:tcW w:w="2121" w:type="dxa"/>
            <w:tcBorders>
              <w:top w:val="nil"/>
              <w:left w:val="nil"/>
              <w:bottom w:val="single" w:sz="8" w:space="0" w:color="auto"/>
              <w:right w:val="single" w:sz="8" w:space="0" w:color="auto"/>
            </w:tcBorders>
            <w:noWrap/>
            <w:hideMark/>
          </w:tcPr>
          <w:p w14:paraId="06AA8C2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4 338 800</w:t>
            </w:r>
          </w:p>
        </w:tc>
        <w:tc>
          <w:tcPr>
            <w:tcW w:w="2177" w:type="dxa"/>
            <w:tcBorders>
              <w:top w:val="nil"/>
              <w:left w:val="nil"/>
              <w:bottom w:val="single" w:sz="8" w:space="0" w:color="auto"/>
              <w:right w:val="single" w:sz="8" w:space="0" w:color="auto"/>
            </w:tcBorders>
            <w:noWrap/>
            <w:hideMark/>
          </w:tcPr>
          <w:p w14:paraId="57D012B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200</w:t>
            </w:r>
          </w:p>
        </w:tc>
      </w:tr>
      <w:tr w:rsidR="00961262" w:rsidRPr="00961262" w14:paraId="333AB86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23F12CF"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26</w:t>
            </w:r>
          </w:p>
        </w:tc>
        <w:tc>
          <w:tcPr>
            <w:tcW w:w="6600" w:type="dxa"/>
            <w:tcBorders>
              <w:top w:val="nil"/>
              <w:left w:val="nil"/>
              <w:bottom w:val="single" w:sz="8" w:space="0" w:color="auto"/>
              <w:right w:val="single" w:sz="8" w:space="0" w:color="auto"/>
            </w:tcBorders>
            <w:noWrap/>
            <w:hideMark/>
          </w:tcPr>
          <w:p w14:paraId="28C168B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"Latvijas Nacionālais sporta centrs"</w:t>
            </w:r>
          </w:p>
        </w:tc>
        <w:tc>
          <w:tcPr>
            <w:tcW w:w="2121" w:type="dxa"/>
            <w:tcBorders>
              <w:top w:val="nil"/>
              <w:left w:val="nil"/>
              <w:bottom w:val="single" w:sz="8" w:space="0" w:color="auto"/>
              <w:right w:val="single" w:sz="8" w:space="0" w:color="auto"/>
            </w:tcBorders>
            <w:noWrap/>
            <w:hideMark/>
          </w:tcPr>
          <w:p w14:paraId="1EDBF6D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5 969 735</w:t>
            </w:r>
          </w:p>
        </w:tc>
        <w:tc>
          <w:tcPr>
            <w:tcW w:w="2121" w:type="dxa"/>
            <w:tcBorders>
              <w:top w:val="nil"/>
              <w:left w:val="nil"/>
              <w:bottom w:val="single" w:sz="8" w:space="0" w:color="auto"/>
              <w:right w:val="single" w:sz="8" w:space="0" w:color="auto"/>
            </w:tcBorders>
            <w:noWrap/>
            <w:hideMark/>
          </w:tcPr>
          <w:p w14:paraId="7798C02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5 672 985</w:t>
            </w:r>
          </w:p>
        </w:tc>
        <w:tc>
          <w:tcPr>
            <w:tcW w:w="2177" w:type="dxa"/>
            <w:tcBorders>
              <w:top w:val="nil"/>
              <w:left w:val="nil"/>
              <w:bottom w:val="single" w:sz="8" w:space="0" w:color="auto"/>
              <w:right w:val="single" w:sz="8" w:space="0" w:color="auto"/>
            </w:tcBorders>
            <w:noWrap/>
            <w:hideMark/>
          </w:tcPr>
          <w:p w14:paraId="3A10D7F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296 750</w:t>
            </w:r>
          </w:p>
        </w:tc>
      </w:tr>
      <w:tr w:rsidR="00961262" w:rsidRPr="00961262" w14:paraId="151ACA1F"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EC07FA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27</w:t>
            </w:r>
          </w:p>
        </w:tc>
        <w:tc>
          <w:tcPr>
            <w:tcW w:w="6600" w:type="dxa"/>
            <w:tcBorders>
              <w:top w:val="nil"/>
              <w:left w:val="nil"/>
              <w:bottom w:val="single" w:sz="8" w:space="0" w:color="auto"/>
              <w:right w:val="single" w:sz="8" w:space="0" w:color="auto"/>
            </w:tcBorders>
            <w:noWrap/>
            <w:hideMark/>
          </w:tcPr>
          <w:p w14:paraId="69ED699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Nacionālais teātris"</w:t>
            </w:r>
          </w:p>
        </w:tc>
        <w:tc>
          <w:tcPr>
            <w:tcW w:w="2121" w:type="dxa"/>
            <w:tcBorders>
              <w:top w:val="nil"/>
              <w:left w:val="nil"/>
              <w:bottom w:val="single" w:sz="8" w:space="0" w:color="auto"/>
              <w:right w:val="single" w:sz="8" w:space="0" w:color="auto"/>
            </w:tcBorders>
            <w:noWrap/>
            <w:hideMark/>
          </w:tcPr>
          <w:p w14:paraId="53F92D9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7 019 200</w:t>
            </w:r>
          </w:p>
        </w:tc>
        <w:tc>
          <w:tcPr>
            <w:tcW w:w="2121" w:type="dxa"/>
            <w:tcBorders>
              <w:top w:val="nil"/>
              <w:left w:val="nil"/>
              <w:bottom w:val="single" w:sz="8" w:space="0" w:color="auto"/>
              <w:right w:val="single" w:sz="8" w:space="0" w:color="auto"/>
            </w:tcBorders>
            <w:noWrap/>
            <w:hideMark/>
          </w:tcPr>
          <w:p w14:paraId="19578C6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7 005 874</w:t>
            </w:r>
          </w:p>
        </w:tc>
        <w:tc>
          <w:tcPr>
            <w:tcW w:w="2177" w:type="dxa"/>
            <w:tcBorders>
              <w:top w:val="nil"/>
              <w:left w:val="nil"/>
              <w:bottom w:val="single" w:sz="8" w:space="0" w:color="auto"/>
              <w:right w:val="single" w:sz="8" w:space="0" w:color="auto"/>
            </w:tcBorders>
            <w:noWrap/>
            <w:hideMark/>
          </w:tcPr>
          <w:p w14:paraId="4EB1C68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13 326</w:t>
            </w:r>
          </w:p>
        </w:tc>
      </w:tr>
      <w:tr w:rsidR="00961262" w:rsidRPr="00961262" w14:paraId="5DA6CB04"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FC8B1E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28</w:t>
            </w:r>
          </w:p>
        </w:tc>
        <w:tc>
          <w:tcPr>
            <w:tcW w:w="6600" w:type="dxa"/>
            <w:tcBorders>
              <w:top w:val="nil"/>
              <w:left w:val="nil"/>
              <w:bottom w:val="single" w:sz="8" w:space="0" w:color="auto"/>
              <w:right w:val="single" w:sz="8" w:space="0" w:color="auto"/>
            </w:tcBorders>
            <w:noWrap/>
            <w:hideMark/>
          </w:tcPr>
          <w:p w14:paraId="115D859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Proves birojs"</w:t>
            </w:r>
          </w:p>
        </w:tc>
        <w:tc>
          <w:tcPr>
            <w:tcW w:w="2121" w:type="dxa"/>
            <w:tcBorders>
              <w:top w:val="nil"/>
              <w:left w:val="nil"/>
              <w:bottom w:val="single" w:sz="8" w:space="0" w:color="auto"/>
              <w:right w:val="single" w:sz="8" w:space="0" w:color="auto"/>
            </w:tcBorders>
            <w:noWrap/>
            <w:hideMark/>
          </w:tcPr>
          <w:p w14:paraId="4BDAE52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840 000</w:t>
            </w:r>
          </w:p>
        </w:tc>
        <w:tc>
          <w:tcPr>
            <w:tcW w:w="2121" w:type="dxa"/>
            <w:tcBorders>
              <w:top w:val="nil"/>
              <w:left w:val="nil"/>
              <w:bottom w:val="single" w:sz="8" w:space="0" w:color="auto"/>
              <w:right w:val="single" w:sz="8" w:space="0" w:color="auto"/>
            </w:tcBorders>
            <w:noWrap/>
            <w:hideMark/>
          </w:tcPr>
          <w:p w14:paraId="2796915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702 000</w:t>
            </w:r>
          </w:p>
        </w:tc>
        <w:tc>
          <w:tcPr>
            <w:tcW w:w="2177" w:type="dxa"/>
            <w:tcBorders>
              <w:top w:val="nil"/>
              <w:left w:val="nil"/>
              <w:bottom w:val="single" w:sz="8" w:space="0" w:color="auto"/>
              <w:right w:val="single" w:sz="8" w:space="0" w:color="auto"/>
            </w:tcBorders>
            <w:noWrap/>
            <w:hideMark/>
          </w:tcPr>
          <w:p w14:paraId="5653887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138 000</w:t>
            </w:r>
          </w:p>
        </w:tc>
      </w:tr>
      <w:tr w:rsidR="00961262" w:rsidRPr="00961262" w14:paraId="68F70C3A"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2C7427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29</w:t>
            </w:r>
          </w:p>
        </w:tc>
        <w:tc>
          <w:tcPr>
            <w:tcW w:w="6600" w:type="dxa"/>
            <w:tcBorders>
              <w:top w:val="nil"/>
              <w:left w:val="nil"/>
              <w:bottom w:val="single" w:sz="8" w:space="0" w:color="auto"/>
              <w:right w:val="single" w:sz="8" w:space="0" w:color="auto"/>
            </w:tcBorders>
            <w:noWrap/>
            <w:hideMark/>
          </w:tcPr>
          <w:p w14:paraId="114E1CFD"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sabiedriskais medijs"</w:t>
            </w:r>
          </w:p>
        </w:tc>
        <w:tc>
          <w:tcPr>
            <w:tcW w:w="2121" w:type="dxa"/>
            <w:tcBorders>
              <w:top w:val="nil"/>
              <w:left w:val="nil"/>
              <w:bottom w:val="single" w:sz="8" w:space="0" w:color="auto"/>
              <w:right w:val="single" w:sz="8" w:space="0" w:color="auto"/>
            </w:tcBorders>
            <w:noWrap/>
            <w:hideMark/>
          </w:tcPr>
          <w:p w14:paraId="7CBAC12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55 335 800</w:t>
            </w:r>
          </w:p>
        </w:tc>
        <w:tc>
          <w:tcPr>
            <w:tcW w:w="2121" w:type="dxa"/>
            <w:tcBorders>
              <w:top w:val="nil"/>
              <w:left w:val="nil"/>
              <w:bottom w:val="single" w:sz="8" w:space="0" w:color="auto"/>
              <w:right w:val="single" w:sz="8" w:space="0" w:color="auto"/>
            </w:tcBorders>
            <w:noWrap/>
            <w:hideMark/>
          </w:tcPr>
          <w:p w14:paraId="23907AD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55 320 900</w:t>
            </w:r>
          </w:p>
        </w:tc>
        <w:tc>
          <w:tcPr>
            <w:tcW w:w="2177" w:type="dxa"/>
            <w:tcBorders>
              <w:top w:val="nil"/>
              <w:left w:val="nil"/>
              <w:bottom w:val="single" w:sz="8" w:space="0" w:color="auto"/>
              <w:right w:val="single" w:sz="8" w:space="0" w:color="auto"/>
            </w:tcBorders>
            <w:noWrap/>
            <w:hideMark/>
          </w:tcPr>
          <w:p w14:paraId="78C642A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14 900</w:t>
            </w:r>
          </w:p>
        </w:tc>
      </w:tr>
      <w:tr w:rsidR="00961262" w:rsidRPr="00961262" w14:paraId="61C11B88"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89D031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30</w:t>
            </w:r>
          </w:p>
        </w:tc>
        <w:tc>
          <w:tcPr>
            <w:tcW w:w="6600" w:type="dxa"/>
            <w:tcBorders>
              <w:top w:val="nil"/>
              <w:left w:val="nil"/>
              <w:bottom w:val="single" w:sz="8" w:space="0" w:color="auto"/>
              <w:right w:val="single" w:sz="8" w:space="0" w:color="auto"/>
            </w:tcBorders>
            <w:noWrap/>
            <w:hideMark/>
          </w:tcPr>
          <w:p w14:paraId="6A8C19B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"Latvijas standarts"</w:t>
            </w:r>
          </w:p>
        </w:tc>
        <w:tc>
          <w:tcPr>
            <w:tcW w:w="2121" w:type="dxa"/>
            <w:tcBorders>
              <w:top w:val="nil"/>
              <w:left w:val="nil"/>
              <w:bottom w:val="single" w:sz="8" w:space="0" w:color="auto"/>
              <w:right w:val="single" w:sz="8" w:space="0" w:color="auto"/>
            </w:tcBorders>
            <w:noWrap/>
            <w:hideMark/>
          </w:tcPr>
          <w:p w14:paraId="1BC265B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947 429</w:t>
            </w:r>
          </w:p>
        </w:tc>
        <w:tc>
          <w:tcPr>
            <w:tcW w:w="2121" w:type="dxa"/>
            <w:tcBorders>
              <w:top w:val="nil"/>
              <w:left w:val="nil"/>
              <w:bottom w:val="single" w:sz="8" w:space="0" w:color="auto"/>
              <w:right w:val="single" w:sz="8" w:space="0" w:color="auto"/>
            </w:tcBorders>
            <w:noWrap/>
            <w:hideMark/>
          </w:tcPr>
          <w:p w14:paraId="0BC4926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922 710</w:t>
            </w:r>
          </w:p>
        </w:tc>
        <w:tc>
          <w:tcPr>
            <w:tcW w:w="2177" w:type="dxa"/>
            <w:tcBorders>
              <w:top w:val="nil"/>
              <w:left w:val="nil"/>
              <w:bottom w:val="single" w:sz="8" w:space="0" w:color="auto"/>
              <w:right w:val="single" w:sz="8" w:space="0" w:color="auto"/>
            </w:tcBorders>
            <w:noWrap/>
            <w:hideMark/>
          </w:tcPr>
          <w:p w14:paraId="0F30E4A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24 719</w:t>
            </w:r>
          </w:p>
        </w:tc>
      </w:tr>
      <w:tr w:rsidR="00961262" w:rsidRPr="00961262" w14:paraId="3E4C5D52"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84A1F13"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31</w:t>
            </w:r>
          </w:p>
        </w:tc>
        <w:tc>
          <w:tcPr>
            <w:tcW w:w="6600" w:type="dxa"/>
            <w:tcBorders>
              <w:top w:val="nil"/>
              <w:left w:val="nil"/>
              <w:bottom w:val="single" w:sz="8" w:space="0" w:color="auto"/>
              <w:right w:val="single" w:sz="8" w:space="0" w:color="auto"/>
            </w:tcBorders>
            <w:noWrap/>
            <w:hideMark/>
          </w:tcPr>
          <w:p w14:paraId="5E97009B"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"Latvijas Universitātes nekustamā īpašuma aģentūra"</w:t>
            </w:r>
          </w:p>
        </w:tc>
        <w:tc>
          <w:tcPr>
            <w:tcW w:w="2121" w:type="dxa"/>
            <w:tcBorders>
              <w:top w:val="nil"/>
              <w:left w:val="nil"/>
              <w:bottom w:val="single" w:sz="8" w:space="0" w:color="auto"/>
              <w:right w:val="single" w:sz="8" w:space="0" w:color="auto"/>
            </w:tcBorders>
            <w:noWrap/>
            <w:hideMark/>
          </w:tcPr>
          <w:p w14:paraId="61FF18F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noWrap/>
            <w:hideMark/>
          </w:tcPr>
          <w:p w14:paraId="126CBF3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noWrap/>
            <w:hideMark/>
          </w:tcPr>
          <w:p w14:paraId="70EFE5B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62B6F0A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2A4E35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32</w:t>
            </w:r>
          </w:p>
        </w:tc>
        <w:tc>
          <w:tcPr>
            <w:tcW w:w="6600" w:type="dxa"/>
            <w:tcBorders>
              <w:top w:val="nil"/>
              <w:left w:val="nil"/>
              <w:bottom w:val="single" w:sz="8" w:space="0" w:color="auto"/>
              <w:right w:val="single" w:sz="8" w:space="0" w:color="auto"/>
            </w:tcBorders>
            <w:noWrap/>
            <w:hideMark/>
          </w:tcPr>
          <w:p w14:paraId="5AB23E3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Valsts ceļi"</w:t>
            </w:r>
          </w:p>
        </w:tc>
        <w:tc>
          <w:tcPr>
            <w:tcW w:w="2121" w:type="dxa"/>
            <w:tcBorders>
              <w:top w:val="nil"/>
              <w:left w:val="nil"/>
              <w:bottom w:val="single" w:sz="8" w:space="0" w:color="auto"/>
              <w:right w:val="single" w:sz="8" w:space="0" w:color="auto"/>
            </w:tcBorders>
            <w:noWrap/>
            <w:hideMark/>
          </w:tcPr>
          <w:p w14:paraId="0308E9D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20 401 050</w:t>
            </w:r>
          </w:p>
        </w:tc>
        <w:tc>
          <w:tcPr>
            <w:tcW w:w="2121" w:type="dxa"/>
            <w:tcBorders>
              <w:top w:val="nil"/>
              <w:left w:val="nil"/>
              <w:bottom w:val="single" w:sz="8" w:space="0" w:color="auto"/>
              <w:right w:val="single" w:sz="8" w:space="0" w:color="auto"/>
            </w:tcBorders>
            <w:noWrap/>
            <w:hideMark/>
          </w:tcPr>
          <w:p w14:paraId="07FFC99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20 301 050</w:t>
            </w:r>
          </w:p>
        </w:tc>
        <w:tc>
          <w:tcPr>
            <w:tcW w:w="2177" w:type="dxa"/>
            <w:tcBorders>
              <w:top w:val="nil"/>
              <w:left w:val="nil"/>
              <w:bottom w:val="single" w:sz="8" w:space="0" w:color="auto"/>
              <w:right w:val="single" w:sz="8" w:space="0" w:color="auto"/>
            </w:tcBorders>
            <w:noWrap/>
            <w:hideMark/>
          </w:tcPr>
          <w:p w14:paraId="7AE5F36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100 000</w:t>
            </w:r>
          </w:p>
        </w:tc>
      </w:tr>
      <w:tr w:rsidR="00961262" w:rsidRPr="00961262" w14:paraId="6A76479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F3AFD2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33</w:t>
            </w:r>
          </w:p>
        </w:tc>
        <w:tc>
          <w:tcPr>
            <w:tcW w:w="6600" w:type="dxa"/>
            <w:tcBorders>
              <w:top w:val="nil"/>
              <w:left w:val="nil"/>
              <w:bottom w:val="single" w:sz="8" w:space="0" w:color="auto"/>
              <w:right w:val="single" w:sz="8" w:space="0" w:color="auto"/>
            </w:tcBorders>
            <w:noWrap/>
            <w:hideMark/>
          </w:tcPr>
          <w:p w14:paraId="350F7E4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Vēstnesis"</w:t>
            </w:r>
          </w:p>
        </w:tc>
        <w:tc>
          <w:tcPr>
            <w:tcW w:w="2121" w:type="dxa"/>
            <w:tcBorders>
              <w:top w:val="nil"/>
              <w:left w:val="nil"/>
              <w:bottom w:val="single" w:sz="8" w:space="0" w:color="auto"/>
              <w:right w:val="single" w:sz="8" w:space="0" w:color="auto"/>
            </w:tcBorders>
            <w:noWrap/>
            <w:hideMark/>
          </w:tcPr>
          <w:p w14:paraId="2E6BC52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2 402 645</w:t>
            </w:r>
          </w:p>
        </w:tc>
        <w:tc>
          <w:tcPr>
            <w:tcW w:w="2121" w:type="dxa"/>
            <w:tcBorders>
              <w:top w:val="nil"/>
              <w:left w:val="nil"/>
              <w:bottom w:val="single" w:sz="8" w:space="0" w:color="auto"/>
              <w:right w:val="single" w:sz="8" w:space="0" w:color="auto"/>
            </w:tcBorders>
            <w:noWrap/>
            <w:hideMark/>
          </w:tcPr>
          <w:p w14:paraId="777749D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2 402 645</w:t>
            </w:r>
          </w:p>
        </w:tc>
        <w:tc>
          <w:tcPr>
            <w:tcW w:w="2177" w:type="dxa"/>
            <w:tcBorders>
              <w:top w:val="nil"/>
              <w:left w:val="nil"/>
              <w:bottom w:val="single" w:sz="8" w:space="0" w:color="auto"/>
              <w:right w:val="single" w:sz="8" w:space="0" w:color="auto"/>
            </w:tcBorders>
            <w:noWrap/>
            <w:hideMark/>
          </w:tcPr>
          <w:p w14:paraId="365809A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3AEEDC5F"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6A47CF6"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34</w:t>
            </w:r>
          </w:p>
        </w:tc>
        <w:tc>
          <w:tcPr>
            <w:tcW w:w="6600" w:type="dxa"/>
            <w:tcBorders>
              <w:top w:val="nil"/>
              <w:left w:val="nil"/>
              <w:bottom w:val="single" w:sz="8" w:space="0" w:color="auto"/>
              <w:right w:val="single" w:sz="8" w:space="0" w:color="auto"/>
            </w:tcBorders>
            <w:noWrap/>
            <w:hideMark/>
          </w:tcPr>
          <w:p w14:paraId="7F5AC9C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Vides, ģeoloģijas un meteoroloģijas centrs"</w:t>
            </w:r>
          </w:p>
        </w:tc>
        <w:tc>
          <w:tcPr>
            <w:tcW w:w="2121" w:type="dxa"/>
            <w:tcBorders>
              <w:top w:val="nil"/>
              <w:left w:val="nil"/>
              <w:bottom w:val="single" w:sz="8" w:space="0" w:color="auto"/>
              <w:right w:val="single" w:sz="8" w:space="0" w:color="auto"/>
            </w:tcBorders>
            <w:noWrap/>
            <w:hideMark/>
          </w:tcPr>
          <w:p w14:paraId="58FC8E8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3 592 995</w:t>
            </w:r>
          </w:p>
        </w:tc>
        <w:tc>
          <w:tcPr>
            <w:tcW w:w="2121" w:type="dxa"/>
            <w:tcBorders>
              <w:top w:val="nil"/>
              <w:left w:val="nil"/>
              <w:bottom w:val="single" w:sz="8" w:space="0" w:color="auto"/>
              <w:right w:val="single" w:sz="8" w:space="0" w:color="auto"/>
            </w:tcBorders>
            <w:noWrap/>
            <w:hideMark/>
          </w:tcPr>
          <w:p w14:paraId="6BF5590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3 230 306</w:t>
            </w:r>
          </w:p>
        </w:tc>
        <w:tc>
          <w:tcPr>
            <w:tcW w:w="2177" w:type="dxa"/>
            <w:tcBorders>
              <w:top w:val="nil"/>
              <w:left w:val="nil"/>
              <w:bottom w:val="single" w:sz="8" w:space="0" w:color="auto"/>
              <w:right w:val="single" w:sz="8" w:space="0" w:color="auto"/>
            </w:tcBorders>
            <w:noWrap/>
            <w:hideMark/>
          </w:tcPr>
          <w:p w14:paraId="3E64C53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362 689</w:t>
            </w:r>
          </w:p>
        </w:tc>
      </w:tr>
      <w:tr w:rsidR="00961262" w:rsidRPr="00961262" w14:paraId="2E76DF39"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888F8FB"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35</w:t>
            </w:r>
          </w:p>
        </w:tc>
        <w:tc>
          <w:tcPr>
            <w:tcW w:w="6600" w:type="dxa"/>
            <w:tcBorders>
              <w:top w:val="nil"/>
              <w:left w:val="nil"/>
              <w:bottom w:val="single" w:sz="8" w:space="0" w:color="auto"/>
              <w:right w:val="single" w:sz="8" w:space="0" w:color="auto"/>
            </w:tcBorders>
            <w:noWrap/>
            <w:hideMark/>
          </w:tcPr>
          <w:p w14:paraId="39C4B889"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"LDZ apsardze"</w:t>
            </w:r>
          </w:p>
        </w:tc>
        <w:tc>
          <w:tcPr>
            <w:tcW w:w="2121" w:type="dxa"/>
            <w:tcBorders>
              <w:top w:val="nil"/>
              <w:left w:val="nil"/>
              <w:bottom w:val="single" w:sz="8" w:space="0" w:color="auto"/>
              <w:right w:val="single" w:sz="8" w:space="0" w:color="auto"/>
            </w:tcBorders>
            <w:noWrap/>
            <w:hideMark/>
          </w:tcPr>
          <w:p w14:paraId="4AE8234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9 940 379</w:t>
            </w:r>
          </w:p>
        </w:tc>
        <w:tc>
          <w:tcPr>
            <w:tcW w:w="2121" w:type="dxa"/>
            <w:tcBorders>
              <w:top w:val="nil"/>
              <w:left w:val="nil"/>
              <w:bottom w:val="single" w:sz="8" w:space="0" w:color="auto"/>
              <w:right w:val="single" w:sz="8" w:space="0" w:color="auto"/>
            </w:tcBorders>
            <w:noWrap/>
            <w:hideMark/>
          </w:tcPr>
          <w:p w14:paraId="469E4DE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9 733 459</w:t>
            </w:r>
          </w:p>
        </w:tc>
        <w:tc>
          <w:tcPr>
            <w:tcW w:w="2177" w:type="dxa"/>
            <w:tcBorders>
              <w:top w:val="nil"/>
              <w:left w:val="nil"/>
              <w:bottom w:val="single" w:sz="8" w:space="0" w:color="auto"/>
              <w:right w:val="single" w:sz="8" w:space="0" w:color="auto"/>
            </w:tcBorders>
            <w:noWrap/>
            <w:hideMark/>
          </w:tcPr>
          <w:p w14:paraId="421EB0F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206 920</w:t>
            </w:r>
          </w:p>
        </w:tc>
      </w:tr>
      <w:tr w:rsidR="00961262" w:rsidRPr="00961262" w14:paraId="508F102D"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15E6719"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36</w:t>
            </w:r>
          </w:p>
        </w:tc>
        <w:tc>
          <w:tcPr>
            <w:tcW w:w="6600" w:type="dxa"/>
            <w:tcBorders>
              <w:top w:val="nil"/>
              <w:left w:val="nil"/>
              <w:bottom w:val="single" w:sz="8" w:space="0" w:color="auto"/>
              <w:right w:val="single" w:sz="8" w:space="0" w:color="auto"/>
            </w:tcBorders>
            <w:noWrap/>
            <w:hideMark/>
          </w:tcPr>
          <w:p w14:paraId="3DA5F84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"LDZ Loģistika"</w:t>
            </w:r>
          </w:p>
        </w:tc>
        <w:tc>
          <w:tcPr>
            <w:tcW w:w="2121" w:type="dxa"/>
            <w:tcBorders>
              <w:top w:val="nil"/>
              <w:left w:val="nil"/>
              <w:bottom w:val="single" w:sz="8" w:space="0" w:color="auto"/>
              <w:right w:val="single" w:sz="8" w:space="0" w:color="auto"/>
            </w:tcBorders>
            <w:noWrap/>
            <w:hideMark/>
          </w:tcPr>
          <w:p w14:paraId="2333BA7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8 867 000</w:t>
            </w:r>
          </w:p>
        </w:tc>
        <w:tc>
          <w:tcPr>
            <w:tcW w:w="2121" w:type="dxa"/>
            <w:tcBorders>
              <w:top w:val="nil"/>
              <w:left w:val="nil"/>
              <w:bottom w:val="single" w:sz="8" w:space="0" w:color="auto"/>
              <w:right w:val="single" w:sz="8" w:space="0" w:color="auto"/>
            </w:tcBorders>
            <w:noWrap/>
            <w:hideMark/>
          </w:tcPr>
          <w:p w14:paraId="1284C01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9 100 000</w:t>
            </w:r>
          </w:p>
        </w:tc>
        <w:tc>
          <w:tcPr>
            <w:tcW w:w="2177" w:type="dxa"/>
            <w:tcBorders>
              <w:top w:val="nil"/>
              <w:left w:val="nil"/>
              <w:bottom w:val="single" w:sz="8" w:space="0" w:color="auto"/>
              <w:right w:val="single" w:sz="8" w:space="0" w:color="auto"/>
            </w:tcBorders>
            <w:noWrap/>
            <w:hideMark/>
          </w:tcPr>
          <w:p w14:paraId="09CB1FC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-233 000</w:t>
            </w:r>
          </w:p>
        </w:tc>
      </w:tr>
      <w:tr w:rsidR="00961262" w:rsidRPr="00961262" w14:paraId="077D06C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B6C63F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37</w:t>
            </w:r>
          </w:p>
        </w:tc>
        <w:tc>
          <w:tcPr>
            <w:tcW w:w="6600" w:type="dxa"/>
            <w:tcBorders>
              <w:top w:val="nil"/>
              <w:left w:val="nil"/>
              <w:bottom w:val="single" w:sz="8" w:space="0" w:color="auto"/>
              <w:right w:val="single" w:sz="8" w:space="0" w:color="auto"/>
            </w:tcBorders>
            <w:noWrap/>
            <w:hideMark/>
          </w:tcPr>
          <w:p w14:paraId="2844D25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"Liepājas simfoniskais orķestris"</w:t>
            </w:r>
          </w:p>
        </w:tc>
        <w:tc>
          <w:tcPr>
            <w:tcW w:w="2121" w:type="dxa"/>
            <w:tcBorders>
              <w:top w:val="nil"/>
              <w:left w:val="nil"/>
              <w:bottom w:val="single" w:sz="8" w:space="0" w:color="auto"/>
              <w:right w:val="single" w:sz="8" w:space="0" w:color="auto"/>
            </w:tcBorders>
            <w:noWrap/>
            <w:hideMark/>
          </w:tcPr>
          <w:p w14:paraId="7346A0A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420 187</w:t>
            </w:r>
          </w:p>
        </w:tc>
        <w:tc>
          <w:tcPr>
            <w:tcW w:w="2121" w:type="dxa"/>
            <w:tcBorders>
              <w:top w:val="nil"/>
              <w:left w:val="nil"/>
              <w:bottom w:val="single" w:sz="8" w:space="0" w:color="auto"/>
              <w:right w:val="single" w:sz="8" w:space="0" w:color="auto"/>
            </w:tcBorders>
            <w:noWrap/>
            <w:hideMark/>
          </w:tcPr>
          <w:p w14:paraId="778F392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420 287</w:t>
            </w:r>
          </w:p>
        </w:tc>
        <w:tc>
          <w:tcPr>
            <w:tcW w:w="2177" w:type="dxa"/>
            <w:tcBorders>
              <w:top w:val="nil"/>
              <w:left w:val="nil"/>
              <w:bottom w:val="single" w:sz="8" w:space="0" w:color="auto"/>
              <w:right w:val="single" w:sz="8" w:space="0" w:color="auto"/>
            </w:tcBorders>
            <w:noWrap/>
            <w:hideMark/>
          </w:tcPr>
          <w:p w14:paraId="4C91913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-100</w:t>
            </w:r>
          </w:p>
        </w:tc>
      </w:tr>
      <w:tr w:rsidR="00961262" w:rsidRPr="00961262" w14:paraId="775B68D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2790C2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38</w:t>
            </w:r>
          </w:p>
        </w:tc>
        <w:tc>
          <w:tcPr>
            <w:tcW w:w="6600" w:type="dxa"/>
            <w:tcBorders>
              <w:top w:val="nil"/>
              <w:left w:val="nil"/>
              <w:bottom w:val="single" w:sz="8" w:space="0" w:color="auto"/>
              <w:right w:val="single" w:sz="8" w:space="0" w:color="auto"/>
            </w:tcBorders>
            <w:noWrap/>
            <w:hideMark/>
          </w:tcPr>
          <w:p w14:paraId="58D41F8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"Ludzas medicīnas centrs"</w:t>
            </w:r>
          </w:p>
        </w:tc>
        <w:tc>
          <w:tcPr>
            <w:tcW w:w="2121" w:type="dxa"/>
            <w:tcBorders>
              <w:top w:val="nil"/>
              <w:left w:val="nil"/>
              <w:bottom w:val="single" w:sz="8" w:space="0" w:color="auto"/>
              <w:right w:val="single" w:sz="8" w:space="0" w:color="auto"/>
            </w:tcBorders>
            <w:noWrap/>
            <w:hideMark/>
          </w:tcPr>
          <w:p w14:paraId="5CCAD62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4 700 000</w:t>
            </w:r>
          </w:p>
        </w:tc>
        <w:tc>
          <w:tcPr>
            <w:tcW w:w="2121" w:type="dxa"/>
            <w:tcBorders>
              <w:top w:val="nil"/>
              <w:left w:val="nil"/>
              <w:bottom w:val="single" w:sz="8" w:space="0" w:color="auto"/>
              <w:right w:val="single" w:sz="8" w:space="0" w:color="auto"/>
            </w:tcBorders>
            <w:noWrap/>
            <w:hideMark/>
          </w:tcPr>
          <w:p w14:paraId="6C85D0D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4 630 000</w:t>
            </w:r>
          </w:p>
        </w:tc>
        <w:tc>
          <w:tcPr>
            <w:tcW w:w="2177" w:type="dxa"/>
            <w:tcBorders>
              <w:top w:val="nil"/>
              <w:left w:val="nil"/>
              <w:bottom w:val="single" w:sz="8" w:space="0" w:color="auto"/>
              <w:right w:val="single" w:sz="8" w:space="0" w:color="auto"/>
            </w:tcBorders>
            <w:noWrap/>
            <w:hideMark/>
          </w:tcPr>
          <w:p w14:paraId="64AA611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70 000</w:t>
            </w:r>
          </w:p>
        </w:tc>
      </w:tr>
      <w:tr w:rsidR="00961262" w:rsidRPr="00961262" w14:paraId="2C737A25"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8D14CB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lastRenderedPageBreak/>
              <w:t>39</w:t>
            </w:r>
          </w:p>
        </w:tc>
        <w:tc>
          <w:tcPr>
            <w:tcW w:w="6600" w:type="dxa"/>
            <w:tcBorders>
              <w:top w:val="nil"/>
              <w:left w:val="nil"/>
              <w:bottom w:val="single" w:sz="8" w:space="0" w:color="auto"/>
              <w:right w:val="single" w:sz="8" w:space="0" w:color="auto"/>
            </w:tcBorders>
            <w:noWrap/>
            <w:hideMark/>
          </w:tcPr>
          <w:p w14:paraId="60787E83"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"Mihaila Čehova Rīgas Krievu teātris"</w:t>
            </w:r>
          </w:p>
        </w:tc>
        <w:tc>
          <w:tcPr>
            <w:tcW w:w="2121" w:type="dxa"/>
            <w:tcBorders>
              <w:top w:val="nil"/>
              <w:left w:val="nil"/>
              <w:bottom w:val="single" w:sz="8" w:space="0" w:color="auto"/>
              <w:right w:val="single" w:sz="8" w:space="0" w:color="auto"/>
            </w:tcBorders>
            <w:noWrap/>
            <w:hideMark/>
          </w:tcPr>
          <w:p w14:paraId="099A61B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2 512 976</w:t>
            </w:r>
          </w:p>
        </w:tc>
        <w:tc>
          <w:tcPr>
            <w:tcW w:w="2121" w:type="dxa"/>
            <w:tcBorders>
              <w:top w:val="nil"/>
              <w:left w:val="nil"/>
              <w:bottom w:val="single" w:sz="8" w:space="0" w:color="auto"/>
              <w:right w:val="single" w:sz="8" w:space="0" w:color="auto"/>
            </w:tcBorders>
            <w:noWrap/>
            <w:hideMark/>
          </w:tcPr>
          <w:p w14:paraId="02A3D2E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2 432 710</w:t>
            </w:r>
          </w:p>
        </w:tc>
        <w:tc>
          <w:tcPr>
            <w:tcW w:w="2177" w:type="dxa"/>
            <w:tcBorders>
              <w:top w:val="nil"/>
              <w:left w:val="nil"/>
              <w:bottom w:val="single" w:sz="8" w:space="0" w:color="auto"/>
              <w:right w:val="single" w:sz="8" w:space="0" w:color="auto"/>
            </w:tcBorders>
            <w:noWrap/>
            <w:hideMark/>
          </w:tcPr>
          <w:p w14:paraId="61DE691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80 266</w:t>
            </w:r>
          </w:p>
        </w:tc>
      </w:tr>
      <w:tr w:rsidR="00961262" w:rsidRPr="00961262" w14:paraId="07331492"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521AA8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40</w:t>
            </w:r>
          </w:p>
        </w:tc>
        <w:tc>
          <w:tcPr>
            <w:tcW w:w="6600" w:type="dxa"/>
            <w:tcBorders>
              <w:top w:val="nil"/>
              <w:left w:val="nil"/>
              <w:bottom w:val="single" w:sz="8" w:space="0" w:color="auto"/>
              <w:right w:val="single" w:sz="8" w:space="0" w:color="auto"/>
            </w:tcBorders>
            <w:noWrap/>
            <w:hideMark/>
          </w:tcPr>
          <w:p w14:paraId="57986CD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"Nacionālais psihiskās veselības centrs"</w:t>
            </w:r>
          </w:p>
        </w:tc>
        <w:tc>
          <w:tcPr>
            <w:tcW w:w="2121" w:type="dxa"/>
            <w:tcBorders>
              <w:top w:val="nil"/>
              <w:left w:val="nil"/>
              <w:bottom w:val="single" w:sz="8" w:space="0" w:color="auto"/>
              <w:right w:val="single" w:sz="8" w:space="0" w:color="auto"/>
            </w:tcBorders>
            <w:noWrap/>
            <w:hideMark/>
          </w:tcPr>
          <w:p w14:paraId="0D934AF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37 846 031</w:t>
            </w:r>
          </w:p>
        </w:tc>
        <w:tc>
          <w:tcPr>
            <w:tcW w:w="2121" w:type="dxa"/>
            <w:tcBorders>
              <w:top w:val="nil"/>
              <w:left w:val="nil"/>
              <w:bottom w:val="single" w:sz="8" w:space="0" w:color="auto"/>
              <w:right w:val="single" w:sz="8" w:space="0" w:color="auto"/>
            </w:tcBorders>
            <w:noWrap/>
            <w:hideMark/>
          </w:tcPr>
          <w:p w14:paraId="66B0CD8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37 846 031</w:t>
            </w:r>
          </w:p>
        </w:tc>
        <w:tc>
          <w:tcPr>
            <w:tcW w:w="2177" w:type="dxa"/>
            <w:tcBorders>
              <w:top w:val="nil"/>
              <w:left w:val="nil"/>
              <w:bottom w:val="single" w:sz="8" w:space="0" w:color="auto"/>
              <w:right w:val="single" w:sz="8" w:space="0" w:color="auto"/>
            </w:tcBorders>
            <w:noWrap/>
            <w:hideMark/>
          </w:tcPr>
          <w:p w14:paraId="27C9E3C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776DA8D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DA8D40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41</w:t>
            </w:r>
          </w:p>
        </w:tc>
        <w:tc>
          <w:tcPr>
            <w:tcW w:w="6600" w:type="dxa"/>
            <w:tcBorders>
              <w:top w:val="nil"/>
              <w:left w:val="nil"/>
              <w:bottom w:val="single" w:sz="8" w:space="0" w:color="auto"/>
              <w:right w:val="single" w:sz="8" w:space="0" w:color="auto"/>
            </w:tcBorders>
            <w:noWrap/>
            <w:hideMark/>
          </w:tcPr>
          <w:p w14:paraId="60DA996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AS "Pasažieru vilciens"</w:t>
            </w:r>
          </w:p>
        </w:tc>
        <w:tc>
          <w:tcPr>
            <w:tcW w:w="2121" w:type="dxa"/>
            <w:tcBorders>
              <w:top w:val="nil"/>
              <w:left w:val="nil"/>
              <w:bottom w:val="single" w:sz="8" w:space="0" w:color="auto"/>
              <w:right w:val="single" w:sz="8" w:space="0" w:color="auto"/>
            </w:tcBorders>
            <w:noWrap/>
            <w:hideMark/>
          </w:tcPr>
          <w:p w14:paraId="3D3B2F1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80 393 985</w:t>
            </w:r>
          </w:p>
        </w:tc>
        <w:tc>
          <w:tcPr>
            <w:tcW w:w="2121" w:type="dxa"/>
            <w:tcBorders>
              <w:top w:val="nil"/>
              <w:left w:val="nil"/>
              <w:bottom w:val="single" w:sz="8" w:space="0" w:color="auto"/>
              <w:right w:val="single" w:sz="8" w:space="0" w:color="auto"/>
            </w:tcBorders>
            <w:noWrap/>
            <w:hideMark/>
          </w:tcPr>
          <w:p w14:paraId="2289CA0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84 103 773</w:t>
            </w:r>
          </w:p>
        </w:tc>
        <w:tc>
          <w:tcPr>
            <w:tcW w:w="2177" w:type="dxa"/>
            <w:tcBorders>
              <w:top w:val="nil"/>
              <w:left w:val="nil"/>
              <w:bottom w:val="single" w:sz="8" w:space="0" w:color="auto"/>
              <w:right w:val="single" w:sz="8" w:space="0" w:color="auto"/>
            </w:tcBorders>
            <w:noWrap/>
            <w:hideMark/>
          </w:tcPr>
          <w:p w14:paraId="1B17B45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-3 709 788</w:t>
            </w:r>
          </w:p>
        </w:tc>
      </w:tr>
      <w:tr w:rsidR="00961262" w:rsidRPr="00961262" w14:paraId="19E672EA"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4F263D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42</w:t>
            </w:r>
          </w:p>
        </w:tc>
        <w:tc>
          <w:tcPr>
            <w:tcW w:w="6600" w:type="dxa"/>
            <w:tcBorders>
              <w:top w:val="nil"/>
              <w:left w:val="nil"/>
              <w:bottom w:val="single" w:sz="8" w:space="0" w:color="auto"/>
              <w:right w:val="single" w:sz="8" w:space="0" w:color="auto"/>
            </w:tcBorders>
            <w:noWrap/>
            <w:hideMark/>
          </w:tcPr>
          <w:p w14:paraId="21EE24ED"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"Paula Stradiņa klīniskā universitātes slimnīca"</w:t>
            </w:r>
          </w:p>
        </w:tc>
        <w:tc>
          <w:tcPr>
            <w:tcW w:w="2121" w:type="dxa"/>
            <w:tcBorders>
              <w:top w:val="nil"/>
              <w:left w:val="nil"/>
              <w:bottom w:val="single" w:sz="8" w:space="0" w:color="auto"/>
              <w:right w:val="single" w:sz="8" w:space="0" w:color="auto"/>
            </w:tcBorders>
            <w:noWrap/>
            <w:hideMark/>
          </w:tcPr>
          <w:p w14:paraId="480B537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203 546 254</w:t>
            </w:r>
          </w:p>
        </w:tc>
        <w:tc>
          <w:tcPr>
            <w:tcW w:w="2121" w:type="dxa"/>
            <w:tcBorders>
              <w:top w:val="nil"/>
              <w:left w:val="nil"/>
              <w:bottom w:val="single" w:sz="8" w:space="0" w:color="auto"/>
              <w:right w:val="single" w:sz="8" w:space="0" w:color="auto"/>
            </w:tcBorders>
            <w:noWrap/>
            <w:hideMark/>
          </w:tcPr>
          <w:p w14:paraId="758CEA7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207 370 778</w:t>
            </w:r>
          </w:p>
        </w:tc>
        <w:tc>
          <w:tcPr>
            <w:tcW w:w="2177" w:type="dxa"/>
            <w:tcBorders>
              <w:top w:val="nil"/>
              <w:left w:val="nil"/>
              <w:bottom w:val="single" w:sz="8" w:space="0" w:color="auto"/>
              <w:right w:val="single" w:sz="8" w:space="0" w:color="auto"/>
            </w:tcBorders>
            <w:noWrap/>
            <w:hideMark/>
          </w:tcPr>
          <w:p w14:paraId="3A0CD8D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-3 824 524</w:t>
            </w:r>
          </w:p>
        </w:tc>
      </w:tr>
      <w:tr w:rsidR="00961262" w:rsidRPr="00961262" w14:paraId="6462E1AE"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8D33C3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43</w:t>
            </w:r>
          </w:p>
        </w:tc>
        <w:tc>
          <w:tcPr>
            <w:tcW w:w="6600" w:type="dxa"/>
            <w:tcBorders>
              <w:top w:val="nil"/>
              <w:left w:val="nil"/>
              <w:bottom w:val="single" w:sz="8" w:space="0" w:color="auto"/>
              <w:right w:val="single" w:sz="8" w:space="0" w:color="auto"/>
            </w:tcBorders>
            <w:noWrap/>
            <w:hideMark/>
          </w:tcPr>
          <w:p w14:paraId="1AB9250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"Piejūras slimnīca"</w:t>
            </w:r>
          </w:p>
        </w:tc>
        <w:tc>
          <w:tcPr>
            <w:tcW w:w="2121" w:type="dxa"/>
            <w:tcBorders>
              <w:top w:val="nil"/>
              <w:left w:val="nil"/>
              <w:bottom w:val="single" w:sz="8" w:space="0" w:color="auto"/>
              <w:right w:val="single" w:sz="8" w:space="0" w:color="auto"/>
            </w:tcBorders>
            <w:noWrap/>
            <w:hideMark/>
          </w:tcPr>
          <w:p w14:paraId="4BCF4A3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6 549 700</w:t>
            </w:r>
          </w:p>
        </w:tc>
        <w:tc>
          <w:tcPr>
            <w:tcW w:w="2121" w:type="dxa"/>
            <w:tcBorders>
              <w:top w:val="nil"/>
              <w:left w:val="nil"/>
              <w:bottom w:val="single" w:sz="8" w:space="0" w:color="auto"/>
              <w:right w:val="single" w:sz="8" w:space="0" w:color="auto"/>
            </w:tcBorders>
            <w:noWrap/>
            <w:hideMark/>
          </w:tcPr>
          <w:p w14:paraId="6A5F592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6 266 252</w:t>
            </w:r>
          </w:p>
        </w:tc>
        <w:tc>
          <w:tcPr>
            <w:tcW w:w="2177" w:type="dxa"/>
            <w:tcBorders>
              <w:top w:val="nil"/>
              <w:left w:val="nil"/>
              <w:bottom w:val="single" w:sz="8" w:space="0" w:color="auto"/>
              <w:right w:val="single" w:sz="8" w:space="0" w:color="auto"/>
            </w:tcBorders>
            <w:noWrap/>
            <w:hideMark/>
          </w:tcPr>
          <w:p w14:paraId="66EB1A7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283 448</w:t>
            </w:r>
          </w:p>
        </w:tc>
      </w:tr>
      <w:tr w:rsidR="00961262" w:rsidRPr="00961262" w14:paraId="28B6941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078AE9F"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44</w:t>
            </w:r>
          </w:p>
        </w:tc>
        <w:tc>
          <w:tcPr>
            <w:tcW w:w="6600" w:type="dxa"/>
            <w:tcBorders>
              <w:top w:val="nil"/>
              <w:left w:val="nil"/>
              <w:bottom w:val="single" w:sz="8" w:space="0" w:color="auto"/>
              <w:right w:val="single" w:sz="8" w:space="0" w:color="auto"/>
            </w:tcBorders>
            <w:noWrap/>
            <w:hideMark/>
          </w:tcPr>
          <w:p w14:paraId="70CFDE8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"Publisko aktīvu pārvaldītājs Possessor"</w:t>
            </w:r>
          </w:p>
        </w:tc>
        <w:tc>
          <w:tcPr>
            <w:tcW w:w="2121" w:type="dxa"/>
            <w:tcBorders>
              <w:top w:val="nil"/>
              <w:left w:val="nil"/>
              <w:bottom w:val="single" w:sz="8" w:space="0" w:color="auto"/>
              <w:right w:val="single" w:sz="8" w:space="0" w:color="auto"/>
            </w:tcBorders>
            <w:noWrap/>
            <w:hideMark/>
          </w:tcPr>
          <w:p w14:paraId="7197E56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3 499 000</w:t>
            </w:r>
          </w:p>
        </w:tc>
        <w:tc>
          <w:tcPr>
            <w:tcW w:w="2121" w:type="dxa"/>
            <w:tcBorders>
              <w:top w:val="nil"/>
              <w:left w:val="nil"/>
              <w:bottom w:val="single" w:sz="8" w:space="0" w:color="auto"/>
              <w:right w:val="single" w:sz="8" w:space="0" w:color="auto"/>
            </w:tcBorders>
            <w:noWrap/>
            <w:hideMark/>
          </w:tcPr>
          <w:p w14:paraId="6B48D25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3 429 650</w:t>
            </w:r>
          </w:p>
        </w:tc>
        <w:tc>
          <w:tcPr>
            <w:tcW w:w="2177" w:type="dxa"/>
            <w:tcBorders>
              <w:top w:val="nil"/>
              <w:left w:val="nil"/>
              <w:bottom w:val="single" w:sz="8" w:space="0" w:color="auto"/>
              <w:right w:val="single" w:sz="8" w:space="0" w:color="auto"/>
            </w:tcBorders>
            <w:noWrap/>
            <w:hideMark/>
          </w:tcPr>
          <w:p w14:paraId="63BB6FA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69 350</w:t>
            </w:r>
          </w:p>
        </w:tc>
      </w:tr>
      <w:tr w:rsidR="00961262" w:rsidRPr="00961262" w14:paraId="40E9B77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F5AE71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45</w:t>
            </w:r>
          </w:p>
        </w:tc>
        <w:tc>
          <w:tcPr>
            <w:tcW w:w="6600" w:type="dxa"/>
            <w:tcBorders>
              <w:top w:val="nil"/>
              <w:left w:val="nil"/>
              <w:bottom w:val="single" w:sz="8" w:space="0" w:color="auto"/>
              <w:right w:val="single" w:sz="8" w:space="0" w:color="auto"/>
            </w:tcBorders>
            <w:noWrap/>
            <w:hideMark/>
          </w:tcPr>
          <w:p w14:paraId="5D60C09D"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"REAP"</w:t>
            </w:r>
          </w:p>
        </w:tc>
        <w:tc>
          <w:tcPr>
            <w:tcW w:w="2121" w:type="dxa"/>
            <w:tcBorders>
              <w:top w:val="nil"/>
              <w:left w:val="nil"/>
              <w:bottom w:val="single" w:sz="8" w:space="0" w:color="auto"/>
              <w:right w:val="single" w:sz="8" w:space="0" w:color="auto"/>
            </w:tcBorders>
            <w:noWrap/>
            <w:hideMark/>
          </w:tcPr>
          <w:p w14:paraId="63CA1DB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195 200</w:t>
            </w:r>
          </w:p>
        </w:tc>
        <w:tc>
          <w:tcPr>
            <w:tcW w:w="2121" w:type="dxa"/>
            <w:tcBorders>
              <w:top w:val="nil"/>
              <w:left w:val="nil"/>
              <w:bottom w:val="single" w:sz="8" w:space="0" w:color="auto"/>
              <w:right w:val="single" w:sz="8" w:space="0" w:color="auto"/>
            </w:tcBorders>
            <w:noWrap/>
            <w:hideMark/>
          </w:tcPr>
          <w:p w14:paraId="5BE3487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195 200</w:t>
            </w:r>
          </w:p>
        </w:tc>
        <w:tc>
          <w:tcPr>
            <w:tcW w:w="2177" w:type="dxa"/>
            <w:tcBorders>
              <w:top w:val="nil"/>
              <w:left w:val="nil"/>
              <w:bottom w:val="single" w:sz="8" w:space="0" w:color="auto"/>
              <w:right w:val="single" w:sz="8" w:space="0" w:color="auto"/>
            </w:tcBorders>
            <w:noWrap/>
            <w:hideMark/>
          </w:tcPr>
          <w:p w14:paraId="39605D5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7AE5D615"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12FF013"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46</w:t>
            </w:r>
          </w:p>
        </w:tc>
        <w:tc>
          <w:tcPr>
            <w:tcW w:w="6600" w:type="dxa"/>
            <w:tcBorders>
              <w:top w:val="nil"/>
              <w:left w:val="nil"/>
              <w:bottom w:val="single" w:sz="8" w:space="0" w:color="auto"/>
              <w:right w:val="single" w:sz="8" w:space="0" w:color="auto"/>
            </w:tcBorders>
            <w:noWrap/>
            <w:hideMark/>
          </w:tcPr>
          <w:p w14:paraId="0719EA5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AS "Reverta"</w:t>
            </w:r>
          </w:p>
        </w:tc>
        <w:tc>
          <w:tcPr>
            <w:tcW w:w="2121" w:type="dxa"/>
            <w:tcBorders>
              <w:top w:val="nil"/>
              <w:left w:val="nil"/>
              <w:bottom w:val="single" w:sz="8" w:space="0" w:color="auto"/>
              <w:right w:val="single" w:sz="8" w:space="0" w:color="auto"/>
            </w:tcBorders>
            <w:noWrap/>
            <w:hideMark/>
          </w:tcPr>
          <w:p w14:paraId="083EB7A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noWrap/>
            <w:hideMark/>
          </w:tcPr>
          <w:p w14:paraId="6917A10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noWrap/>
            <w:hideMark/>
          </w:tcPr>
          <w:p w14:paraId="4A88BDC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492E99C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E52CC7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47</w:t>
            </w:r>
          </w:p>
        </w:tc>
        <w:tc>
          <w:tcPr>
            <w:tcW w:w="6600" w:type="dxa"/>
            <w:tcBorders>
              <w:top w:val="nil"/>
              <w:left w:val="nil"/>
              <w:bottom w:val="single" w:sz="8" w:space="0" w:color="auto"/>
              <w:right w:val="single" w:sz="8" w:space="0" w:color="auto"/>
            </w:tcBorders>
            <w:noWrap/>
            <w:hideMark/>
          </w:tcPr>
          <w:p w14:paraId="297A5C7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Austrumu klīniskā universitātes slimnīca"</w:t>
            </w:r>
          </w:p>
        </w:tc>
        <w:tc>
          <w:tcPr>
            <w:tcW w:w="2121" w:type="dxa"/>
            <w:tcBorders>
              <w:top w:val="nil"/>
              <w:left w:val="nil"/>
              <w:bottom w:val="single" w:sz="8" w:space="0" w:color="auto"/>
              <w:right w:val="single" w:sz="8" w:space="0" w:color="auto"/>
            </w:tcBorders>
            <w:noWrap/>
            <w:hideMark/>
          </w:tcPr>
          <w:p w14:paraId="563A821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279 345 000</w:t>
            </w:r>
          </w:p>
        </w:tc>
        <w:tc>
          <w:tcPr>
            <w:tcW w:w="2121" w:type="dxa"/>
            <w:tcBorders>
              <w:top w:val="nil"/>
              <w:left w:val="nil"/>
              <w:bottom w:val="single" w:sz="8" w:space="0" w:color="auto"/>
              <w:right w:val="single" w:sz="8" w:space="0" w:color="auto"/>
            </w:tcBorders>
            <w:noWrap/>
            <w:hideMark/>
          </w:tcPr>
          <w:p w14:paraId="1D9DC16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279 541 713</w:t>
            </w:r>
          </w:p>
        </w:tc>
        <w:tc>
          <w:tcPr>
            <w:tcW w:w="2177" w:type="dxa"/>
            <w:tcBorders>
              <w:top w:val="nil"/>
              <w:left w:val="nil"/>
              <w:bottom w:val="single" w:sz="8" w:space="0" w:color="auto"/>
              <w:right w:val="single" w:sz="8" w:space="0" w:color="auto"/>
            </w:tcBorders>
            <w:noWrap/>
            <w:hideMark/>
          </w:tcPr>
          <w:p w14:paraId="4810D7A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-196 713</w:t>
            </w:r>
          </w:p>
        </w:tc>
      </w:tr>
      <w:tr w:rsidR="00961262" w:rsidRPr="00961262" w14:paraId="5B657E4E"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BCD6AC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48</w:t>
            </w:r>
          </w:p>
        </w:tc>
        <w:tc>
          <w:tcPr>
            <w:tcW w:w="6600" w:type="dxa"/>
            <w:tcBorders>
              <w:top w:val="nil"/>
              <w:left w:val="nil"/>
              <w:bottom w:val="single" w:sz="8" w:space="0" w:color="auto"/>
              <w:right w:val="single" w:sz="8" w:space="0" w:color="auto"/>
            </w:tcBorders>
            <w:noWrap/>
            <w:hideMark/>
          </w:tcPr>
          <w:p w14:paraId="3285990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"Rīgas Cirks"</w:t>
            </w:r>
          </w:p>
        </w:tc>
        <w:tc>
          <w:tcPr>
            <w:tcW w:w="2121" w:type="dxa"/>
            <w:tcBorders>
              <w:top w:val="nil"/>
              <w:left w:val="nil"/>
              <w:bottom w:val="single" w:sz="8" w:space="0" w:color="auto"/>
              <w:right w:val="single" w:sz="8" w:space="0" w:color="auto"/>
            </w:tcBorders>
            <w:noWrap/>
            <w:hideMark/>
          </w:tcPr>
          <w:p w14:paraId="4A4C616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1 997 070</w:t>
            </w:r>
          </w:p>
        </w:tc>
        <w:tc>
          <w:tcPr>
            <w:tcW w:w="2121" w:type="dxa"/>
            <w:tcBorders>
              <w:top w:val="nil"/>
              <w:left w:val="nil"/>
              <w:bottom w:val="single" w:sz="8" w:space="0" w:color="auto"/>
              <w:right w:val="single" w:sz="8" w:space="0" w:color="auto"/>
            </w:tcBorders>
            <w:noWrap/>
            <w:hideMark/>
          </w:tcPr>
          <w:p w14:paraId="6F40BD2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1 983 560</w:t>
            </w:r>
          </w:p>
        </w:tc>
        <w:tc>
          <w:tcPr>
            <w:tcW w:w="2177" w:type="dxa"/>
            <w:tcBorders>
              <w:top w:val="nil"/>
              <w:left w:val="nil"/>
              <w:bottom w:val="single" w:sz="8" w:space="0" w:color="auto"/>
              <w:right w:val="single" w:sz="8" w:space="0" w:color="auto"/>
            </w:tcBorders>
            <w:noWrap/>
            <w:hideMark/>
          </w:tcPr>
          <w:p w14:paraId="21A53EC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13 510</w:t>
            </w:r>
          </w:p>
        </w:tc>
      </w:tr>
      <w:tr w:rsidR="00961262" w:rsidRPr="00961262" w14:paraId="62ACFABD"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FAB4A6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49</w:t>
            </w:r>
          </w:p>
        </w:tc>
        <w:tc>
          <w:tcPr>
            <w:tcW w:w="6600" w:type="dxa"/>
            <w:tcBorders>
              <w:top w:val="nil"/>
              <w:left w:val="nil"/>
              <w:bottom w:val="single" w:sz="8" w:space="0" w:color="auto"/>
              <w:right w:val="single" w:sz="8" w:space="0" w:color="auto"/>
            </w:tcBorders>
            <w:noWrap/>
            <w:hideMark/>
          </w:tcPr>
          <w:p w14:paraId="495249F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"Rīgas Tūrisma un radošās industrijas tehnikums"</w:t>
            </w:r>
          </w:p>
        </w:tc>
        <w:tc>
          <w:tcPr>
            <w:tcW w:w="2121" w:type="dxa"/>
            <w:tcBorders>
              <w:top w:val="nil"/>
              <w:left w:val="nil"/>
              <w:bottom w:val="single" w:sz="8" w:space="0" w:color="auto"/>
              <w:right w:val="single" w:sz="8" w:space="0" w:color="auto"/>
            </w:tcBorders>
            <w:noWrap/>
            <w:hideMark/>
          </w:tcPr>
          <w:p w14:paraId="74ECDF9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8 714 000</w:t>
            </w:r>
          </w:p>
        </w:tc>
        <w:tc>
          <w:tcPr>
            <w:tcW w:w="2121" w:type="dxa"/>
            <w:tcBorders>
              <w:top w:val="nil"/>
              <w:left w:val="nil"/>
              <w:bottom w:val="single" w:sz="8" w:space="0" w:color="auto"/>
              <w:right w:val="single" w:sz="8" w:space="0" w:color="auto"/>
            </w:tcBorders>
            <w:noWrap/>
            <w:hideMark/>
          </w:tcPr>
          <w:p w14:paraId="3E4BD4D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8 646 616</w:t>
            </w:r>
          </w:p>
        </w:tc>
        <w:tc>
          <w:tcPr>
            <w:tcW w:w="2177" w:type="dxa"/>
            <w:tcBorders>
              <w:top w:val="nil"/>
              <w:left w:val="nil"/>
              <w:bottom w:val="single" w:sz="8" w:space="0" w:color="auto"/>
              <w:right w:val="single" w:sz="8" w:space="0" w:color="auto"/>
            </w:tcBorders>
            <w:noWrap/>
            <w:hideMark/>
          </w:tcPr>
          <w:p w14:paraId="7E32171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67 384</w:t>
            </w:r>
          </w:p>
        </w:tc>
      </w:tr>
      <w:tr w:rsidR="00961262" w:rsidRPr="00961262" w14:paraId="6FAF6E29"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11C0AC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50</w:t>
            </w:r>
          </w:p>
        </w:tc>
        <w:tc>
          <w:tcPr>
            <w:tcW w:w="6600" w:type="dxa"/>
            <w:tcBorders>
              <w:top w:val="nil"/>
              <w:left w:val="nil"/>
              <w:bottom w:val="single" w:sz="8" w:space="0" w:color="auto"/>
              <w:right w:val="single" w:sz="8" w:space="0" w:color="auto"/>
            </w:tcBorders>
            <w:noWrap/>
            <w:hideMark/>
          </w:tcPr>
          <w:p w14:paraId="4BD6B0F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"RTU Starptautiskā zinātņu un tehnoloģiju skola"</w:t>
            </w:r>
          </w:p>
        </w:tc>
        <w:tc>
          <w:tcPr>
            <w:tcW w:w="2121" w:type="dxa"/>
            <w:tcBorders>
              <w:top w:val="nil"/>
              <w:left w:val="nil"/>
              <w:bottom w:val="single" w:sz="8" w:space="0" w:color="auto"/>
              <w:right w:val="single" w:sz="8" w:space="0" w:color="auto"/>
            </w:tcBorders>
            <w:noWrap/>
            <w:hideMark/>
          </w:tcPr>
          <w:p w14:paraId="064FB57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1 162 799</w:t>
            </w:r>
          </w:p>
        </w:tc>
        <w:tc>
          <w:tcPr>
            <w:tcW w:w="2121" w:type="dxa"/>
            <w:tcBorders>
              <w:top w:val="nil"/>
              <w:left w:val="nil"/>
              <w:bottom w:val="single" w:sz="8" w:space="0" w:color="auto"/>
              <w:right w:val="single" w:sz="8" w:space="0" w:color="auto"/>
            </w:tcBorders>
            <w:noWrap/>
            <w:hideMark/>
          </w:tcPr>
          <w:p w14:paraId="3AF0955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990 440</w:t>
            </w:r>
          </w:p>
        </w:tc>
        <w:tc>
          <w:tcPr>
            <w:tcW w:w="2177" w:type="dxa"/>
            <w:tcBorders>
              <w:top w:val="nil"/>
              <w:left w:val="nil"/>
              <w:bottom w:val="single" w:sz="8" w:space="0" w:color="auto"/>
              <w:right w:val="single" w:sz="8" w:space="0" w:color="auto"/>
            </w:tcBorders>
            <w:noWrap/>
            <w:hideMark/>
          </w:tcPr>
          <w:p w14:paraId="3A9E8DB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172 359</w:t>
            </w:r>
          </w:p>
        </w:tc>
      </w:tr>
      <w:tr w:rsidR="00961262" w:rsidRPr="00961262" w14:paraId="1616EB2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821FC1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51</w:t>
            </w:r>
          </w:p>
        </w:tc>
        <w:tc>
          <w:tcPr>
            <w:tcW w:w="6600" w:type="dxa"/>
            <w:tcBorders>
              <w:top w:val="nil"/>
              <w:left w:val="nil"/>
              <w:bottom w:val="single" w:sz="8" w:space="0" w:color="auto"/>
              <w:right w:val="single" w:sz="8" w:space="0" w:color="auto"/>
            </w:tcBorders>
            <w:noWrap/>
            <w:hideMark/>
          </w:tcPr>
          <w:p w14:paraId="0AD05560"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"Šampētera nams"</w:t>
            </w:r>
          </w:p>
        </w:tc>
        <w:tc>
          <w:tcPr>
            <w:tcW w:w="2121" w:type="dxa"/>
            <w:tcBorders>
              <w:top w:val="nil"/>
              <w:left w:val="nil"/>
              <w:bottom w:val="single" w:sz="8" w:space="0" w:color="auto"/>
              <w:right w:val="single" w:sz="8" w:space="0" w:color="auto"/>
            </w:tcBorders>
            <w:noWrap/>
            <w:hideMark/>
          </w:tcPr>
          <w:p w14:paraId="7567E9A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2 796 550</w:t>
            </w:r>
          </w:p>
        </w:tc>
        <w:tc>
          <w:tcPr>
            <w:tcW w:w="2121" w:type="dxa"/>
            <w:tcBorders>
              <w:top w:val="nil"/>
              <w:left w:val="nil"/>
              <w:bottom w:val="single" w:sz="8" w:space="0" w:color="auto"/>
              <w:right w:val="single" w:sz="8" w:space="0" w:color="auto"/>
            </w:tcBorders>
            <w:noWrap/>
            <w:hideMark/>
          </w:tcPr>
          <w:p w14:paraId="2E7B010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2 769 015</w:t>
            </w:r>
          </w:p>
        </w:tc>
        <w:tc>
          <w:tcPr>
            <w:tcW w:w="2177" w:type="dxa"/>
            <w:tcBorders>
              <w:top w:val="nil"/>
              <w:left w:val="nil"/>
              <w:bottom w:val="single" w:sz="8" w:space="0" w:color="auto"/>
              <w:right w:val="single" w:sz="8" w:space="0" w:color="auto"/>
            </w:tcBorders>
            <w:noWrap/>
            <w:hideMark/>
          </w:tcPr>
          <w:p w14:paraId="3FE3829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27 535</w:t>
            </w:r>
          </w:p>
        </w:tc>
      </w:tr>
      <w:tr w:rsidR="00961262" w:rsidRPr="00961262" w14:paraId="140E0D8C"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846EA8B"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52</w:t>
            </w:r>
          </w:p>
        </w:tc>
        <w:tc>
          <w:tcPr>
            <w:tcW w:w="6600" w:type="dxa"/>
            <w:tcBorders>
              <w:top w:val="nil"/>
              <w:left w:val="nil"/>
              <w:bottom w:val="single" w:sz="8" w:space="0" w:color="auto"/>
              <w:right w:val="single" w:sz="8" w:space="0" w:color="auto"/>
            </w:tcBorders>
            <w:noWrap/>
            <w:hideMark/>
          </w:tcPr>
          <w:p w14:paraId="23A087A7"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"Starptautiskā Rakstnieku un tulkotāju māja"</w:t>
            </w:r>
          </w:p>
        </w:tc>
        <w:tc>
          <w:tcPr>
            <w:tcW w:w="2121" w:type="dxa"/>
            <w:tcBorders>
              <w:top w:val="nil"/>
              <w:left w:val="nil"/>
              <w:bottom w:val="single" w:sz="8" w:space="0" w:color="auto"/>
              <w:right w:val="single" w:sz="8" w:space="0" w:color="auto"/>
            </w:tcBorders>
            <w:noWrap/>
            <w:hideMark/>
          </w:tcPr>
          <w:p w14:paraId="6080CB2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845 795</w:t>
            </w:r>
          </w:p>
        </w:tc>
        <w:tc>
          <w:tcPr>
            <w:tcW w:w="2121" w:type="dxa"/>
            <w:tcBorders>
              <w:top w:val="nil"/>
              <w:left w:val="nil"/>
              <w:bottom w:val="single" w:sz="8" w:space="0" w:color="auto"/>
              <w:right w:val="single" w:sz="8" w:space="0" w:color="auto"/>
            </w:tcBorders>
            <w:noWrap/>
            <w:hideMark/>
          </w:tcPr>
          <w:p w14:paraId="47FDE3C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845 737</w:t>
            </w:r>
          </w:p>
        </w:tc>
        <w:tc>
          <w:tcPr>
            <w:tcW w:w="2177" w:type="dxa"/>
            <w:tcBorders>
              <w:top w:val="nil"/>
              <w:left w:val="nil"/>
              <w:bottom w:val="single" w:sz="8" w:space="0" w:color="auto"/>
              <w:right w:val="single" w:sz="8" w:space="0" w:color="auto"/>
            </w:tcBorders>
            <w:noWrap/>
            <w:hideMark/>
          </w:tcPr>
          <w:p w14:paraId="7217BF2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58</w:t>
            </w:r>
          </w:p>
        </w:tc>
      </w:tr>
      <w:tr w:rsidR="00961262" w:rsidRPr="00961262" w14:paraId="0EAC1642"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A2A726C"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53</w:t>
            </w:r>
          </w:p>
        </w:tc>
        <w:tc>
          <w:tcPr>
            <w:tcW w:w="6600" w:type="dxa"/>
            <w:tcBorders>
              <w:top w:val="nil"/>
              <w:left w:val="nil"/>
              <w:bottom w:val="single" w:sz="8" w:space="0" w:color="auto"/>
              <w:right w:val="single" w:sz="8" w:space="0" w:color="auto"/>
            </w:tcBorders>
            <w:noWrap/>
            <w:hideMark/>
          </w:tcPr>
          <w:p w14:paraId="49748CC6"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"Strenču psihoneiroloģiskā slimnīca"</w:t>
            </w:r>
          </w:p>
        </w:tc>
        <w:tc>
          <w:tcPr>
            <w:tcW w:w="2121" w:type="dxa"/>
            <w:tcBorders>
              <w:top w:val="nil"/>
              <w:left w:val="nil"/>
              <w:bottom w:val="single" w:sz="8" w:space="0" w:color="auto"/>
              <w:right w:val="single" w:sz="8" w:space="0" w:color="auto"/>
            </w:tcBorders>
            <w:noWrap/>
            <w:hideMark/>
          </w:tcPr>
          <w:p w14:paraId="1749655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10 135 000</w:t>
            </w:r>
          </w:p>
        </w:tc>
        <w:tc>
          <w:tcPr>
            <w:tcW w:w="2121" w:type="dxa"/>
            <w:tcBorders>
              <w:top w:val="nil"/>
              <w:left w:val="nil"/>
              <w:bottom w:val="single" w:sz="8" w:space="0" w:color="auto"/>
              <w:right w:val="single" w:sz="8" w:space="0" w:color="auto"/>
            </w:tcBorders>
            <w:noWrap/>
            <w:hideMark/>
          </w:tcPr>
          <w:p w14:paraId="75C28E0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11 405 108</w:t>
            </w:r>
          </w:p>
        </w:tc>
        <w:tc>
          <w:tcPr>
            <w:tcW w:w="2177" w:type="dxa"/>
            <w:tcBorders>
              <w:top w:val="nil"/>
              <w:left w:val="nil"/>
              <w:bottom w:val="single" w:sz="8" w:space="0" w:color="auto"/>
              <w:right w:val="single" w:sz="8" w:space="0" w:color="auto"/>
            </w:tcBorders>
            <w:noWrap/>
            <w:hideMark/>
          </w:tcPr>
          <w:p w14:paraId="43CF9C4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-1 270 108</w:t>
            </w:r>
          </w:p>
        </w:tc>
      </w:tr>
      <w:tr w:rsidR="00961262" w:rsidRPr="00961262" w14:paraId="3AD430DC"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ADEA51C"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54</w:t>
            </w:r>
          </w:p>
        </w:tc>
        <w:tc>
          <w:tcPr>
            <w:tcW w:w="6600" w:type="dxa"/>
            <w:tcBorders>
              <w:top w:val="nil"/>
              <w:left w:val="nil"/>
              <w:bottom w:val="single" w:sz="8" w:space="0" w:color="auto"/>
              <w:right w:val="single" w:sz="8" w:space="0" w:color="auto"/>
            </w:tcBorders>
            <w:noWrap/>
            <w:hideMark/>
          </w:tcPr>
          <w:p w14:paraId="4A7119C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"Tiesu namu aģentūra"</w:t>
            </w:r>
          </w:p>
        </w:tc>
        <w:tc>
          <w:tcPr>
            <w:tcW w:w="2121" w:type="dxa"/>
            <w:tcBorders>
              <w:top w:val="nil"/>
              <w:left w:val="nil"/>
              <w:bottom w:val="single" w:sz="8" w:space="0" w:color="auto"/>
              <w:right w:val="single" w:sz="8" w:space="0" w:color="auto"/>
            </w:tcBorders>
            <w:noWrap/>
            <w:hideMark/>
          </w:tcPr>
          <w:p w14:paraId="6FF6FC2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9 350 000</w:t>
            </w:r>
          </w:p>
        </w:tc>
        <w:tc>
          <w:tcPr>
            <w:tcW w:w="2121" w:type="dxa"/>
            <w:tcBorders>
              <w:top w:val="nil"/>
              <w:left w:val="nil"/>
              <w:bottom w:val="single" w:sz="8" w:space="0" w:color="auto"/>
              <w:right w:val="single" w:sz="8" w:space="0" w:color="auto"/>
            </w:tcBorders>
            <w:noWrap/>
            <w:hideMark/>
          </w:tcPr>
          <w:p w14:paraId="7135211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9 350 000</w:t>
            </w:r>
          </w:p>
        </w:tc>
        <w:tc>
          <w:tcPr>
            <w:tcW w:w="2177" w:type="dxa"/>
            <w:tcBorders>
              <w:top w:val="nil"/>
              <w:left w:val="nil"/>
              <w:bottom w:val="single" w:sz="8" w:space="0" w:color="auto"/>
              <w:right w:val="single" w:sz="8" w:space="0" w:color="auto"/>
            </w:tcBorders>
            <w:noWrap/>
            <w:hideMark/>
          </w:tcPr>
          <w:p w14:paraId="1E443C9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7797ECDD"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9634BDF"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55</w:t>
            </w:r>
          </w:p>
        </w:tc>
        <w:tc>
          <w:tcPr>
            <w:tcW w:w="6600" w:type="dxa"/>
            <w:tcBorders>
              <w:top w:val="nil"/>
              <w:left w:val="nil"/>
              <w:bottom w:val="single" w:sz="8" w:space="0" w:color="auto"/>
              <w:right w:val="single" w:sz="8" w:space="0" w:color="auto"/>
            </w:tcBorders>
            <w:noWrap/>
            <w:hideMark/>
          </w:tcPr>
          <w:p w14:paraId="7162B60D"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"Traumatoloģijas un ortopēdijas slimnīca"</w:t>
            </w:r>
          </w:p>
        </w:tc>
        <w:tc>
          <w:tcPr>
            <w:tcW w:w="2121" w:type="dxa"/>
            <w:tcBorders>
              <w:top w:val="nil"/>
              <w:left w:val="nil"/>
              <w:bottom w:val="single" w:sz="8" w:space="0" w:color="auto"/>
              <w:right w:val="single" w:sz="8" w:space="0" w:color="auto"/>
            </w:tcBorders>
            <w:noWrap/>
            <w:hideMark/>
          </w:tcPr>
          <w:p w14:paraId="72EEFD4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32 060 000</w:t>
            </w:r>
          </w:p>
        </w:tc>
        <w:tc>
          <w:tcPr>
            <w:tcW w:w="2121" w:type="dxa"/>
            <w:tcBorders>
              <w:top w:val="nil"/>
              <w:left w:val="nil"/>
              <w:bottom w:val="single" w:sz="8" w:space="0" w:color="auto"/>
              <w:right w:val="single" w:sz="8" w:space="0" w:color="auto"/>
            </w:tcBorders>
            <w:noWrap/>
            <w:hideMark/>
          </w:tcPr>
          <w:p w14:paraId="557807B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32 040 000</w:t>
            </w:r>
          </w:p>
        </w:tc>
        <w:tc>
          <w:tcPr>
            <w:tcW w:w="2177" w:type="dxa"/>
            <w:tcBorders>
              <w:top w:val="nil"/>
              <w:left w:val="nil"/>
              <w:bottom w:val="single" w:sz="8" w:space="0" w:color="auto"/>
              <w:right w:val="single" w:sz="8" w:space="0" w:color="auto"/>
            </w:tcBorders>
            <w:noWrap/>
            <w:hideMark/>
          </w:tcPr>
          <w:p w14:paraId="78CD508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20 000</w:t>
            </w:r>
          </w:p>
        </w:tc>
      </w:tr>
      <w:tr w:rsidR="00961262" w:rsidRPr="00961262" w14:paraId="037C49B7"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1A66CA9B"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56</w:t>
            </w:r>
          </w:p>
        </w:tc>
        <w:tc>
          <w:tcPr>
            <w:tcW w:w="6600" w:type="dxa"/>
            <w:tcBorders>
              <w:top w:val="nil"/>
              <w:left w:val="nil"/>
              <w:bottom w:val="single" w:sz="8" w:space="0" w:color="auto"/>
              <w:right w:val="single" w:sz="8" w:space="0" w:color="auto"/>
            </w:tcBorders>
            <w:noWrap/>
          </w:tcPr>
          <w:p w14:paraId="74775A92"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"Nacionālais rehabilitācijas centrs "Vaivari""</w:t>
            </w:r>
          </w:p>
        </w:tc>
        <w:tc>
          <w:tcPr>
            <w:tcW w:w="2121" w:type="dxa"/>
            <w:tcBorders>
              <w:top w:val="nil"/>
              <w:left w:val="nil"/>
              <w:bottom w:val="single" w:sz="8" w:space="0" w:color="auto"/>
              <w:right w:val="single" w:sz="8" w:space="0" w:color="auto"/>
            </w:tcBorders>
            <w:noWrap/>
          </w:tcPr>
          <w:p w14:paraId="21DA911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27 559 596</w:t>
            </w:r>
          </w:p>
        </w:tc>
        <w:tc>
          <w:tcPr>
            <w:tcW w:w="2121" w:type="dxa"/>
            <w:tcBorders>
              <w:top w:val="nil"/>
              <w:left w:val="nil"/>
              <w:bottom w:val="single" w:sz="8" w:space="0" w:color="auto"/>
              <w:right w:val="single" w:sz="8" w:space="0" w:color="auto"/>
            </w:tcBorders>
            <w:noWrap/>
          </w:tcPr>
          <w:p w14:paraId="58FC271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27 579 453</w:t>
            </w:r>
          </w:p>
        </w:tc>
        <w:tc>
          <w:tcPr>
            <w:tcW w:w="2177" w:type="dxa"/>
            <w:tcBorders>
              <w:top w:val="nil"/>
              <w:left w:val="nil"/>
              <w:bottom w:val="single" w:sz="8" w:space="0" w:color="auto"/>
              <w:right w:val="single" w:sz="8" w:space="0" w:color="auto"/>
            </w:tcBorders>
            <w:noWrap/>
          </w:tcPr>
          <w:p w14:paraId="5C74AF7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-19 857</w:t>
            </w:r>
          </w:p>
        </w:tc>
      </w:tr>
      <w:tr w:rsidR="00961262" w:rsidRPr="00961262" w14:paraId="2E42ABC2"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224B10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57</w:t>
            </w:r>
          </w:p>
        </w:tc>
        <w:tc>
          <w:tcPr>
            <w:tcW w:w="6600" w:type="dxa"/>
            <w:tcBorders>
              <w:top w:val="nil"/>
              <w:left w:val="nil"/>
              <w:bottom w:val="single" w:sz="8" w:space="0" w:color="auto"/>
              <w:right w:val="single" w:sz="8" w:space="0" w:color="auto"/>
            </w:tcBorders>
            <w:noWrap/>
          </w:tcPr>
          <w:p w14:paraId="64A7E7DA"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"Valmieras drāmas teātris"</w:t>
            </w:r>
          </w:p>
        </w:tc>
        <w:tc>
          <w:tcPr>
            <w:tcW w:w="2121" w:type="dxa"/>
            <w:tcBorders>
              <w:top w:val="nil"/>
              <w:left w:val="nil"/>
              <w:bottom w:val="single" w:sz="8" w:space="0" w:color="auto"/>
              <w:right w:val="single" w:sz="8" w:space="0" w:color="auto"/>
            </w:tcBorders>
            <w:noWrap/>
          </w:tcPr>
          <w:p w14:paraId="18768AA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1 163 602</w:t>
            </w:r>
          </w:p>
        </w:tc>
        <w:tc>
          <w:tcPr>
            <w:tcW w:w="2121" w:type="dxa"/>
            <w:tcBorders>
              <w:top w:val="nil"/>
              <w:left w:val="nil"/>
              <w:bottom w:val="single" w:sz="8" w:space="0" w:color="auto"/>
              <w:right w:val="single" w:sz="8" w:space="0" w:color="auto"/>
            </w:tcBorders>
            <w:noWrap/>
          </w:tcPr>
          <w:p w14:paraId="16B14D0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1 157 481</w:t>
            </w:r>
          </w:p>
        </w:tc>
        <w:tc>
          <w:tcPr>
            <w:tcW w:w="2177" w:type="dxa"/>
            <w:tcBorders>
              <w:top w:val="nil"/>
              <w:left w:val="nil"/>
              <w:bottom w:val="single" w:sz="8" w:space="0" w:color="auto"/>
              <w:right w:val="single" w:sz="8" w:space="0" w:color="auto"/>
            </w:tcBorders>
            <w:noWrap/>
          </w:tcPr>
          <w:p w14:paraId="2AE5002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6 121</w:t>
            </w:r>
          </w:p>
        </w:tc>
      </w:tr>
      <w:tr w:rsidR="00961262" w:rsidRPr="00961262" w14:paraId="0467EDFF"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4EC40D0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58</w:t>
            </w:r>
          </w:p>
        </w:tc>
        <w:tc>
          <w:tcPr>
            <w:tcW w:w="6600" w:type="dxa"/>
            <w:tcBorders>
              <w:top w:val="nil"/>
              <w:left w:val="nil"/>
              <w:bottom w:val="single" w:sz="8" w:space="0" w:color="auto"/>
              <w:right w:val="single" w:sz="8" w:space="0" w:color="auto"/>
            </w:tcBorders>
            <w:noWrap/>
          </w:tcPr>
          <w:p w14:paraId="5235111F"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"Valsts aizsardzības korporācijas"</w:t>
            </w:r>
          </w:p>
        </w:tc>
        <w:tc>
          <w:tcPr>
            <w:tcW w:w="2121" w:type="dxa"/>
            <w:tcBorders>
              <w:top w:val="nil"/>
              <w:left w:val="nil"/>
              <w:bottom w:val="single" w:sz="8" w:space="0" w:color="auto"/>
              <w:right w:val="single" w:sz="8" w:space="0" w:color="auto"/>
            </w:tcBorders>
            <w:noWrap/>
          </w:tcPr>
          <w:p w14:paraId="58DEBFF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23 538 468</w:t>
            </w:r>
          </w:p>
        </w:tc>
        <w:tc>
          <w:tcPr>
            <w:tcW w:w="2121" w:type="dxa"/>
            <w:tcBorders>
              <w:top w:val="nil"/>
              <w:left w:val="nil"/>
              <w:bottom w:val="single" w:sz="8" w:space="0" w:color="auto"/>
              <w:right w:val="single" w:sz="8" w:space="0" w:color="auto"/>
            </w:tcBorders>
            <w:noWrap/>
          </w:tcPr>
          <w:p w14:paraId="7476F0D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19 783 641</w:t>
            </w:r>
          </w:p>
        </w:tc>
        <w:tc>
          <w:tcPr>
            <w:tcW w:w="2177" w:type="dxa"/>
            <w:tcBorders>
              <w:top w:val="nil"/>
              <w:left w:val="nil"/>
              <w:bottom w:val="single" w:sz="8" w:space="0" w:color="auto"/>
              <w:right w:val="single" w:sz="8" w:space="0" w:color="auto"/>
            </w:tcBorders>
            <w:noWrap/>
          </w:tcPr>
          <w:p w14:paraId="12027C5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3 754 827</w:t>
            </w:r>
          </w:p>
        </w:tc>
      </w:tr>
      <w:tr w:rsidR="00961262" w:rsidRPr="00961262" w14:paraId="2055F7AB"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221F67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59</w:t>
            </w:r>
          </w:p>
        </w:tc>
        <w:tc>
          <w:tcPr>
            <w:tcW w:w="6600" w:type="dxa"/>
            <w:tcBorders>
              <w:top w:val="nil"/>
              <w:left w:val="nil"/>
              <w:bottom w:val="single" w:sz="8" w:space="0" w:color="auto"/>
              <w:right w:val="single" w:sz="8" w:space="0" w:color="auto"/>
            </w:tcBorders>
            <w:noWrap/>
          </w:tcPr>
          <w:p w14:paraId="0BF87711"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AS "Valsts nekustamie īpašumi"</w:t>
            </w:r>
          </w:p>
        </w:tc>
        <w:tc>
          <w:tcPr>
            <w:tcW w:w="2121" w:type="dxa"/>
            <w:tcBorders>
              <w:top w:val="nil"/>
              <w:left w:val="nil"/>
              <w:bottom w:val="single" w:sz="8" w:space="0" w:color="auto"/>
              <w:right w:val="single" w:sz="8" w:space="0" w:color="auto"/>
            </w:tcBorders>
            <w:noWrap/>
          </w:tcPr>
          <w:p w14:paraId="55FC801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48 207 181</w:t>
            </w:r>
          </w:p>
        </w:tc>
        <w:tc>
          <w:tcPr>
            <w:tcW w:w="2121" w:type="dxa"/>
            <w:tcBorders>
              <w:top w:val="nil"/>
              <w:left w:val="nil"/>
              <w:bottom w:val="single" w:sz="8" w:space="0" w:color="auto"/>
              <w:right w:val="single" w:sz="8" w:space="0" w:color="auto"/>
            </w:tcBorders>
            <w:noWrap/>
          </w:tcPr>
          <w:p w14:paraId="52CC00E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50 467 195</w:t>
            </w:r>
          </w:p>
        </w:tc>
        <w:tc>
          <w:tcPr>
            <w:tcW w:w="2177" w:type="dxa"/>
            <w:tcBorders>
              <w:top w:val="nil"/>
              <w:left w:val="nil"/>
              <w:bottom w:val="single" w:sz="8" w:space="0" w:color="auto"/>
              <w:right w:val="single" w:sz="8" w:space="0" w:color="auto"/>
            </w:tcBorders>
            <w:noWrap/>
          </w:tcPr>
          <w:p w14:paraId="774B570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-2 260 014</w:t>
            </w:r>
          </w:p>
        </w:tc>
      </w:tr>
      <w:tr w:rsidR="00961262" w:rsidRPr="00961262" w14:paraId="06B9F1D6"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1D0B0C0D"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60</w:t>
            </w:r>
          </w:p>
        </w:tc>
        <w:tc>
          <w:tcPr>
            <w:tcW w:w="6600" w:type="dxa"/>
            <w:tcBorders>
              <w:top w:val="nil"/>
              <w:left w:val="nil"/>
              <w:bottom w:val="single" w:sz="8" w:space="0" w:color="auto"/>
              <w:right w:val="single" w:sz="8" w:space="0" w:color="auto"/>
            </w:tcBorders>
            <w:noWrap/>
          </w:tcPr>
          <w:p w14:paraId="4BDA19A7"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"Vides investīciju fonds"</w:t>
            </w:r>
          </w:p>
        </w:tc>
        <w:tc>
          <w:tcPr>
            <w:tcW w:w="2121" w:type="dxa"/>
            <w:tcBorders>
              <w:top w:val="nil"/>
              <w:left w:val="nil"/>
              <w:bottom w:val="single" w:sz="8" w:space="0" w:color="auto"/>
              <w:right w:val="single" w:sz="8" w:space="0" w:color="auto"/>
            </w:tcBorders>
            <w:noWrap/>
          </w:tcPr>
          <w:p w14:paraId="0916E7B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1 314 816</w:t>
            </w:r>
          </w:p>
        </w:tc>
        <w:tc>
          <w:tcPr>
            <w:tcW w:w="2121" w:type="dxa"/>
            <w:tcBorders>
              <w:top w:val="nil"/>
              <w:left w:val="nil"/>
              <w:bottom w:val="single" w:sz="8" w:space="0" w:color="auto"/>
              <w:right w:val="single" w:sz="8" w:space="0" w:color="auto"/>
            </w:tcBorders>
            <w:noWrap/>
          </w:tcPr>
          <w:p w14:paraId="4EC465B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1 271 264</w:t>
            </w:r>
          </w:p>
        </w:tc>
        <w:tc>
          <w:tcPr>
            <w:tcW w:w="2177" w:type="dxa"/>
            <w:tcBorders>
              <w:top w:val="nil"/>
              <w:left w:val="nil"/>
              <w:bottom w:val="single" w:sz="8" w:space="0" w:color="auto"/>
              <w:right w:val="single" w:sz="8" w:space="0" w:color="auto"/>
            </w:tcBorders>
            <w:noWrap/>
          </w:tcPr>
          <w:p w14:paraId="5F7E2E0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43 552</w:t>
            </w:r>
          </w:p>
        </w:tc>
      </w:tr>
      <w:tr w:rsidR="00961262" w:rsidRPr="00961262" w14:paraId="087AD792"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267F3FF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61</w:t>
            </w:r>
          </w:p>
        </w:tc>
        <w:tc>
          <w:tcPr>
            <w:tcW w:w="6600" w:type="dxa"/>
            <w:tcBorders>
              <w:top w:val="nil"/>
              <w:left w:val="nil"/>
              <w:bottom w:val="single" w:sz="8" w:space="0" w:color="auto"/>
              <w:right w:val="single" w:sz="8" w:space="0" w:color="auto"/>
            </w:tcBorders>
            <w:noWrap/>
          </w:tcPr>
          <w:p w14:paraId="7AC49F91"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"Zemkopības ministrijas nekustamie īpašumi"</w:t>
            </w:r>
          </w:p>
        </w:tc>
        <w:tc>
          <w:tcPr>
            <w:tcW w:w="2121" w:type="dxa"/>
            <w:tcBorders>
              <w:top w:val="nil"/>
              <w:left w:val="nil"/>
              <w:bottom w:val="single" w:sz="8" w:space="0" w:color="auto"/>
              <w:right w:val="single" w:sz="8" w:space="0" w:color="auto"/>
            </w:tcBorders>
            <w:noWrap/>
          </w:tcPr>
          <w:p w14:paraId="642A858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2 000 000</w:t>
            </w:r>
          </w:p>
        </w:tc>
        <w:tc>
          <w:tcPr>
            <w:tcW w:w="2121" w:type="dxa"/>
            <w:tcBorders>
              <w:top w:val="nil"/>
              <w:left w:val="nil"/>
              <w:bottom w:val="single" w:sz="8" w:space="0" w:color="auto"/>
              <w:right w:val="single" w:sz="8" w:space="0" w:color="auto"/>
            </w:tcBorders>
            <w:noWrap/>
          </w:tcPr>
          <w:p w14:paraId="4E51254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1 965 040</w:t>
            </w:r>
          </w:p>
        </w:tc>
        <w:tc>
          <w:tcPr>
            <w:tcW w:w="2177" w:type="dxa"/>
            <w:tcBorders>
              <w:top w:val="nil"/>
              <w:left w:val="nil"/>
              <w:bottom w:val="single" w:sz="8" w:space="0" w:color="auto"/>
              <w:right w:val="single" w:sz="8" w:space="0" w:color="auto"/>
            </w:tcBorders>
            <w:noWrap/>
          </w:tcPr>
          <w:p w14:paraId="1A10904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34 960</w:t>
            </w:r>
          </w:p>
        </w:tc>
      </w:tr>
      <w:tr w:rsidR="00961262" w:rsidRPr="00961262" w14:paraId="21431209" w14:textId="77777777" w:rsidTr="0052209F">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6BACBA3A"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lastRenderedPageBreak/>
              <w:t>S130330</w:t>
            </w:r>
          </w:p>
        </w:tc>
        <w:tc>
          <w:tcPr>
            <w:tcW w:w="6600" w:type="dxa"/>
            <w:tcBorders>
              <w:top w:val="nil"/>
              <w:left w:val="nil"/>
              <w:bottom w:val="single" w:sz="8" w:space="0" w:color="auto"/>
              <w:right w:val="single" w:sz="8" w:space="0" w:color="auto"/>
            </w:tcBorders>
            <w:shd w:val="clear" w:color="000000" w:fill="DDEBF7"/>
            <w:noWrap/>
            <w:vAlign w:val="center"/>
            <w:hideMark/>
          </w:tcPr>
          <w:p w14:paraId="5C713A2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Pašvaldības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7ECFF5F3"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0B1B760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378C6D1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r>
      <w:tr w:rsidR="00961262" w:rsidRPr="00961262" w14:paraId="3AEC7604"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5179998"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62</w:t>
            </w:r>
          </w:p>
        </w:tc>
        <w:tc>
          <w:tcPr>
            <w:tcW w:w="6600" w:type="dxa"/>
            <w:tcBorders>
              <w:top w:val="nil"/>
              <w:left w:val="nil"/>
              <w:bottom w:val="single" w:sz="8" w:space="0" w:color="auto"/>
              <w:right w:val="single" w:sz="8" w:space="0" w:color="auto"/>
            </w:tcBorders>
            <w:noWrap/>
            <w:hideMark/>
          </w:tcPr>
          <w:p w14:paraId="156C2A2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"Aviasabiedrība "Liepāja""</w:t>
            </w:r>
          </w:p>
        </w:tc>
        <w:tc>
          <w:tcPr>
            <w:tcW w:w="2121" w:type="dxa"/>
            <w:tcBorders>
              <w:top w:val="nil"/>
              <w:left w:val="nil"/>
              <w:bottom w:val="single" w:sz="8" w:space="0" w:color="auto"/>
              <w:right w:val="single" w:sz="8" w:space="0" w:color="auto"/>
            </w:tcBorders>
            <w:noWrap/>
            <w:hideMark/>
          </w:tcPr>
          <w:p w14:paraId="7199A3A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2 038 351</w:t>
            </w:r>
          </w:p>
        </w:tc>
        <w:tc>
          <w:tcPr>
            <w:tcW w:w="2121" w:type="dxa"/>
            <w:tcBorders>
              <w:top w:val="nil"/>
              <w:left w:val="nil"/>
              <w:bottom w:val="single" w:sz="8" w:space="0" w:color="auto"/>
              <w:right w:val="single" w:sz="8" w:space="0" w:color="auto"/>
            </w:tcBorders>
            <w:noWrap/>
            <w:hideMark/>
          </w:tcPr>
          <w:p w14:paraId="2E294D0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1 352 619</w:t>
            </w:r>
          </w:p>
        </w:tc>
        <w:tc>
          <w:tcPr>
            <w:tcW w:w="2177" w:type="dxa"/>
            <w:tcBorders>
              <w:top w:val="nil"/>
              <w:left w:val="nil"/>
              <w:bottom w:val="single" w:sz="8" w:space="0" w:color="auto"/>
              <w:right w:val="single" w:sz="8" w:space="0" w:color="auto"/>
            </w:tcBorders>
            <w:noWrap/>
            <w:hideMark/>
          </w:tcPr>
          <w:p w14:paraId="017D31C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685 732</w:t>
            </w:r>
          </w:p>
        </w:tc>
      </w:tr>
      <w:tr w:rsidR="00961262" w:rsidRPr="00961262" w14:paraId="62997D5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C784A8D"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63</w:t>
            </w:r>
          </w:p>
        </w:tc>
        <w:tc>
          <w:tcPr>
            <w:tcW w:w="6600" w:type="dxa"/>
            <w:tcBorders>
              <w:top w:val="nil"/>
              <w:left w:val="nil"/>
              <w:bottom w:val="single" w:sz="8" w:space="0" w:color="auto"/>
              <w:right w:val="single" w:sz="8" w:space="0" w:color="auto"/>
            </w:tcBorders>
            <w:noWrap/>
            <w:hideMark/>
          </w:tcPr>
          <w:p w14:paraId="4DD0D305"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"Cēsu klīnika"</w:t>
            </w:r>
          </w:p>
        </w:tc>
        <w:tc>
          <w:tcPr>
            <w:tcW w:w="2121" w:type="dxa"/>
            <w:tcBorders>
              <w:top w:val="nil"/>
              <w:left w:val="nil"/>
              <w:bottom w:val="single" w:sz="8" w:space="0" w:color="auto"/>
              <w:right w:val="single" w:sz="8" w:space="0" w:color="auto"/>
            </w:tcBorders>
            <w:noWrap/>
            <w:hideMark/>
          </w:tcPr>
          <w:p w14:paraId="5F3C51D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11 200 000</w:t>
            </w:r>
          </w:p>
        </w:tc>
        <w:tc>
          <w:tcPr>
            <w:tcW w:w="2121" w:type="dxa"/>
            <w:tcBorders>
              <w:top w:val="nil"/>
              <w:left w:val="nil"/>
              <w:bottom w:val="single" w:sz="8" w:space="0" w:color="auto"/>
              <w:right w:val="single" w:sz="8" w:space="0" w:color="auto"/>
            </w:tcBorders>
            <w:noWrap/>
            <w:hideMark/>
          </w:tcPr>
          <w:p w14:paraId="281B811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11 200 000</w:t>
            </w:r>
          </w:p>
        </w:tc>
        <w:tc>
          <w:tcPr>
            <w:tcW w:w="2177" w:type="dxa"/>
            <w:tcBorders>
              <w:top w:val="nil"/>
              <w:left w:val="nil"/>
              <w:bottom w:val="single" w:sz="8" w:space="0" w:color="auto"/>
              <w:right w:val="single" w:sz="8" w:space="0" w:color="auto"/>
            </w:tcBorders>
            <w:noWrap/>
            <w:hideMark/>
          </w:tcPr>
          <w:p w14:paraId="423411B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35C66F7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569575B"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64</w:t>
            </w:r>
          </w:p>
        </w:tc>
        <w:tc>
          <w:tcPr>
            <w:tcW w:w="6600" w:type="dxa"/>
            <w:tcBorders>
              <w:top w:val="nil"/>
              <w:left w:val="nil"/>
              <w:bottom w:val="single" w:sz="8" w:space="0" w:color="auto"/>
              <w:right w:val="single" w:sz="8" w:space="0" w:color="auto"/>
            </w:tcBorders>
            <w:noWrap/>
            <w:hideMark/>
          </w:tcPr>
          <w:p w14:paraId="25490A1D"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"Daugavpils bērnu veselības centrs"</w:t>
            </w:r>
          </w:p>
        </w:tc>
        <w:tc>
          <w:tcPr>
            <w:tcW w:w="2121" w:type="dxa"/>
            <w:tcBorders>
              <w:top w:val="nil"/>
              <w:left w:val="nil"/>
              <w:bottom w:val="single" w:sz="8" w:space="0" w:color="auto"/>
              <w:right w:val="single" w:sz="8" w:space="0" w:color="auto"/>
            </w:tcBorders>
            <w:noWrap/>
            <w:hideMark/>
          </w:tcPr>
          <w:p w14:paraId="7E15BC0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2 820 690</w:t>
            </w:r>
          </w:p>
        </w:tc>
        <w:tc>
          <w:tcPr>
            <w:tcW w:w="2121" w:type="dxa"/>
            <w:tcBorders>
              <w:top w:val="nil"/>
              <w:left w:val="nil"/>
              <w:bottom w:val="single" w:sz="8" w:space="0" w:color="auto"/>
              <w:right w:val="single" w:sz="8" w:space="0" w:color="auto"/>
            </w:tcBorders>
            <w:noWrap/>
            <w:hideMark/>
          </w:tcPr>
          <w:p w14:paraId="22DB029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2 810 960</w:t>
            </w:r>
          </w:p>
        </w:tc>
        <w:tc>
          <w:tcPr>
            <w:tcW w:w="2177" w:type="dxa"/>
            <w:tcBorders>
              <w:top w:val="nil"/>
              <w:left w:val="nil"/>
              <w:bottom w:val="single" w:sz="8" w:space="0" w:color="auto"/>
              <w:right w:val="single" w:sz="8" w:space="0" w:color="auto"/>
            </w:tcBorders>
            <w:noWrap/>
            <w:hideMark/>
          </w:tcPr>
          <w:p w14:paraId="46FEBDD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9 730</w:t>
            </w:r>
          </w:p>
        </w:tc>
      </w:tr>
      <w:tr w:rsidR="00961262" w:rsidRPr="00961262" w14:paraId="304B87DC"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8AE500B"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65</w:t>
            </w:r>
          </w:p>
        </w:tc>
        <w:tc>
          <w:tcPr>
            <w:tcW w:w="6600" w:type="dxa"/>
            <w:tcBorders>
              <w:top w:val="nil"/>
              <w:left w:val="nil"/>
              <w:bottom w:val="single" w:sz="8" w:space="0" w:color="auto"/>
              <w:right w:val="single" w:sz="8" w:space="0" w:color="auto"/>
            </w:tcBorders>
            <w:noWrap/>
            <w:hideMark/>
          </w:tcPr>
          <w:p w14:paraId="7241717D"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AS "Daugavpils satiksme"</w:t>
            </w:r>
          </w:p>
        </w:tc>
        <w:tc>
          <w:tcPr>
            <w:tcW w:w="2121" w:type="dxa"/>
            <w:tcBorders>
              <w:top w:val="nil"/>
              <w:left w:val="nil"/>
              <w:bottom w:val="single" w:sz="8" w:space="0" w:color="auto"/>
              <w:right w:val="single" w:sz="8" w:space="0" w:color="auto"/>
            </w:tcBorders>
            <w:noWrap/>
            <w:hideMark/>
          </w:tcPr>
          <w:p w14:paraId="53ABAAC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13 390 867</w:t>
            </w:r>
          </w:p>
        </w:tc>
        <w:tc>
          <w:tcPr>
            <w:tcW w:w="2121" w:type="dxa"/>
            <w:tcBorders>
              <w:top w:val="nil"/>
              <w:left w:val="nil"/>
              <w:bottom w:val="single" w:sz="8" w:space="0" w:color="auto"/>
              <w:right w:val="single" w:sz="8" w:space="0" w:color="auto"/>
            </w:tcBorders>
            <w:noWrap/>
            <w:hideMark/>
          </w:tcPr>
          <w:p w14:paraId="7BC3F44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13 291 777</w:t>
            </w:r>
          </w:p>
        </w:tc>
        <w:tc>
          <w:tcPr>
            <w:tcW w:w="2177" w:type="dxa"/>
            <w:tcBorders>
              <w:top w:val="nil"/>
              <w:left w:val="nil"/>
              <w:bottom w:val="single" w:sz="8" w:space="0" w:color="auto"/>
              <w:right w:val="single" w:sz="8" w:space="0" w:color="auto"/>
            </w:tcBorders>
            <w:noWrap/>
            <w:hideMark/>
          </w:tcPr>
          <w:p w14:paraId="277E388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99 090</w:t>
            </w:r>
          </w:p>
        </w:tc>
      </w:tr>
      <w:tr w:rsidR="00961262" w:rsidRPr="00961262" w14:paraId="6A40821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CA7BD37"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66</w:t>
            </w:r>
          </w:p>
        </w:tc>
        <w:tc>
          <w:tcPr>
            <w:tcW w:w="6600" w:type="dxa"/>
            <w:tcBorders>
              <w:top w:val="nil"/>
              <w:left w:val="nil"/>
              <w:bottom w:val="single" w:sz="8" w:space="0" w:color="auto"/>
              <w:right w:val="single" w:sz="8" w:space="0" w:color="auto"/>
            </w:tcBorders>
            <w:noWrap/>
            <w:hideMark/>
          </w:tcPr>
          <w:p w14:paraId="2A12CCF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"Dobeles un apkārtnes slimnīca"</w:t>
            </w:r>
          </w:p>
        </w:tc>
        <w:tc>
          <w:tcPr>
            <w:tcW w:w="2121" w:type="dxa"/>
            <w:tcBorders>
              <w:top w:val="nil"/>
              <w:left w:val="nil"/>
              <w:bottom w:val="single" w:sz="8" w:space="0" w:color="auto"/>
              <w:right w:val="single" w:sz="8" w:space="0" w:color="auto"/>
            </w:tcBorders>
            <w:noWrap/>
            <w:hideMark/>
          </w:tcPr>
          <w:p w14:paraId="2E4DB50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8 311 489</w:t>
            </w:r>
          </w:p>
        </w:tc>
        <w:tc>
          <w:tcPr>
            <w:tcW w:w="2121" w:type="dxa"/>
            <w:tcBorders>
              <w:top w:val="nil"/>
              <w:left w:val="nil"/>
              <w:bottom w:val="single" w:sz="8" w:space="0" w:color="auto"/>
              <w:right w:val="single" w:sz="8" w:space="0" w:color="auto"/>
            </w:tcBorders>
            <w:noWrap/>
            <w:hideMark/>
          </w:tcPr>
          <w:p w14:paraId="7625FE0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8 664 143</w:t>
            </w:r>
          </w:p>
        </w:tc>
        <w:tc>
          <w:tcPr>
            <w:tcW w:w="2177" w:type="dxa"/>
            <w:tcBorders>
              <w:top w:val="nil"/>
              <w:left w:val="nil"/>
              <w:bottom w:val="single" w:sz="8" w:space="0" w:color="auto"/>
              <w:right w:val="single" w:sz="8" w:space="0" w:color="auto"/>
            </w:tcBorders>
            <w:noWrap/>
            <w:hideMark/>
          </w:tcPr>
          <w:p w14:paraId="2A8FD08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-352 654</w:t>
            </w:r>
          </w:p>
        </w:tc>
      </w:tr>
      <w:tr w:rsidR="00961262" w:rsidRPr="00961262" w14:paraId="4AB38A4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7CAC601"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67</w:t>
            </w:r>
          </w:p>
        </w:tc>
        <w:tc>
          <w:tcPr>
            <w:tcW w:w="6600" w:type="dxa"/>
            <w:tcBorders>
              <w:top w:val="nil"/>
              <w:left w:val="nil"/>
              <w:bottom w:val="single" w:sz="8" w:space="0" w:color="auto"/>
              <w:right w:val="single" w:sz="8" w:space="0" w:color="auto"/>
            </w:tcBorders>
            <w:noWrap/>
            <w:hideMark/>
          </w:tcPr>
          <w:p w14:paraId="491AE98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"Jelgavas pilsētas slimnīca"</w:t>
            </w:r>
          </w:p>
        </w:tc>
        <w:tc>
          <w:tcPr>
            <w:tcW w:w="2121" w:type="dxa"/>
            <w:tcBorders>
              <w:top w:val="nil"/>
              <w:left w:val="nil"/>
              <w:bottom w:val="single" w:sz="8" w:space="0" w:color="auto"/>
              <w:right w:val="single" w:sz="8" w:space="0" w:color="auto"/>
            </w:tcBorders>
            <w:noWrap/>
            <w:hideMark/>
          </w:tcPr>
          <w:p w14:paraId="287EDA9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19 896 243</w:t>
            </w:r>
          </w:p>
        </w:tc>
        <w:tc>
          <w:tcPr>
            <w:tcW w:w="2121" w:type="dxa"/>
            <w:tcBorders>
              <w:top w:val="nil"/>
              <w:left w:val="nil"/>
              <w:bottom w:val="single" w:sz="8" w:space="0" w:color="auto"/>
              <w:right w:val="single" w:sz="8" w:space="0" w:color="auto"/>
            </w:tcBorders>
            <w:noWrap/>
            <w:hideMark/>
          </w:tcPr>
          <w:p w14:paraId="2594527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19 626 157</w:t>
            </w:r>
          </w:p>
        </w:tc>
        <w:tc>
          <w:tcPr>
            <w:tcW w:w="2177" w:type="dxa"/>
            <w:tcBorders>
              <w:top w:val="nil"/>
              <w:left w:val="nil"/>
              <w:bottom w:val="single" w:sz="8" w:space="0" w:color="auto"/>
              <w:right w:val="single" w:sz="8" w:space="0" w:color="auto"/>
            </w:tcBorders>
            <w:noWrap/>
            <w:hideMark/>
          </w:tcPr>
          <w:p w14:paraId="462D160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270 086</w:t>
            </w:r>
          </w:p>
        </w:tc>
      </w:tr>
      <w:tr w:rsidR="00961262" w:rsidRPr="00961262" w14:paraId="053ACBCA"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4CC76F2"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68</w:t>
            </w:r>
          </w:p>
        </w:tc>
        <w:tc>
          <w:tcPr>
            <w:tcW w:w="6600" w:type="dxa"/>
            <w:tcBorders>
              <w:top w:val="nil"/>
              <w:left w:val="nil"/>
              <w:bottom w:val="single" w:sz="8" w:space="0" w:color="auto"/>
              <w:right w:val="single" w:sz="8" w:space="0" w:color="auto"/>
            </w:tcBorders>
            <w:noWrap/>
            <w:hideMark/>
          </w:tcPr>
          <w:p w14:paraId="12FC01C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"Jēkabpils reģionālā slimnīca"</w:t>
            </w:r>
          </w:p>
        </w:tc>
        <w:tc>
          <w:tcPr>
            <w:tcW w:w="2121" w:type="dxa"/>
            <w:tcBorders>
              <w:top w:val="nil"/>
              <w:left w:val="nil"/>
              <w:bottom w:val="single" w:sz="8" w:space="0" w:color="auto"/>
              <w:right w:val="single" w:sz="8" w:space="0" w:color="auto"/>
            </w:tcBorders>
            <w:noWrap/>
            <w:hideMark/>
          </w:tcPr>
          <w:p w14:paraId="68DBE27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22 058 194</w:t>
            </w:r>
          </w:p>
        </w:tc>
        <w:tc>
          <w:tcPr>
            <w:tcW w:w="2121" w:type="dxa"/>
            <w:tcBorders>
              <w:top w:val="nil"/>
              <w:left w:val="nil"/>
              <w:bottom w:val="single" w:sz="8" w:space="0" w:color="auto"/>
              <w:right w:val="single" w:sz="8" w:space="0" w:color="auto"/>
            </w:tcBorders>
            <w:noWrap/>
            <w:hideMark/>
          </w:tcPr>
          <w:p w14:paraId="568ACBA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21 750 993</w:t>
            </w:r>
          </w:p>
        </w:tc>
        <w:tc>
          <w:tcPr>
            <w:tcW w:w="2177" w:type="dxa"/>
            <w:tcBorders>
              <w:top w:val="nil"/>
              <w:left w:val="nil"/>
              <w:bottom w:val="single" w:sz="8" w:space="0" w:color="auto"/>
              <w:right w:val="single" w:sz="8" w:space="0" w:color="auto"/>
            </w:tcBorders>
            <w:noWrap/>
            <w:hideMark/>
          </w:tcPr>
          <w:p w14:paraId="25B3FE9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307 201</w:t>
            </w:r>
          </w:p>
        </w:tc>
      </w:tr>
      <w:tr w:rsidR="00961262" w:rsidRPr="00961262" w14:paraId="079990A4"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BA8AB32"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69</w:t>
            </w:r>
          </w:p>
        </w:tc>
        <w:tc>
          <w:tcPr>
            <w:tcW w:w="6600" w:type="dxa"/>
            <w:tcBorders>
              <w:top w:val="nil"/>
              <w:left w:val="nil"/>
              <w:bottom w:val="single" w:sz="8" w:space="0" w:color="auto"/>
              <w:right w:val="single" w:sz="8" w:space="0" w:color="auto"/>
            </w:tcBorders>
            <w:noWrap/>
            <w:hideMark/>
          </w:tcPr>
          <w:p w14:paraId="50BC7A73"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"Jūrmalas slimnīca"</w:t>
            </w:r>
          </w:p>
        </w:tc>
        <w:tc>
          <w:tcPr>
            <w:tcW w:w="2121" w:type="dxa"/>
            <w:tcBorders>
              <w:top w:val="nil"/>
              <w:left w:val="nil"/>
              <w:bottom w:val="single" w:sz="8" w:space="0" w:color="auto"/>
              <w:right w:val="single" w:sz="8" w:space="0" w:color="auto"/>
            </w:tcBorders>
            <w:noWrap/>
            <w:hideMark/>
          </w:tcPr>
          <w:p w14:paraId="69B26D1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13 051 587</w:t>
            </w:r>
          </w:p>
        </w:tc>
        <w:tc>
          <w:tcPr>
            <w:tcW w:w="2121" w:type="dxa"/>
            <w:tcBorders>
              <w:top w:val="nil"/>
              <w:left w:val="nil"/>
              <w:bottom w:val="single" w:sz="8" w:space="0" w:color="auto"/>
              <w:right w:val="single" w:sz="8" w:space="0" w:color="auto"/>
            </w:tcBorders>
            <w:noWrap/>
            <w:hideMark/>
          </w:tcPr>
          <w:p w14:paraId="7D0FC0A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12 407 858</w:t>
            </w:r>
          </w:p>
        </w:tc>
        <w:tc>
          <w:tcPr>
            <w:tcW w:w="2177" w:type="dxa"/>
            <w:tcBorders>
              <w:top w:val="nil"/>
              <w:left w:val="nil"/>
              <w:bottom w:val="single" w:sz="8" w:space="0" w:color="auto"/>
              <w:right w:val="single" w:sz="8" w:space="0" w:color="auto"/>
            </w:tcBorders>
            <w:noWrap/>
            <w:hideMark/>
          </w:tcPr>
          <w:p w14:paraId="605DBFF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643 729</w:t>
            </w:r>
          </w:p>
        </w:tc>
      </w:tr>
      <w:tr w:rsidR="00961262" w:rsidRPr="00961262" w14:paraId="3FE18BD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94EA25F"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70</w:t>
            </w:r>
          </w:p>
        </w:tc>
        <w:tc>
          <w:tcPr>
            <w:tcW w:w="6600" w:type="dxa"/>
            <w:tcBorders>
              <w:top w:val="nil"/>
              <w:left w:val="nil"/>
              <w:bottom w:val="single" w:sz="8" w:space="0" w:color="auto"/>
              <w:right w:val="single" w:sz="8" w:space="0" w:color="auto"/>
            </w:tcBorders>
            <w:noWrap/>
            <w:hideMark/>
          </w:tcPr>
          <w:p w14:paraId="48B7D23B"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"Kuldīgas slimnīca"</w:t>
            </w:r>
          </w:p>
        </w:tc>
        <w:tc>
          <w:tcPr>
            <w:tcW w:w="2121" w:type="dxa"/>
            <w:tcBorders>
              <w:top w:val="nil"/>
              <w:left w:val="nil"/>
              <w:bottom w:val="single" w:sz="8" w:space="0" w:color="auto"/>
              <w:right w:val="single" w:sz="8" w:space="0" w:color="auto"/>
            </w:tcBorders>
            <w:noWrap/>
            <w:hideMark/>
          </w:tcPr>
          <w:p w14:paraId="4F08F25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12 047 619</w:t>
            </w:r>
          </w:p>
        </w:tc>
        <w:tc>
          <w:tcPr>
            <w:tcW w:w="2121" w:type="dxa"/>
            <w:tcBorders>
              <w:top w:val="nil"/>
              <w:left w:val="nil"/>
              <w:bottom w:val="single" w:sz="8" w:space="0" w:color="auto"/>
              <w:right w:val="single" w:sz="8" w:space="0" w:color="auto"/>
            </w:tcBorders>
            <w:noWrap/>
            <w:hideMark/>
          </w:tcPr>
          <w:p w14:paraId="25466D7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12 028 974</w:t>
            </w:r>
          </w:p>
        </w:tc>
        <w:tc>
          <w:tcPr>
            <w:tcW w:w="2177" w:type="dxa"/>
            <w:tcBorders>
              <w:top w:val="nil"/>
              <w:left w:val="nil"/>
              <w:bottom w:val="single" w:sz="8" w:space="0" w:color="auto"/>
              <w:right w:val="single" w:sz="8" w:space="0" w:color="auto"/>
            </w:tcBorders>
            <w:noWrap/>
            <w:hideMark/>
          </w:tcPr>
          <w:p w14:paraId="19E34BD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18 645</w:t>
            </w:r>
          </w:p>
        </w:tc>
      </w:tr>
      <w:tr w:rsidR="00961262" w:rsidRPr="00961262" w14:paraId="46088948"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ABE7FEF"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71</w:t>
            </w:r>
          </w:p>
        </w:tc>
        <w:tc>
          <w:tcPr>
            <w:tcW w:w="6600" w:type="dxa"/>
            <w:tcBorders>
              <w:top w:val="nil"/>
              <w:left w:val="nil"/>
              <w:bottom w:val="single" w:sz="8" w:space="0" w:color="auto"/>
              <w:right w:val="single" w:sz="8" w:space="0" w:color="auto"/>
            </w:tcBorders>
            <w:noWrap/>
            <w:hideMark/>
          </w:tcPr>
          <w:p w14:paraId="093EE2F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"Liepājas Olimpiskais Centrs"</w:t>
            </w:r>
          </w:p>
        </w:tc>
        <w:tc>
          <w:tcPr>
            <w:tcW w:w="2121" w:type="dxa"/>
            <w:tcBorders>
              <w:top w:val="nil"/>
              <w:left w:val="nil"/>
              <w:bottom w:val="single" w:sz="8" w:space="0" w:color="auto"/>
              <w:right w:val="single" w:sz="8" w:space="0" w:color="auto"/>
            </w:tcBorders>
            <w:noWrap/>
            <w:hideMark/>
          </w:tcPr>
          <w:p w14:paraId="4C951FB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3 398 801</w:t>
            </w:r>
          </w:p>
        </w:tc>
        <w:tc>
          <w:tcPr>
            <w:tcW w:w="2121" w:type="dxa"/>
            <w:tcBorders>
              <w:top w:val="nil"/>
              <w:left w:val="nil"/>
              <w:bottom w:val="single" w:sz="8" w:space="0" w:color="auto"/>
              <w:right w:val="single" w:sz="8" w:space="0" w:color="auto"/>
            </w:tcBorders>
            <w:noWrap/>
            <w:hideMark/>
          </w:tcPr>
          <w:p w14:paraId="0FEE024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2 529 120</w:t>
            </w:r>
          </w:p>
        </w:tc>
        <w:tc>
          <w:tcPr>
            <w:tcW w:w="2177" w:type="dxa"/>
            <w:tcBorders>
              <w:top w:val="nil"/>
              <w:left w:val="nil"/>
              <w:bottom w:val="single" w:sz="8" w:space="0" w:color="auto"/>
              <w:right w:val="single" w:sz="8" w:space="0" w:color="auto"/>
            </w:tcBorders>
            <w:noWrap/>
            <w:hideMark/>
          </w:tcPr>
          <w:p w14:paraId="38DB098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869 681</w:t>
            </w:r>
          </w:p>
        </w:tc>
      </w:tr>
      <w:tr w:rsidR="00961262" w:rsidRPr="00961262" w14:paraId="6484C14E"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0876CD1"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72</w:t>
            </w:r>
          </w:p>
        </w:tc>
        <w:tc>
          <w:tcPr>
            <w:tcW w:w="6600" w:type="dxa"/>
            <w:tcBorders>
              <w:top w:val="nil"/>
              <w:left w:val="nil"/>
              <w:bottom w:val="single" w:sz="8" w:space="0" w:color="auto"/>
              <w:right w:val="single" w:sz="8" w:space="0" w:color="auto"/>
            </w:tcBorders>
            <w:noWrap/>
            <w:hideMark/>
          </w:tcPr>
          <w:p w14:paraId="766669B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"Liepājas reģionālā slimnīca"</w:t>
            </w:r>
          </w:p>
        </w:tc>
        <w:tc>
          <w:tcPr>
            <w:tcW w:w="2121" w:type="dxa"/>
            <w:tcBorders>
              <w:top w:val="nil"/>
              <w:left w:val="nil"/>
              <w:bottom w:val="single" w:sz="8" w:space="0" w:color="auto"/>
              <w:right w:val="single" w:sz="8" w:space="0" w:color="auto"/>
            </w:tcBorders>
            <w:noWrap/>
            <w:hideMark/>
          </w:tcPr>
          <w:p w14:paraId="51F2588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48 247 991</w:t>
            </w:r>
          </w:p>
        </w:tc>
        <w:tc>
          <w:tcPr>
            <w:tcW w:w="2121" w:type="dxa"/>
            <w:tcBorders>
              <w:top w:val="nil"/>
              <w:left w:val="nil"/>
              <w:bottom w:val="single" w:sz="8" w:space="0" w:color="auto"/>
              <w:right w:val="single" w:sz="8" w:space="0" w:color="auto"/>
            </w:tcBorders>
            <w:noWrap/>
            <w:hideMark/>
          </w:tcPr>
          <w:p w14:paraId="593A7AE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47 813 308</w:t>
            </w:r>
          </w:p>
        </w:tc>
        <w:tc>
          <w:tcPr>
            <w:tcW w:w="2177" w:type="dxa"/>
            <w:tcBorders>
              <w:top w:val="nil"/>
              <w:left w:val="nil"/>
              <w:bottom w:val="single" w:sz="8" w:space="0" w:color="auto"/>
              <w:right w:val="single" w:sz="8" w:space="0" w:color="auto"/>
            </w:tcBorders>
            <w:noWrap/>
            <w:hideMark/>
          </w:tcPr>
          <w:p w14:paraId="338A87B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434 683</w:t>
            </w:r>
          </w:p>
        </w:tc>
      </w:tr>
      <w:tr w:rsidR="00961262" w:rsidRPr="00961262" w14:paraId="54B9F06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3F8C106"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73</w:t>
            </w:r>
          </w:p>
        </w:tc>
        <w:tc>
          <w:tcPr>
            <w:tcW w:w="6600" w:type="dxa"/>
            <w:tcBorders>
              <w:top w:val="nil"/>
              <w:left w:val="nil"/>
              <w:bottom w:val="single" w:sz="8" w:space="0" w:color="auto"/>
              <w:right w:val="single" w:sz="8" w:space="0" w:color="auto"/>
            </w:tcBorders>
            <w:noWrap/>
            <w:hideMark/>
          </w:tcPr>
          <w:p w14:paraId="0911EE6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"Liepājas tramvajs"</w:t>
            </w:r>
          </w:p>
        </w:tc>
        <w:tc>
          <w:tcPr>
            <w:tcW w:w="2121" w:type="dxa"/>
            <w:tcBorders>
              <w:top w:val="nil"/>
              <w:left w:val="nil"/>
              <w:bottom w:val="single" w:sz="8" w:space="0" w:color="auto"/>
              <w:right w:val="single" w:sz="8" w:space="0" w:color="auto"/>
            </w:tcBorders>
            <w:noWrap/>
            <w:hideMark/>
          </w:tcPr>
          <w:p w14:paraId="0FF3BC7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2 793 215</w:t>
            </w:r>
          </w:p>
        </w:tc>
        <w:tc>
          <w:tcPr>
            <w:tcW w:w="2121" w:type="dxa"/>
            <w:tcBorders>
              <w:top w:val="nil"/>
              <w:left w:val="nil"/>
              <w:bottom w:val="single" w:sz="8" w:space="0" w:color="auto"/>
              <w:right w:val="single" w:sz="8" w:space="0" w:color="auto"/>
            </w:tcBorders>
            <w:noWrap/>
            <w:hideMark/>
          </w:tcPr>
          <w:p w14:paraId="1492BD7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2 793 215</w:t>
            </w:r>
          </w:p>
        </w:tc>
        <w:tc>
          <w:tcPr>
            <w:tcW w:w="2177" w:type="dxa"/>
            <w:tcBorders>
              <w:top w:val="nil"/>
              <w:left w:val="nil"/>
              <w:bottom w:val="single" w:sz="8" w:space="0" w:color="auto"/>
              <w:right w:val="single" w:sz="8" w:space="0" w:color="auto"/>
            </w:tcBorders>
            <w:noWrap/>
            <w:hideMark/>
          </w:tcPr>
          <w:p w14:paraId="5C7A23B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4FD8F44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C47E0ED"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74</w:t>
            </w:r>
          </w:p>
        </w:tc>
        <w:tc>
          <w:tcPr>
            <w:tcW w:w="6600" w:type="dxa"/>
            <w:tcBorders>
              <w:top w:val="nil"/>
              <w:left w:val="nil"/>
              <w:bottom w:val="single" w:sz="8" w:space="0" w:color="auto"/>
              <w:right w:val="single" w:sz="8" w:space="0" w:color="auto"/>
            </w:tcBorders>
            <w:noWrap/>
            <w:hideMark/>
          </w:tcPr>
          <w:p w14:paraId="6C8CD19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"Madonas slimnīca"</w:t>
            </w:r>
          </w:p>
        </w:tc>
        <w:tc>
          <w:tcPr>
            <w:tcW w:w="2121" w:type="dxa"/>
            <w:tcBorders>
              <w:top w:val="nil"/>
              <w:left w:val="nil"/>
              <w:bottom w:val="single" w:sz="8" w:space="0" w:color="auto"/>
              <w:right w:val="single" w:sz="8" w:space="0" w:color="auto"/>
            </w:tcBorders>
            <w:noWrap/>
            <w:hideMark/>
          </w:tcPr>
          <w:p w14:paraId="7150900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17 000 000</w:t>
            </w:r>
          </w:p>
        </w:tc>
        <w:tc>
          <w:tcPr>
            <w:tcW w:w="2121" w:type="dxa"/>
            <w:tcBorders>
              <w:top w:val="nil"/>
              <w:left w:val="nil"/>
              <w:bottom w:val="single" w:sz="8" w:space="0" w:color="auto"/>
              <w:right w:val="single" w:sz="8" w:space="0" w:color="auto"/>
            </w:tcBorders>
            <w:noWrap/>
            <w:hideMark/>
          </w:tcPr>
          <w:p w14:paraId="3AB31D9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16 231 800</w:t>
            </w:r>
          </w:p>
        </w:tc>
        <w:tc>
          <w:tcPr>
            <w:tcW w:w="2177" w:type="dxa"/>
            <w:tcBorders>
              <w:top w:val="nil"/>
              <w:left w:val="nil"/>
              <w:bottom w:val="single" w:sz="8" w:space="0" w:color="auto"/>
              <w:right w:val="single" w:sz="8" w:space="0" w:color="auto"/>
            </w:tcBorders>
            <w:noWrap/>
            <w:hideMark/>
          </w:tcPr>
          <w:p w14:paraId="0483D04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768 200</w:t>
            </w:r>
          </w:p>
        </w:tc>
      </w:tr>
      <w:tr w:rsidR="00961262" w:rsidRPr="00961262" w14:paraId="76FD7914"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1201724"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75</w:t>
            </w:r>
          </w:p>
        </w:tc>
        <w:tc>
          <w:tcPr>
            <w:tcW w:w="6600" w:type="dxa"/>
            <w:tcBorders>
              <w:top w:val="nil"/>
              <w:left w:val="nil"/>
              <w:bottom w:val="single" w:sz="8" w:space="0" w:color="auto"/>
              <w:right w:val="single" w:sz="8" w:space="0" w:color="auto"/>
            </w:tcBorders>
            <w:noWrap/>
            <w:hideMark/>
          </w:tcPr>
          <w:p w14:paraId="5724A7A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"Ogres rajona slimnīca"</w:t>
            </w:r>
          </w:p>
        </w:tc>
        <w:tc>
          <w:tcPr>
            <w:tcW w:w="2121" w:type="dxa"/>
            <w:tcBorders>
              <w:top w:val="nil"/>
              <w:left w:val="nil"/>
              <w:bottom w:val="single" w:sz="8" w:space="0" w:color="auto"/>
              <w:right w:val="single" w:sz="8" w:space="0" w:color="auto"/>
            </w:tcBorders>
            <w:noWrap/>
            <w:hideMark/>
          </w:tcPr>
          <w:p w14:paraId="343FA66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19 406 074</w:t>
            </w:r>
          </w:p>
        </w:tc>
        <w:tc>
          <w:tcPr>
            <w:tcW w:w="2121" w:type="dxa"/>
            <w:tcBorders>
              <w:top w:val="nil"/>
              <w:left w:val="nil"/>
              <w:bottom w:val="single" w:sz="8" w:space="0" w:color="auto"/>
              <w:right w:val="single" w:sz="8" w:space="0" w:color="auto"/>
            </w:tcBorders>
            <w:noWrap/>
            <w:hideMark/>
          </w:tcPr>
          <w:p w14:paraId="08DE976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19 571 704</w:t>
            </w:r>
          </w:p>
        </w:tc>
        <w:tc>
          <w:tcPr>
            <w:tcW w:w="2177" w:type="dxa"/>
            <w:tcBorders>
              <w:top w:val="nil"/>
              <w:left w:val="nil"/>
              <w:bottom w:val="single" w:sz="8" w:space="0" w:color="auto"/>
              <w:right w:val="single" w:sz="8" w:space="0" w:color="auto"/>
            </w:tcBorders>
            <w:noWrap/>
            <w:hideMark/>
          </w:tcPr>
          <w:p w14:paraId="5E622A4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-165 630</w:t>
            </w:r>
          </w:p>
        </w:tc>
      </w:tr>
      <w:tr w:rsidR="00961262" w:rsidRPr="00961262" w14:paraId="48EA44FE"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51ADB70"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76</w:t>
            </w:r>
          </w:p>
        </w:tc>
        <w:tc>
          <w:tcPr>
            <w:tcW w:w="6600" w:type="dxa"/>
            <w:tcBorders>
              <w:top w:val="nil"/>
              <w:left w:val="nil"/>
              <w:bottom w:val="single" w:sz="8" w:space="0" w:color="auto"/>
              <w:right w:val="single" w:sz="8" w:space="0" w:color="auto"/>
            </w:tcBorders>
            <w:noWrap/>
            <w:hideMark/>
          </w:tcPr>
          <w:p w14:paraId="22615C8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"Preiļu slimnīca"</w:t>
            </w:r>
          </w:p>
        </w:tc>
        <w:tc>
          <w:tcPr>
            <w:tcW w:w="2121" w:type="dxa"/>
            <w:tcBorders>
              <w:top w:val="nil"/>
              <w:left w:val="nil"/>
              <w:bottom w:val="single" w:sz="8" w:space="0" w:color="auto"/>
              <w:right w:val="single" w:sz="8" w:space="0" w:color="auto"/>
            </w:tcBorders>
            <w:noWrap/>
            <w:hideMark/>
          </w:tcPr>
          <w:p w14:paraId="0C27CF8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7 081 537</w:t>
            </w:r>
          </w:p>
        </w:tc>
        <w:tc>
          <w:tcPr>
            <w:tcW w:w="2121" w:type="dxa"/>
            <w:tcBorders>
              <w:top w:val="nil"/>
              <w:left w:val="nil"/>
              <w:bottom w:val="single" w:sz="8" w:space="0" w:color="auto"/>
              <w:right w:val="single" w:sz="8" w:space="0" w:color="auto"/>
            </w:tcBorders>
            <w:noWrap/>
            <w:hideMark/>
          </w:tcPr>
          <w:p w14:paraId="6E5267F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6 931 030</w:t>
            </w:r>
          </w:p>
        </w:tc>
        <w:tc>
          <w:tcPr>
            <w:tcW w:w="2177" w:type="dxa"/>
            <w:tcBorders>
              <w:top w:val="nil"/>
              <w:left w:val="nil"/>
              <w:bottom w:val="single" w:sz="8" w:space="0" w:color="auto"/>
              <w:right w:val="single" w:sz="8" w:space="0" w:color="auto"/>
            </w:tcBorders>
            <w:noWrap/>
            <w:hideMark/>
          </w:tcPr>
          <w:p w14:paraId="6A6BE98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150 507</w:t>
            </w:r>
          </w:p>
        </w:tc>
      </w:tr>
      <w:tr w:rsidR="00961262" w:rsidRPr="00961262" w14:paraId="25BDDE5D"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E65AE85"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77</w:t>
            </w:r>
          </w:p>
        </w:tc>
        <w:tc>
          <w:tcPr>
            <w:tcW w:w="6600" w:type="dxa"/>
            <w:tcBorders>
              <w:top w:val="nil"/>
              <w:left w:val="nil"/>
              <w:bottom w:val="single" w:sz="8" w:space="0" w:color="auto"/>
              <w:right w:val="single" w:sz="8" w:space="0" w:color="auto"/>
            </w:tcBorders>
            <w:noWrap/>
            <w:hideMark/>
          </w:tcPr>
          <w:p w14:paraId="7DE513E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"Rēzeknes Satiksme"</w:t>
            </w:r>
          </w:p>
        </w:tc>
        <w:tc>
          <w:tcPr>
            <w:tcW w:w="2121" w:type="dxa"/>
            <w:tcBorders>
              <w:top w:val="nil"/>
              <w:left w:val="nil"/>
              <w:bottom w:val="single" w:sz="8" w:space="0" w:color="auto"/>
              <w:right w:val="single" w:sz="8" w:space="0" w:color="auto"/>
            </w:tcBorders>
            <w:noWrap/>
            <w:hideMark/>
          </w:tcPr>
          <w:p w14:paraId="5838B0B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2 818 640</w:t>
            </w:r>
          </w:p>
        </w:tc>
        <w:tc>
          <w:tcPr>
            <w:tcW w:w="2121" w:type="dxa"/>
            <w:tcBorders>
              <w:top w:val="nil"/>
              <w:left w:val="nil"/>
              <w:bottom w:val="single" w:sz="8" w:space="0" w:color="auto"/>
              <w:right w:val="single" w:sz="8" w:space="0" w:color="auto"/>
            </w:tcBorders>
            <w:noWrap/>
            <w:hideMark/>
          </w:tcPr>
          <w:p w14:paraId="11DF969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2 364 567</w:t>
            </w:r>
          </w:p>
        </w:tc>
        <w:tc>
          <w:tcPr>
            <w:tcW w:w="2177" w:type="dxa"/>
            <w:tcBorders>
              <w:top w:val="nil"/>
              <w:left w:val="nil"/>
              <w:bottom w:val="single" w:sz="8" w:space="0" w:color="auto"/>
              <w:right w:val="single" w:sz="8" w:space="0" w:color="auto"/>
            </w:tcBorders>
            <w:noWrap/>
            <w:hideMark/>
          </w:tcPr>
          <w:p w14:paraId="49A04D2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454 073</w:t>
            </w:r>
          </w:p>
        </w:tc>
      </w:tr>
      <w:tr w:rsidR="00961262" w:rsidRPr="00961262" w14:paraId="2AC99D2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0086AE8"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78</w:t>
            </w:r>
          </w:p>
        </w:tc>
        <w:tc>
          <w:tcPr>
            <w:tcW w:w="6600" w:type="dxa"/>
            <w:tcBorders>
              <w:top w:val="nil"/>
              <w:left w:val="nil"/>
              <w:bottom w:val="single" w:sz="8" w:space="0" w:color="auto"/>
              <w:right w:val="single" w:sz="8" w:space="0" w:color="auto"/>
            </w:tcBorders>
            <w:noWrap/>
            <w:hideMark/>
          </w:tcPr>
          <w:p w14:paraId="5DFA06F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"Rēzeknes slimnīca"</w:t>
            </w:r>
          </w:p>
        </w:tc>
        <w:tc>
          <w:tcPr>
            <w:tcW w:w="2121" w:type="dxa"/>
            <w:tcBorders>
              <w:top w:val="nil"/>
              <w:left w:val="nil"/>
              <w:bottom w:val="single" w:sz="8" w:space="0" w:color="auto"/>
              <w:right w:val="single" w:sz="8" w:space="0" w:color="auto"/>
            </w:tcBorders>
            <w:noWrap/>
            <w:hideMark/>
          </w:tcPr>
          <w:p w14:paraId="5BE9426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30 894 507</w:t>
            </w:r>
          </w:p>
        </w:tc>
        <w:tc>
          <w:tcPr>
            <w:tcW w:w="2121" w:type="dxa"/>
            <w:tcBorders>
              <w:top w:val="nil"/>
              <w:left w:val="nil"/>
              <w:bottom w:val="single" w:sz="8" w:space="0" w:color="auto"/>
              <w:right w:val="single" w:sz="8" w:space="0" w:color="auto"/>
            </w:tcBorders>
            <w:noWrap/>
            <w:hideMark/>
          </w:tcPr>
          <w:p w14:paraId="1EA4BA9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30 883 746</w:t>
            </w:r>
          </w:p>
        </w:tc>
        <w:tc>
          <w:tcPr>
            <w:tcW w:w="2177" w:type="dxa"/>
            <w:tcBorders>
              <w:top w:val="nil"/>
              <w:left w:val="nil"/>
              <w:bottom w:val="single" w:sz="8" w:space="0" w:color="auto"/>
              <w:right w:val="single" w:sz="8" w:space="0" w:color="auto"/>
            </w:tcBorders>
            <w:noWrap/>
            <w:hideMark/>
          </w:tcPr>
          <w:p w14:paraId="3096F88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10 761</w:t>
            </w:r>
          </w:p>
        </w:tc>
      </w:tr>
      <w:tr w:rsidR="00961262" w:rsidRPr="00961262" w14:paraId="6EC671B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39DAA0C"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79</w:t>
            </w:r>
          </w:p>
        </w:tc>
        <w:tc>
          <w:tcPr>
            <w:tcW w:w="6600" w:type="dxa"/>
            <w:tcBorders>
              <w:top w:val="nil"/>
              <w:left w:val="nil"/>
              <w:bottom w:val="single" w:sz="8" w:space="0" w:color="auto"/>
              <w:right w:val="single" w:sz="8" w:space="0" w:color="auto"/>
            </w:tcBorders>
            <w:noWrap/>
            <w:hideMark/>
          </w:tcPr>
          <w:p w14:paraId="22914489"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1.slimnīca"</w:t>
            </w:r>
          </w:p>
        </w:tc>
        <w:tc>
          <w:tcPr>
            <w:tcW w:w="2121" w:type="dxa"/>
            <w:tcBorders>
              <w:top w:val="nil"/>
              <w:left w:val="nil"/>
              <w:bottom w:val="single" w:sz="8" w:space="0" w:color="auto"/>
              <w:right w:val="single" w:sz="8" w:space="0" w:color="auto"/>
            </w:tcBorders>
            <w:noWrap/>
            <w:hideMark/>
          </w:tcPr>
          <w:p w14:paraId="39FEFBC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35 024 650</w:t>
            </w:r>
          </w:p>
        </w:tc>
        <w:tc>
          <w:tcPr>
            <w:tcW w:w="2121" w:type="dxa"/>
            <w:tcBorders>
              <w:top w:val="nil"/>
              <w:left w:val="nil"/>
              <w:bottom w:val="single" w:sz="8" w:space="0" w:color="auto"/>
              <w:right w:val="single" w:sz="8" w:space="0" w:color="auto"/>
            </w:tcBorders>
            <w:noWrap/>
            <w:hideMark/>
          </w:tcPr>
          <w:p w14:paraId="060D1FF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34 140 378</w:t>
            </w:r>
          </w:p>
        </w:tc>
        <w:tc>
          <w:tcPr>
            <w:tcW w:w="2177" w:type="dxa"/>
            <w:tcBorders>
              <w:top w:val="nil"/>
              <w:left w:val="nil"/>
              <w:bottom w:val="single" w:sz="8" w:space="0" w:color="auto"/>
              <w:right w:val="single" w:sz="8" w:space="0" w:color="auto"/>
            </w:tcBorders>
            <w:noWrap/>
            <w:hideMark/>
          </w:tcPr>
          <w:p w14:paraId="408FFC1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884 272</w:t>
            </w:r>
          </w:p>
        </w:tc>
      </w:tr>
      <w:tr w:rsidR="00961262" w:rsidRPr="00961262" w14:paraId="0D3FA09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E0478C1"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80</w:t>
            </w:r>
          </w:p>
        </w:tc>
        <w:tc>
          <w:tcPr>
            <w:tcW w:w="6600" w:type="dxa"/>
            <w:tcBorders>
              <w:top w:val="nil"/>
              <w:left w:val="nil"/>
              <w:bottom w:val="single" w:sz="8" w:space="0" w:color="auto"/>
              <w:right w:val="single" w:sz="8" w:space="0" w:color="auto"/>
            </w:tcBorders>
            <w:noWrap/>
            <w:hideMark/>
          </w:tcPr>
          <w:p w14:paraId="1C995BDB"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2.slimnīca"</w:t>
            </w:r>
          </w:p>
        </w:tc>
        <w:tc>
          <w:tcPr>
            <w:tcW w:w="2121" w:type="dxa"/>
            <w:tcBorders>
              <w:top w:val="nil"/>
              <w:left w:val="nil"/>
              <w:bottom w:val="single" w:sz="8" w:space="0" w:color="auto"/>
              <w:right w:val="single" w:sz="8" w:space="0" w:color="auto"/>
            </w:tcBorders>
            <w:noWrap/>
            <w:hideMark/>
          </w:tcPr>
          <w:p w14:paraId="4265AEE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14 246 938</w:t>
            </w:r>
          </w:p>
        </w:tc>
        <w:tc>
          <w:tcPr>
            <w:tcW w:w="2121" w:type="dxa"/>
            <w:tcBorders>
              <w:top w:val="nil"/>
              <w:left w:val="nil"/>
              <w:bottom w:val="single" w:sz="8" w:space="0" w:color="auto"/>
              <w:right w:val="single" w:sz="8" w:space="0" w:color="auto"/>
            </w:tcBorders>
            <w:noWrap/>
            <w:hideMark/>
          </w:tcPr>
          <w:p w14:paraId="51F4E08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14 237 938</w:t>
            </w:r>
          </w:p>
        </w:tc>
        <w:tc>
          <w:tcPr>
            <w:tcW w:w="2177" w:type="dxa"/>
            <w:tcBorders>
              <w:top w:val="nil"/>
              <w:left w:val="nil"/>
              <w:bottom w:val="single" w:sz="8" w:space="0" w:color="auto"/>
              <w:right w:val="single" w:sz="8" w:space="0" w:color="auto"/>
            </w:tcBorders>
            <w:noWrap/>
            <w:hideMark/>
          </w:tcPr>
          <w:p w14:paraId="3A55EBB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9 000</w:t>
            </w:r>
          </w:p>
        </w:tc>
      </w:tr>
      <w:tr w:rsidR="00961262" w:rsidRPr="00961262" w14:paraId="16FBB3BF"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CFFCE83"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81</w:t>
            </w:r>
          </w:p>
        </w:tc>
        <w:tc>
          <w:tcPr>
            <w:tcW w:w="6600" w:type="dxa"/>
            <w:tcBorders>
              <w:top w:val="nil"/>
              <w:left w:val="nil"/>
              <w:bottom w:val="single" w:sz="8" w:space="0" w:color="auto"/>
              <w:right w:val="single" w:sz="8" w:space="0" w:color="auto"/>
            </w:tcBorders>
            <w:noWrap/>
            <w:hideMark/>
          </w:tcPr>
          <w:p w14:paraId="5CA270B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Dzemdību nams"</w:t>
            </w:r>
          </w:p>
        </w:tc>
        <w:tc>
          <w:tcPr>
            <w:tcW w:w="2121" w:type="dxa"/>
            <w:tcBorders>
              <w:top w:val="nil"/>
              <w:left w:val="nil"/>
              <w:bottom w:val="single" w:sz="8" w:space="0" w:color="auto"/>
              <w:right w:val="single" w:sz="8" w:space="0" w:color="auto"/>
            </w:tcBorders>
            <w:noWrap/>
            <w:hideMark/>
          </w:tcPr>
          <w:p w14:paraId="5ECC449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13 497 615</w:t>
            </w:r>
          </w:p>
        </w:tc>
        <w:tc>
          <w:tcPr>
            <w:tcW w:w="2121" w:type="dxa"/>
            <w:tcBorders>
              <w:top w:val="nil"/>
              <w:left w:val="nil"/>
              <w:bottom w:val="single" w:sz="8" w:space="0" w:color="auto"/>
              <w:right w:val="single" w:sz="8" w:space="0" w:color="auto"/>
            </w:tcBorders>
            <w:noWrap/>
            <w:hideMark/>
          </w:tcPr>
          <w:p w14:paraId="5D6F988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12 807 367</w:t>
            </w:r>
          </w:p>
        </w:tc>
        <w:tc>
          <w:tcPr>
            <w:tcW w:w="2177" w:type="dxa"/>
            <w:tcBorders>
              <w:top w:val="nil"/>
              <w:left w:val="nil"/>
              <w:bottom w:val="single" w:sz="8" w:space="0" w:color="auto"/>
              <w:right w:val="single" w:sz="8" w:space="0" w:color="auto"/>
            </w:tcBorders>
            <w:noWrap/>
            <w:hideMark/>
          </w:tcPr>
          <w:p w14:paraId="1D3BB78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690 248</w:t>
            </w:r>
          </w:p>
        </w:tc>
      </w:tr>
      <w:tr w:rsidR="00961262" w:rsidRPr="00961262" w14:paraId="6BAC4F64"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12B5EBB"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82</w:t>
            </w:r>
          </w:p>
        </w:tc>
        <w:tc>
          <w:tcPr>
            <w:tcW w:w="6600" w:type="dxa"/>
            <w:tcBorders>
              <w:top w:val="nil"/>
              <w:left w:val="nil"/>
              <w:bottom w:val="single" w:sz="8" w:space="0" w:color="auto"/>
              <w:right w:val="single" w:sz="8" w:space="0" w:color="auto"/>
            </w:tcBorders>
            <w:noWrap/>
            <w:hideMark/>
          </w:tcPr>
          <w:p w14:paraId="07DE1C8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satiksme"</w:t>
            </w:r>
          </w:p>
        </w:tc>
        <w:tc>
          <w:tcPr>
            <w:tcW w:w="2121" w:type="dxa"/>
            <w:tcBorders>
              <w:top w:val="nil"/>
              <w:left w:val="nil"/>
              <w:bottom w:val="single" w:sz="8" w:space="0" w:color="auto"/>
              <w:right w:val="single" w:sz="8" w:space="0" w:color="auto"/>
            </w:tcBorders>
            <w:noWrap/>
            <w:hideMark/>
          </w:tcPr>
          <w:p w14:paraId="6EFA274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210 042 037</w:t>
            </w:r>
          </w:p>
        </w:tc>
        <w:tc>
          <w:tcPr>
            <w:tcW w:w="2121" w:type="dxa"/>
            <w:tcBorders>
              <w:top w:val="nil"/>
              <w:left w:val="nil"/>
              <w:bottom w:val="single" w:sz="8" w:space="0" w:color="auto"/>
              <w:right w:val="single" w:sz="8" w:space="0" w:color="auto"/>
            </w:tcBorders>
            <w:noWrap/>
            <w:hideMark/>
          </w:tcPr>
          <w:p w14:paraId="0DC2021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211 520 897</w:t>
            </w:r>
          </w:p>
        </w:tc>
        <w:tc>
          <w:tcPr>
            <w:tcW w:w="2177" w:type="dxa"/>
            <w:tcBorders>
              <w:top w:val="nil"/>
              <w:left w:val="nil"/>
              <w:bottom w:val="single" w:sz="8" w:space="0" w:color="auto"/>
              <w:right w:val="single" w:sz="8" w:space="0" w:color="auto"/>
            </w:tcBorders>
            <w:noWrap/>
            <w:hideMark/>
          </w:tcPr>
          <w:p w14:paraId="66D7462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-1 478 860</w:t>
            </w:r>
          </w:p>
        </w:tc>
      </w:tr>
      <w:tr w:rsidR="00961262" w:rsidRPr="00961262" w14:paraId="2C68D135"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C6E92C2"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83</w:t>
            </w:r>
          </w:p>
        </w:tc>
        <w:tc>
          <w:tcPr>
            <w:tcW w:w="6600" w:type="dxa"/>
            <w:tcBorders>
              <w:top w:val="nil"/>
              <w:left w:val="nil"/>
              <w:bottom w:val="single" w:sz="8" w:space="0" w:color="auto"/>
              <w:right w:val="single" w:sz="8" w:space="0" w:color="auto"/>
            </w:tcBorders>
            <w:noWrap/>
            <w:hideMark/>
          </w:tcPr>
          <w:p w14:paraId="4900F7D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veselības centrs"</w:t>
            </w:r>
          </w:p>
        </w:tc>
        <w:tc>
          <w:tcPr>
            <w:tcW w:w="2121" w:type="dxa"/>
            <w:tcBorders>
              <w:top w:val="nil"/>
              <w:left w:val="nil"/>
              <w:bottom w:val="single" w:sz="8" w:space="0" w:color="auto"/>
              <w:right w:val="single" w:sz="8" w:space="0" w:color="auto"/>
            </w:tcBorders>
            <w:noWrap/>
            <w:hideMark/>
          </w:tcPr>
          <w:p w14:paraId="452FD08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13 308 285</w:t>
            </w:r>
          </w:p>
        </w:tc>
        <w:tc>
          <w:tcPr>
            <w:tcW w:w="2121" w:type="dxa"/>
            <w:tcBorders>
              <w:top w:val="nil"/>
              <w:left w:val="nil"/>
              <w:bottom w:val="single" w:sz="8" w:space="0" w:color="auto"/>
              <w:right w:val="single" w:sz="8" w:space="0" w:color="auto"/>
            </w:tcBorders>
            <w:noWrap/>
            <w:hideMark/>
          </w:tcPr>
          <w:p w14:paraId="565F054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13 293 806</w:t>
            </w:r>
          </w:p>
        </w:tc>
        <w:tc>
          <w:tcPr>
            <w:tcW w:w="2177" w:type="dxa"/>
            <w:tcBorders>
              <w:top w:val="nil"/>
              <w:left w:val="nil"/>
              <w:bottom w:val="single" w:sz="8" w:space="0" w:color="auto"/>
              <w:right w:val="single" w:sz="8" w:space="0" w:color="auto"/>
            </w:tcBorders>
            <w:noWrap/>
            <w:hideMark/>
          </w:tcPr>
          <w:p w14:paraId="165A973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14 479</w:t>
            </w:r>
          </w:p>
        </w:tc>
      </w:tr>
      <w:tr w:rsidR="00961262" w:rsidRPr="00961262" w14:paraId="6EF22954"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C2EB41F"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lastRenderedPageBreak/>
              <w:t>84</w:t>
            </w:r>
          </w:p>
        </w:tc>
        <w:tc>
          <w:tcPr>
            <w:tcW w:w="6600" w:type="dxa"/>
            <w:tcBorders>
              <w:top w:val="nil"/>
              <w:left w:val="nil"/>
              <w:bottom w:val="single" w:sz="8" w:space="0" w:color="auto"/>
              <w:right w:val="single" w:sz="8" w:space="0" w:color="auto"/>
            </w:tcBorders>
            <w:noWrap/>
            <w:hideMark/>
          </w:tcPr>
          <w:p w14:paraId="36C0E93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"Salaspils Veselības Centrs"</w:t>
            </w:r>
          </w:p>
        </w:tc>
        <w:tc>
          <w:tcPr>
            <w:tcW w:w="2121" w:type="dxa"/>
            <w:tcBorders>
              <w:top w:val="nil"/>
              <w:left w:val="nil"/>
              <w:bottom w:val="single" w:sz="8" w:space="0" w:color="auto"/>
              <w:right w:val="single" w:sz="8" w:space="0" w:color="auto"/>
            </w:tcBorders>
            <w:noWrap/>
            <w:hideMark/>
          </w:tcPr>
          <w:p w14:paraId="21C0E38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3 933 665</w:t>
            </w:r>
          </w:p>
        </w:tc>
        <w:tc>
          <w:tcPr>
            <w:tcW w:w="2121" w:type="dxa"/>
            <w:tcBorders>
              <w:top w:val="nil"/>
              <w:left w:val="nil"/>
              <w:bottom w:val="single" w:sz="8" w:space="0" w:color="auto"/>
              <w:right w:val="single" w:sz="8" w:space="0" w:color="auto"/>
            </w:tcBorders>
            <w:noWrap/>
            <w:hideMark/>
          </w:tcPr>
          <w:p w14:paraId="7FE4F95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3 950 548</w:t>
            </w:r>
          </w:p>
        </w:tc>
        <w:tc>
          <w:tcPr>
            <w:tcW w:w="2177" w:type="dxa"/>
            <w:tcBorders>
              <w:top w:val="nil"/>
              <w:left w:val="nil"/>
              <w:bottom w:val="single" w:sz="8" w:space="0" w:color="auto"/>
              <w:right w:val="single" w:sz="8" w:space="0" w:color="auto"/>
            </w:tcBorders>
            <w:noWrap/>
            <w:hideMark/>
          </w:tcPr>
          <w:p w14:paraId="0E3DABB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-16 883</w:t>
            </w:r>
          </w:p>
        </w:tc>
      </w:tr>
      <w:tr w:rsidR="00961262" w:rsidRPr="00961262" w14:paraId="689FD00D"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B287A25"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85</w:t>
            </w:r>
          </w:p>
        </w:tc>
        <w:tc>
          <w:tcPr>
            <w:tcW w:w="6600" w:type="dxa"/>
            <w:tcBorders>
              <w:top w:val="nil"/>
              <w:left w:val="nil"/>
              <w:bottom w:val="single" w:sz="8" w:space="0" w:color="auto"/>
              <w:right w:val="single" w:sz="8" w:space="0" w:color="auto"/>
            </w:tcBorders>
            <w:noWrap/>
            <w:hideMark/>
          </w:tcPr>
          <w:p w14:paraId="3AE2B66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"Olimpiskais centrs "Ventspils""</w:t>
            </w:r>
          </w:p>
        </w:tc>
        <w:tc>
          <w:tcPr>
            <w:tcW w:w="2121" w:type="dxa"/>
            <w:tcBorders>
              <w:top w:val="nil"/>
              <w:left w:val="nil"/>
              <w:bottom w:val="single" w:sz="8" w:space="0" w:color="auto"/>
              <w:right w:val="single" w:sz="8" w:space="0" w:color="auto"/>
            </w:tcBorders>
            <w:noWrap/>
            <w:hideMark/>
          </w:tcPr>
          <w:p w14:paraId="267B986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4 548 909</w:t>
            </w:r>
          </w:p>
        </w:tc>
        <w:tc>
          <w:tcPr>
            <w:tcW w:w="2121" w:type="dxa"/>
            <w:tcBorders>
              <w:top w:val="nil"/>
              <w:left w:val="nil"/>
              <w:bottom w:val="single" w:sz="8" w:space="0" w:color="auto"/>
              <w:right w:val="single" w:sz="8" w:space="0" w:color="auto"/>
            </w:tcBorders>
            <w:noWrap/>
            <w:hideMark/>
          </w:tcPr>
          <w:p w14:paraId="6E91A5B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4 536 623</w:t>
            </w:r>
          </w:p>
        </w:tc>
        <w:tc>
          <w:tcPr>
            <w:tcW w:w="2177" w:type="dxa"/>
            <w:tcBorders>
              <w:top w:val="nil"/>
              <w:left w:val="nil"/>
              <w:bottom w:val="single" w:sz="8" w:space="0" w:color="auto"/>
              <w:right w:val="single" w:sz="8" w:space="0" w:color="auto"/>
            </w:tcBorders>
            <w:noWrap/>
            <w:hideMark/>
          </w:tcPr>
          <w:p w14:paraId="648F4D9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12 286</w:t>
            </w:r>
          </w:p>
        </w:tc>
      </w:tr>
      <w:tr w:rsidR="00961262" w:rsidRPr="00961262" w14:paraId="2BF1A34C"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tcPr>
          <w:p w14:paraId="55FD5FC8" w14:textId="77777777" w:rsidR="00961262" w:rsidRPr="00961262" w:rsidRDefault="00961262" w:rsidP="00961262">
            <w:pPr>
              <w:spacing w:after="0"/>
              <w:ind w:firstLine="0"/>
              <w:jc w:val="right"/>
              <w:rPr>
                <w:rFonts w:eastAsia="Calibri" w:cs="Times New Roman"/>
                <w:sz w:val="18"/>
                <w:szCs w:val="18"/>
                <w:highlight w:val="yellow"/>
                <w:lang w:eastAsia="en-US"/>
              </w:rPr>
            </w:pPr>
            <w:r w:rsidRPr="00961262">
              <w:rPr>
                <w:rFonts w:eastAsia="Times New Roman" w:cs="Times New Roman"/>
                <w:color w:val="000000"/>
                <w:sz w:val="18"/>
                <w:szCs w:val="18"/>
              </w:rPr>
              <w:t>86</w:t>
            </w:r>
          </w:p>
        </w:tc>
        <w:tc>
          <w:tcPr>
            <w:tcW w:w="6600" w:type="dxa"/>
            <w:tcBorders>
              <w:top w:val="nil"/>
              <w:left w:val="nil"/>
              <w:bottom w:val="single" w:sz="8" w:space="0" w:color="auto"/>
              <w:right w:val="single" w:sz="8" w:space="0" w:color="auto"/>
            </w:tcBorders>
            <w:noWrap/>
          </w:tcPr>
          <w:p w14:paraId="74506C6C" w14:textId="77777777" w:rsidR="00961262" w:rsidRPr="00961262" w:rsidRDefault="00961262" w:rsidP="00961262">
            <w:pPr>
              <w:spacing w:after="0"/>
              <w:ind w:firstLine="0"/>
              <w:jc w:val="left"/>
              <w:rPr>
                <w:rFonts w:eastAsia="Calibri" w:cs="Times New Roman"/>
                <w:sz w:val="18"/>
                <w:szCs w:val="18"/>
                <w:highlight w:val="yellow"/>
                <w:lang w:eastAsia="en-US"/>
              </w:rPr>
            </w:pPr>
            <w:r w:rsidRPr="00961262">
              <w:rPr>
                <w:rFonts w:eastAsia="Calibri" w:cs="Times New Roman"/>
                <w:sz w:val="18"/>
                <w:szCs w:val="18"/>
                <w:lang w:eastAsia="en-US"/>
              </w:rPr>
              <w:t>SIA "Vidzemes slimnīca"</w:t>
            </w:r>
          </w:p>
        </w:tc>
        <w:tc>
          <w:tcPr>
            <w:tcW w:w="2121" w:type="dxa"/>
            <w:tcBorders>
              <w:top w:val="nil"/>
              <w:left w:val="nil"/>
              <w:bottom w:val="single" w:sz="8" w:space="0" w:color="auto"/>
              <w:right w:val="single" w:sz="8" w:space="0" w:color="auto"/>
            </w:tcBorders>
            <w:noWrap/>
          </w:tcPr>
          <w:p w14:paraId="4C5C533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32 611 004</w:t>
            </w:r>
          </w:p>
        </w:tc>
        <w:tc>
          <w:tcPr>
            <w:tcW w:w="2121" w:type="dxa"/>
            <w:tcBorders>
              <w:top w:val="nil"/>
              <w:left w:val="nil"/>
              <w:bottom w:val="single" w:sz="8" w:space="0" w:color="auto"/>
              <w:right w:val="single" w:sz="8" w:space="0" w:color="auto"/>
            </w:tcBorders>
            <w:noWrap/>
          </w:tcPr>
          <w:p w14:paraId="0CF2032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31 833 052</w:t>
            </w:r>
          </w:p>
        </w:tc>
        <w:tc>
          <w:tcPr>
            <w:tcW w:w="2177" w:type="dxa"/>
            <w:tcBorders>
              <w:top w:val="nil"/>
              <w:left w:val="nil"/>
              <w:bottom w:val="single" w:sz="8" w:space="0" w:color="auto"/>
              <w:right w:val="single" w:sz="8" w:space="0" w:color="auto"/>
            </w:tcBorders>
            <w:noWrap/>
          </w:tcPr>
          <w:p w14:paraId="3B6EFD2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777 952</w:t>
            </w:r>
          </w:p>
        </w:tc>
      </w:tr>
      <w:tr w:rsidR="00961262" w:rsidRPr="00961262" w14:paraId="3DD85CC0"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tcPr>
          <w:p w14:paraId="701258F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Times New Roman" w:cs="Times New Roman"/>
                <w:color w:val="000000"/>
                <w:sz w:val="18"/>
                <w:szCs w:val="18"/>
              </w:rPr>
              <w:t>87</w:t>
            </w:r>
          </w:p>
        </w:tc>
        <w:tc>
          <w:tcPr>
            <w:tcW w:w="6600" w:type="dxa"/>
            <w:tcBorders>
              <w:top w:val="nil"/>
              <w:left w:val="nil"/>
              <w:bottom w:val="single" w:sz="8" w:space="0" w:color="auto"/>
              <w:right w:val="single" w:sz="8" w:space="0" w:color="auto"/>
            </w:tcBorders>
            <w:noWrap/>
          </w:tcPr>
          <w:p w14:paraId="0AEB40EA"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"Ziemeļkurzemes reģionālā slimnīca"</w:t>
            </w:r>
          </w:p>
        </w:tc>
        <w:tc>
          <w:tcPr>
            <w:tcW w:w="2121" w:type="dxa"/>
            <w:tcBorders>
              <w:top w:val="nil"/>
              <w:left w:val="nil"/>
              <w:bottom w:val="single" w:sz="8" w:space="0" w:color="auto"/>
              <w:right w:val="single" w:sz="8" w:space="0" w:color="auto"/>
            </w:tcBorders>
            <w:noWrap/>
          </w:tcPr>
          <w:p w14:paraId="7E26145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32 088 655</w:t>
            </w:r>
          </w:p>
        </w:tc>
        <w:tc>
          <w:tcPr>
            <w:tcW w:w="2121" w:type="dxa"/>
            <w:tcBorders>
              <w:top w:val="nil"/>
              <w:left w:val="nil"/>
              <w:bottom w:val="single" w:sz="8" w:space="0" w:color="auto"/>
              <w:right w:val="single" w:sz="8" w:space="0" w:color="auto"/>
            </w:tcBorders>
            <w:noWrap/>
          </w:tcPr>
          <w:p w14:paraId="15E83F4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31 736 640</w:t>
            </w:r>
          </w:p>
        </w:tc>
        <w:tc>
          <w:tcPr>
            <w:tcW w:w="2177" w:type="dxa"/>
            <w:tcBorders>
              <w:top w:val="nil"/>
              <w:left w:val="nil"/>
              <w:bottom w:val="single" w:sz="8" w:space="0" w:color="auto"/>
              <w:right w:val="single" w:sz="8" w:space="0" w:color="auto"/>
            </w:tcBorders>
            <w:noWrap/>
          </w:tcPr>
          <w:p w14:paraId="09D14F3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352 015</w:t>
            </w:r>
          </w:p>
        </w:tc>
      </w:tr>
      <w:tr w:rsidR="00961262" w:rsidRPr="00961262" w14:paraId="15693460" w14:textId="77777777" w:rsidTr="0052209F">
        <w:trPr>
          <w:trHeight w:val="468"/>
        </w:trPr>
        <w:tc>
          <w:tcPr>
            <w:tcW w:w="14206" w:type="dxa"/>
            <w:gridSpan w:val="5"/>
            <w:tcBorders>
              <w:top w:val="single" w:sz="8" w:space="0" w:color="auto"/>
              <w:left w:val="single" w:sz="8" w:space="0" w:color="auto"/>
              <w:bottom w:val="nil"/>
              <w:right w:val="single" w:sz="8" w:space="0" w:color="000000"/>
            </w:tcBorders>
            <w:noWrap/>
            <w:hideMark/>
          </w:tcPr>
          <w:p w14:paraId="306B09F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Prognozes izstrādātas atbilstoši 2025. gada jūnijā-jūlijā FM iesniegtajai informācijai par visu centrālās valdības komersantu (61) un fiskāli nozīmīgu vietējās valdības (pašvaldību) komersantu (26) prognozēto saimniecisko un finanšu darbību, kā arī ņemot vērā tieši saistītos MK lēmumus 2025. gada septembrī.</w:t>
            </w:r>
          </w:p>
        </w:tc>
      </w:tr>
      <w:tr w:rsidR="00961262" w:rsidRPr="00961262" w14:paraId="42388917" w14:textId="77777777" w:rsidTr="0052209F">
        <w:trPr>
          <w:trHeight w:val="492"/>
        </w:trPr>
        <w:tc>
          <w:tcPr>
            <w:tcW w:w="14206" w:type="dxa"/>
            <w:gridSpan w:val="5"/>
            <w:tcBorders>
              <w:top w:val="nil"/>
              <w:left w:val="single" w:sz="8" w:space="0" w:color="auto"/>
              <w:bottom w:val="single" w:sz="8" w:space="0" w:color="auto"/>
              <w:right w:val="single" w:sz="8" w:space="0" w:color="000000"/>
            </w:tcBorders>
            <w:noWrap/>
            <w:hideMark/>
          </w:tcPr>
          <w:p w14:paraId="000B07D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xml:space="preserve">Vispārējās valdības budžeta pieklasificēto kapitālsabiedrību ietekme uz B.9 neto aizdevumiem (+)/neto aizņēmumiem (-), kas iekļauta vispārējās valdības budžeta prognozēs 2027. gadā ir -33 950 305 </w:t>
            </w:r>
            <w:r w:rsidRPr="00961262">
              <w:rPr>
                <w:rFonts w:eastAsia="Times New Roman" w:cs="Times New Roman"/>
                <w:i/>
                <w:iCs/>
                <w:color w:val="000000"/>
                <w:sz w:val="18"/>
                <w:szCs w:val="18"/>
              </w:rPr>
              <w:t>euro</w:t>
            </w:r>
            <w:r w:rsidRPr="00961262">
              <w:rPr>
                <w:rFonts w:eastAsia="Times New Roman" w:cs="Times New Roman"/>
                <w:color w:val="000000"/>
                <w:sz w:val="18"/>
                <w:szCs w:val="18"/>
              </w:rPr>
              <w:t xml:space="preserve">. </w:t>
            </w:r>
          </w:p>
        </w:tc>
      </w:tr>
    </w:tbl>
    <w:p w14:paraId="4BD0E17E" w14:textId="77777777" w:rsidR="00961262" w:rsidRPr="00961262" w:rsidRDefault="00961262" w:rsidP="00961262">
      <w:pPr>
        <w:widowControl w:val="0"/>
        <w:ind w:firstLine="0"/>
        <w:jc w:val="left"/>
        <w:rPr>
          <w:rFonts w:eastAsia="Times New Roman" w:cs="Times New Roman"/>
          <w:b/>
          <w:sz w:val="18"/>
          <w:szCs w:val="18"/>
          <w:highlight w:val="yellow"/>
        </w:rPr>
      </w:pPr>
    </w:p>
    <w:tbl>
      <w:tblPr>
        <w:tblW w:w="14206" w:type="dxa"/>
        <w:tblLook w:val="04A0" w:firstRow="1" w:lastRow="0" w:firstColumn="1" w:lastColumn="0" w:noHBand="0" w:noVBand="1"/>
      </w:tblPr>
      <w:tblGrid>
        <w:gridCol w:w="1187"/>
        <w:gridCol w:w="6600"/>
        <w:gridCol w:w="2121"/>
        <w:gridCol w:w="2121"/>
        <w:gridCol w:w="2177"/>
      </w:tblGrid>
      <w:tr w:rsidR="00961262" w:rsidRPr="00961262" w14:paraId="48822596" w14:textId="77777777" w:rsidTr="00961262">
        <w:trPr>
          <w:trHeight w:val="324"/>
          <w:tblHeader/>
        </w:trPr>
        <w:tc>
          <w:tcPr>
            <w:tcW w:w="14206" w:type="dxa"/>
            <w:gridSpan w:val="5"/>
            <w:tcBorders>
              <w:top w:val="single" w:sz="8" w:space="0" w:color="auto"/>
              <w:left w:val="single" w:sz="8" w:space="0" w:color="auto"/>
              <w:bottom w:val="single" w:sz="8" w:space="0" w:color="auto"/>
              <w:right w:val="single" w:sz="8" w:space="0" w:color="000000"/>
            </w:tcBorders>
            <w:shd w:val="clear" w:color="000000" w:fill="9BC2E6"/>
            <w:noWrap/>
            <w:vAlign w:val="center"/>
            <w:hideMark/>
          </w:tcPr>
          <w:p w14:paraId="27677F0F" w14:textId="77777777" w:rsidR="00961262" w:rsidRPr="00961262" w:rsidRDefault="00961262" w:rsidP="00961262">
            <w:pPr>
              <w:spacing w:after="0"/>
              <w:ind w:firstLine="0"/>
              <w:jc w:val="center"/>
              <w:rPr>
                <w:rFonts w:eastAsia="Times New Roman" w:cs="Times New Roman"/>
                <w:b/>
                <w:bCs/>
                <w:color w:val="000000"/>
                <w:sz w:val="18"/>
                <w:szCs w:val="18"/>
              </w:rPr>
            </w:pPr>
            <w:r w:rsidRPr="00961262">
              <w:rPr>
                <w:rFonts w:eastAsia="Times New Roman" w:cs="Times New Roman"/>
                <w:b/>
                <w:bCs/>
                <w:color w:val="000000"/>
                <w:sz w:val="18"/>
                <w:szCs w:val="18"/>
              </w:rPr>
              <w:t>2028</w:t>
            </w:r>
          </w:p>
        </w:tc>
      </w:tr>
      <w:tr w:rsidR="00961262" w:rsidRPr="00961262" w14:paraId="2E699CBF" w14:textId="77777777" w:rsidTr="00961262">
        <w:trPr>
          <w:trHeight w:val="765"/>
          <w:tblHeader/>
        </w:trPr>
        <w:tc>
          <w:tcPr>
            <w:tcW w:w="1187" w:type="dxa"/>
            <w:tcBorders>
              <w:top w:val="nil"/>
              <w:left w:val="single" w:sz="8" w:space="0" w:color="auto"/>
              <w:bottom w:val="single" w:sz="8" w:space="0" w:color="auto"/>
              <w:right w:val="single" w:sz="8" w:space="0" w:color="auto"/>
            </w:tcBorders>
            <w:shd w:val="clear" w:color="000000" w:fill="BDD7EE"/>
            <w:noWrap/>
            <w:vAlign w:val="center"/>
            <w:hideMark/>
          </w:tcPr>
          <w:p w14:paraId="43E8BBB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N.p.k.</w:t>
            </w:r>
          </w:p>
        </w:tc>
        <w:tc>
          <w:tcPr>
            <w:tcW w:w="6600" w:type="dxa"/>
            <w:tcBorders>
              <w:top w:val="nil"/>
              <w:left w:val="nil"/>
              <w:bottom w:val="single" w:sz="8" w:space="0" w:color="auto"/>
              <w:right w:val="single" w:sz="8" w:space="0" w:color="auto"/>
            </w:tcBorders>
            <w:shd w:val="clear" w:color="000000" w:fill="BDD7EE"/>
            <w:noWrap/>
            <w:vAlign w:val="center"/>
            <w:hideMark/>
          </w:tcPr>
          <w:p w14:paraId="5277301B"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BDD7EE"/>
            <w:vAlign w:val="center"/>
            <w:hideMark/>
          </w:tcPr>
          <w:p w14:paraId="417D4B9C"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t xml:space="preserve">Ieņēmumi, </w:t>
            </w:r>
            <w:r w:rsidRPr="00961262">
              <w:rPr>
                <w:rFonts w:eastAsia="Times New Roman" w:cs="Times New Roman"/>
                <w:i/>
                <w:iCs/>
                <w:color w:val="000000"/>
                <w:sz w:val="18"/>
                <w:szCs w:val="18"/>
              </w:rPr>
              <w:t>euro</w:t>
            </w:r>
          </w:p>
        </w:tc>
        <w:tc>
          <w:tcPr>
            <w:tcW w:w="2121" w:type="dxa"/>
            <w:tcBorders>
              <w:top w:val="nil"/>
              <w:left w:val="nil"/>
              <w:bottom w:val="single" w:sz="8" w:space="0" w:color="auto"/>
              <w:right w:val="single" w:sz="8" w:space="0" w:color="auto"/>
            </w:tcBorders>
            <w:shd w:val="clear" w:color="000000" w:fill="BDD7EE"/>
            <w:vAlign w:val="center"/>
            <w:hideMark/>
          </w:tcPr>
          <w:p w14:paraId="7ECA644D"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t xml:space="preserve">Izdevumi, </w:t>
            </w:r>
            <w:r w:rsidRPr="00961262">
              <w:rPr>
                <w:rFonts w:eastAsia="Times New Roman" w:cs="Times New Roman"/>
                <w:i/>
                <w:iCs/>
                <w:color w:val="000000"/>
                <w:sz w:val="18"/>
                <w:szCs w:val="18"/>
              </w:rPr>
              <w:t>euro</w:t>
            </w:r>
          </w:p>
        </w:tc>
        <w:tc>
          <w:tcPr>
            <w:tcW w:w="2177" w:type="dxa"/>
            <w:tcBorders>
              <w:top w:val="nil"/>
              <w:left w:val="nil"/>
              <w:bottom w:val="single" w:sz="8" w:space="0" w:color="auto"/>
              <w:right w:val="single" w:sz="8" w:space="0" w:color="auto"/>
            </w:tcBorders>
            <w:shd w:val="clear" w:color="000000" w:fill="BDD7EE"/>
            <w:vAlign w:val="center"/>
            <w:hideMark/>
          </w:tcPr>
          <w:p w14:paraId="3576ECDD"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t>Ietekme uz B.9 neto aizdevumiem (+)/neto aizņēmumiem (-),</w:t>
            </w:r>
            <w:r w:rsidRPr="00961262">
              <w:rPr>
                <w:rFonts w:eastAsia="Times New Roman" w:cs="Times New Roman"/>
                <w:i/>
                <w:iCs/>
                <w:color w:val="000000"/>
                <w:sz w:val="18"/>
                <w:szCs w:val="18"/>
              </w:rPr>
              <w:t>euro</w:t>
            </w:r>
          </w:p>
        </w:tc>
      </w:tr>
      <w:tr w:rsidR="00961262" w:rsidRPr="00961262" w14:paraId="29D56F2E" w14:textId="77777777" w:rsidTr="0052209F">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24AF29A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S130130</w:t>
            </w:r>
          </w:p>
        </w:tc>
        <w:tc>
          <w:tcPr>
            <w:tcW w:w="6600" w:type="dxa"/>
            <w:tcBorders>
              <w:top w:val="nil"/>
              <w:left w:val="nil"/>
              <w:bottom w:val="single" w:sz="8" w:space="0" w:color="auto"/>
              <w:right w:val="single" w:sz="8" w:space="0" w:color="auto"/>
            </w:tcBorders>
            <w:shd w:val="clear" w:color="000000" w:fill="DDEBF7"/>
            <w:noWrap/>
            <w:vAlign w:val="center"/>
            <w:hideMark/>
          </w:tcPr>
          <w:p w14:paraId="6EDD8C1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Valsts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445500F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0C12C1B3"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469DABD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r>
      <w:tr w:rsidR="00961262" w:rsidRPr="00961262" w14:paraId="42EBB0A8"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C171405"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1</w:t>
            </w:r>
          </w:p>
        </w:tc>
        <w:tc>
          <w:tcPr>
            <w:tcW w:w="6600" w:type="dxa"/>
            <w:tcBorders>
              <w:top w:val="nil"/>
              <w:left w:val="nil"/>
              <w:bottom w:val="single" w:sz="8" w:space="0" w:color="auto"/>
              <w:right w:val="single" w:sz="8" w:space="0" w:color="auto"/>
            </w:tcBorders>
            <w:noWrap/>
            <w:hideMark/>
          </w:tcPr>
          <w:p w14:paraId="1C67FBA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"Bērnu psihoneiroloģiskā slimnīca "Ainaži""</w:t>
            </w:r>
          </w:p>
        </w:tc>
        <w:tc>
          <w:tcPr>
            <w:tcW w:w="2121" w:type="dxa"/>
            <w:tcBorders>
              <w:top w:val="nil"/>
              <w:left w:val="nil"/>
              <w:bottom w:val="single" w:sz="8" w:space="0" w:color="auto"/>
              <w:right w:val="single" w:sz="8" w:space="0" w:color="auto"/>
            </w:tcBorders>
            <w:noWrap/>
            <w:hideMark/>
          </w:tcPr>
          <w:p w14:paraId="5C2D140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2 195 163</w:t>
            </w:r>
          </w:p>
        </w:tc>
        <w:tc>
          <w:tcPr>
            <w:tcW w:w="2121" w:type="dxa"/>
            <w:tcBorders>
              <w:top w:val="nil"/>
              <w:left w:val="nil"/>
              <w:bottom w:val="single" w:sz="8" w:space="0" w:color="auto"/>
              <w:right w:val="single" w:sz="8" w:space="0" w:color="auto"/>
            </w:tcBorders>
            <w:noWrap/>
            <w:hideMark/>
          </w:tcPr>
          <w:p w14:paraId="4866F1E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2 163 369</w:t>
            </w:r>
          </w:p>
        </w:tc>
        <w:tc>
          <w:tcPr>
            <w:tcW w:w="2177" w:type="dxa"/>
            <w:tcBorders>
              <w:top w:val="nil"/>
              <w:left w:val="nil"/>
              <w:bottom w:val="single" w:sz="8" w:space="0" w:color="auto"/>
              <w:right w:val="single" w:sz="8" w:space="0" w:color="auto"/>
            </w:tcBorders>
            <w:noWrap/>
            <w:hideMark/>
          </w:tcPr>
          <w:p w14:paraId="305B8AE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31 794</w:t>
            </w:r>
          </w:p>
        </w:tc>
      </w:tr>
      <w:tr w:rsidR="00961262" w:rsidRPr="00961262" w14:paraId="20C0F59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6E4EB7B" w14:textId="77777777" w:rsidR="00961262" w:rsidRPr="00961262" w:rsidRDefault="00961262" w:rsidP="00961262">
            <w:pPr>
              <w:spacing w:after="0"/>
              <w:ind w:firstLine="0"/>
              <w:jc w:val="right"/>
              <w:rPr>
                <w:rFonts w:eastAsia="Times New Roman" w:cs="Times New Roman"/>
                <w:color w:val="000000"/>
                <w:sz w:val="18"/>
                <w:szCs w:val="18"/>
                <w:highlight w:val="yellow"/>
              </w:rPr>
            </w:pPr>
            <w:r w:rsidRPr="00961262">
              <w:rPr>
                <w:rFonts w:eastAsia="Calibri" w:cs="Times New Roman"/>
                <w:sz w:val="18"/>
                <w:szCs w:val="18"/>
                <w:lang w:eastAsia="en-US"/>
              </w:rPr>
              <w:t>2</w:t>
            </w:r>
          </w:p>
        </w:tc>
        <w:tc>
          <w:tcPr>
            <w:tcW w:w="6600" w:type="dxa"/>
            <w:tcBorders>
              <w:top w:val="nil"/>
              <w:left w:val="nil"/>
              <w:bottom w:val="single" w:sz="8" w:space="0" w:color="auto"/>
              <w:right w:val="single" w:sz="8" w:space="0" w:color="auto"/>
            </w:tcBorders>
            <w:noWrap/>
            <w:hideMark/>
          </w:tcPr>
          <w:p w14:paraId="772AAE5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Nodibinājums "Akadēmiskās informācijas centrs"</w:t>
            </w:r>
          </w:p>
        </w:tc>
        <w:tc>
          <w:tcPr>
            <w:tcW w:w="2121" w:type="dxa"/>
            <w:tcBorders>
              <w:top w:val="nil"/>
              <w:left w:val="nil"/>
              <w:bottom w:val="single" w:sz="8" w:space="0" w:color="auto"/>
              <w:right w:val="single" w:sz="8" w:space="0" w:color="auto"/>
            </w:tcBorders>
            <w:noWrap/>
            <w:hideMark/>
          </w:tcPr>
          <w:p w14:paraId="3B6F259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2 000 000</w:t>
            </w:r>
          </w:p>
        </w:tc>
        <w:tc>
          <w:tcPr>
            <w:tcW w:w="2121" w:type="dxa"/>
            <w:tcBorders>
              <w:top w:val="nil"/>
              <w:left w:val="nil"/>
              <w:bottom w:val="single" w:sz="8" w:space="0" w:color="auto"/>
              <w:right w:val="single" w:sz="8" w:space="0" w:color="auto"/>
            </w:tcBorders>
            <w:noWrap/>
            <w:hideMark/>
          </w:tcPr>
          <w:p w14:paraId="3201A73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2 289 550</w:t>
            </w:r>
          </w:p>
        </w:tc>
        <w:tc>
          <w:tcPr>
            <w:tcW w:w="2177" w:type="dxa"/>
            <w:tcBorders>
              <w:top w:val="nil"/>
              <w:left w:val="nil"/>
              <w:bottom w:val="single" w:sz="8" w:space="0" w:color="auto"/>
              <w:right w:val="single" w:sz="8" w:space="0" w:color="auto"/>
            </w:tcBorders>
            <w:noWrap/>
            <w:hideMark/>
          </w:tcPr>
          <w:p w14:paraId="0478938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-289 550</w:t>
            </w:r>
          </w:p>
        </w:tc>
      </w:tr>
      <w:tr w:rsidR="00961262" w:rsidRPr="00961262" w14:paraId="03569C1B"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5998CC0"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w:t>
            </w:r>
          </w:p>
        </w:tc>
        <w:tc>
          <w:tcPr>
            <w:tcW w:w="6600" w:type="dxa"/>
            <w:tcBorders>
              <w:top w:val="nil"/>
              <w:left w:val="nil"/>
              <w:bottom w:val="single" w:sz="8" w:space="0" w:color="auto"/>
              <w:right w:val="single" w:sz="8" w:space="0" w:color="auto"/>
            </w:tcBorders>
            <w:noWrap/>
            <w:hideMark/>
          </w:tcPr>
          <w:p w14:paraId="0EB969C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"Autotransporta direkcija"</w:t>
            </w:r>
          </w:p>
        </w:tc>
        <w:tc>
          <w:tcPr>
            <w:tcW w:w="2121" w:type="dxa"/>
            <w:tcBorders>
              <w:top w:val="nil"/>
              <w:left w:val="nil"/>
              <w:bottom w:val="single" w:sz="8" w:space="0" w:color="auto"/>
              <w:right w:val="single" w:sz="8" w:space="0" w:color="auto"/>
            </w:tcBorders>
            <w:noWrap/>
            <w:hideMark/>
          </w:tcPr>
          <w:p w14:paraId="7A1B004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4 448 666</w:t>
            </w:r>
          </w:p>
        </w:tc>
        <w:tc>
          <w:tcPr>
            <w:tcW w:w="2121" w:type="dxa"/>
            <w:tcBorders>
              <w:top w:val="nil"/>
              <w:left w:val="nil"/>
              <w:bottom w:val="single" w:sz="8" w:space="0" w:color="auto"/>
              <w:right w:val="single" w:sz="8" w:space="0" w:color="auto"/>
            </w:tcBorders>
            <w:noWrap/>
            <w:hideMark/>
          </w:tcPr>
          <w:p w14:paraId="78E79F7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4 480 666</w:t>
            </w:r>
          </w:p>
        </w:tc>
        <w:tc>
          <w:tcPr>
            <w:tcW w:w="2177" w:type="dxa"/>
            <w:tcBorders>
              <w:top w:val="nil"/>
              <w:left w:val="nil"/>
              <w:bottom w:val="single" w:sz="8" w:space="0" w:color="auto"/>
              <w:right w:val="single" w:sz="8" w:space="0" w:color="auto"/>
            </w:tcBorders>
            <w:noWrap/>
            <w:hideMark/>
          </w:tcPr>
          <w:p w14:paraId="68DD0D5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-32 000</w:t>
            </w:r>
          </w:p>
        </w:tc>
      </w:tr>
      <w:tr w:rsidR="00961262" w:rsidRPr="00961262" w14:paraId="1E16FE6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CAF59D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w:t>
            </w:r>
          </w:p>
        </w:tc>
        <w:tc>
          <w:tcPr>
            <w:tcW w:w="6600" w:type="dxa"/>
            <w:tcBorders>
              <w:top w:val="nil"/>
              <w:left w:val="nil"/>
              <w:bottom w:val="single" w:sz="8" w:space="0" w:color="auto"/>
              <w:right w:val="single" w:sz="8" w:space="0" w:color="auto"/>
            </w:tcBorders>
            <w:noWrap/>
            <w:hideMark/>
          </w:tcPr>
          <w:p w14:paraId="5E15DF53"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xml:space="preserve">VSIA </w:t>
            </w:r>
            <w:r w:rsidRPr="00961262">
              <w:rPr>
                <w:rFonts w:eastAsia="Calibri" w:cs="Times New Roman"/>
                <w:sz w:val="18"/>
                <w:szCs w:val="18"/>
                <w:lang w:eastAsia="en-US"/>
              </w:rPr>
              <w:t>"</w:t>
            </w:r>
            <w:r w:rsidRPr="00961262">
              <w:rPr>
                <w:rFonts w:eastAsia="Times New Roman" w:cs="Times New Roman"/>
                <w:color w:val="000000"/>
                <w:sz w:val="18"/>
                <w:szCs w:val="18"/>
              </w:rPr>
              <w:t>Bērnu klīniskā universitātes slimnīca</w:t>
            </w:r>
            <w:r w:rsidRPr="00961262">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noWrap/>
            <w:hideMark/>
          </w:tcPr>
          <w:p w14:paraId="08254DA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83 239 166</w:t>
            </w:r>
          </w:p>
        </w:tc>
        <w:tc>
          <w:tcPr>
            <w:tcW w:w="2121" w:type="dxa"/>
            <w:tcBorders>
              <w:top w:val="nil"/>
              <w:left w:val="nil"/>
              <w:bottom w:val="single" w:sz="8" w:space="0" w:color="auto"/>
              <w:right w:val="single" w:sz="8" w:space="0" w:color="auto"/>
            </w:tcBorders>
            <w:noWrap/>
            <w:hideMark/>
          </w:tcPr>
          <w:p w14:paraId="1A215CC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83 521 399</w:t>
            </w:r>
          </w:p>
        </w:tc>
        <w:tc>
          <w:tcPr>
            <w:tcW w:w="2177" w:type="dxa"/>
            <w:tcBorders>
              <w:top w:val="nil"/>
              <w:left w:val="nil"/>
              <w:bottom w:val="single" w:sz="8" w:space="0" w:color="auto"/>
              <w:right w:val="single" w:sz="8" w:space="0" w:color="auto"/>
            </w:tcBorders>
            <w:noWrap/>
            <w:hideMark/>
          </w:tcPr>
          <w:p w14:paraId="0CF13F5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-282 233</w:t>
            </w:r>
          </w:p>
        </w:tc>
      </w:tr>
      <w:tr w:rsidR="00961262" w:rsidRPr="00961262" w14:paraId="2F7C542F"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329EE6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w:t>
            </w:r>
          </w:p>
        </w:tc>
        <w:tc>
          <w:tcPr>
            <w:tcW w:w="6600" w:type="dxa"/>
            <w:tcBorders>
              <w:top w:val="nil"/>
              <w:left w:val="nil"/>
              <w:bottom w:val="single" w:sz="8" w:space="0" w:color="auto"/>
              <w:right w:val="single" w:sz="8" w:space="0" w:color="auto"/>
            </w:tcBorders>
            <w:noWrap/>
            <w:hideMark/>
          </w:tcPr>
          <w:p w14:paraId="2AAB1E5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xml:space="preserve">SIA </w:t>
            </w:r>
            <w:r w:rsidRPr="00961262">
              <w:rPr>
                <w:rFonts w:eastAsia="Calibri" w:cs="Times New Roman"/>
                <w:sz w:val="18"/>
                <w:szCs w:val="18"/>
                <w:lang w:eastAsia="en-US"/>
              </w:rPr>
              <w:t>"</w:t>
            </w:r>
            <w:r w:rsidRPr="00961262">
              <w:rPr>
                <w:rFonts w:eastAsia="Times New Roman" w:cs="Times New Roman"/>
                <w:color w:val="000000"/>
                <w:sz w:val="18"/>
                <w:szCs w:val="18"/>
              </w:rPr>
              <w:t>Veselības centrs "Biķernieki"</w:t>
            </w:r>
            <w:r w:rsidRPr="00961262">
              <w:rPr>
                <w:rFonts w:eastAsia="Calibri" w:cs="Times New Roman"/>
                <w:sz w:val="18"/>
                <w:szCs w:val="18"/>
                <w:lang w:eastAsia="en-US"/>
              </w:rPr>
              <w:t>"</w:t>
            </w:r>
          </w:p>
        </w:tc>
        <w:tc>
          <w:tcPr>
            <w:tcW w:w="2121" w:type="dxa"/>
            <w:tcBorders>
              <w:top w:val="nil"/>
              <w:left w:val="nil"/>
              <w:bottom w:val="single" w:sz="8" w:space="0" w:color="auto"/>
              <w:right w:val="single" w:sz="8" w:space="0" w:color="auto"/>
            </w:tcBorders>
            <w:noWrap/>
            <w:hideMark/>
          </w:tcPr>
          <w:p w14:paraId="01B6AE8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3 820 000</w:t>
            </w:r>
          </w:p>
        </w:tc>
        <w:tc>
          <w:tcPr>
            <w:tcW w:w="2121" w:type="dxa"/>
            <w:tcBorders>
              <w:top w:val="nil"/>
              <w:left w:val="nil"/>
              <w:bottom w:val="single" w:sz="8" w:space="0" w:color="auto"/>
              <w:right w:val="single" w:sz="8" w:space="0" w:color="auto"/>
            </w:tcBorders>
            <w:noWrap/>
            <w:hideMark/>
          </w:tcPr>
          <w:p w14:paraId="5851D46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3 815 124</w:t>
            </w:r>
          </w:p>
        </w:tc>
        <w:tc>
          <w:tcPr>
            <w:tcW w:w="2177" w:type="dxa"/>
            <w:tcBorders>
              <w:top w:val="nil"/>
              <w:left w:val="nil"/>
              <w:bottom w:val="single" w:sz="8" w:space="0" w:color="auto"/>
              <w:right w:val="single" w:sz="8" w:space="0" w:color="auto"/>
            </w:tcBorders>
            <w:noWrap/>
            <w:hideMark/>
          </w:tcPr>
          <w:p w14:paraId="564EFE3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4 876</w:t>
            </w:r>
          </w:p>
        </w:tc>
      </w:tr>
      <w:tr w:rsidR="00961262" w:rsidRPr="00961262" w14:paraId="73B7CDC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FB669BD"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w:t>
            </w:r>
          </w:p>
        </w:tc>
        <w:tc>
          <w:tcPr>
            <w:tcW w:w="6600" w:type="dxa"/>
            <w:tcBorders>
              <w:top w:val="nil"/>
              <w:left w:val="nil"/>
              <w:bottom w:val="single" w:sz="8" w:space="0" w:color="auto"/>
              <w:right w:val="single" w:sz="8" w:space="0" w:color="auto"/>
            </w:tcBorders>
            <w:noWrap/>
            <w:hideMark/>
          </w:tcPr>
          <w:p w14:paraId="2403494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 xml:space="preserve">VSIA </w:t>
            </w:r>
            <w:r w:rsidRPr="00961262">
              <w:rPr>
                <w:rFonts w:eastAsia="Times New Roman" w:cs="Times New Roman"/>
                <w:color w:val="000000"/>
                <w:sz w:val="18"/>
                <w:szCs w:val="18"/>
              </w:rPr>
              <w:t>"</w:t>
            </w:r>
            <w:r w:rsidRPr="00961262">
              <w:rPr>
                <w:rFonts w:eastAsia="Calibri" w:cs="Times New Roman"/>
                <w:sz w:val="18"/>
                <w:szCs w:val="18"/>
                <w:lang w:eastAsia="en-US"/>
              </w:rPr>
              <w:t>Bulduru Dārzkopības vidusskola</w:t>
            </w:r>
            <w:r w:rsidRPr="00961262">
              <w:rPr>
                <w:rFonts w:eastAsia="Times New Roman" w:cs="Times New Roman"/>
                <w:color w:val="000000"/>
                <w:sz w:val="18"/>
                <w:szCs w:val="18"/>
              </w:rPr>
              <w:t>"</w:t>
            </w:r>
          </w:p>
        </w:tc>
        <w:tc>
          <w:tcPr>
            <w:tcW w:w="2121" w:type="dxa"/>
            <w:tcBorders>
              <w:top w:val="nil"/>
              <w:left w:val="nil"/>
              <w:bottom w:val="single" w:sz="8" w:space="0" w:color="auto"/>
              <w:right w:val="single" w:sz="8" w:space="0" w:color="auto"/>
            </w:tcBorders>
            <w:noWrap/>
            <w:hideMark/>
          </w:tcPr>
          <w:p w14:paraId="2D1E3B6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855 000</w:t>
            </w:r>
          </w:p>
        </w:tc>
        <w:tc>
          <w:tcPr>
            <w:tcW w:w="2121" w:type="dxa"/>
            <w:tcBorders>
              <w:top w:val="nil"/>
              <w:left w:val="nil"/>
              <w:bottom w:val="single" w:sz="8" w:space="0" w:color="auto"/>
              <w:right w:val="single" w:sz="8" w:space="0" w:color="auto"/>
            </w:tcBorders>
            <w:noWrap/>
            <w:hideMark/>
          </w:tcPr>
          <w:p w14:paraId="7BD98A6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959 990</w:t>
            </w:r>
          </w:p>
        </w:tc>
        <w:tc>
          <w:tcPr>
            <w:tcW w:w="2177" w:type="dxa"/>
            <w:tcBorders>
              <w:top w:val="nil"/>
              <w:left w:val="nil"/>
              <w:bottom w:val="single" w:sz="8" w:space="0" w:color="auto"/>
              <w:right w:val="single" w:sz="8" w:space="0" w:color="auto"/>
            </w:tcBorders>
            <w:noWrap/>
            <w:hideMark/>
          </w:tcPr>
          <w:p w14:paraId="639F5CC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-104 990</w:t>
            </w:r>
          </w:p>
        </w:tc>
      </w:tr>
      <w:tr w:rsidR="00961262" w:rsidRPr="00961262" w14:paraId="5B0378E9"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D5D6889"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w:t>
            </w:r>
          </w:p>
        </w:tc>
        <w:tc>
          <w:tcPr>
            <w:tcW w:w="6600" w:type="dxa"/>
            <w:tcBorders>
              <w:top w:val="nil"/>
              <w:left w:val="nil"/>
              <w:bottom w:val="single" w:sz="8" w:space="0" w:color="auto"/>
              <w:right w:val="single" w:sz="8" w:space="0" w:color="auto"/>
            </w:tcBorders>
            <w:noWrap/>
            <w:hideMark/>
          </w:tcPr>
          <w:p w14:paraId="338040B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VAS "Ceļu satiksmes drošības direkcija"</w:t>
            </w:r>
          </w:p>
        </w:tc>
        <w:tc>
          <w:tcPr>
            <w:tcW w:w="2121" w:type="dxa"/>
            <w:tcBorders>
              <w:top w:val="nil"/>
              <w:left w:val="nil"/>
              <w:bottom w:val="single" w:sz="8" w:space="0" w:color="auto"/>
              <w:right w:val="single" w:sz="8" w:space="0" w:color="auto"/>
            </w:tcBorders>
            <w:noWrap/>
            <w:hideMark/>
          </w:tcPr>
          <w:p w14:paraId="5A3E6F9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67 292 454</w:t>
            </w:r>
          </w:p>
        </w:tc>
        <w:tc>
          <w:tcPr>
            <w:tcW w:w="2121" w:type="dxa"/>
            <w:tcBorders>
              <w:top w:val="nil"/>
              <w:left w:val="nil"/>
              <w:bottom w:val="single" w:sz="8" w:space="0" w:color="auto"/>
              <w:right w:val="single" w:sz="8" w:space="0" w:color="auto"/>
            </w:tcBorders>
            <w:noWrap/>
            <w:hideMark/>
          </w:tcPr>
          <w:p w14:paraId="284BAA8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65 947 624</w:t>
            </w:r>
          </w:p>
        </w:tc>
        <w:tc>
          <w:tcPr>
            <w:tcW w:w="2177" w:type="dxa"/>
            <w:tcBorders>
              <w:top w:val="nil"/>
              <w:left w:val="nil"/>
              <w:bottom w:val="single" w:sz="8" w:space="0" w:color="auto"/>
              <w:right w:val="single" w:sz="8" w:space="0" w:color="auto"/>
            </w:tcBorders>
            <w:noWrap/>
            <w:hideMark/>
          </w:tcPr>
          <w:p w14:paraId="79DAD3F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1 344 830</w:t>
            </w:r>
          </w:p>
        </w:tc>
      </w:tr>
      <w:tr w:rsidR="00961262" w:rsidRPr="00961262" w14:paraId="29F65244"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F4260FB"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8</w:t>
            </w:r>
          </w:p>
        </w:tc>
        <w:tc>
          <w:tcPr>
            <w:tcW w:w="6600" w:type="dxa"/>
            <w:tcBorders>
              <w:top w:val="nil"/>
              <w:left w:val="nil"/>
              <w:bottom w:val="single" w:sz="8" w:space="0" w:color="auto"/>
              <w:right w:val="single" w:sz="8" w:space="0" w:color="auto"/>
            </w:tcBorders>
            <w:noWrap/>
            <w:hideMark/>
          </w:tcPr>
          <w:p w14:paraId="208F4AF6"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"Daugavpils psihoneiroloģiskā slimnīca"</w:t>
            </w:r>
          </w:p>
        </w:tc>
        <w:tc>
          <w:tcPr>
            <w:tcW w:w="2121" w:type="dxa"/>
            <w:tcBorders>
              <w:top w:val="nil"/>
              <w:left w:val="nil"/>
              <w:bottom w:val="single" w:sz="8" w:space="0" w:color="auto"/>
              <w:right w:val="single" w:sz="8" w:space="0" w:color="auto"/>
            </w:tcBorders>
            <w:noWrap/>
            <w:hideMark/>
          </w:tcPr>
          <w:p w14:paraId="343B87A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23 853 244</w:t>
            </w:r>
          </w:p>
        </w:tc>
        <w:tc>
          <w:tcPr>
            <w:tcW w:w="2121" w:type="dxa"/>
            <w:tcBorders>
              <w:top w:val="nil"/>
              <w:left w:val="nil"/>
              <w:bottom w:val="single" w:sz="8" w:space="0" w:color="auto"/>
              <w:right w:val="single" w:sz="8" w:space="0" w:color="auto"/>
            </w:tcBorders>
            <w:noWrap/>
            <w:hideMark/>
          </w:tcPr>
          <w:p w14:paraId="6AD0B63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23 950 138</w:t>
            </w:r>
          </w:p>
        </w:tc>
        <w:tc>
          <w:tcPr>
            <w:tcW w:w="2177" w:type="dxa"/>
            <w:tcBorders>
              <w:top w:val="nil"/>
              <w:left w:val="nil"/>
              <w:bottom w:val="single" w:sz="8" w:space="0" w:color="auto"/>
              <w:right w:val="single" w:sz="8" w:space="0" w:color="auto"/>
            </w:tcBorders>
            <w:noWrap/>
            <w:hideMark/>
          </w:tcPr>
          <w:p w14:paraId="63EA2E1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-96 894</w:t>
            </w:r>
          </w:p>
        </w:tc>
      </w:tr>
      <w:tr w:rsidR="00961262" w:rsidRPr="00961262" w14:paraId="1062747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9BEB97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9</w:t>
            </w:r>
          </w:p>
        </w:tc>
        <w:tc>
          <w:tcPr>
            <w:tcW w:w="6600" w:type="dxa"/>
            <w:tcBorders>
              <w:top w:val="nil"/>
              <w:left w:val="nil"/>
              <w:bottom w:val="single" w:sz="8" w:space="0" w:color="auto"/>
              <w:right w:val="single" w:sz="8" w:space="0" w:color="auto"/>
            </w:tcBorders>
            <w:noWrap/>
            <w:hideMark/>
          </w:tcPr>
          <w:p w14:paraId="54DEF8DB"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xml:space="preserve">SIA </w:t>
            </w:r>
            <w:r w:rsidRPr="00961262">
              <w:rPr>
                <w:rFonts w:eastAsia="Calibri" w:cs="Times New Roman"/>
                <w:sz w:val="18"/>
                <w:szCs w:val="18"/>
                <w:lang w:eastAsia="en-US"/>
              </w:rPr>
              <w:t>"Daugavpils Reģionālā slimnīca"</w:t>
            </w:r>
          </w:p>
        </w:tc>
        <w:tc>
          <w:tcPr>
            <w:tcW w:w="2121" w:type="dxa"/>
            <w:tcBorders>
              <w:top w:val="nil"/>
              <w:left w:val="nil"/>
              <w:bottom w:val="single" w:sz="8" w:space="0" w:color="auto"/>
              <w:right w:val="single" w:sz="8" w:space="0" w:color="auto"/>
            </w:tcBorders>
            <w:noWrap/>
            <w:hideMark/>
          </w:tcPr>
          <w:p w14:paraId="08FDBA7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60 286 466</w:t>
            </w:r>
          </w:p>
        </w:tc>
        <w:tc>
          <w:tcPr>
            <w:tcW w:w="2121" w:type="dxa"/>
            <w:tcBorders>
              <w:top w:val="nil"/>
              <w:left w:val="nil"/>
              <w:bottom w:val="single" w:sz="8" w:space="0" w:color="auto"/>
              <w:right w:val="single" w:sz="8" w:space="0" w:color="auto"/>
            </w:tcBorders>
            <w:noWrap/>
            <w:hideMark/>
          </w:tcPr>
          <w:p w14:paraId="08E7E11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59 613 975</w:t>
            </w:r>
          </w:p>
        </w:tc>
        <w:tc>
          <w:tcPr>
            <w:tcW w:w="2177" w:type="dxa"/>
            <w:tcBorders>
              <w:top w:val="nil"/>
              <w:left w:val="nil"/>
              <w:bottom w:val="single" w:sz="8" w:space="0" w:color="auto"/>
              <w:right w:val="single" w:sz="8" w:space="0" w:color="auto"/>
            </w:tcBorders>
            <w:noWrap/>
            <w:hideMark/>
          </w:tcPr>
          <w:p w14:paraId="42B40CF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672 491</w:t>
            </w:r>
          </w:p>
        </w:tc>
      </w:tr>
      <w:tr w:rsidR="00961262" w:rsidRPr="00961262" w14:paraId="3AC140E8"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C1AC210"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10</w:t>
            </w:r>
          </w:p>
        </w:tc>
        <w:tc>
          <w:tcPr>
            <w:tcW w:w="6600" w:type="dxa"/>
            <w:tcBorders>
              <w:top w:val="nil"/>
              <w:left w:val="nil"/>
              <w:bottom w:val="single" w:sz="8" w:space="0" w:color="auto"/>
              <w:right w:val="single" w:sz="8" w:space="0" w:color="auto"/>
            </w:tcBorders>
            <w:noWrap/>
            <w:hideMark/>
          </w:tcPr>
          <w:p w14:paraId="1993A89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"Daugavpils teātris"</w:t>
            </w:r>
          </w:p>
        </w:tc>
        <w:tc>
          <w:tcPr>
            <w:tcW w:w="2121" w:type="dxa"/>
            <w:tcBorders>
              <w:top w:val="nil"/>
              <w:left w:val="nil"/>
              <w:bottom w:val="single" w:sz="8" w:space="0" w:color="auto"/>
              <w:right w:val="single" w:sz="8" w:space="0" w:color="auto"/>
            </w:tcBorders>
            <w:noWrap/>
            <w:hideMark/>
          </w:tcPr>
          <w:p w14:paraId="50B6AAD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2 923 062</w:t>
            </w:r>
          </w:p>
        </w:tc>
        <w:tc>
          <w:tcPr>
            <w:tcW w:w="2121" w:type="dxa"/>
            <w:tcBorders>
              <w:top w:val="nil"/>
              <w:left w:val="nil"/>
              <w:bottom w:val="single" w:sz="8" w:space="0" w:color="auto"/>
              <w:right w:val="single" w:sz="8" w:space="0" w:color="auto"/>
            </w:tcBorders>
            <w:noWrap/>
            <w:hideMark/>
          </w:tcPr>
          <w:p w14:paraId="0AC44CE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2 921 662</w:t>
            </w:r>
          </w:p>
        </w:tc>
        <w:tc>
          <w:tcPr>
            <w:tcW w:w="2177" w:type="dxa"/>
            <w:tcBorders>
              <w:top w:val="nil"/>
              <w:left w:val="nil"/>
              <w:bottom w:val="single" w:sz="8" w:space="0" w:color="auto"/>
              <w:right w:val="single" w:sz="8" w:space="0" w:color="auto"/>
            </w:tcBorders>
            <w:noWrap/>
            <w:hideMark/>
          </w:tcPr>
          <w:p w14:paraId="27C7E5A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1 400</w:t>
            </w:r>
          </w:p>
        </w:tc>
      </w:tr>
      <w:tr w:rsidR="00961262" w:rsidRPr="00961262" w14:paraId="45E0AFEF"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2E3E1F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11</w:t>
            </w:r>
          </w:p>
        </w:tc>
        <w:tc>
          <w:tcPr>
            <w:tcW w:w="6600" w:type="dxa"/>
            <w:tcBorders>
              <w:top w:val="nil"/>
              <w:left w:val="nil"/>
              <w:bottom w:val="single" w:sz="8" w:space="0" w:color="auto"/>
              <w:right w:val="single" w:sz="8" w:space="0" w:color="auto"/>
            </w:tcBorders>
            <w:noWrap/>
            <w:hideMark/>
          </w:tcPr>
          <w:p w14:paraId="1B5FB65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"Eiropas Dzelzceļa līnijas"</w:t>
            </w:r>
          </w:p>
        </w:tc>
        <w:tc>
          <w:tcPr>
            <w:tcW w:w="2121" w:type="dxa"/>
            <w:tcBorders>
              <w:top w:val="nil"/>
              <w:left w:val="nil"/>
              <w:bottom w:val="single" w:sz="8" w:space="0" w:color="auto"/>
              <w:right w:val="single" w:sz="8" w:space="0" w:color="auto"/>
            </w:tcBorders>
            <w:noWrap/>
            <w:hideMark/>
          </w:tcPr>
          <w:p w14:paraId="41E2EEA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noWrap/>
            <w:hideMark/>
          </w:tcPr>
          <w:p w14:paraId="39E9C48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noWrap/>
            <w:hideMark/>
          </w:tcPr>
          <w:p w14:paraId="582606D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0528B65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7CA3126"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lastRenderedPageBreak/>
              <w:t>12</w:t>
            </w:r>
          </w:p>
        </w:tc>
        <w:tc>
          <w:tcPr>
            <w:tcW w:w="6600" w:type="dxa"/>
            <w:tcBorders>
              <w:top w:val="nil"/>
              <w:left w:val="nil"/>
              <w:bottom w:val="single" w:sz="8" w:space="0" w:color="auto"/>
              <w:right w:val="single" w:sz="8" w:space="0" w:color="auto"/>
            </w:tcBorders>
            <w:noWrap/>
            <w:hideMark/>
          </w:tcPr>
          <w:p w14:paraId="02CC6A0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"Enerģijas publiskais tirgotājs"</w:t>
            </w:r>
          </w:p>
        </w:tc>
        <w:tc>
          <w:tcPr>
            <w:tcW w:w="2121" w:type="dxa"/>
            <w:tcBorders>
              <w:top w:val="nil"/>
              <w:left w:val="nil"/>
              <w:bottom w:val="single" w:sz="8" w:space="0" w:color="auto"/>
              <w:right w:val="single" w:sz="8" w:space="0" w:color="auto"/>
            </w:tcBorders>
            <w:noWrap/>
            <w:hideMark/>
          </w:tcPr>
          <w:p w14:paraId="770C659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34 521 801</w:t>
            </w:r>
          </w:p>
        </w:tc>
        <w:tc>
          <w:tcPr>
            <w:tcW w:w="2121" w:type="dxa"/>
            <w:tcBorders>
              <w:top w:val="nil"/>
              <w:left w:val="nil"/>
              <w:bottom w:val="single" w:sz="8" w:space="0" w:color="auto"/>
              <w:right w:val="single" w:sz="8" w:space="0" w:color="auto"/>
            </w:tcBorders>
            <w:noWrap/>
            <w:hideMark/>
          </w:tcPr>
          <w:p w14:paraId="31A2EE1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51 462 340</w:t>
            </w:r>
          </w:p>
        </w:tc>
        <w:tc>
          <w:tcPr>
            <w:tcW w:w="2177" w:type="dxa"/>
            <w:tcBorders>
              <w:top w:val="nil"/>
              <w:left w:val="nil"/>
              <w:bottom w:val="single" w:sz="8" w:space="0" w:color="auto"/>
              <w:right w:val="single" w:sz="8" w:space="0" w:color="auto"/>
            </w:tcBorders>
            <w:noWrap/>
            <w:hideMark/>
          </w:tcPr>
          <w:p w14:paraId="5293A4D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-16 940 539</w:t>
            </w:r>
          </w:p>
        </w:tc>
      </w:tr>
      <w:tr w:rsidR="00961262" w:rsidRPr="00961262" w14:paraId="1D57C6A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5E6D07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13</w:t>
            </w:r>
          </w:p>
        </w:tc>
        <w:tc>
          <w:tcPr>
            <w:tcW w:w="6600" w:type="dxa"/>
            <w:tcBorders>
              <w:top w:val="nil"/>
              <w:left w:val="nil"/>
              <w:bottom w:val="single" w:sz="8" w:space="0" w:color="auto"/>
              <w:right w:val="single" w:sz="8" w:space="0" w:color="auto"/>
            </w:tcBorders>
            <w:hideMark/>
          </w:tcPr>
          <w:p w14:paraId="02D9127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"FeLM"</w:t>
            </w:r>
          </w:p>
        </w:tc>
        <w:tc>
          <w:tcPr>
            <w:tcW w:w="2121" w:type="dxa"/>
            <w:tcBorders>
              <w:top w:val="nil"/>
              <w:left w:val="nil"/>
              <w:bottom w:val="single" w:sz="8" w:space="0" w:color="auto"/>
              <w:right w:val="single" w:sz="8" w:space="0" w:color="auto"/>
            </w:tcBorders>
            <w:noWrap/>
            <w:hideMark/>
          </w:tcPr>
          <w:p w14:paraId="5CA55A6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noWrap/>
            <w:hideMark/>
          </w:tcPr>
          <w:p w14:paraId="4E89399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noWrap/>
            <w:hideMark/>
          </w:tcPr>
          <w:p w14:paraId="017269F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570D307A"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B6BD42C"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14</w:t>
            </w:r>
          </w:p>
        </w:tc>
        <w:tc>
          <w:tcPr>
            <w:tcW w:w="6600" w:type="dxa"/>
            <w:tcBorders>
              <w:top w:val="nil"/>
              <w:left w:val="nil"/>
              <w:bottom w:val="single" w:sz="8" w:space="0" w:color="auto"/>
              <w:right w:val="single" w:sz="8" w:space="0" w:color="auto"/>
            </w:tcBorders>
            <w:hideMark/>
          </w:tcPr>
          <w:p w14:paraId="02B77E7B"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"Slimnīca "Ģintermuiža""</w:t>
            </w:r>
          </w:p>
        </w:tc>
        <w:tc>
          <w:tcPr>
            <w:tcW w:w="2121" w:type="dxa"/>
            <w:tcBorders>
              <w:top w:val="nil"/>
              <w:left w:val="nil"/>
              <w:bottom w:val="single" w:sz="8" w:space="0" w:color="auto"/>
              <w:right w:val="single" w:sz="8" w:space="0" w:color="auto"/>
            </w:tcBorders>
            <w:noWrap/>
            <w:hideMark/>
          </w:tcPr>
          <w:p w14:paraId="547BF26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13 977 375</w:t>
            </w:r>
          </w:p>
        </w:tc>
        <w:tc>
          <w:tcPr>
            <w:tcW w:w="2121" w:type="dxa"/>
            <w:tcBorders>
              <w:top w:val="nil"/>
              <w:left w:val="nil"/>
              <w:bottom w:val="single" w:sz="8" w:space="0" w:color="auto"/>
              <w:right w:val="single" w:sz="8" w:space="0" w:color="auto"/>
            </w:tcBorders>
            <w:noWrap/>
            <w:hideMark/>
          </w:tcPr>
          <w:p w14:paraId="32100CD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13 965 950</w:t>
            </w:r>
          </w:p>
        </w:tc>
        <w:tc>
          <w:tcPr>
            <w:tcW w:w="2177" w:type="dxa"/>
            <w:tcBorders>
              <w:top w:val="nil"/>
              <w:left w:val="nil"/>
              <w:bottom w:val="single" w:sz="8" w:space="0" w:color="auto"/>
              <w:right w:val="single" w:sz="8" w:space="0" w:color="auto"/>
            </w:tcBorders>
            <w:noWrap/>
            <w:hideMark/>
          </w:tcPr>
          <w:p w14:paraId="2CC9DC1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11 425</w:t>
            </w:r>
          </w:p>
        </w:tc>
      </w:tr>
      <w:tr w:rsidR="00961262" w:rsidRPr="00961262" w14:paraId="5CAD3F1C"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0099528"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15</w:t>
            </w:r>
          </w:p>
        </w:tc>
        <w:tc>
          <w:tcPr>
            <w:tcW w:w="6600" w:type="dxa"/>
            <w:tcBorders>
              <w:top w:val="nil"/>
              <w:left w:val="nil"/>
              <w:bottom w:val="single" w:sz="8" w:space="0" w:color="auto"/>
              <w:right w:val="single" w:sz="8" w:space="0" w:color="auto"/>
            </w:tcBorders>
            <w:noWrap/>
            <w:hideMark/>
          </w:tcPr>
          <w:p w14:paraId="7AABFB6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"Iekšlietu ministrijas poliklīnika"</w:t>
            </w:r>
          </w:p>
        </w:tc>
        <w:tc>
          <w:tcPr>
            <w:tcW w:w="2121" w:type="dxa"/>
            <w:tcBorders>
              <w:top w:val="nil"/>
              <w:left w:val="nil"/>
              <w:bottom w:val="single" w:sz="8" w:space="0" w:color="auto"/>
              <w:right w:val="single" w:sz="8" w:space="0" w:color="auto"/>
            </w:tcBorders>
            <w:noWrap/>
            <w:hideMark/>
          </w:tcPr>
          <w:p w14:paraId="32D81FB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3 379 400</w:t>
            </w:r>
          </w:p>
        </w:tc>
        <w:tc>
          <w:tcPr>
            <w:tcW w:w="2121" w:type="dxa"/>
            <w:tcBorders>
              <w:top w:val="nil"/>
              <w:left w:val="nil"/>
              <w:bottom w:val="single" w:sz="8" w:space="0" w:color="auto"/>
              <w:right w:val="single" w:sz="8" w:space="0" w:color="auto"/>
            </w:tcBorders>
            <w:noWrap/>
            <w:hideMark/>
          </w:tcPr>
          <w:p w14:paraId="2844A69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3 373 948</w:t>
            </w:r>
          </w:p>
        </w:tc>
        <w:tc>
          <w:tcPr>
            <w:tcW w:w="2177" w:type="dxa"/>
            <w:tcBorders>
              <w:top w:val="nil"/>
              <w:left w:val="nil"/>
              <w:bottom w:val="single" w:sz="8" w:space="0" w:color="auto"/>
              <w:right w:val="single" w:sz="8" w:space="0" w:color="auto"/>
            </w:tcBorders>
            <w:noWrap/>
            <w:hideMark/>
          </w:tcPr>
          <w:p w14:paraId="6CB7A7C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5 452</w:t>
            </w:r>
          </w:p>
        </w:tc>
      </w:tr>
      <w:tr w:rsidR="00961262" w:rsidRPr="00961262" w14:paraId="6E0FEC2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D5AF4B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16</w:t>
            </w:r>
          </w:p>
        </w:tc>
        <w:tc>
          <w:tcPr>
            <w:tcW w:w="6600" w:type="dxa"/>
            <w:tcBorders>
              <w:top w:val="nil"/>
              <w:left w:val="nil"/>
              <w:bottom w:val="single" w:sz="8" w:space="0" w:color="auto"/>
              <w:right w:val="single" w:sz="8" w:space="0" w:color="auto"/>
            </w:tcBorders>
            <w:noWrap/>
            <w:hideMark/>
          </w:tcPr>
          <w:p w14:paraId="256A8DE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AS "LatRailNet"</w:t>
            </w:r>
          </w:p>
        </w:tc>
        <w:tc>
          <w:tcPr>
            <w:tcW w:w="2121" w:type="dxa"/>
            <w:tcBorders>
              <w:top w:val="nil"/>
              <w:left w:val="nil"/>
              <w:bottom w:val="single" w:sz="8" w:space="0" w:color="auto"/>
              <w:right w:val="single" w:sz="8" w:space="0" w:color="auto"/>
            </w:tcBorders>
            <w:noWrap/>
            <w:hideMark/>
          </w:tcPr>
          <w:p w14:paraId="03D3DD1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1 724 088</w:t>
            </w:r>
          </w:p>
        </w:tc>
        <w:tc>
          <w:tcPr>
            <w:tcW w:w="2121" w:type="dxa"/>
            <w:tcBorders>
              <w:top w:val="nil"/>
              <w:left w:val="nil"/>
              <w:bottom w:val="single" w:sz="8" w:space="0" w:color="auto"/>
              <w:right w:val="single" w:sz="8" w:space="0" w:color="auto"/>
            </w:tcBorders>
            <w:noWrap/>
            <w:hideMark/>
          </w:tcPr>
          <w:p w14:paraId="71D4CDC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1 724 088</w:t>
            </w:r>
          </w:p>
        </w:tc>
        <w:tc>
          <w:tcPr>
            <w:tcW w:w="2177" w:type="dxa"/>
            <w:tcBorders>
              <w:top w:val="nil"/>
              <w:left w:val="nil"/>
              <w:bottom w:val="single" w:sz="8" w:space="0" w:color="auto"/>
              <w:right w:val="single" w:sz="8" w:space="0" w:color="auto"/>
            </w:tcBorders>
            <w:noWrap/>
            <w:hideMark/>
          </w:tcPr>
          <w:p w14:paraId="0BE868F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56A89F18"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3E369E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17</w:t>
            </w:r>
          </w:p>
        </w:tc>
        <w:tc>
          <w:tcPr>
            <w:tcW w:w="6600" w:type="dxa"/>
            <w:tcBorders>
              <w:top w:val="nil"/>
              <w:left w:val="nil"/>
              <w:bottom w:val="single" w:sz="8" w:space="0" w:color="auto"/>
              <w:right w:val="single" w:sz="8" w:space="0" w:color="auto"/>
            </w:tcBorders>
            <w:noWrap/>
            <w:hideMark/>
          </w:tcPr>
          <w:p w14:paraId="7661FB8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"Valsts Akadēmiskais koris "Latvija""</w:t>
            </w:r>
          </w:p>
        </w:tc>
        <w:tc>
          <w:tcPr>
            <w:tcW w:w="2121" w:type="dxa"/>
            <w:tcBorders>
              <w:top w:val="nil"/>
              <w:left w:val="nil"/>
              <w:bottom w:val="single" w:sz="8" w:space="0" w:color="auto"/>
              <w:right w:val="single" w:sz="8" w:space="0" w:color="auto"/>
            </w:tcBorders>
            <w:noWrap/>
            <w:hideMark/>
          </w:tcPr>
          <w:p w14:paraId="27FAA68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155 500</w:t>
            </w:r>
          </w:p>
        </w:tc>
        <w:tc>
          <w:tcPr>
            <w:tcW w:w="2121" w:type="dxa"/>
            <w:tcBorders>
              <w:top w:val="nil"/>
              <w:left w:val="nil"/>
              <w:bottom w:val="single" w:sz="8" w:space="0" w:color="auto"/>
              <w:right w:val="single" w:sz="8" w:space="0" w:color="auto"/>
            </w:tcBorders>
            <w:noWrap/>
            <w:hideMark/>
          </w:tcPr>
          <w:p w14:paraId="55D3966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153 500</w:t>
            </w:r>
          </w:p>
        </w:tc>
        <w:tc>
          <w:tcPr>
            <w:tcW w:w="2177" w:type="dxa"/>
            <w:tcBorders>
              <w:top w:val="nil"/>
              <w:left w:val="nil"/>
              <w:bottom w:val="single" w:sz="8" w:space="0" w:color="auto"/>
              <w:right w:val="single" w:sz="8" w:space="0" w:color="auto"/>
            </w:tcBorders>
            <w:noWrap/>
            <w:hideMark/>
          </w:tcPr>
          <w:p w14:paraId="313EF0C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2 000</w:t>
            </w:r>
          </w:p>
        </w:tc>
      </w:tr>
      <w:tr w:rsidR="00961262" w:rsidRPr="00961262" w14:paraId="7BA6397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DEC458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18</w:t>
            </w:r>
          </w:p>
        </w:tc>
        <w:tc>
          <w:tcPr>
            <w:tcW w:w="6600" w:type="dxa"/>
            <w:tcBorders>
              <w:top w:val="nil"/>
              <w:left w:val="nil"/>
              <w:bottom w:val="single" w:sz="8" w:space="0" w:color="auto"/>
              <w:right w:val="single" w:sz="8" w:space="0" w:color="auto"/>
            </w:tcBorders>
            <w:noWrap/>
            <w:hideMark/>
          </w:tcPr>
          <w:p w14:paraId="0C33C51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VAS "Latvijas Attīstības finanšu institūcija Altum"</w:t>
            </w:r>
          </w:p>
        </w:tc>
        <w:tc>
          <w:tcPr>
            <w:tcW w:w="2121" w:type="dxa"/>
            <w:tcBorders>
              <w:top w:val="nil"/>
              <w:left w:val="nil"/>
              <w:bottom w:val="single" w:sz="8" w:space="0" w:color="auto"/>
              <w:right w:val="single" w:sz="8" w:space="0" w:color="auto"/>
            </w:tcBorders>
            <w:noWrap/>
            <w:hideMark/>
          </w:tcPr>
          <w:p w14:paraId="391C47D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27 248 685</w:t>
            </w:r>
          </w:p>
        </w:tc>
        <w:tc>
          <w:tcPr>
            <w:tcW w:w="2121" w:type="dxa"/>
            <w:tcBorders>
              <w:top w:val="nil"/>
              <w:left w:val="nil"/>
              <w:bottom w:val="single" w:sz="8" w:space="0" w:color="auto"/>
              <w:right w:val="single" w:sz="8" w:space="0" w:color="auto"/>
            </w:tcBorders>
            <w:noWrap/>
            <w:hideMark/>
          </w:tcPr>
          <w:p w14:paraId="0CFDBA9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11 993 170</w:t>
            </w:r>
          </w:p>
        </w:tc>
        <w:tc>
          <w:tcPr>
            <w:tcW w:w="2177" w:type="dxa"/>
            <w:tcBorders>
              <w:top w:val="nil"/>
              <w:left w:val="nil"/>
              <w:bottom w:val="single" w:sz="8" w:space="0" w:color="auto"/>
              <w:right w:val="single" w:sz="8" w:space="0" w:color="auto"/>
            </w:tcBorders>
            <w:noWrap/>
            <w:hideMark/>
          </w:tcPr>
          <w:p w14:paraId="7CEBC30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15 255 515</w:t>
            </w:r>
          </w:p>
        </w:tc>
      </w:tr>
      <w:tr w:rsidR="00961262" w:rsidRPr="00961262" w14:paraId="620E40DF"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2F75430"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19</w:t>
            </w:r>
          </w:p>
        </w:tc>
        <w:tc>
          <w:tcPr>
            <w:tcW w:w="6600" w:type="dxa"/>
            <w:tcBorders>
              <w:top w:val="nil"/>
              <w:left w:val="nil"/>
              <w:bottom w:val="single" w:sz="8" w:space="0" w:color="auto"/>
              <w:right w:val="single" w:sz="8" w:space="0" w:color="auto"/>
            </w:tcBorders>
            <w:noWrap/>
            <w:hideMark/>
          </w:tcPr>
          <w:p w14:paraId="556573B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VAS "Latvijas autoceļu uzturētājs"</w:t>
            </w:r>
          </w:p>
        </w:tc>
        <w:tc>
          <w:tcPr>
            <w:tcW w:w="2121" w:type="dxa"/>
            <w:tcBorders>
              <w:top w:val="nil"/>
              <w:left w:val="nil"/>
              <w:bottom w:val="single" w:sz="8" w:space="0" w:color="auto"/>
              <w:right w:val="single" w:sz="8" w:space="0" w:color="auto"/>
            </w:tcBorders>
            <w:noWrap/>
            <w:hideMark/>
          </w:tcPr>
          <w:p w14:paraId="3014980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75 285 741</w:t>
            </w:r>
          </w:p>
        </w:tc>
        <w:tc>
          <w:tcPr>
            <w:tcW w:w="2121" w:type="dxa"/>
            <w:tcBorders>
              <w:top w:val="nil"/>
              <w:left w:val="nil"/>
              <w:bottom w:val="single" w:sz="8" w:space="0" w:color="auto"/>
              <w:right w:val="single" w:sz="8" w:space="0" w:color="auto"/>
            </w:tcBorders>
            <w:noWrap/>
            <w:hideMark/>
          </w:tcPr>
          <w:p w14:paraId="211A3ED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74 455 284</w:t>
            </w:r>
          </w:p>
        </w:tc>
        <w:tc>
          <w:tcPr>
            <w:tcW w:w="2177" w:type="dxa"/>
            <w:tcBorders>
              <w:top w:val="nil"/>
              <w:left w:val="nil"/>
              <w:bottom w:val="single" w:sz="8" w:space="0" w:color="auto"/>
              <w:right w:val="single" w:sz="8" w:space="0" w:color="auto"/>
            </w:tcBorders>
            <w:noWrap/>
            <w:hideMark/>
          </w:tcPr>
          <w:p w14:paraId="06EA355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830 457</w:t>
            </w:r>
          </w:p>
        </w:tc>
      </w:tr>
      <w:tr w:rsidR="00961262" w:rsidRPr="00961262" w14:paraId="43A381B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7DB902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20</w:t>
            </w:r>
          </w:p>
        </w:tc>
        <w:tc>
          <w:tcPr>
            <w:tcW w:w="6600" w:type="dxa"/>
            <w:tcBorders>
              <w:top w:val="nil"/>
              <w:left w:val="nil"/>
              <w:bottom w:val="single" w:sz="8" w:space="0" w:color="auto"/>
              <w:right w:val="single" w:sz="8" w:space="0" w:color="auto"/>
            </w:tcBorders>
            <w:noWrap/>
            <w:hideMark/>
          </w:tcPr>
          <w:p w14:paraId="1D367D5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"Latvijas Digitālās veselības centrs"</w:t>
            </w:r>
          </w:p>
        </w:tc>
        <w:tc>
          <w:tcPr>
            <w:tcW w:w="2121" w:type="dxa"/>
            <w:tcBorders>
              <w:top w:val="nil"/>
              <w:left w:val="nil"/>
              <w:bottom w:val="single" w:sz="8" w:space="0" w:color="auto"/>
              <w:right w:val="single" w:sz="8" w:space="0" w:color="auto"/>
            </w:tcBorders>
            <w:noWrap/>
            <w:hideMark/>
          </w:tcPr>
          <w:p w14:paraId="4E73438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7 137 983</w:t>
            </w:r>
          </w:p>
        </w:tc>
        <w:tc>
          <w:tcPr>
            <w:tcW w:w="2121" w:type="dxa"/>
            <w:tcBorders>
              <w:top w:val="nil"/>
              <w:left w:val="nil"/>
              <w:bottom w:val="single" w:sz="8" w:space="0" w:color="auto"/>
              <w:right w:val="single" w:sz="8" w:space="0" w:color="auto"/>
            </w:tcBorders>
            <w:noWrap/>
            <w:hideMark/>
          </w:tcPr>
          <w:p w14:paraId="36F2727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7 137 983</w:t>
            </w:r>
          </w:p>
        </w:tc>
        <w:tc>
          <w:tcPr>
            <w:tcW w:w="2177" w:type="dxa"/>
            <w:tcBorders>
              <w:top w:val="nil"/>
              <w:left w:val="nil"/>
              <w:bottom w:val="single" w:sz="8" w:space="0" w:color="auto"/>
              <w:right w:val="single" w:sz="8" w:space="0" w:color="auto"/>
            </w:tcBorders>
            <w:noWrap/>
            <w:hideMark/>
          </w:tcPr>
          <w:p w14:paraId="0E1E836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4A549C0B"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2B378DB"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21</w:t>
            </w:r>
          </w:p>
        </w:tc>
        <w:tc>
          <w:tcPr>
            <w:tcW w:w="6600" w:type="dxa"/>
            <w:tcBorders>
              <w:top w:val="nil"/>
              <w:left w:val="nil"/>
              <w:bottom w:val="single" w:sz="8" w:space="0" w:color="auto"/>
              <w:right w:val="single" w:sz="8" w:space="0" w:color="auto"/>
            </w:tcBorders>
            <w:noWrap/>
            <w:hideMark/>
          </w:tcPr>
          <w:p w14:paraId="6A3058AD"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VAS "Latvijas dzelzceļš"</w:t>
            </w:r>
          </w:p>
        </w:tc>
        <w:tc>
          <w:tcPr>
            <w:tcW w:w="2121" w:type="dxa"/>
            <w:tcBorders>
              <w:top w:val="nil"/>
              <w:left w:val="nil"/>
              <w:bottom w:val="single" w:sz="8" w:space="0" w:color="auto"/>
              <w:right w:val="single" w:sz="8" w:space="0" w:color="auto"/>
            </w:tcBorders>
            <w:noWrap/>
            <w:hideMark/>
          </w:tcPr>
          <w:p w14:paraId="5BC6CD1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118 696 534</w:t>
            </w:r>
          </w:p>
        </w:tc>
        <w:tc>
          <w:tcPr>
            <w:tcW w:w="2121" w:type="dxa"/>
            <w:tcBorders>
              <w:top w:val="nil"/>
              <w:left w:val="nil"/>
              <w:bottom w:val="single" w:sz="8" w:space="0" w:color="auto"/>
              <w:right w:val="single" w:sz="8" w:space="0" w:color="auto"/>
            </w:tcBorders>
            <w:noWrap/>
            <w:hideMark/>
          </w:tcPr>
          <w:p w14:paraId="74B61EC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144 106 267</w:t>
            </w:r>
          </w:p>
        </w:tc>
        <w:tc>
          <w:tcPr>
            <w:tcW w:w="2177" w:type="dxa"/>
            <w:tcBorders>
              <w:top w:val="nil"/>
              <w:left w:val="nil"/>
              <w:bottom w:val="single" w:sz="8" w:space="0" w:color="auto"/>
              <w:right w:val="single" w:sz="8" w:space="0" w:color="auto"/>
            </w:tcBorders>
            <w:noWrap/>
            <w:hideMark/>
          </w:tcPr>
          <w:p w14:paraId="09C7A01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-25 409 733</w:t>
            </w:r>
          </w:p>
        </w:tc>
      </w:tr>
      <w:tr w:rsidR="00961262" w:rsidRPr="00961262" w14:paraId="44E00C0C"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AF3331B"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22</w:t>
            </w:r>
          </w:p>
        </w:tc>
        <w:tc>
          <w:tcPr>
            <w:tcW w:w="6600" w:type="dxa"/>
            <w:tcBorders>
              <w:top w:val="nil"/>
              <w:left w:val="nil"/>
              <w:bottom w:val="single" w:sz="8" w:space="0" w:color="auto"/>
              <w:right w:val="single" w:sz="8" w:space="0" w:color="auto"/>
            </w:tcBorders>
            <w:noWrap/>
            <w:hideMark/>
          </w:tcPr>
          <w:p w14:paraId="4EFC55D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Koncerti"</w:t>
            </w:r>
          </w:p>
        </w:tc>
        <w:tc>
          <w:tcPr>
            <w:tcW w:w="2121" w:type="dxa"/>
            <w:tcBorders>
              <w:top w:val="nil"/>
              <w:left w:val="nil"/>
              <w:bottom w:val="single" w:sz="8" w:space="0" w:color="auto"/>
              <w:right w:val="single" w:sz="8" w:space="0" w:color="auto"/>
            </w:tcBorders>
            <w:noWrap/>
            <w:hideMark/>
          </w:tcPr>
          <w:p w14:paraId="4177154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5 174 800</w:t>
            </w:r>
          </w:p>
        </w:tc>
        <w:tc>
          <w:tcPr>
            <w:tcW w:w="2121" w:type="dxa"/>
            <w:tcBorders>
              <w:top w:val="nil"/>
              <w:left w:val="nil"/>
              <w:bottom w:val="single" w:sz="8" w:space="0" w:color="auto"/>
              <w:right w:val="single" w:sz="8" w:space="0" w:color="auto"/>
            </w:tcBorders>
            <w:noWrap/>
            <w:hideMark/>
          </w:tcPr>
          <w:p w14:paraId="1078AA7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5 172 774</w:t>
            </w:r>
          </w:p>
        </w:tc>
        <w:tc>
          <w:tcPr>
            <w:tcW w:w="2177" w:type="dxa"/>
            <w:tcBorders>
              <w:top w:val="nil"/>
              <w:left w:val="nil"/>
              <w:bottom w:val="single" w:sz="8" w:space="0" w:color="auto"/>
              <w:right w:val="single" w:sz="8" w:space="0" w:color="auto"/>
            </w:tcBorders>
            <w:noWrap/>
            <w:hideMark/>
          </w:tcPr>
          <w:p w14:paraId="002FCD3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2 026</w:t>
            </w:r>
          </w:p>
        </w:tc>
      </w:tr>
      <w:tr w:rsidR="00961262" w:rsidRPr="00961262" w14:paraId="758558E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23AFF20"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23</w:t>
            </w:r>
          </w:p>
        </w:tc>
        <w:tc>
          <w:tcPr>
            <w:tcW w:w="6600" w:type="dxa"/>
            <w:tcBorders>
              <w:top w:val="nil"/>
              <w:left w:val="nil"/>
              <w:bottom w:val="single" w:sz="8" w:space="0" w:color="auto"/>
              <w:right w:val="single" w:sz="8" w:space="0" w:color="auto"/>
            </w:tcBorders>
            <w:noWrap/>
            <w:hideMark/>
          </w:tcPr>
          <w:p w14:paraId="0C5A63E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Leļļu teātris"</w:t>
            </w:r>
          </w:p>
        </w:tc>
        <w:tc>
          <w:tcPr>
            <w:tcW w:w="2121" w:type="dxa"/>
            <w:tcBorders>
              <w:top w:val="nil"/>
              <w:left w:val="nil"/>
              <w:bottom w:val="single" w:sz="8" w:space="0" w:color="auto"/>
              <w:right w:val="single" w:sz="8" w:space="0" w:color="auto"/>
            </w:tcBorders>
            <w:noWrap/>
            <w:hideMark/>
          </w:tcPr>
          <w:p w14:paraId="02B6DF9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1 125 600</w:t>
            </w:r>
          </w:p>
        </w:tc>
        <w:tc>
          <w:tcPr>
            <w:tcW w:w="2121" w:type="dxa"/>
            <w:tcBorders>
              <w:top w:val="nil"/>
              <w:left w:val="nil"/>
              <w:bottom w:val="single" w:sz="8" w:space="0" w:color="auto"/>
              <w:right w:val="single" w:sz="8" w:space="0" w:color="auto"/>
            </w:tcBorders>
            <w:noWrap/>
            <w:hideMark/>
          </w:tcPr>
          <w:p w14:paraId="3CABB14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1 125 512</w:t>
            </w:r>
          </w:p>
        </w:tc>
        <w:tc>
          <w:tcPr>
            <w:tcW w:w="2177" w:type="dxa"/>
            <w:tcBorders>
              <w:top w:val="nil"/>
              <w:left w:val="nil"/>
              <w:bottom w:val="single" w:sz="8" w:space="0" w:color="auto"/>
              <w:right w:val="single" w:sz="8" w:space="0" w:color="auto"/>
            </w:tcBorders>
            <w:noWrap/>
            <w:hideMark/>
          </w:tcPr>
          <w:p w14:paraId="21BD482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88</w:t>
            </w:r>
          </w:p>
        </w:tc>
      </w:tr>
      <w:tr w:rsidR="00961262" w:rsidRPr="00961262" w14:paraId="4095537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7B08F3B"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24</w:t>
            </w:r>
          </w:p>
        </w:tc>
        <w:tc>
          <w:tcPr>
            <w:tcW w:w="6600" w:type="dxa"/>
            <w:tcBorders>
              <w:top w:val="nil"/>
              <w:left w:val="nil"/>
              <w:bottom w:val="single" w:sz="8" w:space="0" w:color="auto"/>
              <w:right w:val="single" w:sz="8" w:space="0" w:color="auto"/>
            </w:tcBorders>
            <w:noWrap/>
            <w:hideMark/>
          </w:tcPr>
          <w:p w14:paraId="6B7380E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Nacionālā opera un balets"</w:t>
            </w:r>
          </w:p>
        </w:tc>
        <w:tc>
          <w:tcPr>
            <w:tcW w:w="2121" w:type="dxa"/>
            <w:tcBorders>
              <w:top w:val="nil"/>
              <w:left w:val="nil"/>
              <w:bottom w:val="single" w:sz="8" w:space="0" w:color="auto"/>
              <w:right w:val="single" w:sz="8" w:space="0" w:color="auto"/>
            </w:tcBorders>
            <w:noWrap/>
            <w:hideMark/>
          </w:tcPr>
          <w:p w14:paraId="4925202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5 700 000</w:t>
            </w:r>
          </w:p>
        </w:tc>
        <w:tc>
          <w:tcPr>
            <w:tcW w:w="2121" w:type="dxa"/>
            <w:tcBorders>
              <w:top w:val="nil"/>
              <w:left w:val="nil"/>
              <w:bottom w:val="single" w:sz="8" w:space="0" w:color="auto"/>
              <w:right w:val="single" w:sz="8" w:space="0" w:color="auto"/>
            </w:tcBorders>
            <w:noWrap/>
            <w:hideMark/>
          </w:tcPr>
          <w:p w14:paraId="304EF99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5 690 000</w:t>
            </w:r>
          </w:p>
        </w:tc>
        <w:tc>
          <w:tcPr>
            <w:tcW w:w="2177" w:type="dxa"/>
            <w:tcBorders>
              <w:top w:val="nil"/>
              <w:left w:val="nil"/>
              <w:bottom w:val="single" w:sz="8" w:space="0" w:color="auto"/>
              <w:right w:val="single" w:sz="8" w:space="0" w:color="auto"/>
            </w:tcBorders>
            <w:noWrap/>
            <w:hideMark/>
          </w:tcPr>
          <w:p w14:paraId="60CA010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10 000</w:t>
            </w:r>
          </w:p>
        </w:tc>
      </w:tr>
      <w:tr w:rsidR="00961262" w:rsidRPr="00961262" w14:paraId="319DCE3F"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BAFB660"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25</w:t>
            </w:r>
          </w:p>
        </w:tc>
        <w:tc>
          <w:tcPr>
            <w:tcW w:w="6600" w:type="dxa"/>
            <w:tcBorders>
              <w:top w:val="nil"/>
              <w:left w:val="nil"/>
              <w:bottom w:val="single" w:sz="8" w:space="0" w:color="auto"/>
              <w:right w:val="single" w:sz="8" w:space="0" w:color="auto"/>
            </w:tcBorders>
            <w:noWrap/>
            <w:hideMark/>
          </w:tcPr>
          <w:p w14:paraId="5EF458E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Nacionālais simfoniskais orķestris"</w:t>
            </w:r>
          </w:p>
        </w:tc>
        <w:tc>
          <w:tcPr>
            <w:tcW w:w="2121" w:type="dxa"/>
            <w:tcBorders>
              <w:top w:val="nil"/>
              <w:left w:val="nil"/>
              <w:bottom w:val="single" w:sz="8" w:space="0" w:color="auto"/>
              <w:right w:val="single" w:sz="8" w:space="0" w:color="auto"/>
            </w:tcBorders>
            <w:noWrap/>
            <w:hideMark/>
          </w:tcPr>
          <w:p w14:paraId="5F03F34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4 339 000</w:t>
            </w:r>
          </w:p>
        </w:tc>
        <w:tc>
          <w:tcPr>
            <w:tcW w:w="2121" w:type="dxa"/>
            <w:tcBorders>
              <w:top w:val="nil"/>
              <w:left w:val="nil"/>
              <w:bottom w:val="single" w:sz="8" w:space="0" w:color="auto"/>
              <w:right w:val="single" w:sz="8" w:space="0" w:color="auto"/>
            </w:tcBorders>
            <w:noWrap/>
            <w:hideMark/>
          </w:tcPr>
          <w:p w14:paraId="3597F42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4 338 800</w:t>
            </w:r>
          </w:p>
        </w:tc>
        <w:tc>
          <w:tcPr>
            <w:tcW w:w="2177" w:type="dxa"/>
            <w:tcBorders>
              <w:top w:val="nil"/>
              <w:left w:val="nil"/>
              <w:bottom w:val="single" w:sz="8" w:space="0" w:color="auto"/>
              <w:right w:val="single" w:sz="8" w:space="0" w:color="auto"/>
            </w:tcBorders>
            <w:noWrap/>
            <w:hideMark/>
          </w:tcPr>
          <w:p w14:paraId="217F744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200</w:t>
            </w:r>
          </w:p>
        </w:tc>
      </w:tr>
      <w:tr w:rsidR="00961262" w:rsidRPr="00961262" w14:paraId="41CFDCBF"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DFE0EAC"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26</w:t>
            </w:r>
          </w:p>
        </w:tc>
        <w:tc>
          <w:tcPr>
            <w:tcW w:w="6600" w:type="dxa"/>
            <w:tcBorders>
              <w:top w:val="nil"/>
              <w:left w:val="nil"/>
              <w:bottom w:val="single" w:sz="8" w:space="0" w:color="auto"/>
              <w:right w:val="single" w:sz="8" w:space="0" w:color="auto"/>
            </w:tcBorders>
            <w:noWrap/>
            <w:hideMark/>
          </w:tcPr>
          <w:p w14:paraId="6685906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"Latvijas Nacionālais sporta centrs"</w:t>
            </w:r>
          </w:p>
        </w:tc>
        <w:tc>
          <w:tcPr>
            <w:tcW w:w="2121" w:type="dxa"/>
            <w:tcBorders>
              <w:top w:val="nil"/>
              <w:left w:val="nil"/>
              <w:bottom w:val="single" w:sz="8" w:space="0" w:color="auto"/>
              <w:right w:val="single" w:sz="8" w:space="0" w:color="auto"/>
            </w:tcBorders>
            <w:noWrap/>
            <w:hideMark/>
          </w:tcPr>
          <w:p w14:paraId="2D01E14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6 081 843</w:t>
            </w:r>
          </w:p>
        </w:tc>
        <w:tc>
          <w:tcPr>
            <w:tcW w:w="2121" w:type="dxa"/>
            <w:tcBorders>
              <w:top w:val="nil"/>
              <w:left w:val="nil"/>
              <w:bottom w:val="single" w:sz="8" w:space="0" w:color="auto"/>
              <w:right w:val="single" w:sz="8" w:space="0" w:color="auto"/>
            </w:tcBorders>
            <w:noWrap/>
            <w:hideMark/>
          </w:tcPr>
          <w:p w14:paraId="3C2BAE5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6 350 709</w:t>
            </w:r>
          </w:p>
        </w:tc>
        <w:tc>
          <w:tcPr>
            <w:tcW w:w="2177" w:type="dxa"/>
            <w:tcBorders>
              <w:top w:val="nil"/>
              <w:left w:val="nil"/>
              <w:bottom w:val="single" w:sz="8" w:space="0" w:color="auto"/>
              <w:right w:val="single" w:sz="8" w:space="0" w:color="auto"/>
            </w:tcBorders>
            <w:noWrap/>
            <w:hideMark/>
          </w:tcPr>
          <w:p w14:paraId="72CD1C9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-268 866</w:t>
            </w:r>
          </w:p>
        </w:tc>
      </w:tr>
      <w:tr w:rsidR="00961262" w:rsidRPr="00961262" w14:paraId="38BC31AE"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E54754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27</w:t>
            </w:r>
          </w:p>
        </w:tc>
        <w:tc>
          <w:tcPr>
            <w:tcW w:w="6600" w:type="dxa"/>
            <w:tcBorders>
              <w:top w:val="nil"/>
              <w:left w:val="nil"/>
              <w:bottom w:val="single" w:sz="8" w:space="0" w:color="auto"/>
              <w:right w:val="single" w:sz="8" w:space="0" w:color="auto"/>
            </w:tcBorders>
            <w:noWrap/>
            <w:hideMark/>
          </w:tcPr>
          <w:p w14:paraId="6923581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Nacionālais teātris"</w:t>
            </w:r>
          </w:p>
        </w:tc>
        <w:tc>
          <w:tcPr>
            <w:tcW w:w="2121" w:type="dxa"/>
            <w:tcBorders>
              <w:top w:val="nil"/>
              <w:left w:val="nil"/>
              <w:bottom w:val="single" w:sz="8" w:space="0" w:color="auto"/>
              <w:right w:val="single" w:sz="8" w:space="0" w:color="auto"/>
            </w:tcBorders>
            <w:noWrap/>
            <w:hideMark/>
          </w:tcPr>
          <w:p w14:paraId="0BF65E0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7 039 200</w:t>
            </w:r>
          </w:p>
        </w:tc>
        <w:tc>
          <w:tcPr>
            <w:tcW w:w="2121" w:type="dxa"/>
            <w:tcBorders>
              <w:top w:val="nil"/>
              <w:left w:val="nil"/>
              <w:bottom w:val="single" w:sz="8" w:space="0" w:color="auto"/>
              <w:right w:val="single" w:sz="8" w:space="0" w:color="auto"/>
            </w:tcBorders>
            <w:noWrap/>
            <w:hideMark/>
          </w:tcPr>
          <w:p w14:paraId="0581912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7 024 802</w:t>
            </w:r>
          </w:p>
        </w:tc>
        <w:tc>
          <w:tcPr>
            <w:tcW w:w="2177" w:type="dxa"/>
            <w:tcBorders>
              <w:top w:val="nil"/>
              <w:left w:val="nil"/>
              <w:bottom w:val="single" w:sz="8" w:space="0" w:color="auto"/>
              <w:right w:val="single" w:sz="8" w:space="0" w:color="auto"/>
            </w:tcBorders>
            <w:noWrap/>
            <w:hideMark/>
          </w:tcPr>
          <w:p w14:paraId="56A9520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14 398</w:t>
            </w:r>
          </w:p>
        </w:tc>
      </w:tr>
      <w:tr w:rsidR="00961262" w:rsidRPr="00961262" w14:paraId="3E689CA2"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6CAABF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28</w:t>
            </w:r>
          </w:p>
        </w:tc>
        <w:tc>
          <w:tcPr>
            <w:tcW w:w="6600" w:type="dxa"/>
            <w:tcBorders>
              <w:top w:val="nil"/>
              <w:left w:val="nil"/>
              <w:bottom w:val="single" w:sz="8" w:space="0" w:color="auto"/>
              <w:right w:val="single" w:sz="8" w:space="0" w:color="auto"/>
            </w:tcBorders>
            <w:noWrap/>
            <w:hideMark/>
          </w:tcPr>
          <w:p w14:paraId="4833EEB5"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Proves birojs"</w:t>
            </w:r>
          </w:p>
        </w:tc>
        <w:tc>
          <w:tcPr>
            <w:tcW w:w="2121" w:type="dxa"/>
            <w:tcBorders>
              <w:top w:val="nil"/>
              <w:left w:val="nil"/>
              <w:bottom w:val="single" w:sz="8" w:space="0" w:color="auto"/>
              <w:right w:val="single" w:sz="8" w:space="0" w:color="auto"/>
            </w:tcBorders>
            <w:noWrap/>
            <w:hideMark/>
          </w:tcPr>
          <w:p w14:paraId="0B5976A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847 000</w:t>
            </w:r>
          </w:p>
        </w:tc>
        <w:tc>
          <w:tcPr>
            <w:tcW w:w="2121" w:type="dxa"/>
            <w:tcBorders>
              <w:top w:val="nil"/>
              <w:left w:val="nil"/>
              <w:bottom w:val="single" w:sz="8" w:space="0" w:color="auto"/>
              <w:right w:val="single" w:sz="8" w:space="0" w:color="auto"/>
            </w:tcBorders>
            <w:noWrap/>
            <w:hideMark/>
          </w:tcPr>
          <w:p w14:paraId="02291FB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702 000</w:t>
            </w:r>
          </w:p>
        </w:tc>
        <w:tc>
          <w:tcPr>
            <w:tcW w:w="2177" w:type="dxa"/>
            <w:tcBorders>
              <w:top w:val="nil"/>
              <w:left w:val="nil"/>
              <w:bottom w:val="single" w:sz="8" w:space="0" w:color="auto"/>
              <w:right w:val="single" w:sz="8" w:space="0" w:color="auto"/>
            </w:tcBorders>
            <w:noWrap/>
            <w:hideMark/>
          </w:tcPr>
          <w:p w14:paraId="7EB344F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145 000</w:t>
            </w:r>
          </w:p>
        </w:tc>
      </w:tr>
      <w:tr w:rsidR="00961262" w:rsidRPr="00961262" w14:paraId="6E51A5C4"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E4DBD8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29</w:t>
            </w:r>
          </w:p>
        </w:tc>
        <w:tc>
          <w:tcPr>
            <w:tcW w:w="6600" w:type="dxa"/>
            <w:tcBorders>
              <w:top w:val="nil"/>
              <w:left w:val="nil"/>
              <w:bottom w:val="single" w:sz="8" w:space="0" w:color="auto"/>
              <w:right w:val="single" w:sz="8" w:space="0" w:color="auto"/>
            </w:tcBorders>
            <w:noWrap/>
            <w:hideMark/>
          </w:tcPr>
          <w:p w14:paraId="176DCE19"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sabiedriskais medijs"</w:t>
            </w:r>
          </w:p>
        </w:tc>
        <w:tc>
          <w:tcPr>
            <w:tcW w:w="2121" w:type="dxa"/>
            <w:tcBorders>
              <w:top w:val="nil"/>
              <w:left w:val="nil"/>
              <w:bottom w:val="single" w:sz="8" w:space="0" w:color="auto"/>
              <w:right w:val="single" w:sz="8" w:space="0" w:color="auto"/>
            </w:tcBorders>
            <w:noWrap/>
            <w:hideMark/>
          </w:tcPr>
          <w:p w14:paraId="6A8862E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55 645 000</w:t>
            </w:r>
          </w:p>
        </w:tc>
        <w:tc>
          <w:tcPr>
            <w:tcW w:w="2121" w:type="dxa"/>
            <w:tcBorders>
              <w:top w:val="nil"/>
              <w:left w:val="nil"/>
              <w:bottom w:val="single" w:sz="8" w:space="0" w:color="auto"/>
              <w:right w:val="single" w:sz="8" w:space="0" w:color="auto"/>
            </w:tcBorders>
            <w:noWrap/>
            <w:hideMark/>
          </w:tcPr>
          <w:p w14:paraId="0D483A1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55 628 128</w:t>
            </w:r>
          </w:p>
        </w:tc>
        <w:tc>
          <w:tcPr>
            <w:tcW w:w="2177" w:type="dxa"/>
            <w:tcBorders>
              <w:top w:val="nil"/>
              <w:left w:val="nil"/>
              <w:bottom w:val="single" w:sz="8" w:space="0" w:color="auto"/>
              <w:right w:val="single" w:sz="8" w:space="0" w:color="auto"/>
            </w:tcBorders>
            <w:noWrap/>
            <w:hideMark/>
          </w:tcPr>
          <w:p w14:paraId="26E9B1A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16 872</w:t>
            </w:r>
          </w:p>
        </w:tc>
      </w:tr>
      <w:tr w:rsidR="00961262" w:rsidRPr="00961262" w14:paraId="52FDA93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D51365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30</w:t>
            </w:r>
          </w:p>
        </w:tc>
        <w:tc>
          <w:tcPr>
            <w:tcW w:w="6600" w:type="dxa"/>
            <w:tcBorders>
              <w:top w:val="nil"/>
              <w:left w:val="nil"/>
              <w:bottom w:val="single" w:sz="8" w:space="0" w:color="auto"/>
              <w:right w:val="single" w:sz="8" w:space="0" w:color="auto"/>
            </w:tcBorders>
            <w:noWrap/>
            <w:hideMark/>
          </w:tcPr>
          <w:p w14:paraId="3F9E2489"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"Latvijas standarts"</w:t>
            </w:r>
          </w:p>
        </w:tc>
        <w:tc>
          <w:tcPr>
            <w:tcW w:w="2121" w:type="dxa"/>
            <w:tcBorders>
              <w:top w:val="nil"/>
              <w:left w:val="nil"/>
              <w:bottom w:val="single" w:sz="8" w:space="0" w:color="auto"/>
              <w:right w:val="single" w:sz="8" w:space="0" w:color="auto"/>
            </w:tcBorders>
            <w:noWrap/>
            <w:hideMark/>
          </w:tcPr>
          <w:p w14:paraId="30EC647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882 287</w:t>
            </w:r>
          </w:p>
        </w:tc>
        <w:tc>
          <w:tcPr>
            <w:tcW w:w="2121" w:type="dxa"/>
            <w:tcBorders>
              <w:top w:val="nil"/>
              <w:left w:val="nil"/>
              <w:bottom w:val="single" w:sz="8" w:space="0" w:color="auto"/>
              <w:right w:val="single" w:sz="8" w:space="0" w:color="auto"/>
            </w:tcBorders>
            <w:noWrap/>
            <w:hideMark/>
          </w:tcPr>
          <w:p w14:paraId="77D670F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857 901</w:t>
            </w:r>
          </w:p>
        </w:tc>
        <w:tc>
          <w:tcPr>
            <w:tcW w:w="2177" w:type="dxa"/>
            <w:tcBorders>
              <w:top w:val="nil"/>
              <w:left w:val="nil"/>
              <w:bottom w:val="single" w:sz="8" w:space="0" w:color="auto"/>
              <w:right w:val="single" w:sz="8" w:space="0" w:color="auto"/>
            </w:tcBorders>
            <w:noWrap/>
            <w:hideMark/>
          </w:tcPr>
          <w:p w14:paraId="78B8576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24 386</w:t>
            </w:r>
          </w:p>
        </w:tc>
      </w:tr>
      <w:tr w:rsidR="00961262" w:rsidRPr="00961262" w14:paraId="2AE4BBF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8516FA1"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31</w:t>
            </w:r>
          </w:p>
        </w:tc>
        <w:tc>
          <w:tcPr>
            <w:tcW w:w="6600" w:type="dxa"/>
            <w:tcBorders>
              <w:top w:val="nil"/>
              <w:left w:val="nil"/>
              <w:bottom w:val="single" w:sz="8" w:space="0" w:color="auto"/>
              <w:right w:val="single" w:sz="8" w:space="0" w:color="auto"/>
            </w:tcBorders>
            <w:noWrap/>
            <w:hideMark/>
          </w:tcPr>
          <w:p w14:paraId="17346CB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"Latvijas Universitātes nekustamā īpašuma aģentūra"</w:t>
            </w:r>
          </w:p>
        </w:tc>
        <w:tc>
          <w:tcPr>
            <w:tcW w:w="2121" w:type="dxa"/>
            <w:tcBorders>
              <w:top w:val="nil"/>
              <w:left w:val="nil"/>
              <w:bottom w:val="single" w:sz="8" w:space="0" w:color="auto"/>
              <w:right w:val="single" w:sz="8" w:space="0" w:color="auto"/>
            </w:tcBorders>
            <w:noWrap/>
            <w:hideMark/>
          </w:tcPr>
          <w:p w14:paraId="513BCB0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noWrap/>
            <w:hideMark/>
          </w:tcPr>
          <w:p w14:paraId="7DE7980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noWrap/>
            <w:hideMark/>
          </w:tcPr>
          <w:p w14:paraId="38BFA33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207D2C05"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40B9D71"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32</w:t>
            </w:r>
          </w:p>
        </w:tc>
        <w:tc>
          <w:tcPr>
            <w:tcW w:w="6600" w:type="dxa"/>
            <w:tcBorders>
              <w:top w:val="nil"/>
              <w:left w:val="nil"/>
              <w:bottom w:val="single" w:sz="8" w:space="0" w:color="auto"/>
              <w:right w:val="single" w:sz="8" w:space="0" w:color="auto"/>
            </w:tcBorders>
            <w:noWrap/>
            <w:hideMark/>
          </w:tcPr>
          <w:p w14:paraId="6CA3C00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Valsts ceļi"</w:t>
            </w:r>
          </w:p>
        </w:tc>
        <w:tc>
          <w:tcPr>
            <w:tcW w:w="2121" w:type="dxa"/>
            <w:tcBorders>
              <w:top w:val="nil"/>
              <w:left w:val="nil"/>
              <w:bottom w:val="single" w:sz="8" w:space="0" w:color="auto"/>
              <w:right w:val="single" w:sz="8" w:space="0" w:color="auto"/>
            </w:tcBorders>
            <w:noWrap/>
            <w:hideMark/>
          </w:tcPr>
          <w:p w14:paraId="610BC84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20 401 050</w:t>
            </w:r>
          </w:p>
        </w:tc>
        <w:tc>
          <w:tcPr>
            <w:tcW w:w="2121" w:type="dxa"/>
            <w:tcBorders>
              <w:top w:val="nil"/>
              <w:left w:val="nil"/>
              <w:bottom w:val="single" w:sz="8" w:space="0" w:color="auto"/>
              <w:right w:val="single" w:sz="8" w:space="0" w:color="auto"/>
            </w:tcBorders>
            <w:noWrap/>
            <w:hideMark/>
          </w:tcPr>
          <w:p w14:paraId="1C0F3AE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20 301 050</w:t>
            </w:r>
          </w:p>
        </w:tc>
        <w:tc>
          <w:tcPr>
            <w:tcW w:w="2177" w:type="dxa"/>
            <w:tcBorders>
              <w:top w:val="nil"/>
              <w:left w:val="nil"/>
              <w:bottom w:val="single" w:sz="8" w:space="0" w:color="auto"/>
              <w:right w:val="single" w:sz="8" w:space="0" w:color="auto"/>
            </w:tcBorders>
            <w:noWrap/>
            <w:hideMark/>
          </w:tcPr>
          <w:p w14:paraId="0F53E4C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100 000</w:t>
            </w:r>
          </w:p>
        </w:tc>
      </w:tr>
      <w:tr w:rsidR="00961262" w:rsidRPr="00961262" w14:paraId="19051DD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D0E8159"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33</w:t>
            </w:r>
          </w:p>
        </w:tc>
        <w:tc>
          <w:tcPr>
            <w:tcW w:w="6600" w:type="dxa"/>
            <w:tcBorders>
              <w:top w:val="nil"/>
              <w:left w:val="nil"/>
              <w:bottom w:val="single" w:sz="8" w:space="0" w:color="auto"/>
              <w:right w:val="single" w:sz="8" w:space="0" w:color="auto"/>
            </w:tcBorders>
            <w:noWrap/>
            <w:hideMark/>
          </w:tcPr>
          <w:p w14:paraId="308522C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Vēstnesis"</w:t>
            </w:r>
          </w:p>
        </w:tc>
        <w:tc>
          <w:tcPr>
            <w:tcW w:w="2121" w:type="dxa"/>
            <w:tcBorders>
              <w:top w:val="nil"/>
              <w:left w:val="nil"/>
              <w:bottom w:val="single" w:sz="8" w:space="0" w:color="auto"/>
              <w:right w:val="single" w:sz="8" w:space="0" w:color="auto"/>
            </w:tcBorders>
            <w:noWrap/>
            <w:hideMark/>
          </w:tcPr>
          <w:p w14:paraId="7E92FD7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2 403 644</w:t>
            </w:r>
          </w:p>
        </w:tc>
        <w:tc>
          <w:tcPr>
            <w:tcW w:w="2121" w:type="dxa"/>
            <w:tcBorders>
              <w:top w:val="nil"/>
              <w:left w:val="nil"/>
              <w:bottom w:val="single" w:sz="8" w:space="0" w:color="auto"/>
              <w:right w:val="single" w:sz="8" w:space="0" w:color="auto"/>
            </w:tcBorders>
            <w:noWrap/>
            <w:hideMark/>
          </w:tcPr>
          <w:p w14:paraId="681360C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2 403 644</w:t>
            </w:r>
          </w:p>
        </w:tc>
        <w:tc>
          <w:tcPr>
            <w:tcW w:w="2177" w:type="dxa"/>
            <w:tcBorders>
              <w:top w:val="nil"/>
              <w:left w:val="nil"/>
              <w:bottom w:val="single" w:sz="8" w:space="0" w:color="auto"/>
              <w:right w:val="single" w:sz="8" w:space="0" w:color="auto"/>
            </w:tcBorders>
            <w:noWrap/>
            <w:hideMark/>
          </w:tcPr>
          <w:p w14:paraId="4A7581E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289B7DB8"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45666F1"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34</w:t>
            </w:r>
          </w:p>
        </w:tc>
        <w:tc>
          <w:tcPr>
            <w:tcW w:w="6600" w:type="dxa"/>
            <w:tcBorders>
              <w:top w:val="nil"/>
              <w:left w:val="nil"/>
              <w:bottom w:val="single" w:sz="8" w:space="0" w:color="auto"/>
              <w:right w:val="single" w:sz="8" w:space="0" w:color="auto"/>
            </w:tcBorders>
            <w:noWrap/>
            <w:hideMark/>
          </w:tcPr>
          <w:p w14:paraId="31B8215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"Latvijas Vides, ģeoloģijas un meteoroloģijas centrs"</w:t>
            </w:r>
          </w:p>
        </w:tc>
        <w:tc>
          <w:tcPr>
            <w:tcW w:w="2121" w:type="dxa"/>
            <w:tcBorders>
              <w:top w:val="nil"/>
              <w:left w:val="nil"/>
              <w:bottom w:val="single" w:sz="8" w:space="0" w:color="auto"/>
              <w:right w:val="single" w:sz="8" w:space="0" w:color="auto"/>
            </w:tcBorders>
            <w:noWrap/>
            <w:hideMark/>
          </w:tcPr>
          <w:p w14:paraId="7FE3CEC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3 664 855</w:t>
            </w:r>
          </w:p>
        </w:tc>
        <w:tc>
          <w:tcPr>
            <w:tcW w:w="2121" w:type="dxa"/>
            <w:tcBorders>
              <w:top w:val="nil"/>
              <w:left w:val="nil"/>
              <w:bottom w:val="single" w:sz="8" w:space="0" w:color="auto"/>
              <w:right w:val="single" w:sz="8" w:space="0" w:color="auto"/>
            </w:tcBorders>
            <w:noWrap/>
            <w:hideMark/>
          </w:tcPr>
          <w:p w14:paraId="617FE59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3 261 672</w:t>
            </w:r>
          </w:p>
        </w:tc>
        <w:tc>
          <w:tcPr>
            <w:tcW w:w="2177" w:type="dxa"/>
            <w:tcBorders>
              <w:top w:val="nil"/>
              <w:left w:val="nil"/>
              <w:bottom w:val="single" w:sz="8" w:space="0" w:color="auto"/>
              <w:right w:val="single" w:sz="8" w:space="0" w:color="auto"/>
            </w:tcBorders>
            <w:noWrap/>
            <w:hideMark/>
          </w:tcPr>
          <w:p w14:paraId="0298525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403 183</w:t>
            </w:r>
          </w:p>
        </w:tc>
      </w:tr>
      <w:tr w:rsidR="00961262" w:rsidRPr="00961262" w14:paraId="47BA0C79"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032B27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lastRenderedPageBreak/>
              <w:t>35</w:t>
            </w:r>
          </w:p>
        </w:tc>
        <w:tc>
          <w:tcPr>
            <w:tcW w:w="6600" w:type="dxa"/>
            <w:tcBorders>
              <w:top w:val="nil"/>
              <w:left w:val="nil"/>
              <w:bottom w:val="single" w:sz="8" w:space="0" w:color="auto"/>
              <w:right w:val="single" w:sz="8" w:space="0" w:color="auto"/>
            </w:tcBorders>
            <w:noWrap/>
            <w:hideMark/>
          </w:tcPr>
          <w:p w14:paraId="63F5800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"LDZ apsardze"</w:t>
            </w:r>
          </w:p>
        </w:tc>
        <w:tc>
          <w:tcPr>
            <w:tcW w:w="2121" w:type="dxa"/>
            <w:tcBorders>
              <w:top w:val="nil"/>
              <w:left w:val="nil"/>
              <w:bottom w:val="single" w:sz="8" w:space="0" w:color="auto"/>
              <w:right w:val="single" w:sz="8" w:space="0" w:color="auto"/>
            </w:tcBorders>
            <w:noWrap/>
            <w:hideMark/>
          </w:tcPr>
          <w:p w14:paraId="5C3D960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10 188 888</w:t>
            </w:r>
          </w:p>
        </w:tc>
        <w:tc>
          <w:tcPr>
            <w:tcW w:w="2121" w:type="dxa"/>
            <w:tcBorders>
              <w:top w:val="nil"/>
              <w:left w:val="nil"/>
              <w:bottom w:val="single" w:sz="8" w:space="0" w:color="auto"/>
              <w:right w:val="single" w:sz="8" w:space="0" w:color="auto"/>
            </w:tcBorders>
            <w:noWrap/>
            <w:hideMark/>
          </w:tcPr>
          <w:p w14:paraId="41B1BD0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9 976 932</w:t>
            </w:r>
          </w:p>
        </w:tc>
        <w:tc>
          <w:tcPr>
            <w:tcW w:w="2177" w:type="dxa"/>
            <w:tcBorders>
              <w:top w:val="nil"/>
              <w:left w:val="nil"/>
              <w:bottom w:val="single" w:sz="8" w:space="0" w:color="auto"/>
              <w:right w:val="single" w:sz="8" w:space="0" w:color="auto"/>
            </w:tcBorders>
            <w:noWrap/>
            <w:hideMark/>
          </w:tcPr>
          <w:p w14:paraId="5AAD5C4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211 956</w:t>
            </w:r>
          </w:p>
        </w:tc>
      </w:tr>
      <w:tr w:rsidR="00961262" w:rsidRPr="00961262" w14:paraId="44A980E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77D6163"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36</w:t>
            </w:r>
          </w:p>
        </w:tc>
        <w:tc>
          <w:tcPr>
            <w:tcW w:w="6600" w:type="dxa"/>
            <w:tcBorders>
              <w:top w:val="nil"/>
              <w:left w:val="nil"/>
              <w:bottom w:val="single" w:sz="8" w:space="0" w:color="auto"/>
              <w:right w:val="single" w:sz="8" w:space="0" w:color="auto"/>
            </w:tcBorders>
            <w:noWrap/>
            <w:hideMark/>
          </w:tcPr>
          <w:p w14:paraId="300DEE3B"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"LDZ Loģistika"</w:t>
            </w:r>
          </w:p>
        </w:tc>
        <w:tc>
          <w:tcPr>
            <w:tcW w:w="2121" w:type="dxa"/>
            <w:tcBorders>
              <w:top w:val="nil"/>
              <w:left w:val="nil"/>
              <w:bottom w:val="single" w:sz="8" w:space="0" w:color="auto"/>
              <w:right w:val="single" w:sz="8" w:space="0" w:color="auto"/>
            </w:tcBorders>
            <w:noWrap/>
            <w:hideMark/>
          </w:tcPr>
          <w:p w14:paraId="21790A0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9 045 000</w:t>
            </w:r>
          </w:p>
        </w:tc>
        <w:tc>
          <w:tcPr>
            <w:tcW w:w="2121" w:type="dxa"/>
            <w:tcBorders>
              <w:top w:val="nil"/>
              <w:left w:val="nil"/>
              <w:bottom w:val="single" w:sz="8" w:space="0" w:color="auto"/>
              <w:right w:val="single" w:sz="8" w:space="0" w:color="auto"/>
            </w:tcBorders>
            <w:noWrap/>
            <w:hideMark/>
          </w:tcPr>
          <w:p w14:paraId="3B836C8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9 281 000</w:t>
            </w:r>
          </w:p>
        </w:tc>
        <w:tc>
          <w:tcPr>
            <w:tcW w:w="2177" w:type="dxa"/>
            <w:tcBorders>
              <w:top w:val="nil"/>
              <w:left w:val="nil"/>
              <w:bottom w:val="single" w:sz="8" w:space="0" w:color="auto"/>
              <w:right w:val="single" w:sz="8" w:space="0" w:color="auto"/>
            </w:tcBorders>
            <w:noWrap/>
            <w:hideMark/>
          </w:tcPr>
          <w:p w14:paraId="3BE7BF7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-236 000</w:t>
            </w:r>
          </w:p>
        </w:tc>
      </w:tr>
      <w:tr w:rsidR="00961262" w:rsidRPr="00961262" w14:paraId="7D86FA7C"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5C26EF0"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37</w:t>
            </w:r>
          </w:p>
        </w:tc>
        <w:tc>
          <w:tcPr>
            <w:tcW w:w="6600" w:type="dxa"/>
            <w:tcBorders>
              <w:top w:val="nil"/>
              <w:left w:val="nil"/>
              <w:bottom w:val="single" w:sz="8" w:space="0" w:color="auto"/>
              <w:right w:val="single" w:sz="8" w:space="0" w:color="auto"/>
            </w:tcBorders>
            <w:noWrap/>
            <w:hideMark/>
          </w:tcPr>
          <w:p w14:paraId="7F26CB4B"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"Liepājas simfoniskais orķestris"</w:t>
            </w:r>
          </w:p>
        </w:tc>
        <w:tc>
          <w:tcPr>
            <w:tcW w:w="2121" w:type="dxa"/>
            <w:tcBorders>
              <w:top w:val="nil"/>
              <w:left w:val="nil"/>
              <w:bottom w:val="single" w:sz="8" w:space="0" w:color="auto"/>
              <w:right w:val="single" w:sz="8" w:space="0" w:color="auto"/>
            </w:tcBorders>
            <w:noWrap/>
            <w:hideMark/>
          </w:tcPr>
          <w:p w14:paraId="0E5201D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420 187</w:t>
            </w:r>
          </w:p>
        </w:tc>
        <w:tc>
          <w:tcPr>
            <w:tcW w:w="2121" w:type="dxa"/>
            <w:tcBorders>
              <w:top w:val="nil"/>
              <w:left w:val="nil"/>
              <w:bottom w:val="single" w:sz="8" w:space="0" w:color="auto"/>
              <w:right w:val="single" w:sz="8" w:space="0" w:color="auto"/>
            </w:tcBorders>
            <w:noWrap/>
            <w:hideMark/>
          </w:tcPr>
          <w:p w14:paraId="7B1D903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395 639</w:t>
            </w:r>
          </w:p>
        </w:tc>
        <w:tc>
          <w:tcPr>
            <w:tcW w:w="2177" w:type="dxa"/>
            <w:tcBorders>
              <w:top w:val="nil"/>
              <w:left w:val="nil"/>
              <w:bottom w:val="single" w:sz="8" w:space="0" w:color="auto"/>
              <w:right w:val="single" w:sz="8" w:space="0" w:color="auto"/>
            </w:tcBorders>
            <w:noWrap/>
            <w:hideMark/>
          </w:tcPr>
          <w:p w14:paraId="3832522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24 548</w:t>
            </w:r>
          </w:p>
        </w:tc>
      </w:tr>
      <w:tr w:rsidR="00961262" w:rsidRPr="00961262" w14:paraId="55D577E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E445019"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38</w:t>
            </w:r>
          </w:p>
        </w:tc>
        <w:tc>
          <w:tcPr>
            <w:tcW w:w="6600" w:type="dxa"/>
            <w:tcBorders>
              <w:top w:val="nil"/>
              <w:left w:val="nil"/>
              <w:bottom w:val="single" w:sz="8" w:space="0" w:color="auto"/>
              <w:right w:val="single" w:sz="8" w:space="0" w:color="auto"/>
            </w:tcBorders>
            <w:noWrap/>
            <w:hideMark/>
          </w:tcPr>
          <w:p w14:paraId="5DC19C0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"Ludzas medicīnas centrs"</w:t>
            </w:r>
          </w:p>
        </w:tc>
        <w:tc>
          <w:tcPr>
            <w:tcW w:w="2121" w:type="dxa"/>
            <w:tcBorders>
              <w:top w:val="nil"/>
              <w:left w:val="nil"/>
              <w:bottom w:val="single" w:sz="8" w:space="0" w:color="auto"/>
              <w:right w:val="single" w:sz="8" w:space="0" w:color="auto"/>
            </w:tcBorders>
            <w:noWrap/>
            <w:hideMark/>
          </w:tcPr>
          <w:p w14:paraId="678BCDA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4 800 000</w:t>
            </w:r>
          </w:p>
        </w:tc>
        <w:tc>
          <w:tcPr>
            <w:tcW w:w="2121" w:type="dxa"/>
            <w:tcBorders>
              <w:top w:val="nil"/>
              <w:left w:val="nil"/>
              <w:bottom w:val="single" w:sz="8" w:space="0" w:color="auto"/>
              <w:right w:val="single" w:sz="8" w:space="0" w:color="auto"/>
            </w:tcBorders>
            <w:noWrap/>
            <w:hideMark/>
          </w:tcPr>
          <w:p w14:paraId="795D44F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4 750 000</w:t>
            </w:r>
          </w:p>
        </w:tc>
        <w:tc>
          <w:tcPr>
            <w:tcW w:w="2177" w:type="dxa"/>
            <w:tcBorders>
              <w:top w:val="nil"/>
              <w:left w:val="nil"/>
              <w:bottom w:val="single" w:sz="8" w:space="0" w:color="auto"/>
              <w:right w:val="single" w:sz="8" w:space="0" w:color="auto"/>
            </w:tcBorders>
            <w:noWrap/>
            <w:hideMark/>
          </w:tcPr>
          <w:p w14:paraId="0A2C055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50 000</w:t>
            </w:r>
          </w:p>
        </w:tc>
      </w:tr>
      <w:tr w:rsidR="00961262" w:rsidRPr="00961262" w14:paraId="51561AC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965B39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39</w:t>
            </w:r>
          </w:p>
        </w:tc>
        <w:tc>
          <w:tcPr>
            <w:tcW w:w="6600" w:type="dxa"/>
            <w:tcBorders>
              <w:top w:val="nil"/>
              <w:left w:val="nil"/>
              <w:bottom w:val="single" w:sz="8" w:space="0" w:color="auto"/>
              <w:right w:val="single" w:sz="8" w:space="0" w:color="auto"/>
            </w:tcBorders>
            <w:noWrap/>
            <w:hideMark/>
          </w:tcPr>
          <w:p w14:paraId="4DA72CB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"Mihaila Čehova Rīgas Krievu teātris"</w:t>
            </w:r>
          </w:p>
        </w:tc>
        <w:tc>
          <w:tcPr>
            <w:tcW w:w="2121" w:type="dxa"/>
            <w:tcBorders>
              <w:top w:val="nil"/>
              <w:left w:val="nil"/>
              <w:bottom w:val="single" w:sz="8" w:space="0" w:color="auto"/>
              <w:right w:val="single" w:sz="8" w:space="0" w:color="auto"/>
            </w:tcBorders>
            <w:noWrap/>
            <w:hideMark/>
          </w:tcPr>
          <w:p w14:paraId="216BAE1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2 573 251</w:t>
            </w:r>
          </w:p>
        </w:tc>
        <w:tc>
          <w:tcPr>
            <w:tcW w:w="2121" w:type="dxa"/>
            <w:tcBorders>
              <w:top w:val="nil"/>
              <w:left w:val="nil"/>
              <w:bottom w:val="single" w:sz="8" w:space="0" w:color="auto"/>
              <w:right w:val="single" w:sz="8" w:space="0" w:color="auto"/>
            </w:tcBorders>
            <w:noWrap/>
            <w:hideMark/>
          </w:tcPr>
          <w:p w14:paraId="3B019B7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2 493 248</w:t>
            </w:r>
          </w:p>
        </w:tc>
        <w:tc>
          <w:tcPr>
            <w:tcW w:w="2177" w:type="dxa"/>
            <w:tcBorders>
              <w:top w:val="nil"/>
              <w:left w:val="nil"/>
              <w:bottom w:val="single" w:sz="8" w:space="0" w:color="auto"/>
              <w:right w:val="single" w:sz="8" w:space="0" w:color="auto"/>
            </w:tcBorders>
            <w:noWrap/>
            <w:hideMark/>
          </w:tcPr>
          <w:p w14:paraId="47B6F80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80 003</w:t>
            </w:r>
          </w:p>
        </w:tc>
      </w:tr>
      <w:tr w:rsidR="00961262" w:rsidRPr="00961262" w14:paraId="748AFA5A"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F4E364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40</w:t>
            </w:r>
          </w:p>
        </w:tc>
        <w:tc>
          <w:tcPr>
            <w:tcW w:w="6600" w:type="dxa"/>
            <w:tcBorders>
              <w:top w:val="nil"/>
              <w:left w:val="nil"/>
              <w:bottom w:val="single" w:sz="8" w:space="0" w:color="auto"/>
              <w:right w:val="single" w:sz="8" w:space="0" w:color="auto"/>
            </w:tcBorders>
            <w:noWrap/>
            <w:hideMark/>
          </w:tcPr>
          <w:p w14:paraId="26846662"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"Nacionālais psihiskās veselības centrs"</w:t>
            </w:r>
          </w:p>
        </w:tc>
        <w:tc>
          <w:tcPr>
            <w:tcW w:w="2121" w:type="dxa"/>
            <w:tcBorders>
              <w:top w:val="nil"/>
              <w:left w:val="nil"/>
              <w:bottom w:val="single" w:sz="8" w:space="0" w:color="auto"/>
              <w:right w:val="single" w:sz="8" w:space="0" w:color="auto"/>
            </w:tcBorders>
            <w:noWrap/>
            <w:hideMark/>
          </w:tcPr>
          <w:p w14:paraId="4058805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40 833 730</w:t>
            </w:r>
          </w:p>
        </w:tc>
        <w:tc>
          <w:tcPr>
            <w:tcW w:w="2121" w:type="dxa"/>
            <w:tcBorders>
              <w:top w:val="nil"/>
              <w:left w:val="nil"/>
              <w:bottom w:val="single" w:sz="8" w:space="0" w:color="auto"/>
              <w:right w:val="single" w:sz="8" w:space="0" w:color="auto"/>
            </w:tcBorders>
            <w:noWrap/>
            <w:hideMark/>
          </w:tcPr>
          <w:p w14:paraId="1E41438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40 833 730</w:t>
            </w:r>
          </w:p>
        </w:tc>
        <w:tc>
          <w:tcPr>
            <w:tcW w:w="2177" w:type="dxa"/>
            <w:tcBorders>
              <w:top w:val="nil"/>
              <w:left w:val="nil"/>
              <w:bottom w:val="single" w:sz="8" w:space="0" w:color="auto"/>
              <w:right w:val="single" w:sz="8" w:space="0" w:color="auto"/>
            </w:tcBorders>
            <w:noWrap/>
            <w:hideMark/>
          </w:tcPr>
          <w:p w14:paraId="48C97B4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551533CB"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2B34B4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41</w:t>
            </w:r>
          </w:p>
        </w:tc>
        <w:tc>
          <w:tcPr>
            <w:tcW w:w="6600" w:type="dxa"/>
            <w:tcBorders>
              <w:top w:val="nil"/>
              <w:left w:val="nil"/>
              <w:bottom w:val="single" w:sz="8" w:space="0" w:color="auto"/>
              <w:right w:val="single" w:sz="8" w:space="0" w:color="auto"/>
            </w:tcBorders>
            <w:noWrap/>
            <w:hideMark/>
          </w:tcPr>
          <w:p w14:paraId="035CA583"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AS "Pasažieru vilciens"</w:t>
            </w:r>
          </w:p>
        </w:tc>
        <w:tc>
          <w:tcPr>
            <w:tcW w:w="2121" w:type="dxa"/>
            <w:tcBorders>
              <w:top w:val="nil"/>
              <w:left w:val="nil"/>
              <w:bottom w:val="single" w:sz="8" w:space="0" w:color="auto"/>
              <w:right w:val="single" w:sz="8" w:space="0" w:color="auto"/>
            </w:tcBorders>
            <w:noWrap/>
            <w:hideMark/>
          </w:tcPr>
          <w:p w14:paraId="1446529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85 250 666</w:t>
            </w:r>
          </w:p>
        </w:tc>
        <w:tc>
          <w:tcPr>
            <w:tcW w:w="2121" w:type="dxa"/>
            <w:tcBorders>
              <w:top w:val="nil"/>
              <w:left w:val="nil"/>
              <w:bottom w:val="single" w:sz="8" w:space="0" w:color="auto"/>
              <w:right w:val="single" w:sz="8" w:space="0" w:color="auto"/>
            </w:tcBorders>
            <w:noWrap/>
            <w:hideMark/>
          </w:tcPr>
          <w:p w14:paraId="68DAD63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86 284 446</w:t>
            </w:r>
          </w:p>
        </w:tc>
        <w:tc>
          <w:tcPr>
            <w:tcW w:w="2177" w:type="dxa"/>
            <w:tcBorders>
              <w:top w:val="nil"/>
              <w:left w:val="nil"/>
              <w:bottom w:val="single" w:sz="8" w:space="0" w:color="auto"/>
              <w:right w:val="single" w:sz="8" w:space="0" w:color="auto"/>
            </w:tcBorders>
            <w:noWrap/>
            <w:hideMark/>
          </w:tcPr>
          <w:p w14:paraId="2E5A30F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-1 033 780</w:t>
            </w:r>
          </w:p>
        </w:tc>
      </w:tr>
      <w:tr w:rsidR="00961262" w:rsidRPr="00961262" w14:paraId="0AE8E652"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970D833"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42</w:t>
            </w:r>
          </w:p>
        </w:tc>
        <w:tc>
          <w:tcPr>
            <w:tcW w:w="6600" w:type="dxa"/>
            <w:tcBorders>
              <w:top w:val="nil"/>
              <w:left w:val="nil"/>
              <w:bottom w:val="single" w:sz="8" w:space="0" w:color="auto"/>
              <w:right w:val="single" w:sz="8" w:space="0" w:color="auto"/>
            </w:tcBorders>
            <w:noWrap/>
            <w:hideMark/>
          </w:tcPr>
          <w:p w14:paraId="6922F41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"Paula Stradiņa klīniskā universitātes slimnīca"</w:t>
            </w:r>
          </w:p>
        </w:tc>
        <w:tc>
          <w:tcPr>
            <w:tcW w:w="2121" w:type="dxa"/>
            <w:tcBorders>
              <w:top w:val="nil"/>
              <w:left w:val="nil"/>
              <w:bottom w:val="single" w:sz="8" w:space="0" w:color="auto"/>
              <w:right w:val="single" w:sz="8" w:space="0" w:color="auto"/>
            </w:tcBorders>
            <w:noWrap/>
            <w:hideMark/>
          </w:tcPr>
          <w:p w14:paraId="7CFC09B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204 923 854</w:t>
            </w:r>
          </w:p>
        </w:tc>
        <w:tc>
          <w:tcPr>
            <w:tcW w:w="2121" w:type="dxa"/>
            <w:tcBorders>
              <w:top w:val="nil"/>
              <w:left w:val="nil"/>
              <w:bottom w:val="single" w:sz="8" w:space="0" w:color="auto"/>
              <w:right w:val="single" w:sz="8" w:space="0" w:color="auto"/>
            </w:tcBorders>
            <w:noWrap/>
            <w:hideMark/>
          </w:tcPr>
          <w:p w14:paraId="6C0CF9F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209 582 929</w:t>
            </w:r>
          </w:p>
        </w:tc>
        <w:tc>
          <w:tcPr>
            <w:tcW w:w="2177" w:type="dxa"/>
            <w:tcBorders>
              <w:top w:val="nil"/>
              <w:left w:val="nil"/>
              <w:bottom w:val="single" w:sz="8" w:space="0" w:color="auto"/>
              <w:right w:val="single" w:sz="8" w:space="0" w:color="auto"/>
            </w:tcBorders>
            <w:noWrap/>
            <w:hideMark/>
          </w:tcPr>
          <w:p w14:paraId="48DE156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-4 659 075</w:t>
            </w:r>
          </w:p>
        </w:tc>
      </w:tr>
      <w:tr w:rsidR="00961262" w:rsidRPr="00961262" w14:paraId="53C59049"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3D88499"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43</w:t>
            </w:r>
          </w:p>
        </w:tc>
        <w:tc>
          <w:tcPr>
            <w:tcW w:w="6600" w:type="dxa"/>
            <w:tcBorders>
              <w:top w:val="nil"/>
              <w:left w:val="nil"/>
              <w:bottom w:val="single" w:sz="8" w:space="0" w:color="auto"/>
              <w:right w:val="single" w:sz="8" w:space="0" w:color="auto"/>
            </w:tcBorders>
            <w:noWrap/>
            <w:hideMark/>
          </w:tcPr>
          <w:p w14:paraId="4463ACE3"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"Piejūras slimnīca"</w:t>
            </w:r>
          </w:p>
        </w:tc>
        <w:tc>
          <w:tcPr>
            <w:tcW w:w="2121" w:type="dxa"/>
            <w:tcBorders>
              <w:top w:val="nil"/>
              <w:left w:val="nil"/>
              <w:bottom w:val="single" w:sz="8" w:space="0" w:color="auto"/>
              <w:right w:val="single" w:sz="8" w:space="0" w:color="auto"/>
            </w:tcBorders>
            <w:noWrap/>
            <w:hideMark/>
          </w:tcPr>
          <w:p w14:paraId="3EEC48F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6 676 200</w:t>
            </w:r>
          </w:p>
        </w:tc>
        <w:tc>
          <w:tcPr>
            <w:tcW w:w="2121" w:type="dxa"/>
            <w:tcBorders>
              <w:top w:val="nil"/>
              <w:left w:val="nil"/>
              <w:bottom w:val="single" w:sz="8" w:space="0" w:color="auto"/>
              <w:right w:val="single" w:sz="8" w:space="0" w:color="auto"/>
            </w:tcBorders>
            <w:noWrap/>
            <w:hideMark/>
          </w:tcPr>
          <w:p w14:paraId="09B931E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6 394 682</w:t>
            </w:r>
          </w:p>
        </w:tc>
        <w:tc>
          <w:tcPr>
            <w:tcW w:w="2177" w:type="dxa"/>
            <w:tcBorders>
              <w:top w:val="nil"/>
              <w:left w:val="nil"/>
              <w:bottom w:val="single" w:sz="8" w:space="0" w:color="auto"/>
              <w:right w:val="single" w:sz="8" w:space="0" w:color="auto"/>
            </w:tcBorders>
            <w:noWrap/>
            <w:hideMark/>
          </w:tcPr>
          <w:p w14:paraId="20BB7D6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281 518</w:t>
            </w:r>
          </w:p>
        </w:tc>
      </w:tr>
      <w:tr w:rsidR="00961262" w:rsidRPr="00961262" w14:paraId="5BA93AF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D3D1423"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44</w:t>
            </w:r>
          </w:p>
        </w:tc>
        <w:tc>
          <w:tcPr>
            <w:tcW w:w="6600" w:type="dxa"/>
            <w:tcBorders>
              <w:top w:val="nil"/>
              <w:left w:val="nil"/>
              <w:bottom w:val="single" w:sz="8" w:space="0" w:color="auto"/>
              <w:right w:val="single" w:sz="8" w:space="0" w:color="auto"/>
            </w:tcBorders>
            <w:noWrap/>
            <w:hideMark/>
          </w:tcPr>
          <w:p w14:paraId="0B3A77D5"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"Publisko aktīvu pārvaldītājs Possessor"</w:t>
            </w:r>
          </w:p>
        </w:tc>
        <w:tc>
          <w:tcPr>
            <w:tcW w:w="2121" w:type="dxa"/>
            <w:tcBorders>
              <w:top w:val="nil"/>
              <w:left w:val="nil"/>
              <w:bottom w:val="single" w:sz="8" w:space="0" w:color="auto"/>
              <w:right w:val="single" w:sz="8" w:space="0" w:color="auto"/>
            </w:tcBorders>
            <w:noWrap/>
            <w:hideMark/>
          </w:tcPr>
          <w:p w14:paraId="5D13D62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3 547 000</w:t>
            </w:r>
          </w:p>
        </w:tc>
        <w:tc>
          <w:tcPr>
            <w:tcW w:w="2121" w:type="dxa"/>
            <w:tcBorders>
              <w:top w:val="nil"/>
              <w:left w:val="nil"/>
              <w:bottom w:val="single" w:sz="8" w:space="0" w:color="auto"/>
              <w:right w:val="single" w:sz="8" w:space="0" w:color="auto"/>
            </w:tcBorders>
            <w:noWrap/>
            <w:hideMark/>
          </w:tcPr>
          <w:p w14:paraId="5D0C9E9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3 485 150</w:t>
            </w:r>
          </w:p>
        </w:tc>
        <w:tc>
          <w:tcPr>
            <w:tcW w:w="2177" w:type="dxa"/>
            <w:tcBorders>
              <w:top w:val="nil"/>
              <w:left w:val="nil"/>
              <w:bottom w:val="single" w:sz="8" w:space="0" w:color="auto"/>
              <w:right w:val="single" w:sz="8" w:space="0" w:color="auto"/>
            </w:tcBorders>
            <w:noWrap/>
            <w:hideMark/>
          </w:tcPr>
          <w:p w14:paraId="482C042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61 850</w:t>
            </w:r>
          </w:p>
        </w:tc>
      </w:tr>
      <w:tr w:rsidR="00961262" w:rsidRPr="00961262" w14:paraId="10C0995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6470E6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45</w:t>
            </w:r>
          </w:p>
        </w:tc>
        <w:tc>
          <w:tcPr>
            <w:tcW w:w="6600" w:type="dxa"/>
            <w:tcBorders>
              <w:top w:val="nil"/>
              <w:left w:val="nil"/>
              <w:bottom w:val="single" w:sz="8" w:space="0" w:color="auto"/>
              <w:right w:val="single" w:sz="8" w:space="0" w:color="auto"/>
            </w:tcBorders>
            <w:noWrap/>
            <w:hideMark/>
          </w:tcPr>
          <w:p w14:paraId="6F00AA55"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"REAP"</w:t>
            </w:r>
          </w:p>
        </w:tc>
        <w:tc>
          <w:tcPr>
            <w:tcW w:w="2121" w:type="dxa"/>
            <w:tcBorders>
              <w:top w:val="nil"/>
              <w:left w:val="nil"/>
              <w:bottom w:val="single" w:sz="8" w:space="0" w:color="auto"/>
              <w:right w:val="single" w:sz="8" w:space="0" w:color="auto"/>
            </w:tcBorders>
            <w:noWrap/>
            <w:hideMark/>
          </w:tcPr>
          <w:p w14:paraId="0793771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noWrap/>
            <w:hideMark/>
          </w:tcPr>
          <w:p w14:paraId="3F4B882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noWrap/>
            <w:hideMark/>
          </w:tcPr>
          <w:p w14:paraId="4FB2930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6A60630F"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7C67D5C"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46</w:t>
            </w:r>
          </w:p>
        </w:tc>
        <w:tc>
          <w:tcPr>
            <w:tcW w:w="6600" w:type="dxa"/>
            <w:tcBorders>
              <w:top w:val="nil"/>
              <w:left w:val="nil"/>
              <w:bottom w:val="single" w:sz="8" w:space="0" w:color="auto"/>
              <w:right w:val="single" w:sz="8" w:space="0" w:color="auto"/>
            </w:tcBorders>
            <w:noWrap/>
            <w:hideMark/>
          </w:tcPr>
          <w:p w14:paraId="24C41075"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AS "Reverta"</w:t>
            </w:r>
          </w:p>
        </w:tc>
        <w:tc>
          <w:tcPr>
            <w:tcW w:w="2121" w:type="dxa"/>
            <w:tcBorders>
              <w:top w:val="nil"/>
              <w:left w:val="nil"/>
              <w:bottom w:val="single" w:sz="8" w:space="0" w:color="auto"/>
              <w:right w:val="single" w:sz="8" w:space="0" w:color="auto"/>
            </w:tcBorders>
            <w:noWrap/>
            <w:hideMark/>
          </w:tcPr>
          <w:p w14:paraId="10B830C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21" w:type="dxa"/>
            <w:tcBorders>
              <w:top w:val="nil"/>
              <w:left w:val="nil"/>
              <w:bottom w:val="single" w:sz="8" w:space="0" w:color="auto"/>
              <w:right w:val="single" w:sz="8" w:space="0" w:color="auto"/>
            </w:tcBorders>
            <w:noWrap/>
            <w:hideMark/>
          </w:tcPr>
          <w:p w14:paraId="0533CE5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c>
          <w:tcPr>
            <w:tcW w:w="2177" w:type="dxa"/>
            <w:tcBorders>
              <w:top w:val="nil"/>
              <w:left w:val="nil"/>
              <w:bottom w:val="single" w:sz="8" w:space="0" w:color="auto"/>
              <w:right w:val="single" w:sz="8" w:space="0" w:color="auto"/>
            </w:tcBorders>
            <w:noWrap/>
            <w:hideMark/>
          </w:tcPr>
          <w:p w14:paraId="2F805C4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48B363A9"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EC525CC"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47</w:t>
            </w:r>
          </w:p>
        </w:tc>
        <w:tc>
          <w:tcPr>
            <w:tcW w:w="6600" w:type="dxa"/>
            <w:tcBorders>
              <w:top w:val="nil"/>
              <w:left w:val="nil"/>
              <w:bottom w:val="single" w:sz="8" w:space="0" w:color="auto"/>
              <w:right w:val="single" w:sz="8" w:space="0" w:color="auto"/>
            </w:tcBorders>
            <w:noWrap/>
            <w:hideMark/>
          </w:tcPr>
          <w:p w14:paraId="3C47B37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Austrumu klīniskā universitātes slimnīca"</w:t>
            </w:r>
          </w:p>
        </w:tc>
        <w:tc>
          <w:tcPr>
            <w:tcW w:w="2121" w:type="dxa"/>
            <w:tcBorders>
              <w:top w:val="nil"/>
              <w:left w:val="nil"/>
              <w:bottom w:val="single" w:sz="8" w:space="0" w:color="auto"/>
              <w:right w:val="single" w:sz="8" w:space="0" w:color="auto"/>
            </w:tcBorders>
            <w:noWrap/>
            <w:hideMark/>
          </w:tcPr>
          <w:p w14:paraId="25BBAF9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285 104 000</w:t>
            </w:r>
          </w:p>
        </w:tc>
        <w:tc>
          <w:tcPr>
            <w:tcW w:w="2121" w:type="dxa"/>
            <w:tcBorders>
              <w:top w:val="nil"/>
              <w:left w:val="nil"/>
              <w:bottom w:val="single" w:sz="8" w:space="0" w:color="auto"/>
              <w:right w:val="single" w:sz="8" w:space="0" w:color="auto"/>
            </w:tcBorders>
            <w:noWrap/>
            <w:hideMark/>
          </w:tcPr>
          <w:p w14:paraId="2C4C473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287 208 677</w:t>
            </w:r>
          </w:p>
        </w:tc>
        <w:tc>
          <w:tcPr>
            <w:tcW w:w="2177" w:type="dxa"/>
            <w:tcBorders>
              <w:top w:val="nil"/>
              <w:left w:val="nil"/>
              <w:bottom w:val="single" w:sz="8" w:space="0" w:color="auto"/>
              <w:right w:val="single" w:sz="8" w:space="0" w:color="auto"/>
            </w:tcBorders>
            <w:noWrap/>
            <w:hideMark/>
          </w:tcPr>
          <w:p w14:paraId="0555D40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-2 104 677</w:t>
            </w:r>
          </w:p>
        </w:tc>
      </w:tr>
      <w:tr w:rsidR="00961262" w:rsidRPr="00961262" w14:paraId="5D03D60C"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5032BC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48</w:t>
            </w:r>
          </w:p>
        </w:tc>
        <w:tc>
          <w:tcPr>
            <w:tcW w:w="6600" w:type="dxa"/>
            <w:tcBorders>
              <w:top w:val="nil"/>
              <w:left w:val="nil"/>
              <w:bottom w:val="single" w:sz="8" w:space="0" w:color="auto"/>
              <w:right w:val="single" w:sz="8" w:space="0" w:color="auto"/>
            </w:tcBorders>
            <w:noWrap/>
            <w:hideMark/>
          </w:tcPr>
          <w:p w14:paraId="05B43669"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"Rīgas Cirks"</w:t>
            </w:r>
          </w:p>
        </w:tc>
        <w:tc>
          <w:tcPr>
            <w:tcW w:w="2121" w:type="dxa"/>
            <w:tcBorders>
              <w:top w:val="nil"/>
              <w:left w:val="nil"/>
              <w:bottom w:val="single" w:sz="8" w:space="0" w:color="auto"/>
              <w:right w:val="single" w:sz="8" w:space="0" w:color="auto"/>
            </w:tcBorders>
            <w:noWrap/>
            <w:hideMark/>
          </w:tcPr>
          <w:p w14:paraId="6D9812F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2 007 070</w:t>
            </w:r>
          </w:p>
        </w:tc>
        <w:tc>
          <w:tcPr>
            <w:tcW w:w="2121" w:type="dxa"/>
            <w:tcBorders>
              <w:top w:val="nil"/>
              <w:left w:val="nil"/>
              <w:bottom w:val="single" w:sz="8" w:space="0" w:color="auto"/>
              <w:right w:val="single" w:sz="8" w:space="0" w:color="auto"/>
            </w:tcBorders>
            <w:noWrap/>
            <w:hideMark/>
          </w:tcPr>
          <w:p w14:paraId="7E1B753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1 992 070</w:t>
            </w:r>
          </w:p>
        </w:tc>
        <w:tc>
          <w:tcPr>
            <w:tcW w:w="2177" w:type="dxa"/>
            <w:tcBorders>
              <w:top w:val="nil"/>
              <w:left w:val="nil"/>
              <w:bottom w:val="single" w:sz="8" w:space="0" w:color="auto"/>
              <w:right w:val="single" w:sz="8" w:space="0" w:color="auto"/>
            </w:tcBorders>
            <w:noWrap/>
            <w:hideMark/>
          </w:tcPr>
          <w:p w14:paraId="7E6E000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15 000</w:t>
            </w:r>
          </w:p>
        </w:tc>
      </w:tr>
      <w:tr w:rsidR="00961262" w:rsidRPr="00961262" w14:paraId="2E08C90D"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7376B8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49</w:t>
            </w:r>
          </w:p>
        </w:tc>
        <w:tc>
          <w:tcPr>
            <w:tcW w:w="6600" w:type="dxa"/>
            <w:tcBorders>
              <w:top w:val="nil"/>
              <w:left w:val="nil"/>
              <w:bottom w:val="single" w:sz="8" w:space="0" w:color="auto"/>
              <w:right w:val="single" w:sz="8" w:space="0" w:color="auto"/>
            </w:tcBorders>
            <w:noWrap/>
            <w:hideMark/>
          </w:tcPr>
          <w:p w14:paraId="24257D8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"Rīgas Tūrisma un radošās industrijas tehnikums"</w:t>
            </w:r>
          </w:p>
        </w:tc>
        <w:tc>
          <w:tcPr>
            <w:tcW w:w="2121" w:type="dxa"/>
            <w:tcBorders>
              <w:top w:val="nil"/>
              <w:left w:val="nil"/>
              <w:bottom w:val="single" w:sz="8" w:space="0" w:color="auto"/>
              <w:right w:val="single" w:sz="8" w:space="0" w:color="auto"/>
            </w:tcBorders>
            <w:noWrap/>
            <w:hideMark/>
          </w:tcPr>
          <w:p w14:paraId="4D4D693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8 856 000</w:t>
            </w:r>
          </w:p>
        </w:tc>
        <w:tc>
          <w:tcPr>
            <w:tcW w:w="2121" w:type="dxa"/>
            <w:tcBorders>
              <w:top w:val="nil"/>
              <w:left w:val="nil"/>
              <w:bottom w:val="single" w:sz="8" w:space="0" w:color="auto"/>
              <w:right w:val="single" w:sz="8" w:space="0" w:color="auto"/>
            </w:tcBorders>
            <w:noWrap/>
            <w:hideMark/>
          </w:tcPr>
          <w:p w14:paraId="2DC9BC7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8 742 705</w:t>
            </w:r>
          </w:p>
        </w:tc>
        <w:tc>
          <w:tcPr>
            <w:tcW w:w="2177" w:type="dxa"/>
            <w:tcBorders>
              <w:top w:val="nil"/>
              <w:left w:val="nil"/>
              <w:bottom w:val="single" w:sz="8" w:space="0" w:color="auto"/>
              <w:right w:val="single" w:sz="8" w:space="0" w:color="auto"/>
            </w:tcBorders>
            <w:noWrap/>
            <w:hideMark/>
          </w:tcPr>
          <w:p w14:paraId="2F50137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113 295</w:t>
            </w:r>
          </w:p>
        </w:tc>
      </w:tr>
      <w:tr w:rsidR="00961262" w:rsidRPr="00961262" w14:paraId="6AF088D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215D05D"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50</w:t>
            </w:r>
          </w:p>
        </w:tc>
        <w:tc>
          <w:tcPr>
            <w:tcW w:w="6600" w:type="dxa"/>
            <w:tcBorders>
              <w:top w:val="nil"/>
              <w:left w:val="nil"/>
              <w:bottom w:val="single" w:sz="8" w:space="0" w:color="auto"/>
              <w:right w:val="single" w:sz="8" w:space="0" w:color="auto"/>
            </w:tcBorders>
            <w:noWrap/>
            <w:hideMark/>
          </w:tcPr>
          <w:p w14:paraId="39E7550E"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"RTU Starptautiskā zinātņu un tehnoloģiju skola"</w:t>
            </w:r>
          </w:p>
        </w:tc>
        <w:tc>
          <w:tcPr>
            <w:tcW w:w="2121" w:type="dxa"/>
            <w:tcBorders>
              <w:top w:val="nil"/>
              <w:left w:val="nil"/>
              <w:bottom w:val="single" w:sz="8" w:space="0" w:color="auto"/>
              <w:right w:val="single" w:sz="8" w:space="0" w:color="auto"/>
            </w:tcBorders>
            <w:noWrap/>
            <w:hideMark/>
          </w:tcPr>
          <w:p w14:paraId="7AB6C8A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1 175 754</w:t>
            </w:r>
          </w:p>
        </w:tc>
        <w:tc>
          <w:tcPr>
            <w:tcW w:w="2121" w:type="dxa"/>
            <w:tcBorders>
              <w:top w:val="nil"/>
              <w:left w:val="nil"/>
              <w:bottom w:val="single" w:sz="8" w:space="0" w:color="auto"/>
              <w:right w:val="single" w:sz="8" w:space="0" w:color="auto"/>
            </w:tcBorders>
            <w:noWrap/>
            <w:hideMark/>
          </w:tcPr>
          <w:p w14:paraId="513DD02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963 273</w:t>
            </w:r>
          </w:p>
        </w:tc>
        <w:tc>
          <w:tcPr>
            <w:tcW w:w="2177" w:type="dxa"/>
            <w:tcBorders>
              <w:top w:val="nil"/>
              <w:left w:val="nil"/>
              <w:bottom w:val="single" w:sz="8" w:space="0" w:color="auto"/>
              <w:right w:val="single" w:sz="8" w:space="0" w:color="auto"/>
            </w:tcBorders>
            <w:noWrap/>
            <w:hideMark/>
          </w:tcPr>
          <w:p w14:paraId="4B67DF5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212 481</w:t>
            </w:r>
          </w:p>
        </w:tc>
      </w:tr>
      <w:tr w:rsidR="00961262" w:rsidRPr="00961262" w14:paraId="7CFE8F74"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8BD7CD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51</w:t>
            </w:r>
          </w:p>
        </w:tc>
        <w:tc>
          <w:tcPr>
            <w:tcW w:w="6600" w:type="dxa"/>
            <w:tcBorders>
              <w:top w:val="nil"/>
              <w:left w:val="nil"/>
              <w:bottom w:val="single" w:sz="8" w:space="0" w:color="auto"/>
              <w:right w:val="single" w:sz="8" w:space="0" w:color="auto"/>
            </w:tcBorders>
            <w:noWrap/>
            <w:hideMark/>
          </w:tcPr>
          <w:p w14:paraId="086AFF87"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"Šampētera nams"</w:t>
            </w:r>
          </w:p>
        </w:tc>
        <w:tc>
          <w:tcPr>
            <w:tcW w:w="2121" w:type="dxa"/>
            <w:tcBorders>
              <w:top w:val="nil"/>
              <w:left w:val="nil"/>
              <w:bottom w:val="single" w:sz="8" w:space="0" w:color="auto"/>
              <w:right w:val="single" w:sz="8" w:space="0" w:color="auto"/>
            </w:tcBorders>
            <w:noWrap/>
            <w:hideMark/>
          </w:tcPr>
          <w:p w14:paraId="0BD9931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2 807 000</w:t>
            </w:r>
          </w:p>
        </w:tc>
        <w:tc>
          <w:tcPr>
            <w:tcW w:w="2121" w:type="dxa"/>
            <w:tcBorders>
              <w:top w:val="nil"/>
              <w:left w:val="nil"/>
              <w:bottom w:val="single" w:sz="8" w:space="0" w:color="auto"/>
              <w:right w:val="single" w:sz="8" w:space="0" w:color="auto"/>
            </w:tcBorders>
            <w:noWrap/>
            <w:hideMark/>
          </w:tcPr>
          <w:p w14:paraId="34ECCA4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2 779 925</w:t>
            </w:r>
          </w:p>
        </w:tc>
        <w:tc>
          <w:tcPr>
            <w:tcW w:w="2177" w:type="dxa"/>
            <w:tcBorders>
              <w:top w:val="nil"/>
              <w:left w:val="nil"/>
              <w:bottom w:val="single" w:sz="8" w:space="0" w:color="auto"/>
              <w:right w:val="single" w:sz="8" w:space="0" w:color="auto"/>
            </w:tcBorders>
            <w:noWrap/>
            <w:hideMark/>
          </w:tcPr>
          <w:p w14:paraId="7B18AF0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27 075</w:t>
            </w:r>
          </w:p>
        </w:tc>
      </w:tr>
      <w:tr w:rsidR="00961262" w:rsidRPr="00961262" w14:paraId="67473AE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CD24A1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52</w:t>
            </w:r>
          </w:p>
        </w:tc>
        <w:tc>
          <w:tcPr>
            <w:tcW w:w="6600" w:type="dxa"/>
            <w:tcBorders>
              <w:top w:val="nil"/>
              <w:left w:val="nil"/>
              <w:bottom w:val="single" w:sz="8" w:space="0" w:color="auto"/>
              <w:right w:val="single" w:sz="8" w:space="0" w:color="auto"/>
            </w:tcBorders>
            <w:noWrap/>
            <w:hideMark/>
          </w:tcPr>
          <w:p w14:paraId="3A71B61D"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"Starptautiskā Rakstnieku un tulkotāju māja"</w:t>
            </w:r>
          </w:p>
        </w:tc>
        <w:tc>
          <w:tcPr>
            <w:tcW w:w="2121" w:type="dxa"/>
            <w:tcBorders>
              <w:top w:val="nil"/>
              <w:left w:val="nil"/>
              <w:bottom w:val="single" w:sz="8" w:space="0" w:color="auto"/>
              <w:right w:val="single" w:sz="8" w:space="0" w:color="auto"/>
            </w:tcBorders>
            <w:noWrap/>
            <w:hideMark/>
          </w:tcPr>
          <w:p w14:paraId="37645B3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895 890</w:t>
            </w:r>
          </w:p>
        </w:tc>
        <w:tc>
          <w:tcPr>
            <w:tcW w:w="2121" w:type="dxa"/>
            <w:tcBorders>
              <w:top w:val="nil"/>
              <w:left w:val="nil"/>
              <w:bottom w:val="single" w:sz="8" w:space="0" w:color="auto"/>
              <w:right w:val="single" w:sz="8" w:space="0" w:color="auto"/>
            </w:tcBorders>
            <w:noWrap/>
            <w:hideMark/>
          </w:tcPr>
          <w:p w14:paraId="200D11C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895 737</w:t>
            </w:r>
          </w:p>
        </w:tc>
        <w:tc>
          <w:tcPr>
            <w:tcW w:w="2177" w:type="dxa"/>
            <w:tcBorders>
              <w:top w:val="nil"/>
              <w:left w:val="nil"/>
              <w:bottom w:val="single" w:sz="8" w:space="0" w:color="auto"/>
              <w:right w:val="single" w:sz="8" w:space="0" w:color="auto"/>
            </w:tcBorders>
            <w:noWrap/>
            <w:hideMark/>
          </w:tcPr>
          <w:p w14:paraId="3070826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153</w:t>
            </w:r>
          </w:p>
        </w:tc>
      </w:tr>
      <w:tr w:rsidR="00961262" w:rsidRPr="00961262" w14:paraId="3571647C"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32AA899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53</w:t>
            </w:r>
          </w:p>
        </w:tc>
        <w:tc>
          <w:tcPr>
            <w:tcW w:w="6600" w:type="dxa"/>
            <w:tcBorders>
              <w:top w:val="nil"/>
              <w:left w:val="nil"/>
              <w:bottom w:val="single" w:sz="8" w:space="0" w:color="auto"/>
              <w:right w:val="single" w:sz="8" w:space="0" w:color="auto"/>
            </w:tcBorders>
            <w:noWrap/>
          </w:tcPr>
          <w:p w14:paraId="536CC350"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"Strenču psihoneiroloģiskā slimnīca"</w:t>
            </w:r>
          </w:p>
        </w:tc>
        <w:tc>
          <w:tcPr>
            <w:tcW w:w="2121" w:type="dxa"/>
            <w:tcBorders>
              <w:top w:val="nil"/>
              <w:left w:val="nil"/>
              <w:bottom w:val="single" w:sz="8" w:space="0" w:color="auto"/>
              <w:right w:val="single" w:sz="8" w:space="0" w:color="auto"/>
            </w:tcBorders>
            <w:noWrap/>
          </w:tcPr>
          <w:p w14:paraId="0E8DB80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10 135 000</w:t>
            </w:r>
          </w:p>
        </w:tc>
        <w:tc>
          <w:tcPr>
            <w:tcW w:w="2121" w:type="dxa"/>
            <w:tcBorders>
              <w:top w:val="nil"/>
              <w:left w:val="nil"/>
              <w:bottom w:val="single" w:sz="8" w:space="0" w:color="auto"/>
              <w:right w:val="single" w:sz="8" w:space="0" w:color="auto"/>
            </w:tcBorders>
            <w:noWrap/>
          </w:tcPr>
          <w:p w14:paraId="6DD9572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11 400 048</w:t>
            </w:r>
          </w:p>
        </w:tc>
        <w:tc>
          <w:tcPr>
            <w:tcW w:w="2177" w:type="dxa"/>
            <w:tcBorders>
              <w:top w:val="nil"/>
              <w:left w:val="nil"/>
              <w:bottom w:val="single" w:sz="8" w:space="0" w:color="auto"/>
              <w:right w:val="single" w:sz="8" w:space="0" w:color="auto"/>
            </w:tcBorders>
            <w:noWrap/>
          </w:tcPr>
          <w:p w14:paraId="45F0797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-1 265 048</w:t>
            </w:r>
          </w:p>
        </w:tc>
      </w:tr>
      <w:tr w:rsidR="00961262" w:rsidRPr="00961262" w14:paraId="26A33AA7"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A28CC1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54</w:t>
            </w:r>
          </w:p>
        </w:tc>
        <w:tc>
          <w:tcPr>
            <w:tcW w:w="6600" w:type="dxa"/>
            <w:tcBorders>
              <w:top w:val="nil"/>
              <w:left w:val="nil"/>
              <w:bottom w:val="single" w:sz="8" w:space="0" w:color="auto"/>
              <w:right w:val="single" w:sz="8" w:space="0" w:color="auto"/>
            </w:tcBorders>
            <w:noWrap/>
          </w:tcPr>
          <w:p w14:paraId="6A2AE03A"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"Tiesu namu aģentūra"</w:t>
            </w:r>
          </w:p>
        </w:tc>
        <w:tc>
          <w:tcPr>
            <w:tcW w:w="2121" w:type="dxa"/>
            <w:tcBorders>
              <w:top w:val="nil"/>
              <w:left w:val="nil"/>
              <w:bottom w:val="single" w:sz="8" w:space="0" w:color="auto"/>
              <w:right w:val="single" w:sz="8" w:space="0" w:color="auto"/>
            </w:tcBorders>
            <w:noWrap/>
          </w:tcPr>
          <w:p w14:paraId="09E908A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9 450 000</w:t>
            </w:r>
          </w:p>
        </w:tc>
        <w:tc>
          <w:tcPr>
            <w:tcW w:w="2121" w:type="dxa"/>
            <w:tcBorders>
              <w:top w:val="nil"/>
              <w:left w:val="nil"/>
              <w:bottom w:val="single" w:sz="8" w:space="0" w:color="auto"/>
              <w:right w:val="single" w:sz="8" w:space="0" w:color="auto"/>
            </w:tcBorders>
            <w:noWrap/>
          </w:tcPr>
          <w:p w14:paraId="4BFDEAF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9 450 000</w:t>
            </w:r>
          </w:p>
        </w:tc>
        <w:tc>
          <w:tcPr>
            <w:tcW w:w="2177" w:type="dxa"/>
            <w:tcBorders>
              <w:top w:val="nil"/>
              <w:left w:val="nil"/>
              <w:bottom w:val="single" w:sz="8" w:space="0" w:color="auto"/>
              <w:right w:val="single" w:sz="8" w:space="0" w:color="auto"/>
            </w:tcBorders>
            <w:noWrap/>
          </w:tcPr>
          <w:p w14:paraId="672C396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13F5590F"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5F0DD369"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55</w:t>
            </w:r>
          </w:p>
        </w:tc>
        <w:tc>
          <w:tcPr>
            <w:tcW w:w="6600" w:type="dxa"/>
            <w:tcBorders>
              <w:top w:val="nil"/>
              <w:left w:val="nil"/>
              <w:bottom w:val="single" w:sz="8" w:space="0" w:color="auto"/>
              <w:right w:val="single" w:sz="8" w:space="0" w:color="auto"/>
            </w:tcBorders>
            <w:noWrap/>
          </w:tcPr>
          <w:p w14:paraId="30744C92"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"Traumatoloģijas un ortopēdijas slimnīca"</w:t>
            </w:r>
          </w:p>
        </w:tc>
        <w:tc>
          <w:tcPr>
            <w:tcW w:w="2121" w:type="dxa"/>
            <w:tcBorders>
              <w:top w:val="nil"/>
              <w:left w:val="nil"/>
              <w:bottom w:val="single" w:sz="8" w:space="0" w:color="auto"/>
              <w:right w:val="single" w:sz="8" w:space="0" w:color="auto"/>
            </w:tcBorders>
            <w:noWrap/>
          </w:tcPr>
          <w:p w14:paraId="78AA465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32 800 000</w:t>
            </w:r>
          </w:p>
        </w:tc>
        <w:tc>
          <w:tcPr>
            <w:tcW w:w="2121" w:type="dxa"/>
            <w:tcBorders>
              <w:top w:val="nil"/>
              <w:left w:val="nil"/>
              <w:bottom w:val="single" w:sz="8" w:space="0" w:color="auto"/>
              <w:right w:val="single" w:sz="8" w:space="0" w:color="auto"/>
            </w:tcBorders>
            <w:noWrap/>
          </w:tcPr>
          <w:p w14:paraId="375883F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32 760 000</w:t>
            </w:r>
          </w:p>
        </w:tc>
        <w:tc>
          <w:tcPr>
            <w:tcW w:w="2177" w:type="dxa"/>
            <w:tcBorders>
              <w:top w:val="nil"/>
              <w:left w:val="nil"/>
              <w:bottom w:val="single" w:sz="8" w:space="0" w:color="auto"/>
              <w:right w:val="single" w:sz="8" w:space="0" w:color="auto"/>
            </w:tcBorders>
            <w:noWrap/>
          </w:tcPr>
          <w:p w14:paraId="59CC76C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40 000</w:t>
            </w:r>
          </w:p>
        </w:tc>
      </w:tr>
      <w:tr w:rsidR="00961262" w:rsidRPr="00961262" w14:paraId="109B8066"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466640BB"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56</w:t>
            </w:r>
          </w:p>
        </w:tc>
        <w:tc>
          <w:tcPr>
            <w:tcW w:w="6600" w:type="dxa"/>
            <w:tcBorders>
              <w:top w:val="nil"/>
              <w:left w:val="nil"/>
              <w:bottom w:val="single" w:sz="8" w:space="0" w:color="auto"/>
              <w:right w:val="single" w:sz="8" w:space="0" w:color="auto"/>
            </w:tcBorders>
            <w:noWrap/>
          </w:tcPr>
          <w:p w14:paraId="5BCE2D2F"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"Nacionālais rehabilitācijas centrs "Vaivari""</w:t>
            </w:r>
          </w:p>
        </w:tc>
        <w:tc>
          <w:tcPr>
            <w:tcW w:w="2121" w:type="dxa"/>
            <w:tcBorders>
              <w:top w:val="nil"/>
              <w:left w:val="nil"/>
              <w:bottom w:val="single" w:sz="8" w:space="0" w:color="auto"/>
              <w:right w:val="single" w:sz="8" w:space="0" w:color="auto"/>
            </w:tcBorders>
            <w:noWrap/>
          </w:tcPr>
          <w:p w14:paraId="0FA8497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27 835 192</w:t>
            </w:r>
          </w:p>
        </w:tc>
        <w:tc>
          <w:tcPr>
            <w:tcW w:w="2121" w:type="dxa"/>
            <w:tcBorders>
              <w:top w:val="nil"/>
              <w:left w:val="nil"/>
              <w:bottom w:val="single" w:sz="8" w:space="0" w:color="auto"/>
              <w:right w:val="single" w:sz="8" w:space="0" w:color="auto"/>
            </w:tcBorders>
            <w:noWrap/>
          </w:tcPr>
          <w:p w14:paraId="4616B7C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27 853 241</w:t>
            </w:r>
          </w:p>
        </w:tc>
        <w:tc>
          <w:tcPr>
            <w:tcW w:w="2177" w:type="dxa"/>
            <w:tcBorders>
              <w:top w:val="nil"/>
              <w:left w:val="nil"/>
              <w:bottom w:val="single" w:sz="8" w:space="0" w:color="auto"/>
              <w:right w:val="single" w:sz="8" w:space="0" w:color="auto"/>
            </w:tcBorders>
            <w:noWrap/>
          </w:tcPr>
          <w:p w14:paraId="70949EC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-18 049</w:t>
            </w:r>
          </w:p>
        </w:tc>
      </w:tr>
      <w:tr w:rsidR="00961262" w:rsidRPr="00961262" w14:paraId="7BE450B8"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38998FB6"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57</w:t>
            </w:r>
          </w:p>
        </w:tc>
        <w:tc>
          <w:tcPr>
            <w:tcW w:w="6600" w:type="dxa"/>
            <w:tcBorders>
              <w:top w:val="nil"/>
              <w:left w:val="nil"/>
              <w:bottom w:val="single" w:sz="8" w:space="0" w:color="auto"/>
              <w:right w:val="single" w:sz="8" w:space="0" w:color="auto"/>
            </w:tcBorders>
            <w:noWrap/>
          </w:tcPr>
          <w:p w14:paraId="762B1DF8"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VSIA "Valmieras drāmas teātris"</w:t>
            </w:r>
          </w:p>
        </w:tc>
        <w:tc>
          <w:tcPr>
            <w:tcW w:w="2121" w:type="dxa"/>
            <w:tcBorders>
              <w:top w:val="nil"/>
              <w:left w:val="nil"/>
              <w:bottom w:val="single" w:sz="8" w:space="0" w:color="auto"/>
              <w:right w:val="single" w:sz="8" w:space="0" w:color="auto"/>
            </w:tcBorders>
            <w:noWrap/>
          </w:tcPr>
          <w:p w14:paraId="6F299FA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1 221 782</w:t>
            </w:r>
          </w:p>
        </w:tc>
        <w:tc>
          <w:tcPr>
            <w:tcW w:w="2121" w:type="dxa"/>
            <w:tcBorders>
              <w:top w:val="nil"/>
              <w:left w:val="nil"/>
              <w:bottom w:val="single" w:sz="8" w:space="0" w:color="auto"/>
              <w:right w:val="single" w:sz="8" w:space="0" w:color="auto"/>
            </w:tcBorders>
            <w:noWrap/>
          </w:tcPr>
          <w:p w14:paraId="2ADF1E3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1 127 553</w:t>
            </w:r>
          </w:p>
        </w:tc>
        <w:tc>
          <w:tcPr>
            <w:tcW w:w="2177" w:type="dxa"/>
            <w:tcBorders>
              <w:top w:val="nil"/>
              <w:left w:val="nil"/>
              <w:bottom w:val="single" w:sz="8" w:space="0" w:color="auto"/>
              <w:right w:val="single" w:sz="8" w:space="0" w:color="auto"/>
            </w:tcBorders>
            <w:noWrap/>
          </w:tcPr>
          <w:p w14:paraId="4C97F02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94 229</w:t>
            </w:r>
          </w:p>
        </w:tc>
      </w:tr>
      <w:tr w:rsidR="00961262" w:rsidRPr="00961262" w14:paraId="24159C2D" w14:textId="77777777" w:rsidTr="0052209F">
        <w:trPr>
          <w:trHeight w:val="324"/>
        </w:trPr>
        <w:tc>
          <w:tcPr>
            <w:tcW w:w="1187" w:type="dxa"/>
            <w:tcBorders>
              <w:top w:val="nil"/>
              <w:left w:val="single" w:sz="8" w:space="0" w:color="auto"/>
              <w:bottom w:val="single" w:sz="8" w:space="0" w:color="auto"/>
              <w:right w:val="single" w:sz="8" w:space="0" w:color="auto"/>
            </w:tcBorders>
            <w:noWrap/>
          </w:tcPr>
          <w:p w14:paraId="00F9932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lastRenderedPageBreak/>
              <w:t>58</w:t>
            </w:r>
          </w:p>
        </w:tc>
        <w:tc>
          <w:tcPr>
            <w:tcW w:w="6600" w:type="dxa"/>
            <w:tcBorders>
              <w:top w:val="nil"/>
              <w:left w:val="nil"/>
              <w:bottom w:val="single" w:sz="8" w:space="0" w:color="auto"/>
              <w:right w:val="single" w:sz="8" w:space="0" w:color="auto"/>
            </w:tcBorders>
            <w:noWrap/>
          </w:tcPr>
          <w:p w14:paraId="018F7087"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"Valsts aizsardzības korporācijas"</w:t>
            </w:r>
          </w:p>
        </w:tc>
        <w:tc>
          <w:tcPr>
            <w:tcW w:w="2121" w:type="dxa"/>
            <w:tcBorders>
              <w:top w:val="nil"/>
              <w:left w:val="nil"/>
              <w:bottom w:val="single" w:sz="8" w:space="0" w:color="auto"/>
              <w:right w:val="single" w:sz="8" w:space="0" w:color="auto"/>
            </w:tcBorders>
            <w:noWrap/>
          </w:tcPr>
          <w:p w14:paraId="76DC9C58"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28 204 957</w:t>
            </w:r>
          </w:p>
        </w:tc>
        <w:tc>
          <w:tcPr>
            <w:tcW w:w="2121" w:type="dxa"/>
            <w:tcBorders>
              <w:top w:val="nil"/>
              <w:left w:val="nil"/>
              <w:bottom w:val="single" w:sz="8" w:space="0" w:color="auto"/>
              <w:right w:val="single" w:sz="8" w:space="0" w:color="auto"/>
            </w:tcBorders>
            <w:noWrap/>
          </w:tcPr>
          <w:p w14:paraId="0866D53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24 160 221</w:t>
            </w:r>
          </w:p>
        </w:tc>
        <w:tc>
          <w:tcPr>
            <w:tcW w:w="2177" w:type="dxa"/>
            <w:tcBorders>
              <w:top w:val="nil"/>
              <w:left w:val="nil"/>
              <w:bottom w:val="single" w:sz="8" w:space="0" w:color="auto"/>
              <w:right w:val="single" w:sz="8" w:space="0" w:color="auto"/>
            </w:tcBorders>
            <w:noWrap/>
          </w:tcPr>
          <w:p w14:paraId="6C0F5AA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4 044 736</w:t>
            </w:r>
          </w:p>
        </w:tc>
      </w:tr>
      <w:tr w:rsidR="00961262" w:rsidRPr="00961262" w14:paraId="7E01E391"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C15263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59</w:t>
            </w:r>
          </w:p>
        </w:tc>
        <w:tc>
          <w:tcPr>
            <w:tcW w:w="6600" w:type="dxa"/>
            <w:tcBorders>
              <w:top w:val="nil"/>
              <w:left w:val="nil"/>
              <w:bottom w:val="single" w:sz="8" w:space="0" w:color="auto"/>
              <w:right w:val="single" w:sz="8" w:space="0" w:color="auto"/>
            </w:tcBorders>
            <w:noWrap/>
            <w:hideMark/>
          </w:tcPr>
          <w:p w14:paraId="0267EAD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AS "Valsts nekustamie īpašumi"</w:t>
            </w:r>
          </w:p>
        </w:tc>
        <w:tc>
          <w:tcPr>
            <w:tcW w:w="2121" w:type="dxa"/>
            <w:tcBorders>
              <w:top w:val="nil"/>
              <w:left w:val="nil"/>
              <w:bottom w:val="single" w:sz="8" w:space="0" w:color="auto"/>
              <w:right w:val="single" w:sz="8" w:space="0" w:color="auto"/>
            </w:tcBorders>
            <w:noWrap/>
            <w:hideMark/>
          </w:tcPr>
          <w:p w14:paraId="67A9127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46 931 653</w:t>
            </w:r>
          </w:p>
        </w:tc>
        <w:tc>
          <w:tcPr>
            <w:tcW w:w="2121" w:type="dxa"/>
            <w:tcBorders>
              <w:top w:val="nil"/>
              <w:left w:val="nil"/>
              <w:bottom w:val="single" w:sz="8" w:space="0" w:color="auto"/>
              <w:right w:val="single" w:sz="8" w:space="0" w:color="auto"/>
            </w:tcBorders>
            <w:noWrap/>
            <w:hideMark/>
          </w:tcPr>
          <w:p w14:paraId="5C357F2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49 222 370</w:t>
            </w:r>
          </w:p>
        </w:tc>
        <w:tc>
          <w:tcPr>
            <w:tcW w:w="2177" w:type="dxa"/>
            <w:tcBorders>
              <w:top w:val="nil"/>
              <w:left w:val="nil"/>
              <w:bottom w:val="single" w:sz="8" w:space="0" w:color="auto"/>
              <w:right w:val="single" w:sz="8" w:space="0" w:color="auto"/>
            </w:tcBorders>
            <w:noWrap/>
            <w:hideMark/>
          </w:tcPr>
          <w:p w14:paraId="0B5CB11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-2 290 717</w:t>
            </w:r>
          </w:p>
        </w:tc>
      </w:tr>
      <w:tr w:rsidR="00961262" w:rsidRPr="00961262" w14:paraId="264CD67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9841E53"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60</w:t>
            </w:r>
          </w:p>
        </w:tc>
        <w:tc>
          <w:tcPr>
            <w:tcW w:w="6600" w:type="dxa"/>
            <w:tcBorders>
              <w:top w:val="nil"/>
              <w:left w:val="nil"/>
              <w:bottom w:val="single" w:sz="8" w:space="0" w:color="auto"/>
              <w:right w:val="single" w:sz="8" w:space="0" w:color="auto"/>
            </w:tcBorders>
            <w:noWrap/>
            <w:hideMark/>
          </w:tcPr>
          <w:p w14:paraId="4C8C185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"Vides investīciju fonds"</w:t>
            </w:r>
          </w:p>
        </w:tc>
        <w:tc>
          <w:tcPr>
            <w:tcW w:w="2121" w:type="dxa"/>
            <w:tcBorders>
              <w:top w:val="nil"/>
              <w:left w:val="nil"/>
              <w:bottom w:val="single" w:sz="8" w:space="0" w:color="auto"/>
              <w:right w:val="single" w:sz="8" w:space="0" w:color="auto"/>
            </w:tcBorders>
            <w:noWrap/>
            <w:hideMark/>
          </w:tcPr>
          <w:p w14:paraId="358D9DD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1 314 816</w:t>
            </w:r>
          </w:p>
        </w:tc>
        <w:tc>
          <w:tcPr>
            <w:tcW w:w="2121" w:type="dxa"/>
            <w:tcBorders>
              <w:top w:val="nil"/>
              <w:left w:val="nil"/>
              <w:bottom w:val="single" w:sz="8" w:space="0" w:color="auto"/>
              <w:right w:val="single" w:sz="8" w:space="0" w:color="auto"/>
            </w:tcBorders>
            <w:noWrap/>
            <w:hideMark/>
          </w:tcPr>
          <w:p w14:paraId="14EC0BDB"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1 271 264</w:t>
            </w:r>
          </w:p>
        </w:tc>
        <w:tc>
          <w:tcPr>
            <w:tcW w:w="2177" w:type="dxa"/>
            <w:tcBorders>
              <w:top w:val="nil"/>
              <w:left w:val="nil"/>
              <w:bottom w:val="single" w:sz="8" w:space="0" w:color="auto"/>
              <w:right w:val="single" w:sz="8" w:space="0" w:color="auto"/>
            </w:tcBorders>
            <w:noWrap/>
            <w:hideMark/>
          </w:tcPr>
          <w:p w14:paraId="3E8F9B7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43 552</w:t>
            </w:r>
          </w:p>
        </w:tc>
      </w:tr>
      <w:tr w:rsidR="00961262" w:rsidRPr="00961262" w14:paraId="72B1F02B"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CCC54B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61</w:t>
            </w:r>
          </w:p>
        </w:tc>
        <w:tc>
          <w:tcPr>
            <w:tcW w:w="6600" w:type="dxa"/>
            <w:tcBorders>
              <w:top w:val="nil"/>
              <w:left w:val="nil"/>
              <w:bottom w:val="single" w:sz="8" w:space="0" w:color="auto"/>
              <w:right w:val="single" w:sz="8" w:space="0" w:color="auto"/>
            </w:tcBorders>
            <w:noWrap/>
            <w:hideMark/>
          </w:tcPr>
          <w:p w14:paraId="75DAE73D"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VSIA "Zemkopības ministrijas nekustamie īpašumi"</w:t>
            </w:r>
          </w:p>
        </w:tc>
        <w:tc>
          <w:tcPr>
            <w:tcW w:w="2121" w:type="dxa"/>
            <w:tcBorders>
              <w:top w:val="nil"/>
              <w:left w:val="nil"/>
              <w:bottom w:val="single" w:sz="8" w:space="0" w:color="auto"/>
              <w:right w:val="single" w:sz="8" w:space="0" w:color="auto"/>
            </w:tcBorders>
            <w:noWrap/>
            <w:hideMark/>
          </w:tcPr>
          <w:p w14:paraId="69E60B9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2 500 000</w:t>
            </w:r>
          </w:p>
        </w:tc>
        <w:tc>
          <w:tcPr>
            <w:tcW w:w="2121" w:type="dxa"/>
            <w:tcBorders>
              <w:top w:val="nil"/>
              <w:left w:val="nil"/>
              <w:bottom w:val="single" w:sz="8" w:space="0" w:color="auto"/>
              <w:right w:val="single" w:sz="8" w:space="0" w:color="auto"/>
            </w:tcBorders>
            <w:noWrap/>
            <w:hideMark/>
          </w:tcPr>
          <w:p w14:paraId="39587B0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2 464 990</w:t>
            </w:r>
          </w:p>
        </w:tc>
        <w:tc>
          <w:tcPr>
            <w:tcW w:w="2177" w:type="dxa"/>
            <w:tcBorders>
              <w:top w:val="nil"/>
              <w:left w:val="nil"/>
              <w:bottom w:val="single" w:sz="8" w:space="0" w:color="auto"/>
              <w:right w:val="single" w:sz="8" w:space="0" w:color="auto"/>
            </w:tcBorders>
            <w:noWrap/>
            <w:hideMark/>
          </w:tcPr>
          <w:p w14:paraId="1273773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35 010</w:t>
            </w:r>
          </w:p>
        </w:tc>
      </w:tr>
      <w:tr w:rsidR="00961262" w:rsidRPr="00961262" w14:paraId="0502B1DB" w14:textId="77777777" w:rsidTr="0052209F">
        <w:trPr>
          <w:trHeight w:val="324"/>
        </w:trPr>
        <w:tc>
          <w:tcPr>
            <w:tcW w:w="1187" w:type="dxa"/>
            <w:tcBorders>
              <w:top w:val="nil"/>
              <w:left w:val="single" w:sz="8" w:space="0" w:color="auto"/>
              <w:bottom w:val="single" w:sz="8" w:space="0" w:color="auto"/>
              <w:right w:val="single" w:sz="8" w:space="0" w:color="auto"/>
            </w:tcBorders>
            <w:shd w:val="clear" w:color="000000" w:fill="DDEBF7"/>
            <w:noWrap/>
            <w:vAlign w:val="center"/>
            <w:hideMark/>
          </w:tcPr>
          <w:p w14:paraId="2F578461" w14:textId="77777777" w:rsidR="00961262" w:rsidRPr="00961262" w:rsidRDefault="00961262" w:rsidP="00961262">
            <w:pPr>
              <w:spacing w:after="0"/>
              <w:ind w:firstLine="0"/>
              <w:jc w:val="center"/>
              <w:rPr>
                <w:rFonts w:eastAsia="Times New Roman" w:cs="Times New Roman"/>
                <w:color w:val="000000"/>
                <w:sz w:val="18"/>
                <w:szCs w:val="18"/>
              </w:rPr>
            </w:pPr>
            <w:r w:rsidRPr="00961262">
              <w:rPr>
                <w:rFonts w:eastAsia="Times New Roman" w:cs="Times New Roman"/>
                <w:color w:val="000000"/>
                <w:sz w:val="18"/>
                <w:szCs w:val="18"/>
              </w:rPr>
              <w:t>S130330</w:t>
            </w:r>
          </w:p>
        </w:tc>
        <w:tc>
          <w:tcPr>
            <w:tcW w:w="6600" w:type="dxa"/>
            <w:tcBorders>
              <w:top w:val="nil"/>
              <w:left w:val="nil"/>
              <w:bottom w:val="single" w:sz="8" w:space="0" w:color="auto"/>
              <w:right w:val="single" w:sz="8" w:space="0" w:color="auto"/>
            </w:tcBorders>
            <w:shd w:val="clear" w:color="000000" w:fill="DDEBF7"/>
            <w:noWrap/>
            <w:vAlign w:val="center"/>
            <w:hideMark/>
          </w:tcPr>
          <w:p w14:paraId="4B7E404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Pašvaldības struktūru kontrolētas un finansētas komercsabiedrības</w:t>
            </w:r>
          </w:p>
        </w:tc>
        <w:tc>
          <w:tcPr>
            <w:tcW w:w="2121" w:type="dxa"/>
            <w:tcBorders>
              <w:top w:val="nil"/>
              <w:left w:val="nil"/>
              <w:bottom w:val="single" w:sz="8" w:space="0" w:color="auto"/>
              <w:right w:val="single" w:sz="8" w:space="0" w:color="auto"/>
            </w:tcBorders>
            <w:shd w:val="clear" w:color="000000" w:fill="DDEBF7"/>
            <w:noWrap/>
            <w:vAlign w:val="center"/>
            <w:hideMark/>
          </w:tcPr>
          <w:p w14:paraId="4575934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21" w:type="dxa"/>
            <w:tcBorders>
              <w:top w:val="nil"/>
              <w:left w:val="nil"/>
              <w:bottom w:val="single" w:sz="8" w:space="0" w:color="auto"/>
              <w:right w:val="single" w:sz="8" w:space="0" w:color="auto"/>
            </w:tcBorders>
            <w:shd w:val="clear" w:color="000000" w:fill="DDEBF7"/>
            <w:noWrap/>
            <w:vAlign w:val="center"/>
            <w:hideMark/>
          </w:tcPr>
          <w:p w14:paraId="4A9EF0D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c>
          <w:tcPr>
            <w:tcW w:w="2177" w:type="dxa"/>
            <w:tcBorders>
              <w:top w:val="nil"/>
              <w:left w:val="nil"/>
              <w:bottom w:val="single" w:sz="8" w:space="0" w:color="auto"/>
              <w:right w:val="single" w:sz="8" w:space="0" w:color="auto"/>
            </w:tcBorders>
            <w:shd w:val="clear" w:color="000000" w:fill="DDEBF7"/>
            <w:noWrap/>
            <w:vAlign w:val="center"/>
            <w:hideMark/>
          </w:tcPr>
          <w:p w14:paraId="4E895159"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Times New Roman" w:cs="Times New Roman"/>
                <w:color w:val="000000"/>
                <w:sz w:val="18"/>
                <w:szCs w:val="18"/>
              </w:rPr>
              <w:t> </w:t>
            </w:r>
          </w:p>
        </w:tc>
      </w:tr>
      <w:tr w:rsidR="00961262" w:rsidRPr="00961262" w14:paraId="33034C2C"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36DCEF6"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62</w:t>
            </w:r>
          </w:p>
        </w:tc>
        <w:tc>
          <w:tcPr>
            <w:tcW w:w="6600" w:type="dxa"/>
            <w:tcBorders>
              <w:top w:val="nil"/>
              <w:left w:val="nil"/>
              <w:bottom w:val="single" w:sz="8" w:space="0" w:color="auto"/>
              <w:right w:val="single" w:sz="8" w:space="0" w:color="auto"/>
            </w:tcBorders>
            <w:noWrap/>
            <w:hideMark/>
          </w:tcPr>
          <w:p w14:paraId="36A99A3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"Aviasabiedrība "Liepāja""</w:t>
            </w:r>
          </w:p>
        </w:tc>
        <w:tc>
          <w:tcPr>
            <w:tcW w:w="2121" w:type="dxa"/>
            <w:tcBorders>
              <w:top w:val="nil"/>
              <w:left w:val="nil"/>
              <w:bottom w:val="single" w:sz="8" w:space="0" w:color="auto"/>
              <w:right w:val="single" w:sz="8" w:space="0" w:color="auto"/>
            </w:tcBorders>
            <w:noWrap/>
            <w:hideMark/>
          </w:tcPr>
          <w:p w14:paraId="238F256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2 038 351</w:t>
            </w:r>
          </w:p>
        </w:tc>
        <w:tc>
          <w:tcPr>
            <w:tcW w:w="2121" w:type="dxa"/>
            <w:tcBorders>
              <w:top w:val="nil"/>
              <w:left w:val="nil"/>
              <w:bottom w:val="single" w:sz="8" w:space="0" w:color="auto"/>
              <w:right w:val="single" w:sz="8" w:space="0" w:color="auto"/>
            </w:tcBorders>
            <w:noWrap/>
            <w:hideMark/>
          </w:tcPr>
          <w:p w14:paraId="459B857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1 352 619</w:t>
            </w:r>
          </w:p>
        </w:tc>
        <w:tc>
          <w:tcPr>
            <w:tcW w:w="2177" w:type="dxa"/>
            <w:tcBorders>
              <w:top w:val="nil"/>
              <w:left w:val="nil"/>
              <w:bottom w:val="single" w:sz="8" w:space="0" w:color="auto"/>
              <w:right w:val="single" w:sz="8" w:space="0" w:color="auto"/>
            </w:tcBorders>
            <w:noWrap/>
            <w:hideMark/>
          </w:tcPr>
          <w:p w14:paraId="7A5BE8E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685 732</w:t>
            </w:r>
          </w:p>
        </w:tc>
      </w:tr>
      <w:tr w:rsidR="00961262" w:rsidRPr="00961262" w14:paraId="60FC46A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08E14D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63</w:t>
            </w:r>
          </w:p>
        </w:tc>
        <w:tc>
          <w:tcPr>
            <w:tcW w:w="6600" w:type="dxa"/>
            <w:tcBorders>
              <w:top w:val="nil"/>
              <w:left w:val="nil"/>
              <w:bottom w:val="single" w:sz="8" w:space="0" w:color="auto"/>
              <w:right w:val="single" w:sz="8" w:space="0" w:color="auto"/>
            </w:tcBorders>
            <w:noWrap/>
            <w:hideMark/>
          </w:tcPr>
          <w:p w14:paraId="05C35D2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"Cēsu klīnika"</w:t>
            </w:r>
          </w:p>
        </w:tc>
        <w:tc>
          <w:tcPr>
            <w:tcW w:w="2121" w:type="dxa"/>
            <w:tcBorders>
              <w:top w:val="nil"/>
              <w:left w:val="nil"/>
              <w:bottom w:val="single" w:sz="8" w:space="0" w:color="auto"/>
              <w:right w:val="single" w:sz="8" w:space="0" w:color="auto"/>
            </w:tcBorders>
            <w:noWrap/>
            <w:hideMark/>
          </w:tcPr>
          <w:p w14:paraId="32DA104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11 200 000</w:t>
            </w:r>
          </w:p>
        </w:tc>
        <w:tc>
          <w:tcPr>
            <w:tcW w:w="2121" w:type="dxa"/>
            <w:tcBorders>
              <w:top w:val="nil"/>
              <w:left w:val="nil"/>
              <w:bottom w:val="single" w:sz="8" w:space="0" w:color="auto"/>
              <w:right w:val="single" w:sz="8" w:space="0" w:color="auto"/>
            </w:tcBorders>
            <w:noWrap/>
            <w:hideMark/>
          </w:tcPr>
          <w:p w14:paraId="72AECBC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11 200 000</w:t>
            </w:r>
          </w:p>
        </w:tc>
        <w:tc>
          <w:tcPr>
            <w:tcW w:w="2177" w:type="dxa"/>
            <w:tcBorders>
              <w:top w:val="nil"/>
              <w:left w:val="nil"/>
              <w:bottom w:val="single" w:sz="8" w:space="0" w:color="auto"/>
              <w:right w:val="single" w:sz="8" w:space="0" w:color="auto"/>
            </w:tcBorders>
            <w:noWrap/>
            <w:hideMark/>
          </w:tcPr>
          <w:p w14:paraId="36CC91A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0</w:t>
            </w:r>
          </w:p>
        </w:tc>
      </w:tr>
      <w:tr w:rsidR="00961262" w:rsidRPr="00961262" w14:paraId="215267D4"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92E403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64</w:t>
            </w:r>
          </w:p>
        </w:tc>
        <w:tc>
          <w:tcPr>
            <w:tcW w:w="6600" w:type="dxa"/>
            <w:tcBorders>
              <w:top w:val="nil"/>
              <w:left w:val="nil"/>
              <w:bottom w:val="single" w:sz="8" w:space="0" w:color="auto"/>
              <w:right w:val="single" w:sz="8" w:space="0" w:color="auto"/>
            </w:tcBorders>
            <w:noWrap/>
            <w:hideMark/>
          </w:tcPr>
          <w:p w14:paraId="0E635561"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"Daugavpils bērnu veselības centrs"</w:t>
            </w:r>
          </w:p>
        </w:tc>
        <w:tc>
          <w:tcPr>
            <w:tcW w:w="2121" w:type="dxa"/>
            <w:tcBorders>
              <w:top w:val="nil"/>
              <w:left w:val="nil"/>
              <w:bottom w:val="single" w:sz="8" w:space="0" w:color="auto"/>
              <w:right w:val="single" w:sz="8" w:space="0" w:color="auto"/>
            </w:tcBorders>
            <w:noWrap/>
            <w:hideMark/>
          </w:tcPr>
          <w:p w14:paraId="13CF2F5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2 933 780</w:t>
            </w:r>
          </w:p>
        </w:tc>
        <w:tc>
          <w:tcPr>
            <w:tcW w:w="2121" w:type="dxa"/>
            <w:tcBorders>
              <w:top w:val="nil"/>
              <w:left w:val="nil"/>
              <w:bottom w:val="single" w:sz="8" w:space="0" w:color="auto"/>
              <w:right w:val="single" w:sz="8" w:space="0" w:color="auto"/>
            </w:tcBorders>
            <w:noWrap/>
            <w:hideMark/>
          </w:tcPr>
          <w:p w14:paraId="0E5748C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2 923 610</w:t>
            </w:r>
          </w:p>
        </w:tc>
        <w:tc>
          <w:tcPr>
            <w:tcW w:w="2177" w:type="dxa"/>
            <w:tcBorders>
              <w:top w:val="nil"/>
              <w:left w:val="nil"/>
              <w:bottom w:val="single" w:sz="8" w:space="0" w:color="auto"/>
              <w:right w:val="single" w:sz="8" w:space="0" w:color="auto"/>
            </w:tcBorders>
            <w:noWrap/>
            <w:hideMark/>
          </w:tcPr>
          <w:p w14:paraId="458F30D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10 170</w:t>
            </w:r>
          </w:p>
        </w:tc>
      </w:tr>
      <w:tr w:rsidR="00961262" w:rsidRPr="00961262" w14:paraId="7F58ECD8"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165E5D0"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65</w:t>
            </w:r>
          </w:p>
        </w:tc>
        <w:tc>
          <w:tcPr>
            <w:tcW w:w="6600" w:type="dxa"/>
            <w:tcBorders>
              <w:top w:val="nil"/>
              <w:left w:val="nil"/>
              <w:bottom w:val="single" w:sz="8" w:space="0" w:color="auto"/>
              <w:right w:val="single" w:sz="8" w:space="0" w:color="auto"/>
            </w:tcBorders>
            <w:noWrap/>
            <w:hideMark/>
          </w:tcPr>
          <w:p w14:paraId="6D2E466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AS "Daugavpils satiksme"</w:t>
            </w:r>
          </w:p>
        </w:tc>
        <w:tc>
          <w:tcPr>
            <w:tcW w:w="2121" w:type="dxa"/>
            <w:tcBorders>
              <w:top w:val="nil"/>
              <w:left w:val="nil"/>
              <w:bottom w:val="single" w:sz="8" w:space="0" w:color="auto"/>
              <w:right w:val="single" w:sz="8" w:space="0" w:color="auto"/>
            </w:tcBorders>
            <w:noWrap/>
            <w:hideMark/>
          </w:tcPr>
          <w:p w14:paraId="2351037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14 058 159</w:t>
            </w:r>
          </w:p>
        </w:tc>
        <w:tc>
          <w:tcPr>
            <w:tcW w:w="2121" w:type="dxa"/>
            <w:tcBorders>
              <w:top w:val="nil"/>
              <w:left w:val="nil"/>
              <w:bottom w:val="single" w:sz="8" w:space="0" w:color="auto"/>
              <w:right w:val="single" w:sz="8" w:space="0" w:color="auto"/>
            </w:tcBorders>
            <w:noWrap/>
            <w:hideMark/>
          </w:tcPr>
          <w:p w14:paraId="75FFB34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13 956 568</w:t>
            </w:r>
          </w:p>
        </w:tc>
        <w:tc>
          <w:tcPr>
            <w:tcW w:w="2177" w:type="dxa"/>
            <w:tcBorders>
              <w:top w:val="nil"/>
              <w:left w:val="nil"/>
              <w:bottom w:val="single" w:sz="8" w:space="0" w:color="auto"/>
              <w:right w:val="single" w:sz="8" w:space="0" w:color="auto"/>
            </w:tcBorders>
            <w:noWrap/>
            <w:hideMark/>
          </w:tcPr>
          <w:p w14:paraId="6D8E18C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101 591</w:t>
            </w:r>
          </w:p>
        </w:tc>
      </w:tr>
      <w:tr w:rsidR="00961262" w:rsidRPr="00961262" w14:paraId="1D1C67BB"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1830BFD"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66</w:t>
            </w:r>
          </w:p>
        </w:tc>
        <w:tc>
          <w:tcPr>
            <w:tcW w:w="6600" w:type="dxa"/>
            <w:tcBorders>
              <w:top w:val="nil"/>
              <w:left w:val="nil"/>
              <w:bottom w:val="single" w:sz="8" w:space="0" w:color="auto"/>
              <w:right w:val="single" w:sz="8" w:space="0" w:color="auto"/>
            </w:tcBorders>
            <w:noWrap/>
            <w:hideMark/>
          </w:tcPr>
          <w:p w14:paraId="6B6FA394"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"Dobeles un apkārtnes slimnīca"</w:t>
            </w:r>
          </w:p>
        </w:tc>
        <w:tc>
          <w:tcPr>
            <w:tcW w:w="2121" w:type="dxa"/>
            <w:tcBorders>
              <w:top w:val="nil"/>
              <w:left w:val="nil"/>
              <w:bottom w:val="single" w:sz="8" w:space="0" w:color="auto"/>
              <w:right w:val="single" w:sz="8" w:space="0" w:color="auto"/>
            </w:tcBorders>
            <w:noWrap/>
            <w:hideMark/>
          </w:tcPr>
          <w:p w14:paraId="34E3473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8 351 238</w:t>
            </w:r>
          </w:p>
        </w:tc>
        <w:tc>
          <w:tcPr>
            <w:tcW w:w="2121" w:type="dxa"/>
            <w:tcBorders>
              <w:top w:val="nil"/>
              <w:left w:val="nil"/>
              <w:bottom w:val="single" w:sz="8" w:space="0" w:color="auto"/>
              <w:right w:val="single" w:sz="8" w:space="0" w:color="auto"/>
            </w:tcBorders>
            <w:noWrap/>
            <w:hideMark/>
          </w:tcPr>
          <w:p w14:paraId="0E30234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8 808 163</w:t>
            </w:r>
          </w:p>
        </w:tc>
        <w:tc>
          <w:tcPr>
            <w:tcW w:w="2177" w:type="dxa"/>
            <w:tcBorders>
              <w:top w:val="nil"/>
              <w:left w:val="nil"/>
              <w:bottom w:val="single" w:sz="8" w:space="0" w:color="auto"/>
              <w:right w:val="single" w:sz="8" w:space="0" w:color="auto"/>
            </w:tcBorders>
            <w:noWrap/>
            <w:hideMark/>
          </w:tcPr>
          <w:p w14:paraId="67C574B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-456 925</w:t>
            </w:r>
          </w:p>
        </w:tc>
      </w:tr>
      <w:tr w:rsidR="00961262" w:rsidRPr="00961262" w14:paraId="629F94A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65C42814"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67</w:t>
            </w:r>
          </w:p>
        </w:tc>
        <w:tc>
          <w:tcPr>
            <w:tcW w:w="6600" w:type="dxa"/>
            <w:tcBorders>
              <w:top w:val="nil"/>
              <w:left w:val="nil"/>
              <w:bottom w:val="single" w:sz="8" w:space="0" w:color="auto"/>
              <w:right w:val="single" w:sz="8" w:space="0" w:color="auto"/>
            </w:tcBorders>
            <w:noWrap/>
            <w:hideMark/>
          </w:tcPr>
          <w:p w14:paraId="31427B7B"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"Jelgavas pilsētas slimnīca"</w:t>
            </w:r>
          </w:p>
        </w:tc>
        <w:tc>
          <w:tcPr>
            <w:tcW w:w="2121" w:type="dxa"/>
            <w:tcBorders>
              <w:top w:val="nil"/>
              <w:left w:val="nil"/>
              <w:bottom w:val="single" w:sz="8" w:space="0" w:color="auto"/>
              <w:right w:val="single" w:sz="8" w:space="0" w:color="auto"/>
            </w:tcBorders>
            <w:noWrap/>
            <w:hideMark/>
          </w:tcPr>
          <w:p w14:paraId="5E87ECF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19 916 139</w:t>
            </w:r>
          </w:p>
        </w:tc>
        <w:tc>
          <w:tcPr>
            <w:tcW w:w="2121" w:type="dxa"/>
            <w:tcBorders>
              <w:top w:val="nil"/>
              <w:left w:val="nil"/>
              <w:bottom w:val="single" w:sz="8" w:space="0" w:color="auto"/>
              <w:right w:val="single" w:sz="8" w:space="0" w:color="auto"/>
            </w:tcBorders>
            <w:noWrap/>
            <w:hideMark/>
          </w:tcPr>
          <w:p w14:paraId="1F9A539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19 699 063</w:t>
            </w:r>
          </w:p>
        </w:tc>
        <w:tc>
          <w:tcPr>
            <w:tcW w:w="2177" w:type="dxa"/>
            <w:tcBorders>
              <w:top w:val="nil"/>
              <w:left w:val="nil"/>
              <w:bottom w:val="single" w:sz="8" w:space="0" w:color="auto"/>
              <w:right w:val="single" w:sz="8" w:space="0" w:color="auto"/>
            </w:tcBorders>
            <w:noWrap/>
            <w:hideMark/>
          </w:tcPr>
          <w:p w14:paraId="7E85807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217 076</w:t>
            </w:r>
          </w:p>
        </w:tc>
      </w:tr>
      <w:tr w:rsidR="00961262" w:rsidRPr="00961262" w14:paraId="3712650E"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F15AE2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68</w:t>
            </w:r>
          </w:p>
        </w:tc>
        <w:tc>
          <w:tcPr>
            <w:tcW w:w="6600" w:type="dxa"/>
            <w:tcBorders>
              <w:top w:val="nil"/>
              <w:left w:val="nil"/>
              <w:bottom w:val="single" w:sz="8" w:space="0" w:color="auto"/>
              <w:right w:val="single" w:sz="8" w:space="0" w:color="auto"/>
            </w:tcBorders>
            <w:noWrap/>
            <w:hideMark/>
          </w:tcPr>
          <w:p w14:paraId="1DC68A2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"Jēkabpils reģionālā slimnīca"</w:t>
            </w:r>
          </w:p>
        </w:tc>
        <w:tc>
          <w:tcPr>
            <w:tcW w:w="2121" w:type="dxa"/>
            <w:tcBorders>
              <w:top w:val="nil"/>
              <w:left w:val="nil"/>
              <w:bottom w:val="single" w:sz="8" w:space="0" w:color="auto"/>
              <w:right w:val="single" w:sz="8" w:space="0" w:color="auto"/>
            </w:tcBorders>
            <w:noWrap/>
            <w:hideMark/>
          </w:tcPr>
          <w:p w14:paraId="64ADA87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22 779 940</w:t>
            </w:r>
          </w:p>
        </w:tc>
        <w:tc>
          <w:tcPr>
            <w:tcW w:w="2121" w:type="dxa"/>
            <w:tcBorders>
              <w:top w:val="nil"/>
              <w:left w:val="nil"/>
              <w:bottom w:val="single" w:sz="8" w:space="0" w:color="auto"/>
              <w:right w:val="single" w:sz="8" w:space="0" w:color="auto"/>
            </w:tcBorders>
            <w:noWrap/>
            <w:hideMark/>
          </w:tcPr>
          <w:p w14:paraId="7523E77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22 478 328</w:t>
            </w:r>
          </w:p>
        </w:tc>
        <w:tc>
          <w:tcPr>
            <w:tcW w:w="2177" w:type="dxa"/>
            <w:tcBorders>
              <w:top w:val="nil"/>
              <w:left w:val="nil"/>
              <w:bottom w:val="single" w:sz="8" w:space="0" w:color="auto"/>
              <w:right w:val="single" w:sz="8" w:space="0" w:color="auto"/>
            </w:tcBorders>
            <w:noWrap/>
            <w:hideMark/>
          </w:tcPr>
          <w:p w14:paraId="7D72C59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301 612</w:t>
            </w:r>
          </w:p>
        </w:tc>
      </w:tr>
      <w:tr w:rsidR="00961262" w:rsidRPr="00961262" w14:paraId="75CAB805"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7BB9D08"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69</w:t>
            </w:r>
          </w:p>
        </w:tc>
        <w:tc>
          <w:tcPr>
            <w:tcW w:w="6600" w:type="dxa"/>
            <w:tcBorders>
              <w:top w:val="nil"/>
              <w:left w:val="nil"/>
              <w:bottom w:val="single" w:sz="8" w:space="0" w:color="auto"/>
              <w:right w:val="single" w:sz="8" w:space="0" w:color="auto"/>
            </w:tcBorders>
            <w:noWrap/>
            <w:hideMark/>
          </w:tcPr>
          <w:p w14:paraId="538418AB"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"Jūrmalas slimnīca"</w:t>
            </w:r>
          </w:p>
        </w:tc>
        <w:tc>
          <w:tcPr>
            <w:tcW w:w="2121" w:type="dxa"/>
            <w:tcBorders>
              <w:top w:val="nil"/>
              <w:left w:val="nil"/>
              <w:bottom w:val="single" w:sz="8" w:space="0" w:color="auto"/>
              <w:right w:val="single" w:sz="8" w:space="0" w:color="auto"/>
            </w:tcBorders>
            <w:noWrap/>
            <w:hideMark/>
          </w:tcPr>
          <w:p w14:paraId="0DB32D0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13 678 002</w:t>
            </w:r>
          </w:p>
        </w:tc>
        <w:tc>
          <w:tcPr>
            <w:tcW w:w="2121" w:type="dxa"/>
            <w:tcBorders>
              <w:top w:val="nil"/>
              <w:left w:val="nil"/>
              <w:bottom w:val="single" w:sz="8" w:space="0" w:color="auto"/>
              <w:right w:val="single" w:sz="8" w:space="0" w:color="auto"/>
            </w:tcBorders>
            <w:noWrap/>
            <w:hideMark/>
          </w:tcPr>
          <w:p w14:paraId="2DD2C49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15 711 256</w:t>
            </w:r>
          </w:p>
        </w:tc>
        <w:tc>
          <w:tcPr>
            <w:tcW w:w="2177" w:type="dxa"/>
            <w:tcBorders>
              <w:top w:val="nil"/>
              <w:left w:val="nil"/>
              <w:bottom w:val="single" w:sz="8" w:space="0" w:color="auto"/>
              <w:right w:val="single" w:sz="8" w:space="0" w:color="auto"/>
            </w:tcBorders>
            <w:noWrap/>
            <w:hideMark/>
          </w:tcPr>
          <w:p w14:paraId="09CC183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-2 033 254</w:t>
            </w:r>
          </w:p>
        </w:tc>
      </w:tr>
      <w:tr w:rsidR="00961262" w:rsidRPr="00961262" w14:paraId="739C39FC"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D028C2D"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70</w:t>
            </w:r>
          </w:p>
        </w:tc>
        <w:tc>
          <w:tcPr>
            <w:tcW w:w="6600" w:type="dxa"/>
            <w:tcBorders>
              <w:top w:val="nil"/>
              <w:left w:val="nil"/>
              <w:bottom w:val="single" w:sz="8" w:space="0" w:color="auto"/>
              <w:right w:val="single" w:sz="8" w:space="0" w:color="auto"/>
            </w:tcBorders>
            <w:noWrap/>
            <w:hideMark/>
          </w:tcPr>
          <w:p w14:paraId="65C89DF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"Kuldīgas slimnīca"</w:t>
            </w:r>
          </w:p>
        </w:tc>
        <w:tc>
          <w:tcPr>
            <w:tcW w:w="2121" w:type="dxa"/>
            <w:tcBorders>
              <w:top w:val="nil"/>
              <w:left w:val="nil"/>
              <w:bottom w:val="single" w:sz="8" w:space="0" w:color="auto"/>
              <w:right w:val="single" w:sz="8" w:space="0" w:color="auto"/>
            </w:tcBorders>
            <w:noWrap/>
            <w:hideMark/>
          </w:tcPr>
          <w:p w14:paraId="5C621F0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12 047 619</w:t>
            </w:r>
          </w:p>
        </w:tc>
        <w:tc>
          <w:tcPr>
            <w:tcW w:w="2121" w:type="dxa"/>
            <w:tcBorders>
              <w:top w:val="nil"/>
              <w:left w:val="nil"/>
              <w:bottom w:val="single" w:sz="8" w:space="0" w:color="auto"/>
              <w:right w:val="single" w:sz="8" w:space="0" w:color="auto"/>
            </w:tcBorders>
            <w:noWrap/>
            <w:hideMark/>
          </w:tcPr>
          <w:p w14:paraId="3B4CE56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12 021 808</w:t>
            </w:r>
          </w:p>
        </w:tc>
        <w:tc>
          <w:tcPr>
            <w:tcW w:w="2177" w:type="dxa"/>
            <w:tcBorders>
              <w:top w:val="nil"/>
              <w:left w:val="nil"/>
              <w:bottom w:val="single" w:sz="8" w:space="0" w:color="auto"/>
              <w:right w:val="single" w:sz="8" w:space="0" w:color="auto"/>
            </w:tcBorders>
            <w:noWrap/>
            <w:hideMark/>
          </w:tcPr>
          <w:p w14:paraId="100A3B9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25 811</w:t>
            </w:r>
          </w:p>
        </w:tc>
      </w:tr>
      <w:tr w:rsidR="00961262" w:rsidRPr="00961262" w14:paraId="4B1007AA"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B69729B"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71</w:t>
            </w:r>
          </w:p>
        </w:tc>
        <w:tc>
          <w:tcPr>
            <w:tcW w:w="6600" w:type="dxa"/>
            <w:tcBorders>
              <w:top w:val="nil"/>
              <w:left w:val="nil"/>
              <w:bottom w:val="single" w:sz="8" w:space="0" w:color="auto"/>
              <w:right w:val="single" w:sz="8" w:space="0" w:color="auto"/>
            </w:tcBorders>
            <w:noWrap/>
            <w:hideMark/>
          </w:tcPr>
          <w:p w14:paraId="275E7A1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"Liepājas Olimpiskais Centrs"</w:t>
            </w:r>
          </w:p>
        </w:tc>
        <w:tc>
          <w:tcPr>
            <w:tcW w:w="2121" w:type="dxa"/>
            <w:tcBorders>
              <w:top w:val="nil"/>
              <w:left w:val="nil"/>
              <w:bottom w:val="single" w:sz="8" w:space="0" w:color="auto"/>
              <w:right w:val="single" w:sz="8" w:space="0" w:color="auto"/>
            </w:tcBorders>
            <w:noWrap/>
            <w:hideMark/>
          </w:tcPr>
          <w:p w14:paraId="6E7F107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3 398 801</w:t>
            </w:r>
          </w:p>
        </w:tc>
        <w:tc>
          <w:tcPr>
            <w:tcW w:w="2121" w:type="dxa"/>
            <w:tcBorders>
              <w:top w:val="nil"/>
              <w:left w:val="nil"/>
              <w:bottom w:val="single" w:sz="8" w:space="0" w:color="auto"/>
              <w:right w:val="single" w:sz="8" w:space="0" w:color="auto"/>
            </w:tcBorders>
            <w:noWrap/>
            <w:hideMark/>
          </w:tcPr>
          <w:p w14:paraId="1BA7509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2 529 120</w:t>
            </w:r>
          </w:p>
        </w:tc>
        <w:tc>
          <w:tcPr>
            <w:tcW w:w="2177" w:type="dxa"/>
            <w:tcBorders>
              <w:top w:val="nil"/>
              <w:left w:val="nil"/>
              <w:bottom w:val="single" w:sz="8" w:space="0" w:color="auto"/>
              <w:right w:val="single" w:sz="8" w:space="0" w:color="auto"/>
            </w:tcBorders>
            <w:noWrap/>
            <w:hideMark/>
          </w:tcPr>
          <w:p w14:paraId="7CCC777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869 681</w:t>
            </w:r>
          </w:p>
        </w:tc>
      </w:tr>
      <w:tr w:rsidR="00961262" w:rsidRPr="00961262" w14:paraId="5BBA86D3"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4102F34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72</w:t>
            </w:r>
          </w:p>
        </w:tc>
        <w:tc>
          <w:tcPr>
            <w:tcW w:w="6600" w:type="dxa"/>
            <w:tcBorders>
              <w:top w:val="nil"/>
              <w:left w:val="nil"/>
              <w:bottom w:val="single" w:sz="8" w:space="0" w:color="auto"/>
              <w:right w:val="single" w:sz="8" w:space="0" w:color="auto"/>
            </w:tcBorders>
            <w:noWrap/>
            <w:hideMark/>
          </w:tcPr>
          <w:p w14:paraId="293BC190"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"Liepājas reģionālā slimnīca"</w:t>
            </w:r>
          </w:p>
        </w:tc>
        <w:tc>
          <w:tcPr>
            <w:tcW w:w="2121" w:type="dxa"/>
            <w:tcBorders>
              <w:top w:val="nil"/>
              <w:left w:val="nil"/>
              <w:bottom w:val="single" w:sz="8" w:space="0" w:color="auto"/>
              <w:right w:val="single" w:sz="8" w:space="0" w:color="auto"/>
            </w:tcBorders>
            <w:noWrap/>
            <w:hideMark/>
          </w:tcPr>
          <w:p w14:paraId="747D71D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50 737 093</w:t>
            </w:r>
          </w:p>
        </w:tc>
        <w:tc>
          <w:tcPr>
            <w:tcW w:w="2121" w:type="dxa"/>
            <w:tcBorders>
              <w:top w:val="nil"/>
              <w:left w:val="nil"/>
              <w:bottom w:val="single" w:sz="8" w:space="0" w:color="auto"/>
              <w:right w:val="single" w:sz="8" w:space="0" w:color="auto"/>
            </w:tcBorders>
            <w:noWrap/>
            <w:hideMark/>
          </w:tcPr>
          <w:p w14:paraId="0B84948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50 248 924</w:t>
            </w:r>
          </w:p>
        </w:tc>
        <w:tc>
          <w:tcPr>
            <w:tcW w:w="2177" w:type="dxa"/>
            <w:tcBorders>
              <w:top w:val="nil"/>
              <w:left w:val="nil"/>
              <w:bottom w:val="single" w:sz="8" w:space="0" w:color="auto"/>
              <w:right w:val="single" w:sz="8" w:space="0" w:color="auto"/>
            </w:tcBorders>
            <w:noWrap/>
            <w:hideMark/>
          </w:tcPr>
          <w:p w14:paraId="7843CA7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488 169</w:t>
            </w:r>
          </w:p>
        </w:tc>
      </w:tr>
      <w:tr w:rsidR="00961262" w:rsidRPr="00961262" w14:paraId="598FFBD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DD33FF8"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73</w:t>
            </w:r>
          </w:p>
        </w:tc>
        <w:tc>
          <w:tcPr>
            <w:tcW w:w="6600" w:type="dxa"/>
            <w:tcBorders>
              <w:top w:val="nil"/>
              <w:left w:val="nil"/>
              <w:bottom w:val="single" w:sz="8" w:space="0" w:color="auto"/>
              <w:right w:val="single" w:sz="8" w:space="0" w:color="auto"/>
            </w:tcBorders>
            <w:noWrap/>
            <w:hideMark/>
          </w:tcPr>
          <w:p w14:paraId="4C49D579"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"Liepājas tramvajs"</w:t>
            </w:r>
          </w:p>
        </w:tc>
        <w:tc>
          <w:tcPr>
            <w:tcW w:w="2121" w:type="dxa"/>
            <w:tcBorders>
              <w:top w:val="nil"/>
              <w:left w:val="nil"/>
              <w:bottom w:val="single" w:sz="8" w:space="0" w:color="auto"/>
              <w:right w:val="single" w:sz="8" w:space="0" w:color="auto"/>
            </w:tcBorders>
            <w:noWrap/>
            <w:hideMark/>
          </w:tcPr>
          <w:p w14:paraId="478F6EA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2 850 000</w:t>
            </w:r>
          </w:p>
        </w:tc>
        <w:tc>
          <w:tcPr>
            <w:tcW w:w="2121" w:type="dxa"/>
            <w:tcBorders>
              <w:top w:val="nil"/>
              <w:left w:val="nil"/>
              <w:bottom w:val="single" w:sz="8" w:space="0" w:color="auto"/>
              <w:right w:val="single" w:sz="8" w:space="0" w:color="auto"/>
            </w:tcBorders>
            <w:noWrap/>
            <w:hideMark/>
          </w:tcPr>
          <w:p w14:paraId="6493F10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2 820 300</w:t>
            </w:r>
          </w:p>
        </w:tc>
        <w:tc>
          <w:tcPr>
            <w:tcW w:w="2177" w:type="dxa"/>
            <w:tcBorders>
              <w:top w:val="nil"/>
              <w:left w:val="nil"/>
              <w:bottom w:val="single" w:sz="8" w:space="0" w:color="auto"/>
              <w:right w:val="single" w:sz="8" w:space="0" w:color="auto"/>
            </w:tcBorders>
            <w:noWrap/>
            <w:hideMark/>
          </w:tcPr>
          <w:p w14:paraId="1A91770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29 700</w:t>
            </w:r>
          </w:p>
        </w:tc>
      </w:tr>
      <w:tr w:rsidR="00961262" w:rsidRPr="00961262" w14:paraId="1653DD70"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3BD5F12"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74</w:t>
            </w:r>
          </w:p>
        </w:tc>
        <w:tc>
          <w:tcPr>
            <w:tcW w:w="6600" w:type="dxa"/>
            <w:tcBorders>
              <w:top w:val="nil"/>
              <w:left w:val="nil"/>
              <w:bottom w:val="single" w:sz="8" w:space="0" w:color="auto"/>
              <w:right w:val="single" w:sz="8" w:space="0" w:color="auto"/>
            </w:tcBorders>
            <w:noWrap/>
            <w:hideMark/>
          </w:tcPr>
          <w:p w14:paraId="12F4E19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"Madonas slimnīca"</w:t>
            </w:r>
          </w:p>
        </w:tc>
        <w:tc>
          <w:tcPr>
            <w:tcW w:w="2121" w:type="dxa"/>
            <w:tcBorders>
              <w:top w:val="nil"/>
              <w:left w:val="nil"/>
              <w:bottom w:val="single" w:sz="8" w:space="0" w:color="auto"/>
              <w:right w:val="single" w:sz="8" w:space="0" w:color="auto"/>
            </w:tcBorders>
            <w:noWrap/>
            <w:hideMark/>
          </w:tcPr>
          <w:p w14:paraId="577F7CE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18 000 000</w:t>
            </w:r>
          </w:p>
        </w:tc>
        <w:tc>
          <w:tcPr>
            <w:tcW w:w="2121" w:type="dxa"/>
            <w:tcBorders>
              <w:top w:val="nil"/>
              <w:left w:val="nil"/>
              <w:bottom w:val="single" w:sz="8" w:space="0" w:color="auto"/>
              <w:right w:val="single" w:sz="8" w:space="0" w:color="auto"/>
            </w:tcBorders>
            <w:noWrap/>
            <w:hideMark/>
          </w:tcPr>
          <w:p w14:paraId="50E881D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17 226 900</w:t>
            </w:r>
          </w:p>
        </w:tc>
        <w:tc>
          <w:tcPr>
            <w:tcW w:w="2177" w:type="dxa"/>
            <w:tcBorders>
              <w:top w:val="nil"/>
              <w:left w:val="nil"/>
              <w:bottom w:val="single" w:sz="8" w:space="0" w:color="auto"/>
              <w:right w:val="single" w:sz="8" w:space="0" w:color="auto"/>
            </w:tcBorders>
            <w:noWrap/>
            <w:hideMark/>
          </w:tcPr>
          <w:p w14:paraId="02C9E49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773 100</w:t>
            </w:r>
          </w:p>
        </w:tc>
      </w:tr>
      <w:tr w:rsidR="00961262" w:rsidRPr="00961262" w14:paraId="1CAC8427"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A62BDF9"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75</w:t>
            </w:r>
          </w:p>
        </w:tc>
        <w:tc>
          <w:tcPr>
            <w:tcW w:w="6600" w:type="dxa"/>
            <w:tcBorders>
              <w:top w:val="nil"/>
              <w:left w:val="nil"/>
              <w:bottom w:val="single" w:sz="8" w:space="0" w:color="auto"/>
              <w:right w:val="single" w:sz="8" w:space="0" w:color="auto"/>
            </w:tcBorders>
            <w:noWrap/>
            <w:hideMark/>
          </w:tcPr>
          <w:p w14:paraId="291ED15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"Ogres rajona slimnīca"</w:t>
            </w:r>
          </w:p>
        </w:tc>
        <w:tc>
          <w:tcPr>
            <w:tcW w:w="2121" w:type="dxa"/>
            <w:tcBorders>
              <w:top w:val="nil"/>
              <w:left w:val="nil"/>
              <w:bottom w:val="single" w:sz="8" w:space="0" w:color="auto"/>
              <w:right w:val="single" w:sz="8" w:space="0" w:color="auto"/>
            </w:tcBorders>
            <w:noWrap/>
            <w:hideMark/>
          </w:tcPr>
          <w:p w14:paraId="1E521FA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19 988 256</w:t>
            </w:r>
          </w:p>
        </w:tc>
        <w:tc>
          <w:tcPr>
            <w:tcW w:w="2121" w:type="dxa"/>
            <w:tcBorders>
              <w:top w:val="nil"/>
              <w:left w:val="nil"/>
              <w:bottom w:val="single" w:sz="8" w:space="0" w:color="auto"/>
              <w:right w:val="single" w:sz="8" w:space="0" w:color="auto"/>
            </w:tcBorders>
            <w:noWrap/>
            <w:hideMark/>
          </w:tcPr>
          <w:p w14:paraId="4F94CE6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20 148 931</w:t>
            </w:r>
          </w:p>
        </w:tc>
        <w:tc>
          <w:tcPr>
            <w:tcW w:w="2177" w:type="dxa"/>
            <w:tcBorders>
              <w:top w:val="nil"/>
              <w:left w:val="nil"/>
              <w:bottom w:val="single" w:sz="8" w:space="0" w:color="auto"/>
              <w:right w:val="single" w:sz="8" w:space="0" w:color="auto"/>
            </w:tcBorders>
            <w:noWrap/>
            <w:hideMark/>
          </w:tcPr>
          <w:p w14:paraId="1ABE96D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-160 675</w:t>
            </w:r>
          </w:p>
        </w:tc>
      </w:tr>
      <w:tr w:rsidR="00961262" w:rsidRPr="00961262" w14:paraId="4AC4EECB"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215696CC"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76</w:t>
            </w:r>
          </w:p>
        </w:tc>
        <w:tc>
          <w:tcPr>
            <w:tcW w:w="6600" w:type="dxa"/>
            <w:tcBorders>
              <w:top w:val="nil"/>
              <w:left w:val="nil"/>
              <w:bottom w:val="single" w:sz="8" w:space="0" w:color="auto"/>
              <w:right w:val="single" w:sz="8" w:space="0" w:color="auto"/>
            </w:tcBorders>
            <w:noWrap/>
            <w:hideMark/>
          </w:tcPr>
          <w:p w14:paraId="11E3E6A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"Preiļu slimnīca"</w:t>
            </w:r>
          </w:p>
        </w:tc>
        <w:tc>
          <w:tcPr>
            <w:tcW w:w="2121" w:type="dxa"/>
            <w:tcBorders>
              <w:top w:val="nil"/>
              <w:left w:val="nil"/>
              <w:bottom w:val="single" w:sz="8" w:space="0" w:color="auto"/>
              <w:right w:val="single" w:sz="8" w:space="0" w:color="auto"/>
            </w:tcBorders>
            <w:noWrap/>
            <w:hideMark/>
          </w:tcPr>
          <w:p w14:paraId="6F1466A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7 364 799</w:t>
            </w:r>
          </w:p>
        </w:tc>
        <w:tc>
          <w:tcPr>
            <w:tcW w:w="2121" w:type="dxa"/>
            <w:tcBorders>
              <w:top w:val="nil"/>
              <w:left w:val="nil"/>
              <w:bottom w:val="single" w:sz="8" w:space="0" w:color="auto"/>
              <w:right w:val="single" w:sz="8" w:space="0" w:color="auto"/>
            </w:tcBorders>
            <w:noWrap/>
            <w:hideMark/>
          </w:tcPr>
          <w:p w14:paraId="7CB2707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7 209 900</w:t>
            </w:r>
          </w:p>
        </w:tc>
        <w:tc>
          <w:tcPr>
            <w:tcW w:w="2177" w:type="dxa"/>
            <w:tcBorders>
              <w:top w:val="nil"/>
              <w:left w:val="nil"/>
              <w:bottom w:val="single" w:sz="8" w:space="0" w:color="auto"/>
              <w:right w:val="single" w:sz="8" w:space="0" w:color="auto"/>
            </w:tcBorders>
            <w:noWrap/>
            <w:hideMark/>
          </w:tcPr>
          <w:p w14:paraId="6491DC7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154 899</w:t>
            </w:r>
          </w:p>
        </w:tc>
      </w:tr>
      <w:tr w:rsidR="00961262" w:rsidRPr="00961262" w14:paraId="326933EB"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009C8DA"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77</w:t>
            </w:r>
          </w:p>
        </w:tc>
        <w:tc>
          <w:tcPr>
            <w:tcW w:w="6600" w:type="dxa"/>
            <w:tcBorders>
              <w:top w:val="nil"/>
              <w:left w:val="nil"/>
              <w:bottom w:val="single" w:sz="8" w:space="0" w:color="auto"/>
              <w:right w:val="single" w:sz="8" w:space="0" w:color="auto"/>
            </w:tcBorders>
            <w:noWrap/>
            <w:hideMark/>
          </w:tcPr>
          <w:p w14:paraId="126B0447"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"Rēzeknes Satiksme"</w:t>
            </w:r>
          </w:p>
        </w:tc>
        <w:tc>
          <w:tcPr>
            <w:tcW w:w="2121" w:type="dxa"/>
            <w:tcBorders>
              <w:top w:val="nil"/>
              <w:left w:val="nil"/>
              <w:bottom w:val="single" w:sz="8" w:space="0" w:color="auto"/>
              <w:right w:val="single" w:sz="8" w:space="0" w:color="auto"/>
            </w:tcBorders>
            <w:noWrap/>
            <w:hideMark/>
          </w:tcPr>
          <w:p w14:paraId="2E8FCA4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2 846 911</w:t>
            </w:r>
          </w:p>
        </w:tc>
        <w:tc>
          <w:tcPr>
            <w:tcW w:w="2121" w:type="dxa"/>
            <w:tcBorders>
              <w:top w:val="nil"/>
              <w:left w:val="nil"/>
              <w:bottom w:val="single" w:sz="8" w:space="0" w:color="auto"/>
              <w:right w:val="single" w:sz="8" w:space="0" w:color="auto"/>
            </w:tcBorders>
            <w:noWrap/>
            <w:hideMark/>
          </w:tcPr>
          <w:p w14:paraId="5D50971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2 412 079</w:t>
            </w:r>
          </w:p>
        </w:tc>
        <w:tc>
          <w:tcPr>
            <w:tcW w:w="2177" w:type="dxa"/>
            <w:tcBorders>
              <w:top w:val="nil"/>
              <w:left w:val="nil"/>
              <w:bottom w:val="single" w:sz="8" w:space="0" w:color="auto"/>
              <w:right w:val="single" w:sz="8" w:space="0" w:color="auto"/>
            </w:tcBorders>
            <w:noWrap/>
            <w:hideMark/>
          </w:tcPr>
          <w:p w14:paraId="77C096E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434 832</w:t>
            </w:r>
          </w:p>
        </w:tc>
      </w:tr>
      <w:tr w:rsidR="00961262" w:rsidRPr="00961262" w14:paraId="2AF1D89D"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08F993B8"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78</w:t>
            </w:r>
          </w:p>
        </w:tc>
        <w:tc>
          <w:tcPr>
            <w:tcW w:w="6600" w:type="dxa"/>
            <w:tcBorders>
              <w:top w:val="nil"/>
              <w:left w:val="nil"/>
              <w:bottom w:val="single" w:sz="8" w:space="0" w:color="auto"/>
              <w:right w:val="single" w:sz="8" w:space="0" w:color="auto"/>
            </w:tcBorders>
            <w:noWrap/>
            <w:hideMark/>
          </w:tcPr>
          <w:p w14:paraId="69A4A90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"Rēzeknes slimnīca"</w:t>
            </w:r>
          </w:p>
        </w:tc>
        <w:tc>
          <w:tcPr>
            <w:tcW w:w="2121" w:type="dxa"/>
            <w:tcBorders>
              <w:top w:val="nil"/>
              <w:left w:val="nil"/>
              <w:bottom w:val="single" w:sz="8" w:space="0" w:color="auto"/>
              <w:right w:val="single" w:sz="8" w:space="0" w:color="auto"/>
            </w:tcBorders>
            <w:noWrap/>
            <w:hideMark/>
          </w:tcPr>
          <w:p w14:paraId="6CF61BD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31 982 106</w:t>
            </w:r>
          </w:p>
        </w:tc>
        <w:tc>
          <w:tcPr>
            <w:tcW w:w="2121" w:type="dxa"/>
            <w:tcBorders>
              <w:top w:val="nil"/>
              <w:left w:val="nil"/>
              <w:bottom w:val="single" w:sz="8" w:space="0" w:color="auto"/>
              <w:right w:val="single" w:sz="8" w:space="0" w:color="auto"/>
            </w:tcBorders>
            <w:noWrap/>
            <w:hideMark/>
          </w:tcPr>
          <w:p w14:paraId="3896987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31 977 306</w:t>
            </w:r>
          </w:p>
        </w:tc>
        <w:tc>
          <w:tcPr>
            <w:tcW w:w="2177" w:type="dxa"/>
            <w:tcBorders>
              <w:top w:val="nil"/>
              <w:left w:val="nil"/>
              <w:bottom w:val="single" w:sz="8" w:space="0" w:color="auto"/>
              <w:right w:val="single" w:sz="8" w:space="0" w:color="auto"/>
            </w:tcBorders>
            <w:noWrap/>
            <w:hideMark/>
          </w:tcPr>
          <w:p w14:paraId="0464D2A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4 800</w:t>
            </w:r>
          </w:p>
        </w:tc>
      </w:tr>
      <w:tr w:rsidR="00961262" w:rsidRPr="00961262" w14:paraId="4DF4661E"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1B0FBC41"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79</w:t>
            </w:r>
          </w:p>
        </w:tc>
        <w:tc>
          <w:tcPr>
            <w:tcW w:w="6600" w:type="dxa"/>
            <w:tcBorders>
              <w:top w:val="nil"/>
              <w:left w:val="nil"/>
              <w:bottom w:val="single" w:sz="8" w:space="0" w:color="auto"/>
              <w:right w:val="single" w:sz="8" w:space="0" w:color="auto"/>
            </w:tcBorders>
            <w:noWrap/>
            <w:hideMark/>
          </w:tcPr>
          <w:p w14:paraId="45B5CC73"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1.slimnīca"</w:t>
            </w:r>
          </w:p>
        </w:tc>
        <w:tc>
          <w:tcPr>
            <w:tcW w:w="2121" w:type="dxa"/>
            <w:tcBorders>
              <w:top w:val="nil"/>
              <w:left w:val="nil"/>
              <w:bottom w:val="single" w:sz="8" w:space="0" w:color="auto"/>
              <w:right w:val="single" w:sz="8" w:space="0" w:color="auto"/>
            </w:tcBorders>
            <w:noWrap/>
            <w:hideMark/>
          </w:tcPr>
          <w:p w14:paraId="6A71328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37 083 329</w:t>
            </w:r>
          </w:p>
        </w:tc>
        <w:tc>
          <w:tcPr>
            <w:tcW w:w="2121" w:type="dxa"/>
            <w:tcBorders>
              <w:top w:val="nil"/>
              <w:left w:val="nil"/>
              <w:bottom w:val="single" w:sz="8" w:space="0" w:color="auto"/>
              <w:right w:val="single" w:sz="8" w:space="0" w:color="auto"/>
            </w:tcBorders>
            <w:noWrap/>
            <w:hideMark/>
          </w:tcPr>
          <w:p w14:paraId="13ABCA8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35 253 095</w:t>
            </w:r>
          </w:p>
        </w:tc>
        <w:tc>
          <w:tcPr>
            <w:tcW w:w="2177" w:type="dxa"/>
            <w:tcBorders>
              <w:top w:val="nil"/>
              <w:left w:val="nil"/>
              <w:bottom w:val="single" w:sz="8" w:space="0" w:color="auto"/>
              <w:right w:val="single" w:sz="8" w:space="0" w:color="auto"/>
            </w:tcBorders>
            <w:noWrap/>
            <w:hideMark/>
          </w:tcPr>
          <w:p w14:paraId="40851E9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1 830 234</w:t>
            </w:r>
          </w:p>
        </w:tc>
      </w:tr>
      <w:tr w:rsidR="00961262" w:rsidRPr="00961262" w14:paraId="1170F488"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3FE7B1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lastRenderedPageBreak/>
              <w:t>80</w:t>
            </w:r>
          </w:p>
        </w:tc>
        <w:tc>
          <w:tcPr>
            <w:tcW w:w="6600" w:type="dxa"/>
            <w:tcBorders>
              <w:top w:val="nil"/>
              <w:left w:val="nil"/>
              <w:bottom w:val="single" w:sz="8" w:space="0" w:color="auto"/>
              <w:right w:val="single" w:sz="8" w:space="0" w:color="auto"/>
            </w:tcBorders>
            <w:noWrap/>
            <w:hideMark/>
          </w:tcPr>
          <w:p w14:paraId="44C60F28"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2.slimnīca"</w:t>
            </w:r>
          </w:p>
        </w:tc>
        <w:tc>
          <w:tcPr>
            <w:tcW w:w="2121" w:type="dxa"/>
            <w:tcBorders>
              <w:top w:val="nil"/>
              <w:left w:val="nil"/>
              <w:bottom w:val="single" w:sz="8" w:space="0" w:color="auto"/>
              <w:right w:val="single" w:sz="8" w:space="0" w:color="auto"/>
            </w:tcBorders>
            <w:noWrap/>
            <w:hideMark/>
          </w:tcPr>
          <w:p w14:paraId="7D40428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15 101 754</w:t>
            </w:r>
          </w:p>
        </w:tc>
        <w:tc>
          <w:tcPr>
            <w:tcW w:w="2121" w:type="dxa"/>
            <w:tcBorders>
              <w:top w:val="nil"/>
              <w:left w:val="nil"/>
              <w:bottom w:val="single" w:sz="8" w:space="0" w:color="auto"/>
              <w:right w:val="single" w:sz="8" w:space="0" w:color="auto"/>
            </w:tcBorders>
            <w:noWrap/>
            <w:hideMark/>
          </w:tcPr>
          <w:p w14:paraId="25451C72"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14 780 238</w:t>
            </w:r>
          </w:p>
        </w:tc>
        <w:tc>
          <w:tcPr>
            <w:tcW w:w="2177" w:type="dxa"/>
            <w:tcBorders>
              <w:top w:val="nil"/>
              <w:left w:val="nil"/>
              <w:bottom w:val="single" w:sz="8" w:space="0" w:color="auto"/>
              <w:right w:val="single" w:sz="8" w:space="0" w:color="auto"/>
            </w:tcBorders>
            <w:noWrap/>
            <w:hideMark/>
          </w:tcPr>
          <w:p w14:paraId="67610E5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321 516</w:t>
            </w:r>
          </w:p>
        </w:tc>
      </w:tr>
      <w:tr w:rsidR="00961262" w:rsidRPr="00961262" w14:paraId="674849F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561CAB7"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81</w:t>
            </w:r>
          </w:p>
        </w:tc>
        <w:tc>
          <w:tcPr>
            <w:tcW w:w="6600" w:type="dxa"/>
            <w:tcBorders>
              <w:top w:val="nil"/>
              <w:left w:val="nil"/>
              <w:bottom w:val="single" w:sz="8" w:space="0" w:color="auto"/>
              <w:right w:val="single" w:sz="8" w:space="0" w:color="auto"/>
            </w:tcBorders>
            <w:noWrap/>
            <w:hideMark/>
          </w:tcPr>
          <w:p w14:paraId="03AAA8FF"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Dzemdību nams"</w:t>
            </w:r>
          </w:p>
        </w:tc>
        <w:tc>
          <w:tcPr>
            <w:tcW w:w="2121" w:type="dxa"/>
            <w:tcBorders>
              <w:top w:val="nil"/>
              <w:left w:val="nil"/>
              <w:bottom w:val="single" w:sz="8" w:space="0" w:color="auto"/>
              <w:right w:val="single" w:sz="8" w:space="0" w:color="auto"/>
            </w:tcBorders>
            <w:noWrap/>
            <w:hideMark/>
          </w:tcPr>
          <w:p w14:paraId="4522024C"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13 686 322</w:t>
            </w:r>
          </w:p>
        </w:tc>
        <w:tc>
          <w:tcPr>
            <w:tcW w:w="2121" w:type="dxa"/>
            <w:tcBorders>
              <w:top w:val="nil"/>
              <w:left w:val="nil"/>
              <w:bottom w:val="single" w:sz="8" w:space="0" w:color="auto"/>
              <w:right w:val="single" w:sz="8" w:space="0" w:color="auto"/>
            </w:tcBorders>
            <w:noWrap/>
            <w:hideMark/>
          </w:tcPr>
          <w:p w14:paraId="44BEF84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13 597 821</w:t>
            </w:r>
          </w:p>
        </w:tc>
        <w:tc>
          <w:tcPr>
            <w:tcW w:w="2177" w:type="dxa"/>
            <w:tcBorders>
              <w:top w:val="nil"/>
              <w:left w:val="nil"/>
              <w:bottom w:val="single" w:sz="8" w:space="0" w:color="auto"/>
              <w:right w:val="single" w:sz="8" w:space="0" w:color="auto"/>
            </w:tcBorders>
            <w:noWrap/>
            <w:hideMark/>
          </w:tcPr>
          <w:p w14:paraId="6D476706"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88 501</w:t>
            </w:r>
          </w:p>
        </w:tc>
      </w:tr>
      <w:tr w:rsidR="00961262" w:rsidRPr="00961262" w14:paraId="4AE64B8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B4A5B13"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82</w:t>
            </w:r>
          </w:p>
        </w:tc>
        <w:tc>
          <w:tcPr>
            <w:tcW w:w="6600" w:type="dxa"/>
            <w:tcBorders>
              <w:top w:val="nil"/>
              <w:left w:val="nil"/>
              <w:bottom w:val="single" w:sz="8" w:space="0" w:color="auto"/>
              <w:right w:val="single" w:sz="8" w:space="0" w:color="auto"/>
            </w:tcBorders>
            <w:noWrap/>
            <w:hideMark/>
          </w:tcPr>
          <w:p w14:paraId="4E94D9A5"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satiksme"</w:t>
            </w:r>
          </w:p>
        </w:tc>
        <w:tc>
          <w:tcPr>
            <w:tcW w:w="2121" w:type="dxa"/>
            <w:tcBorders>
              <w:top w:val="nil"/>
              <w:left w:val="nil"/>
              <w:bottom w:val="single" w:sz="8" w:space="0" w:color="auto"/>
              <w:right w:val="single" w:sz="8" w:space="0" w:color="auto"/>
            </w:tcBorders>
            <w:noWrap/>
            <w:hideMark/>
          </w:tcPr>
          <w:p w14:paraId="3F6E5E7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220 750 503</w:t>
            </w:r>
          </w:p>
        </w:tc>
        <w:tc>
          <w:tcPr>
            <w:tcW w:w="2121" w:type="dxa"/>
            <w:tcBorders>
              <w:top w:val="nil"/>
              <w:left w:val="nil"/>
              <w:bottom w:val="single" w:sz="8" w:space="0" w:color="auto"/>
              <w:right w:val="single" w:sz="8" w:space="0" w:color="auto"/>
            </w:tcBorders>
            <w:noWrap/>
            <w:hideMark/>
          </w:tcPr>
          <w:p w14:paraId="0829E42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225 619 915</w:t>
            </w:r>
          </w:p>
        </w:tc>
        <w:tc>
          <w:tcPr>
            <w:tcW w:w="2177" w:type="dxa"/>
            <w:tcBorders>
              <w:top w:val="nil"/>
              <w:left w:val="nil"/>
              <w:bottom w:val="single" w:sz="8" w:space="0" w:color="auto"/>
              <w:right w:val="single" w:sz="8" w:space="0" w:color="auto"/>
            </w:tcBorders>
            <w:noWrap/>
            <w:hideMark/>
          </w:tcPr>
          <w:p w14:paraId="4A2364F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-4 869 412</w:t>
            </w:r>
          </w:p>
        </w:tc>
      </w:tr>
      <w:tr w:rsidR="00961262" w:rsidRPr="00961262" w14:paraId="7F5A04B9"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7FEC390E"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83</w:t>
            </w:r>
          </w:p>
        </w:tc>
        <w:tc>
          <w:tcPr>
            <w:tcW w:w="6600" w:type="dxa"/>
            <w:tcBorders>
              <w:top w:val="nil"/>
              <w:left w:val="nil"/>
              <w:bottom w:val="single" w:sz="8" w:space="0" w:color="auto"/>
              <w:right w:val="single" w:sz="8" w:space="0" w:color="auto"/>
            </w:tcBorders>
            <w:noWrap/>
            <w:hideMark/>
          </w:tcPr>
          <w:p w14:paraId="2455C513"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"Rīgas veselības centrs"</w:t>
            </w:r>
          </w:p>
        </w:tc>
        <w:tc>
          <w:tcPr>
            <w:tcW w:w="2121" w:type="dxa"/>
            <w:tcBorders>
              <w:top w:val="nil"/>
              <w:left w:val="nil"/>
              <w:bottom w:val="single" w:sz="8" w:space="0" w:color="auto"/>
              <w:right w:val="single" w:sz="8" w:space="0" w:color="auto"/>
            </w:tcBorders>
            <w:noWrap/>
            <w:hideMark/>
          </w:tcPr>
          <w:p w14:paraId="09762E7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13 574 451</w:t>
            </w:r>
          </w:p>
        </w:tc>
        <w:tc>
          <w:tcPr>
            <w:tcW w:w="2121" w:type="dxa"/>
            <w:tcBorders>
              <w:top w:val="nil"/>
              <w:left w:val="nil"/>
              <w:bottom w:val="single" w:sz="8" w:space="0" w:color="auto"/>
              <w:right w:val="single" w:sz="8" w:space="0" w:color="auto"/>
            </w:tcBorders>
            <w:noWrap/>
            <w:hideMark/>
          </w:tcPr>
          <w:p w14:paraId="15E1466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13 547 596</w:t>
            </w:r>
          </w:p>
        </w:tc>
        <w:tc>
          <w:tcPr>
            <w:tcW w:w="2177" w:type="dxa"/>
            <w:tcBorders>
              <w:top w:val="nil"/>
              <w:left w:val="nil"/>
              <w:bottom w:val="single" w:sz="8" w:space="0" w:color="auto"/>
              <w:right w:val="single" w:sz="8" w:space="0" w:color="auto"/>
            </w:tcBorders>
            <w:noWrap/>
            <w:hideMark/>
          </w:tcPr>
          <w:p w14:paraId="7E578A1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26 855</w:t>
            </w:r>
          </w:p>
        </w:tc>
      </w:tr>
      <w:tr w:rsidR="00961262" w:rsidRPr="00961262" w14:paraId="26170C96"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3B74220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84</w:t>
            </w:r>
          </w:p>
        </w:tc>
        <w:tc>
          <w:tcPr>
            <w:tcW w:w="6600" w:type="dxa"/>
            <w:tcBorders>
              <w:top w:val="nil"/>
              <w:left w:val="nil"/>
              <w:bottom w:val="single" w:sz="8" w:space="0" w:color="auto"/>
              <w:right w:val="single" w:sz="8" w:space="0" w:color="auto"/>
            </w:tcBorders>
            <w:noWrap/>
            <w:hideMark/>
          </w:tcPr>
          <w:p w14:paraId="7149FA8C"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"Salaspils Veselības Centrs"</w:t>
            </w:r>
          </w:p>
        </w:tc>
        <w:tc>
          <w:tcPr>
            <w:tcW w:w="2121" w:type="dxa"/>
            <w:tcBorders>
              <w:top w:val="nil"/>
              <w:left w:val="nil"/>
              <w:bottom w:val="single" w:sz="8" w:space="0" w:color="auto"/>
              <w:right w:val="single" w:sz="8" w:space="0" w:color="auto"/>
            </w:tcBorders>
            <w:noWrap/>
            <w:hideMark/>
          </w:tcPr>
          <w:p w14:paraId="3E1DB9C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3 973 002</w:t>
            </w:r>
          </w:p>
        </w:tc>
        <w:tc>
          <w:tcPr>
            <w:tcW w:w="2121" w:type="dxa"/>
            <w:tcBorders>
              <w:top w:val="nil"/>
              <w:left w:val="nil"/>
              <w:bottom w:val="single" w:sz="8" w:space="0" w:color="auto"/>
              <w:right w:val="single" w:sz="8" w:space="0" w:color="auto"/>
            </w:tcBorders>
            <w:noWrap/>
            <w:hideMark/>
          </w:tcPr>
          <w:p w14:paraId="156DF1E0"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3 991 858</w:t>
            </w:r>
          </w:p>
        </w:tc>
        <w:tc>
          <w:tcPr>
            <w:tcW w:w="2177" w:type="dxa"/>
            <w:tcBorders>
              <w:top w:val="nil"/>
              <w:left w:val="nil"/>
              <w:bottom w:val="single" w:sz="8" w:space="0" w:color="auto"/>
              <w:right w:val="single" w:sz="8" w:space="0" w:color="auto"/>
            </w:tcBorders>
            <w:noWrap/>
            <w:hideMark/>
          </w:tcPr>
          <w:p w14:paraId="35E4D04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-18 856</w:t>
            </w:r>
          </w:p>
        </w:tc>
      </w:tr>
      <w:tr w:rsidR="00961262" w:rsidRPr="00961262" w14:paraId="112E7AE8" w14:textId="77777777" w:rsidTr="0052209F">
        <w:trPr>
          <w:trHeight w:val="324"/>
        </w:trPr>
        <w:tc>
          <w:tcPr>
            <w:tcW w:w="1187" w:type="dxa"/>
            <w:tcBorders>
              <w:top w:val="nil"/>
              <w:left w:val="single" w:sz="8" w:space="0" w:color="auto"/>
              <w:bottom w:val="single" w:sz="8" w:space="0" w:color="auto"/>
              <w:right w:val="single" w:sz="8" w:space="0" w:color="auto"/>
            </w:tcBorders>
            <w:noWrap/>
            <w:hideMark/>
          </w:tcPr>
          <w:p w14:paraId="5D4A9355" w14:textId="77777777" w:rsidR="00961262" w:rsidRPr="00961262" w:rsidRDefault="00961262" w:rsidP="00961262">
            <w:pPr>
              <w:spacing w:after="0"/>
              <w:ind w:firstLine="0"/>
              <w:jc w:val="right"/>
              <w:rPr>
                <w:rFonts w:eastAsia="Times New Roman" w:cs="Times New Roman"/>
                <w:color w:val="000000"/>
                <w:sz w:val="18"/>
                <w:szCs w:val="18"/>
              </w:rPr>
            </w:pPr>
            <w:r w:rsidRPr="00961262">
              <w:rPr>
                <w:rFonts w:eastAsia="Calibri" w:cs="Times New Roman"/>
                <w:sz w:val="18"/>
                <w:szCs w:val="18"/>
                <w:lang w:eastAsia="en-US"/>
              </w:rPr>
              <w:t>85</w:t>
            </w:r>
          </w:p>
        </w:tc>
        <w:tc>
          <w:tcPr>
            <w:tcW w:w="6600" w:type="dxa"/>
            <w:tcBorders>
              <w:top w:val="nil"/>
              <w:left w:val="nil"/>
              <w:bottom w:val="single" w:sz="8" w:space="0" w:color="auto"/>
              <w:right w:val="single" w:sz="8" w:space="0" w:color="auto"/>
            </w:tcBorders>
            <w:noWrap/>
            <w:hideMark/>
          </w:tcPr>
          <w:p w14:paraId="1103109A" w14:textId="77777777" w:rsidR="00961262" w:rsidRPr="00961262" w:rsidRDefault="00961262" w:rsidP="00961262">
            <w:pPr>
              <w:spacing w:after="0"/>
              <w:ind w:firstLine="0"/>
              <w:jc w:val="left"/>
              <w:rPr>
                <w:rFonts w:eastAsia="Times New Roman" w:cs="Times New Roman"/>
                <w:color w:val="000000"/>
                <w:sz w:val="18"/>
                <w:szCs w:val="18"/>
              </w:rPr>
            </w:pPr>
            <w:r w:rsidRPr="00961262">
              <w:rPr>
                <w:rFonts w:eastAsia="Calibri" w:cs="Times New Roman"/>
                <w:sz w:val="18"/>
                <w:szCs w:val="18"/>
                <w:lang w:eastAsia="en-US"/>
              </w:rPr>
              <w:t>SIA "Olimpiskais centrs "Ventspils""</w:t>
            </w:r>
          </w:p>
        </w:tc>
        <w:tc>
          <w:tcPr>
            <w:tcW w:w="2121" w:type="dxa"/>
            <w:tcBorders>
              <w:top w:val="nil"/>
              <w:left w:val="nil"/>
              <w:bottom w:val="single" w:sz="8" w:space="0" w:color="auto"/>
              <w:right w:val="single" w:sz="8" w:space="0" w:color="auto"/>
            </w:tcBorders>
            <w:noWrap/>
            <w:hideMark/>
          </w:tcPr>
          <w:p w14:paraId="3DA0ACED"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4 584 147</w:t>
            </w:r>
          </w:p>
        </w:tc>
        <w:tc>
          <w:tcPr>
            <w:tcW w:w="2121" w:type="dxa"/>
            <w:tcBorders>
              <w:top w:val="nil"/>
              <w:left w:val="nil"/>
              <w:bottom w:val="single" w:sz="8" w:space="0" w:color="auto"/>
              <w:right w:val="single" w:sz="8" w:space="0" w:color="auto"/>
            </w:tcBorders>
            <w:noWrap/>
            <w:hideMark/>
          </w:tcPr>
          <w:p w14:paraId="5816D6C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4 554 100</w:t>
            </w:r>
          </w:p>
        </w:tc>
        <w:tc>
          <w:tcPr>
            <w:tcW w:w="2177" w:type="dxa"/>
            <w:tcBorders>
              <w:top w:val="nil"/>
              <w:left w:val="nil"/>
              <w:bottom w:val="single" w:sz="8" w:space="0" w:color="auto"/>
              <w:right w:val="single" w:sz="8" w:space="0" w:color="auto"/>
            </w:tcBorders>
            <w:noWrap/>
            <w:hideMark/>
          </w:tcPr>
          <w:p w14:paraId="7F3AE34A"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30 047</w:t>
            </w:r>
          </w:p>
        </w:tc>
      </w:tr>
      <w:tr w:rsidR="00961262" w:rsidRPr="00961262" w14:paraId="39E4E3C3"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tcPr>
          <w:p w14:paraId="3F2DD4D9"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Times New Roman" w:cs="Times New Roman"/>
                <w:color w:val="000000"/>
                <w:sz w:val="18"/>
                <w:szCs w:val="18"/>
              </w:rPr>
              <w:t>86</w:t>
            </w:r>
          </w:p>
        </w:tc>
        <w:tc>
          <w:tcPr>
            <w:tcW w:w="6600" w:type="dxa"/>
            <w:tcBorders>
              <w:top w:val="nil"/>
              <w:left w:val="nil"/>
              <w:bottom w:val="single" w:sz="8" w:space="0" w:color="auto"/>
              <w:right w:val="single" w:sz="8" w:space="0" w:color="auto"/>
            </w:tcBorders>
            <w:noWrap/>
          </w:tcPr>
          <w:p w14:paraId="5C4B5602"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"Vidzemes slimnīca"</w:t>
            </w:r>
          </w:p>
        </w:tc>
        <w:tc>
          <w:tcPr>
            <w:tcW w:w="2121" w:type="dxa"/>
            <w:tcBorders>
              <w:top w:val="nil"/>
              <w:left w:val="nil"/>
              <w:bottom w:val="single" w:sz="8" w:space="0" w:color="auto"/>
              <w:right w:val="single" w:sz="8" w:space="0" w:color="auto"/>
            </w:tcBorders>
            <w:noWrap/>
          </w:tcPr>
          <w:p w14:paraId="512F6803"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32 950 503</w:t>
            </w:r>
          </w:p>
        </w:tc>
        <w:tc>
          <w:tcPr>
            <w:tcW w:w="2121" w:type="dxa"/>
            <w:tcBorders>
              <w:top w:val="nil"/>
              <w:left w:val="nil"/>
              <w:bottom w:val="single" w:sz="8" w:space="0" w:color="auto"/>
              <w:right w:val="single" w:sz="8" w:space="0" w:color="auto"/>
            </w:tcBorders>
            <w:noWrap/>
          </w:tcPr>
          <w:p w14:paraId="22B61A67"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32 365 982</w:t>
            </w:r>
          </w:p>
        </w:tc>
        <w:tc>
          <w:tcPr>
            <w:tcW w:w="2177" w:type="dxa"/>
            <w:tcBorders>
              <w:top w:val="nil"/>
              <w:left w:val="nil"/>
              <w:bottom w:val="single" w:sz="8" w:space="0" w:color="auto"/>
              <w:right w:val="single" w:sz="8" w:space="0" w:color="auto"/>
            </w:tcBorders>
            <w:noWrap/>
          </w:tcPr>
          <w:p w14:paraId="3F1F96B1"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584 521</w:t>
            </w:r>
          </w:p>
        </w:tc>
      </w:tr>
      <w:tr w:rsidR="00961262" w:rsidRPr="00961262" w14:paraId="72E461AA" w14:textId="77777777" w:rsidTr="0052209F">
        <w:trPr>
          <w:trHeight w:val="324"/>
        </w:trPr>
        <w:tc>
          <w:tcPr>
            <w:tcW w:w="1187" w:type="dxa"/>
            <w:tcBorders>
              <w:top w:val="nil"/>
              <w:left w:val="single" w:sz="8" w:space="0" w:color="auto"/>
              <w:bottom w:val="single" w:sz="8" w:space="0" w:color="auto"/>
              <w:right w:val="single" w:sz="8" w:space="0" w:color="auto"/>
            </w:tcBorders>
            <w:noWrap/>
            <w:vAlign w:val="center"/>
          </w:tcPr>
          <w:p w14:paraId="1D02730E"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Times New Roman" w:cs="Times New Roman"/>
                <w:color w:val="000000"/>
                <w:sz w:val="18"/>
                <w:szCs w:val="18"/>
              </w:rPr>
              <w:t>87</w:t>
            </w:r>
          </w:p>
        </w:tc>
        <w:tc>
          <w:tcPr>
            <w:tcW w:w="6600" w:type="dxa"/>
            <w:tcBorders>
              <w:top w:val="nil"/>
              <w:left w:val="nil"/>
              <w:bottom w:val="single" w:sz="8" w:space="0" w:color="auto"/>
              <w:right w:val="single" w:sz="8" w:space="0" w:color="auto"/>
            </w:tcBorders>
            <w:noWrap/>
          </w:tcPr>
          <w:p w14:paraId="020490F1" w14:textId="77777777" w:rsidR="00961262" w:rsidRPr="00961262" w:rsidRDefault="00961262" w:rsidP="00961262">
            <w:pPr>
              <w:spacing w:after="0"/>
              <w:ind w:firstLine="0"/>
              <w:jc w:val="left"/>
              <w:rPr>
                <w:rFonts w:eastAsia="Calibri" w:cs="Times New Roman"/>
                <w:sz w:val="18"/>
                <w:szCs w:val="18"/>
                <w:lang w:eastAsia="en-US"/>
              </w:rPr>
            </w:pPr>
            <w:r w:rsidRPr="00961262">
              <w:rPr>
                <w:rFonts w:eastAsia="Calibri" w:cs="Times New Roman"/>
                <w:sz w:val="18"/>
                <w:szCs w:val="18"/>
                <w:lang w:eastAsia="en-US"/>
              </w:rPr>
              <w:t>SIA "Ziemeļkurzemes reģionālā slimnīca"</w:t>
            </w:r>
          </w:p>
        </w:tc>
        <w:tc>
          <w:tcPr>
            <w:tcW w:w="2121" w:type="dxa"/>
            <w:tcBorders>
              <w:top w:val="nil"/>
              <w:left w:val="nil"/>
              <w:bottom w:val="single" w:sz="8" w:space="0" w:color="auto"/>
              <w:right w:val="single" w:sz="8" w:space="0" w:color="auto"/>
            </w:tcBorders>
            <w:noWrap/>
          </w:tcPr>
          <w:p w14:paraId="04393184"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32 708 570</w:t>
            </w:r>
          </w:p>
        </w:tc>
        <w:tc>
          <w:tcPr>
            <w:tcW w:w="2121" w:type="dxa"/>
            <w:tcBorders>
              <w:top w:val="nil"/>
              <w:left w:val="nil"/>
              <w:bottom w:val="single" w:sz="8" w:space="0" w:color="auto"/>
              <w:right w:val="single" w:sz="8" w:space="0" w:color="auto"/>
            </w:tcBorders>
            <w:noWrap/>
          </w:tcPr>
          <w:p w14:paraId="212D3EC5"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32 212 098</w:t>
            </w:r>
          </w:p>
        </w:tc>
        <w:tc>
          <w:tcPr>
            <w:tcW w:w="2177" w:type="dxa"/>
            <w:tcBorders>
              <w:top w:val="nil"/>
              <w:left w:val="nil"/>
              <w:bottom w:val="single" w:sz="8" w:space="0" w:color="auto"/>
              <w:right w:val="single" w:sz="8" w:space="0" w:color="auto"/>
            </w:tcBorders>
            <w:noWrap/>
          </w:tcPr>
          <w:p w14:paraId="5FCDBD4F" w14:textId="77777777" w:rsidR="00961262" w:rsidRPr="00961262" w:rsidRDefault="00961262" w:rsidP="00961262">
            <w:pPr>
              <w:spacing w:after="0"/>
              <w:ind w:firstLine="0"/>
              <w:jc w:val="right"/>
              <w:rPr>
                <w:rFonts w:eastAsia="Calibri" w:cs="Times New Roman"/>
                <w:sz w:val="18"/>
                <w:szCs w:val="18"/>
                <w:lang w:eastAsia="en-US"/>
              </w:rPr>
            </w:pPr>
            <w:r w:rsidRPr="00961262">
              <w:rPr>
                <w:rFonts w:eastAsia="Calibri" w:cs="Times New Roman"/>
                <w:sz w:val="18"/>
                <w:szCs w:val="18"/>
                <w:lang w:eastAsia="en-US"/>
              </w:rPr>
              <w:t>496 472</w:t>
            </w:r>
          </w:p>
        </w:tc>
      </w:tr>
      <w:tr w:rsidR="00961262" w:rsidRPr="00961262" w14:paraId="5E062D6D" w14:textId="77777777" w:rsidTr="0052209F">
        <w:trPr>
          <w:trHeight w:val="468"/>
        </w:trPr>
        <w:tc>
          <w:tcPr>
            <w:tcW w:w="14206" w:type="dxa"/>
            <w:gridSpan w:val="5"/>
            <w:tcBorders>
              <w:top w:val="single" w:sz="8" w:space="0" w:color="auto"/>
              <w:left w:val="single" w:sz="8" w:space="0" w:color="auto"/>
              <w:bottom w:val="nil"/>
              <w:right w:val="single" w:sz="8" w:space="0" w:color="000000"/>
            </w:tcBorders>
            <w:noWrap/>
            <w:hideMark/>
          </w:tcPr>
          <w:p w14:paraId="3E83B6BC" w14:textId="77777777" w:rsidR="00961262" w:rsidRPr="00961262" w:rsidRDefault="00961262" w:rsidP="00961262">
            <w:pPr>
              <w:spacing w:after="0"/>
              <w:ind w:firstLine="0"/>
              <w:rPr>
                <w:rFonts w:eastAsia="Times New Roman" w:cs="Times New Roman"/>
                <w:color w:val="000000"/>
                <w:sz w:val="18"/>
                <w:szCs w:val="18"/>
                <w:highlight w:val="yellow"/>
              </w:rPr>
            </w:pPr>
            <w:r w:rsidRPr="00961262">
              <w:rPr>
                <w:rFonts w:eastAsia="Times New Roman" w:cs="Times New Roman"/>
                <w:color w:val="000000"/>
                <w:sz w:val="18"/>
                <w:szCs w:val="18"/>
              </w:rPr>
              <w:t>Prognozes izstrādātas atbilstoši 2025. gada jūnijā-jūlijā FM iesniegtajai informācijai par visu centrālās valdības komersantu (61) un fiskāli nozīmīgu vietējās valdības (pašvaldību) komersantu (26) prognozēto saimniecisko un finanšu darbību, kā arī ņemot vērā tieši saistītos MK lēmumus 2025. gada septembrī.</w:t>
            </w:r>
          </w:p>
        </w:tc>
      </w:tr>
      <w:tr w:rsidR="00961262" w:rsidRPr="00961262" w14:paraId="408D0DCC" w14:textId="77777777" w:rsidTr="0052209F">
        <w:trPr>
          <w:trHeight w:val="492"/>
        </w:trPr>
        <w:tc>
          <w:tcPr>
            <w:tcW w:w="14206" w:type="dxa"/>
            <w:gridSpan w:val="5"/>
            <w:tcBorders>
              <w:top w:val="nil"/>
              <w:left w:val="single" w:sz="8" w:space="0" w:color="auto"/>
              <w:bottom w:val="single" w:sz="8" w:space="0" w:color="auto"/>
              <w:right w:val="single" w:sz="8" w:space="0" w:color="000000"/>
            </w:tcBorders>
            <w:noWrap/>
            <w:hideMark/>
          </w:tcPr>
          <w:p w14:paraId="2E09945A" w14:textId="77777777" w:rsidR="00961262" w:rsidRPr="00961262" w:rsidRDefault="00961262" w:rsidP="00961262">
            <w:pPr>
              <w:spacing w:after="0"/>
              <w:ind w:firstLine="0"/>
              <w:rPr>
                <w:rFonts w:eastAsia="Times New Roman" w:cs="Times New Roman"/>
                <w:color w:val="000000"/>
                <w:sz w:val="18"/>
                <w:szCs w:val="18"/>
                <w:highlight w:val="yellow"/>
              </w:rPr>
            </w:pPr>
            <w:r w:rsidRPr="00961262">
              <w:rPr>
                <w:rFonts w:eastAsia="Times New Roman" w:cs="Times New Roman"/>
                <w:color w:val="000000"/>
                <w:sz w:val="18"/>
                <w:szCs w:val="18"/>
              </w:rPr>
              <w:t xml:space="preserve">Vispārējās valdības budžeta pieklasificēto kapitālsabiedrību ietekme uz B.9 neto aizdevumiem (+)/neto aizņēmumiem (-), kas iekļauta vispārējās valdības budžeta prognozēs 2028. gadā ir -30 884 155 </w:t>
            </w:r>
            <w:r w:rsidRPr="00961262">
              <w:rPr>
                <w:rFonts w:eastAsia="Times New Roman" w:cs="Times New Roman"/>
                <w:i/>
                <w:iCs/>
                <w:color w:val="000000"/>
                <w:sz w:val="18"/>
                <w:szCs w:val="18"/>
              </w:rPr>
              <w:t>euro</w:t>
            </w:r>
            <w:r w:rsidRPr="00961262">
              <w:rPr>
                <w:rFonts w:eastAsia="Times New Roman" w:cs="Times New Roman"/>
                <w:color w:val="000000"/>
                <w:sz w:val="18"/>
                <w:szCs w:val="18"/>
              </w:rPr>
              <w:t xml:space="preserve">. </w:t>
            </w:r>
          </w:p>
        </w:tc>
      </w:tr>
    </w:tbl>
    <w:p w14:paraId="067C2940" w14:textId="631A2290" w:rsidR="00407269" w:rsidRPr="00D8017D" w:rsidRDefault="00830FA2" w:rsidP="008349F0">
      <w:pPr>
        <w:spacing w:after="0"/>
        <w:ind w:firstLine="0"/>
        <w:jc w:val="left"/>
        <w:rPr>
          <w:i/>
          <w:sz w:val="20"/>
          <w:szCs w:val="24"/>
          <w:highlight w:val="lightGray"/>
        </w:rPr>
      </w:pPr>
      <w:r w:rsidRPr="00961262">
        <w:rPr>
          <w:i/>
          <w:sz w:val="20"/>
          <w:szCs w:val="24"/>
        </w:rPr>
        <w:t>Datu avots: FM</w:t>
      </w:r>
      <w:r w:rsidR="000C5890" w:rsidRPr="00D8017D">
        <w:rPr>
          <w:i/>
          <w:sz w:val="20"/>
          <w:szCs w:val="24"/>
          <w:highlight w:val="lightGray"/>
        </w:rPr>
        <w:br w:type="page"/>
      </w:r>
    </w:p>
    <w:p w14:paraId="0A7B5233" w14:textId="77777777" w:rsidR="002C253E" w:rsidRPr="00D8017D" w:rsidRDefault="002C253E" w:rsidP="008349F0">
      <w:pPr>
        <w:widowControl w:val="0"/>
        <w:spacing w:after="0"/>
        <w:jc w:val="right"/>
        <w:rPr>
          <w:rFonts w:eastAsia="Times New Roman" w:cs="Times New Roman"/>
          <w:color w:val="000000"/>
          <w:highlight w:val="lightGray"/>
        </w:rPr>
      </w:pPr>
    </w:p>
    <w:p w14:paraId="5304D900" w14:textId="3AB81E16" w:rsidR="004C6650" w:rsidRPr="004C6650" w:rsidRDefault="004C6650" w:rsidP="004C6650">
      <w:pPr>
        <w:widowControl w:val="0"/>
        <w:jc w:val="right"/>
        <w:rPr>
          <w:rFonts w:eastAsia="Times New Roman" w:cs="Times New Roman"/>
          <w:color w:val="000000"/>
        </w:rPr>
      </w:pPr>
      <w:r>
        <w:rPr>
          <w:rFonts w:eastAsia="Times New Roman" w:cs="Times New Roman"/>
          <w:color w:val="000000"/>
        </w:rPr>
        <w:t>3</w:t>
      </w:r>
      <w:r w:rsidRPr="004C6650">
        <w:rPr>
          <w:rFonts w:eastAsia="Times New Roman" w:cs="Times New Roman"/>
          <w:color w:val="000000"/>
        </w:rPr>
        <w:t>. pielikums</w:t>
      </w:r>
    </w:p>
    <w:p w14:paraId="7C05BCD9" w14:textId="77777777" w:rsidR="004C6650" w:rsidRPr="004C6650" w:rsidRDefault="004C6650" w:rsidP="004C6650">
      <w:pPr>
        <w:widowControl w:val="0"/>
        <w:ind w:left="675"/>
        <w:contextualSpacing/>
        <w:jc w:val="right"/>
        <w:rPr>
          <w:b/>
          <w:szCs w:val="24"/>
        </w:rPr>
      </w:pPr>
      <w:r w:rsidRPr="004C6650">
        <w:rPr>
          <w:b/>
          <w:szCs w:val="24"/>
        </w:rPr>
        <w:t>Vispārējās valdības sektorā iekļauto kapitālsabiedrību prognozētā ietekme uz vispārējās valdības parādu 2026., 2027. un 2028. gadā*</w:t>
      </w:r>
    </w:p>
    <w:tbl>
      <w:tblPr>
        <w:tblW w:w="14121" w:type="dxa"/>
        <w:tblLook w:val="04A0" w:firstRow="1" w:lastRow="0" w:firstColumn="1" w:lastColumn="0" w:noHBand="0" w:noVBand="1"/>
      </w:tblPr>
      <w:tblGrid>
        <w:gridCol w:w="1283"/>
        <w:gridCol w:w="8212"/>
        <w:gridCol w:w="1792"/>
        <w:gridCol w:w="1417"/>
        <w:gridCol w:w="1417"/>
      </w:tblGrid>
      <w:tr w:rsidR="004C6650" w:rsidRPr="004C6650" w14:paraId="3D5CFBEE" w14:textId="77777777" w:rsidTr="0052209F">
        <w:trPr>
          <w:trHeight w:val="373"/>
        </w:trPr>
        <w:tc>
          <w:tcPr>
            <w:tcW w:w="1283" w:type="dxa"/>
            <w:tcBorders>
              <w:top w:val="nil"/>
              <w:left w:val="nil"/>
              <w:bottom w:val="nil"/>
              <w:right w:val="nil"/>
            </w:tcBorders>
            <w:noWrap/>
            <w:vAlign w:val="bottom"/>
            <w:hideMark/>
          </w:tcPr>
          <w:p w14:paraId="032AC799" w14:textId="77777777" w:rsidR="004C6650" w:rsidRPr="004C6650" w:rsidRDefault="004C6650" w:rsidP="004C6650">
            <w:pPr>
              <w:spacing w:after="0"/>
              <w:ind w:firstLine="0"/>
              <w:jc w:val="left"/>
              <w:rPr>
                <w:rFonts w:eastAsia="Times New Roman" w:cs="Times New Roman"/>
                <w:sz w:val="20"/>
                <w:szCs w:val="24"/>
              </w:rPr>
            </w:pPr>
          </w:p>
        </w:tc>
        <w:tc>
          <w:tcPr>
            <w:tcW w:w="8212" w:type="dxa"/>
            <w:tcBorders>
              <w:top w:val="nil"/>
              <w:left w:val="nil"/>
              <w:bottom w:val="nil"/>
              <w:right w:val="nil"/>
            </w:tcBorders>
            <w:noWrap/>
            <w:vAlign w:val="bottom"/>
            <w:hideMark/>
          </w:tcPr>
          <w:p w14:paraId="1B37E850" w14:textId="77777777" w:rsidR="004C6650" w:rsidRPr="004C6650" w:rsidRDefault="004C6650" w:rsidP="004C6650">
            <w:pPr>
              <w:spacing w:after="0"/>
              <w:ind w:firstLine="0"/>
              <w:jc w:val="center"/>
              <w:rPr>
                <w:rFonts w:eastAsia="Times New Roman" w:cs="Times New Roman"/>
                <w:sz w:val="20"/>
                <w:szCs w:val="20"/>
              </w:rPr>
            </w:pPr>
          </w:p>
        </w:tc>
        <w:tc>
          <w:tcPr>
            <w:tcW w:w="1792" w:type="dxa"/>
            <w:tcBorders>
              <w:top w:val="nil"/>
              <w:left w:val="nil"/>
              <w:bottom w:val="nil"/>
              <w:right w:val="nil"/>
            </w:tcBorders>
            <w:noWrap/>
            <w:vAlign w:val="bottom"/>
            <w:hideMark/>
          </w:tcPr>
          <w:p w14:paraId="4AD81397" w14:textId="77777777" w:rsidR="004C6650" w:rsidRPr="004C6650" w:rsidRDefault="004C6650" w:rsidP="004C6650">
            <w:pPr>
              <w:spacing w:after="0"/>
              <w:ind w:firstLine="0"/>
              <w:jc w:val="right"/>
              <w:rPr>
                <w:rFonts w:eastAsia="Times New Roman" w:cs="Times New Roman"/>
                <w:sz w:val="20"/>
                <w:szCs w:val="20"/>
              </w:rPr>
            </w:pPr>
          </w:p>
        </w:tc>
        <w:tc>
          <w:tcPr>
            <w:tcW w:w="1417" w:type="dxa"/>
            <w:tcBorders>
              <w:top w:val="nil"/>
              <w:left w:val="nil"/>
              <w:bottom w:val="nil"/>
              <w:right w:val="nil"/>
            </w:tcBorders>
            <w:noWrap/>
            <w:vAlign w:val="bottom"/>
            <w:hideMark/>
          </w:tcPr>
          <w:p w14:paraId="5E74601F" w14:textId="77777777" w:rsidR="004C6650" w:rsidRPr="004C6650" w:rsidRDefault="004C6650" w:rsidP="004C6650">
            <w:pPr>
              <w:spacing w:after="0"/>
              <w:ind w:firstLine="0"/>
              <w:jc w:val="left"/>
              <w:rPr>
                <w:rFonts w:eastAsia="Times New Roman" w:cs="Times New Roman"/>
                <w:sz w:val="20"/>
                <w:szCs w:val="20"/>
              </w:rPr>
            </w:pPr>
          </w:p>
        </w:tc>
        <w:tc>
          <w:tcPr>
            <w:tcW w:w="1417" w:type="dxa"/>
            <w:tcBorders>
              <w:top w:val="nil"/>
              <w:left w:val="nil"/>
              <w:bottom w:val="nil"/>
              <w:right w:val="nil"/>
            </w:tcBorders>
            <w:noWrap/>
            <w:vAlign w:val="bottom"/>
            <w:hideMark/>
          </w:tcPr>
          <w:p w14:paraId="31985E0E" w14:textId="77777777" w:rsidR="004C6650" w:rsidRPr="004C6650" w:rsidRDefault="004C6650" w:rsidP="004C6650">
            <w:pPr>
              <w:spacing w:after="0"/>
              <w:ind w:firstLine="0"/>
              <w:jc w:val="right"/>
              <w:rPr>
                <w:rFonts w:eastAsia="Times New Roman" w:cs="Times New Roman"/>
                <w:i/>
                <w:iCs/>
                <w:color w:val="000000"/>
                <w:sz w:val="18"/>
                <w:szCs w:val="18"/>
              </w:rPr>
            </w:pPr>
            <w:r w:rsidRPr="004C6650">
              <w:rPr>
                <w:rFonts w:eastAsia="Times New Roman" w:cs="Times New Roman"/>
                <w:i/>
                <w:iCs/>
                <w:color w:val="000000"/>
                <w:sz w:val="18"/>
                <w:szCs w:val="18"/>
              </w:rPr>
              <w:t>milj. euro</w:t>
            </w:r>
          </w:p>
        </w:tc>
      </w:tr>
      <w:tr w:rsidR="004C6650" w:rsidRPr="004C6650" w14:paraId="0CED8BB2" w14:textId="77777777" w:rsidTr="0052209F">
        <w:trPr>
          <w:trHeight w:val="107"/>
        </w:trPr>
        <w:tc>
          <w:tcPr>
            <w:tcW w:w="1283"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bottom"/>
            <w:hideMark/>
          </w:tcPr>
          <w:p w14:paraId="33399FD2" w14:textId="77777777" w:rsidR="004C6650" w:rsidRPr="004C6650" w:rsidRDefault="004C6650" w:rsidP="004C6650">
            <w:pPr>
              <w:spacing w:after="0"/>
              <w:ind w:firstLine="0"/>
              <w:jc w:val="center"/>
              <w:rPr>
                <w:rFonts w:eastAsia="Times New Roman" w:cs="Times New Roman"/>
                <w:color w:val="000000"/>
                <w:sz w:val="18"/>
                <w:szCs w:val="18"/>
              </w:rPr>
            </w:pPr>
            <w:r w:rsidRPr="004C6650">
              <w:rPr>
                <w:rFonts w:eastAsia="Times New Roman" w:cs="Times New Roman"/>
                <w:color w:val="000000"/>
                <w:sz w:val="18"/>
                <w:szCs w:val="18"/>
              </w:rPr>
              <w:t> </w:t>
            </w:r>
          </w:p>
        </w:tc>
        <w:tc>
          <w:tcPr>
            <w:tcW w:w="8212"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44B50445"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eastAsia="Times New Roman" w:cs="Times New Roman"/>
                <w:color w:val="000000"/>
                <w:sz w:val="18"/>
                <w:szCs w:val="18"/>
              </w:rPr>
              <w:t> </w:t>
            </w:r>
          </w:p>
        </w:tc>
        <w:tc>
          <w:tcPr>
            <w:tcW w:w="1792"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6F71A1C2" w14:textId="77777777" w:rsidR="004C6650" w:rsidRPr="004C6650" w:rsidRDefault="004C6650" w:rsidP="004C6650">
            <w:pPr>
              <w:spacing w:after="0"/>
              <w:ind w:firstLine="0"/>
              <w:jc w:val="right"/>
              <w:rPr>
                <w:rFonts w:eastAsia="Times New Roman" w:cs="Times New Roman"/>
                <w:b/>
                <w:bCs/>
                <w:color w:val="000000"/>
                <w:sz w:val="18"/>
                <w:szCs w:val="18"/>
              </w:rPr>
            </w:pPr>
            <w:r w:rsidRPr="004C6650">
              <w:rPr>
                <w:rFonts w:eastAsia="Times New Roman" w:cs="Times New Roman"/>
                <w:b/>
                <w:bCs/>
                <w:color w:val="000000"/>
                <w:sz w:val="18"/>
                <w:szCs w:val="18"/>
              </w:rPr>
              <w:t>2026</w:t>
            </w:r>
          </w:p>
        </w:tc>
        <w:tc>
          <w:tcPr>
            <w:tcW w:w="1417"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75576F62" w14:textId="77777777" w:rsidR="004C6650" w:rsidRPr="004C6650" w:rsidRDefault="004C6650" w:rsidP="004C6650">
            <w:pPr>
              <w:spacing w:after="0"/>
              <w:ind w:firstLine="0"/>
              <w:jc w:val="right"/>
              <w:rPr>
                <w:rFonts w:eastAsia="Times New Roman" w:cs="Times New Roman"/>
                <w:b/>
                <w:color w:val="000000"/>
                <w:sz w:val="18"/>
                <w:szCs w:val="18"/>
              </w:rPr>
            </w:pPr>
            <w:r w:rsidRPr="004C6650">
              <w:rPr>
                <w:rFonts w:eastAsia="Times New Roman" w:cs="Times New Roman"/>
                <w:b/>
                <w:color w:val="000000"/>
                <w:sz w:val="18"/>
                <w:szCs w:val="18"/>
              </w:rPr>
              <w:t>2027</w:t>
            </w:r>
          </w:p>
        </w:tc>
        <w:tc>
          <w:tcPr>
            <w:tcW w:w="1417" w:type="dxa"/>
            <w:tcBorders>
              <w:top w:val="single" w:sz="4" w:space="0" w:color="auto"/>
              <w:left w:val="nil"/>
              <w:bottom w:val="single" w:sz="4" w:space="0" w:color="auto"/>
              <w:right w:val="single" w:sz="4" w:space="0" w:color="auto"/>
            </w:tcBorders>
            <w:shd w:val="clear" w:color="auto" w:fill="9CC2E5" w:themeFill="accent1" w:themeFillTint="99"/>
            <w:noWrap/>
            <w:vAlign w:val="bottom"/>
            <w:hideMark/>
          </w:tcPr>
          <w:p w14:paraId="3658EFA0" w14:textId="77777777" w:rsidR="004C6650" w:rsidRPr="004C6650" w:rsidRDefault="004C6650" w:rsidP="004C6650">
            <w:pPr>
              <w:spacing w:after="0"/>
              <w:ind w:firstLine="0"/>
              <w:jc w:val="right"/>
              <w:rPr>
                <w:rFonts w:eastAsia="Times New Roman" w:cs="Times New Roman"/>
                <w:b/>
                <w:color w:val="000000"/>
                <w:sz w:val="18"/>
                <w:szCs w:val="18"/>
              </w:rPr>
            </w:pPr>
            <w:r w:rsidRPr="004C6650">
              <w:rPr>
                <w:rFonts w:eastAsia="Times New Roman" w:cs="Times New Roman"/>
                <w:b/>
                <w:color w:val="000000"/>
                <w:sz w:val="18"/>
                <w:szCs w:val="18"/>
              </w:rPr>
              <w:t>2028</w:t>
            </w:r>
          </w:p>
        </w:tc>
      </w:tr>
      <w:tr w:rsidR="004C6650" w:rsidRPr="004C6650" w14:paraId="1782CE26" w14:textId="77777777" w:rsidTr="0052209F">
        <w:trPr>
          <w:trHeight w:val="231"/>
        </w:trPr>
        <w:tc>
          <w:tcPr>
            <w:tcW w:w="1283" w:type="dxa"/>
            <w:tcBorders>
              <w:top w:val="nil"/>
              <w:left w:val="single" w:sz="4" w:space="0" w:color="auto"/>
              <w:bottom w:val="single" w:sz="4" w:space="0" w:color="auto"/>
              <w:right w:val="single" w:sz="4" w:space="0" w:color="auto"/>
            </w:tcBorders>
            <w:shd w:val="clear" w:color="auto" w:fill="DEEAF6" w:themeFill="accent1" w:themeFillTint="33"/>
            <w:noWrap/>
            <w:vAlign w:val="bottom"/>
            <w:hideMark/>
          </w:tcPr>
          <w:p w14:paraId="1014D27B" w14:textId="77777777" w:rsidR="004C6650" w:rsidRPr="004C6650" w:rsidRDefault="004C6650" w:rsidP="004C6650">
            <w:pPr>
              <w:spacing w:after="0"/>
              <w:ind w:firstLine="0"/>
              <w:jc w:val="center"/>
              <w:rPr>
                <w:rFonts w:eastAsia="Times New Roman" w:cs="Times New Roman"/>
                <w:color w:val="000000"/>
                <w:sz w:val="18"/>
                <w:szCs w:val="18"/>
              </w:rPr>
            </w:pPr>
            <w:r w:rsidRPr="004C6650">
              <w:rPr>
                <w:rFonts w:eastAsia="Times New Roman" w:cs="Times New Roman"/>
                <w:color w:val="000000"/>
                <w:sz w:val="18"/>
                <w:szCs w:val="18"/>
              </w:rPr>
              <w:t>Klasifikācijas kods</w:t>
            </w:r>
          </w:p>
        </w:tc>
        <w:tc>
          <w:tcPr>
            <w:tcW w:w="8212" w:type="dxa"/>
            <w:tcBorders>
              <w:top w:val="nil"/>
              <w:left w:val="nil"/>
              <w:bottom w:val="single" w:sz="4" w:space="0" w:color="auto"/>
              <w:right w:val="single" w:sz="4" w:space="0" w:color="auto"/>
            </w:tcBorders>
            <w:shd w:val="clear" w:color="auto" w:fill="DEEAF6" w:themeFill="accent1" w:themeFillTint="33"/>
            <w:vAlign w:val="center"/>
            <w:hideMark/>
          </w:tcPr>
          <w:p w14:paraId="09DB6F9C" w14:textId="77777777" w:rsidR="004C6650" w:rsidRPr="004C6650" w:rsidRDefault="004C6650" w:rsidP="004C6650">
            <w:pPr>
              <w:spacing w:after="0"/>
              <w:ind w:firstLine="0"/>
              <w:jc w:val="left"/>
              <w:rPr>
                <w:rFonts w:eastAsia="Times New Roman" w:cs="Times New Roman"/>
                <w:b/>
                <w:bCs/>
                <w:color w:val="000000"/>
                <w:sz w:val="18"/>
                <w:szCs w:val="18"/>
              </w:rPr>
            </w:pPr>
            <w:r w:rsidRPr="004C6650">
              <w:rPr>
                <w:rFonts w:eastAsia="Times New Roman" w:cs="Times New Roman"/>
                <w:b/>
                <w:bCs/>
                <w:color w:val="000000"/>
                <w:sz w:val="18"/>
                <w:szCs w:val="18"/>
              </w:rPr>
              <w:t>Ietekme uz vispārējās valdības parādu, kopā:</w:t>
            </w:r>
          </w:p>
        </w:tc>
        <w:tc>
          <w:tcPr>
            <w:tcW w:w="1792" w:type="dxa"/>
            <w:tcBorders>
              <w:top w:val="nil"/>
              <w:left w:val="nil"/>
              <w:bottom w:val="single" w:sz="4" w:space="0" w:color="auto"/>
              <w:right w:val="single" w:sz="4" w:space="0" w:color="auto"/>
            </w:tcBorders>
            <w:shd w:val="clear" w:color="auto" w:fill="DEEAF6" w:themeFill="accent1" w:themeFillTint="33"/>
            <w:vAlign w:val="center"/>
            <w:hideMark/>
          </w:tcPr>
          <w:p w14:paraId="42556C9E" w14:textId="77777777" w:rsidR="004C6650" w:rsidRPr="004C6650" w:rsidRDefault="004C6650" w:rsidP="004C6650">
            <w:pPr>
              <w:spacing w:after="0"/>
              <w:ind w:firstLine="0"/>
              <w:jc w:val="right"/>
              <w:rPr>
                <w:b/>
                <w:bCs/>
                <w:sz w:val="18"/>
                <w:szCs w:val="16"/>
              </w:rPr>
            </w:pPr>
            <w:r w:rsidRPr="004C6650">
              <w:rPr>
                <w:b/>
                <w:bCs/>
                <w:sz w:val="18"/>
                <w:szCs w:val="16"/>
              </w:rPr>
              <w:t>578,720</w:t>
            </w:r>
          </w:p>
        </w:tc>
        <w:tc>
          <w:tcPr>
            <w:tcW w:w="1417" w:type="dxa"/>
            <w:tcBorders>
              <w:top w:val="nil"/>
              <w:left w:val="nil"/>
              <w:bottom w:val="single" w:sz="4" w:space="0" w:color="auto"/>
              <w:right w:val="single" w:sz="4" w:space="0" w:color="auto"/>
            </w:tcBorders>
            <w:shd w:val="clear" w:color="auto" w:fill="DEEAF6" w:themeFill="accent1" w:themeFillTint="33"/>
            <w:vAlign w:val="center"/>
          </w:tcPr>
          <w:p w14:paraId="6234C509" w14:textId="77777777" w:rsidR="004C6650" w:rsidRPr="004C6650" w:rsidRDefault="004C6650" w:rsidP="004C6650">
            <w:pPr>
              <w:spacing w:after="0"/>
              <w:ind w:firstLine="0"/>
              <w:jc w:val="right"/>
              <w:rPr>
                <w:b/>
                <w:bCs/>
                <w:sz w:val="18"/>
                <w:szCs w:val="16"/>
              </w:rPr>
            </w:pPr>
            <w:r w:rsidRPr="004C6650">
              <w:rPr>
                <w:b/>
                <w:bCs/>
                <w:sz w:val="18"/>
                <w:szCs w:val="16"/>
              </w:rPr>
              <w:t>569,871</w:t>
            </w:r>
          </w:p>
        </w:tc>
        <w:tc>
          <w:tcPr>
            <w:tcW w:w="1417" w:type="dxa"/>
            <w:tcBorders>
              <w:top w:val="nil"/>
              <w:left w:val="nil"/>
              <w:bottom w:val="single" w:sz="4" w:space="0" w:color="auto"/>
              <w:right w:val="single" w:sz="4" w:space="0" w:color="auto"/>
            </w:tcBorders>
            <w:shd w:val="clear" w:color="auto" w:fill="DEEAF6" w:themeFill="accent1" w:themeFillTint="33"/>
            <w:vAlign w:val="center"/>
          </w:tcPr>
          <w:p w14:paraId="1D77C9BB" w14:textId="77777777" w:rsidR="004C6650" w:rsidRPr="004C6650" w:rsidRDefault="004C6650" w:rsidP="004C6650">
            <w:pPr>
              <w:spacing w:after="0"/>
              <w:ind w:firstLine="0"/>
              <w:jc w:val="right"/>
              <w:rPr>
                <w:b/>
                <w:bCs/>
                <w:sz w:val="18"/>
                <w:szCs w:val="16"/>
              </w:rPr>
            </w:pPr>
            <w:r w:rsidRPr="004C6650">
              <w:rPr>
                <w:b/>
                <w:bCs/>
                <w:sz w:val="18"/>
                <w:szCs w:val="16"/>
              </w:rPr>
              <w:t>592,770</w:t>
            </w:r>
          </w:p>
        </w:tc>
      </w:tr>
      <w:tr w:rsidR="004C6650" w:rsidRPr="004C6650" w14:paraId="41DF9C66" w14:textId="77777777" w:rsidTr="0052209F">
        <w:trPr>
          <w:trHeight w:val="97"/>
        </w:trPr>
        <w:tc>
          <w:tcPr>
            <w:tcW w:w="1283" w:type="dxa"/>
            <w:tcBorders>
              <w:top w:val="single" w:sz="4" w:space="0" w:color="auto"/>
              <w:left w:val="single" w:sz="4" w:space="0" w:color="auto"/>
              <w:bottom w:val="single" w:sz="4" w:space="0" w:color="auto"/>
              <w:right w:val="single" w:sz="4" w:space="0" w:color="auto"/>
            </w:tcBorders>
            <w:noWrap/>
            <w:vAlign w:val="bottom"/>
            <w:hideMark/>
          </w:tcPr>
          <w:p w14:paraId="102B38A9" w14:textId="77777777" w:rsidR="004C6650" w:rsidRPr="004C6650" w:rsidRDefault="004C6650" w:rsidP="004C6650">
            <w:pPr>
              <w:spacing w:after="0"/>
              <w:ind w:firstLine="0"/>
              <w:jc w:val="center"/>
              <w:rPr>
                <w:rFonts w:eastAsia="Times New Roman" w:cs="Times New Roman"/>
                <w:color w:val="000000"/>
                <w:sz w:val="18"/>
                <w:szCs w:val="18"/>
              </w:rPr>
            </w:pPr>
            <w:r w:rsidRPr="004C6650">
              <w:rPr>
                <w:rFonts w:eastAsia="Times New Roman" w:cs="Times New Roman"/>
                <w:color w:val="000000"/>
                <w:sz w:val="18"/>
                <w:szCs w:val="18"/>
              </w:rPr>
              <w:t>S130100</w:t>
            </w:r>
          </w:p>
        </w:tc>
        <w:tc>
          <w:tcPr>
            <w:tcW w:w="8212" w:type="dxa"/>
            <w:tcBorders>
              <w:top w:val="single" w:sz="4" w:space="0" w:color="auto"/>
              <w:left w:val="nil"/>
              <w:bottom w:val="single" w:sz="4" w:space="0" w:color="auto"/>
              <w:right w:val="single" w:sz="4" w:space="0" w:color="auto"/>
            </w:tcBorders>
            <w:noWrap/>
            <w:vAlign w:val="bottom"/>
            <w:hideMark/>
          </w:tcPr>
          <w:p w14:paraId="65296F5A"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eastAsia="Times New Roman" w:cs="Times New Roman"/>
                <w:color w:val="000000"/>
                <w:sz w:val="18"/>
                <w:szCs w:val="18"/>
              </w:rPr>
              <w:t> </w:t>
            </w:r>
          </w:p>
        </w:tc>
        <w:tc>
          <w:tcPr>
            <w:tcW w:w="1792" w:type="dxa"/>
            <w:tcBorders>
              <w:top w:val="single" w:sz="4" w:space="0" w:color="auto"/>
              <w:left w:val="nil"/>
              <w:bottom w:val="single" w:sz="4" w:space="0" w:color="auto"/>
              <w:right w:val="single" w:sz="4" w:space="0" w:color="auto"/>
            </w:tcBorders>
            <w:noWrap/>
            <w:vAlign w:val="bottom"/>
            <w:hideMark/>
          </w:tcPr>
          <w:p w14:paraId="01A1C63C"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eastAsia="Times New Roman" w:cs="Times New Roman"/>
                <w:color w:val="000000"/>
                <w:sz w:val="18"/>
                <w:szCs w:val="18"/>
              </w:rPr>
              <w:t> </w:t>
            </w:r>
          </w:p>
        </w:tc>
        <w:tc>
          <w:tcPr>
            <w:tcW w:w="1417" w:type="dxa"/>
            <w:tcBorders>
              <w:top w:val="single" w:sz="4" w:space="0" w:color="auto"/>
              <w:left w:val="nil"/>
              <w:bottom w:val="single" w:sz="4" w:space="0" w:color="auto"/>
              <w:right w:val="single" w:sz="4" w:space="0" w:color="auto"/>
            </w:tcBorders>
            <w:noWrap/>
            <w:vAlign w:val="bottom"/>
            <w:hideMark/>
          </w:tcPr>
          <w:p w14:paraId="363EACE9"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eastAsia="Times New Roman" w:cs="Times New Roman"/>
                <w:color w:val="000000"/>
                <w:sz w:val="18"/>
                <w:szCs w:val="18"/>
              </w:rPr>
              <w:t> </w:t>
            </w:r>
          </w:p>
        </w:tc>
        <w:tc>
          <w:tcPr>
            <w:tcW w:w="1417" w:type="dxa"/>
            <w:tcBorders>
              <w:top w:val="single" w:sz="4" w:space="0" w:color="auto"/>
              <w:left w:val="nil"/>
              <w:bottom w:val="single" w:sz="4" w:space="0" w:color="auto"/>
              <w:right w:val="single" w:sz="4" w:space="0" w:color="auto"/>
            </w:tcBorders>
            <w:noWrap/>
            <w:vAlign w:val="bottom"/>
            <w:hideMark/>
          </w:tcPr>
          <w:p w14:paraId="1D7C3A91"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eastAsia="Times New Roman" w:cs="Times New Roman"/>
                <w:color w:val="000000"/>
                <w:sz w:val="18"/>
                <w:szCs w:val="18"/>
              </w:rPr>
              <w:t> </w:t>
            </w:r>
          </w:p>
        </w:tc>
      </w:tr>
      <w:tr w:rsidR="004C6650" w:rsidRPr="004C6650" w14:paraId="1C983649" w14:textId="77777777" w:rsidTr="0052209F">
        <w:trPr>
          <w:trHeight w:val="170"/>
        </w:trPr>
        <w:tc>
          <w:tcPr>
            <w:tcW w:w="1283" w:type="dxa"/>
            <w:tcBorders>
              <w:top w:val="single" w:sz="4" w:space="0" w:color="auto"/>
              <w:left w:val="single" w:sz="4" w:space="0" w:color="auto"/>
              <w:bottom w:val="single" w:sz="4" w:space="0" w:color="auto"/>
              <w:right w:val="single" w:sz="4" w:space="0" w:color="auto"/>
            </w:tcBorders>
            <w:noWrap/>
          </w:tcPr>
          <w:p w14:paraId="3A7FD916" w14:textId="77777777" w:rsidR="004C6650" w:rsidRPr="004C6650" w:rsidRDefault="004C6650" w:rsidP="004C6650">
            <w:pPr>
              <w:spacing w:after="0"/>
              <w:ind w:firstLine="0"/>
              <w:jc w:val="right"/>
              <w:rPr>
                <w:rFonts w:eastAsia="Times New Roman" w:cs="Times New Roman"/>
                <w:color w:val="000000"/>
                <w:sz w:val="18"/>
                <w:szCs w:val="18"/>
                <w:highlight w:val="yellow"/>
              </w:rPr>
            </w:pPr>
            <w:r w:rsidRPr="004C6650">
              <w:rPr>
                <w:rFonts w:cs="Times New Roman"/>
                <w:sz w:val="18"/>
                <w:szCs w:val="18"/>
              </w:rPr>
              <w:t>1</w:t>
            </w:r>
          </w:p>
        </w:tc>
        <w:tc>
          <w:tcPr>
            <w:tcW w:w="8212" w:type="dxa"/>
            <w:tcBorders>
              <w:top w:val="single" w:sz="4" w:space="0" w:color="auto"/>
              <w:left w:val="nil"/>
              <w:bottom w:val="single" w:sz="4" w:space="0" w:color="auto"/>
              <w:right w:val="single" w:sz="4" w:space="0" w:color="auto"/>
            </w:tcBorders>
            <w:noWrap/>
          </w:tcPr>
          <w:p w14:paraId="55B7E746"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cs="Times New Roman"/>
                <w:sz w:val="18"/>
                <w:szCs w:val="18"/>
              </w:rPr>
              <w:t>AS "Attīstības finanšu institūcija Altum"</w:t>
            </w:r>
          </w:p>
        </w:tc>
        <w:tc>
          <w:tcPr>
            <w:tcW w:w="1792" w:type="dxa"/>
            <w:tcBorders>
              <w:top w:val="single" w:sz="4" w:space="0" w:color="auto"/>
              <w:left w:val="nil"/>
              <w:bottom w:val="single" w:sz="4" w:space="0" w:color="auto"/>
              <w:right w:val="single" w:sz="4" w:space="0" w:color="auto"/>
            </w:tcBorders>
            <w:noWrap/>
          </w:tcPr>
          <w:p w14:paraId="0B3050CF"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165,944</w:t>
            </w:r>
          </w:p>
        </w:tc>
        <w:tc>
          <w:tcPr>
            <w:tcW w:w="1417" w:type="dxa"/>
            <w:tcBorders>
              <w:top w:val="single" w:sz="4" w:space="0" w:color="auto"/>
              <w:left w:val="nil"/>
              <w:bottom w:val="single" w:sz="4" w:space="0" w:color="auto"/>
              <w:right w:val="single" w:sz="4" w:space="0" w:color="auto"/>
            </w:tcBorders>
            <w:noWrap/>
          </w:tcPr>
          <w:p w14:paraId="5798C9A6"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168,722</w:t>
            </w:r>
          </w:p>
        </w:tc>
        <w:tc>
          <w:tcPr>
            <w:tcW w:w="1417" w:type="dxa"/>
            <w:tcBorders>
              <w:top w:val="single" w:sz="4" w:space="0" w:color="auto"/>
              <w:left w:val="nil"/>
              <w:bottom w:val="single" w:sz="4" w:space="0" w:color="auto"/>
              <w:right w:val="single" w:sz="4" w:space="0" w:color="auto"/>
            </w:tcBorders>
            <w:noWrap/>
          </w:tcPr>
          <w:p w14:paraId="1B7CC4D7"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188,722</w:t>
            </w:r>
          </w:p>
        </w:tc>
      </w:tr>
      <w:tr w:rsidR="004C6650" w:rsidRPr="004C6650" w14:paraId="624F9C98" w14:textId="77777777" w:rsidTr="0052209F">
        <w:trPr>
          <w:trHeight w:val="170"/>
        </w:trPr>
        <w:tc>
          <w:tcPr>
            <w:tcW w:w="1283" w:type="dxa"/>
            <w:tcBorders>
              <w:top w:val="single" w:sz="4" w:space="0" w:color="auto"/>
              <w:left w:val="single" w:sz="4" w:space="0" w:color="auto"/>
              <w:bottom w:val="single" w:sz="4" w:space="0" w:color="auto"/>
              <w:right w:val="single" w:sz="4" w:space="0" w:color="auto"/>
            </w:tcBorders>
            <w:noWrap/>
          </w:tcPr>
          <w:p w14:paraId="1667619E"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2</w:t>
            </w:r>
          </w:p>
        </w:tc>
        <w:tc>
          <w:tcPr>
            <w:tcW w:w="8212" w:type="dxa"/>
            <w:tcBorders>
              <w:top w:val="single" w:sz="4" w:space="0" w:color="auto"/>
              <w:left w:val="nil"/>
              <w:bottom w:val="single" w:sz="4" w:space="0" w:color="auto"/>
              <w:right w:val="single" w:sz="4" w:space="0" w:color="auto"/>
            </w:tcBorders>
            <w:noWrap/>
          </w:tcPr>
          <w:p w14:paraId="1718AEBC" w14:textId="77777777" w:rsidR="004C6650" w:rsidRPr="004C6650" w:rsidRDefault="004C6650" w:rsidP="004C6650">
            <w:pPr>
              <w:spacing w:after="0"/>
              <w:ind w:firstLine="0"/>
              <w:jc w:val="left"/>
              <w:rPr>
                <w:rFonts w:cs="Times New Roman"/>
                <w:sz w:val="18"/>
                <w:szCs w:val="18"/>
              </w:rPr>
            </w:pPr>
            <w:r w:rsidRPr="004C6650">
              <w:rPr>
                <w:rFonts w:cs="Times New Roman"/>
                <w:sz w:val="18"/>
                <w:szCs w:val="18"/>
              </w:rPr>
              <w:t>VAS "Latvijas Dzelzceļš"</w:t>
            </w:r>
          </w:p>
        </w:tc>
        <w:tc>
          <w:tcPr>
            <w:tcW w:w="1792" w:type="dxa"/>
            <w:tcBorders>
              <w:top w:val="single" w:sz="4" w:space="0" w:color="auto"/>
              <w:left w:val="nil"/>
              <w:bottom w:val="single" w:sz="4" w:space="0" w:color="auto"/>
              <w:right w:val="single" w:sz="4" w:space="0" w:color="auto"/>
            </w:tcBorders>
            <w:noWrap/>
          </w:tcPr>
          <w:p w14:paraId="28F42EF3"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73,510</w:t>
            </w:r>
          </w:p>
        </w:tc>
        <w:tc>
          <w:tcPr>
            <w:tcW w:w="1417" w:type="dxa"/>
            <w:tcBorders>
              <w:top w:val="single" w:sz="4" w:space="0" w:color="auto"/>
              <w:left w:val="nil"/>
              <w:bottom w:val="single" w:sz="4" w:space="0" w:color="auto"/>
              <w:right w:val="single" w:sz="4" w:space="0" w:color="auto"/>
            </w:tcBorders>
            <w:noWrap/>
          </w:tcPr>
          <w:p w14:paraId="3AB9F326"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74,735</w:t>
            </w:r>
          </w:p>
        </w:tc>
        <w:tc>
          <w:tcPr>
            <w:tcW w:w="1417" w:type="dxa"/>
            <w:tcBorders>
              <w:top w:val="single" w:sz="4" w:space="0" w:color="auto"/>
              <w:left w:val="nil"/>
              <w:bottom w:val="single" w:sz="4" w:space="0" w:color="auto"/>
              <w:right w:val="single" w:sz="4" w:space="0" w:color="auto"/>
            </w:tcBorders>
            <w:noWrap/>
          </w:tcPr>
          <w:p w14:paraId="0AB1CE9A"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69,938</w:t>
            </w:r>
          </w:p>
        </w:tc>
      </w:tr>
      <w:tr w:rsidR="004C6650" w:rsidRPr="004C6650" w14:paraId="04B8E619" w14:textId="77777777" w:rsidTr="0052209F">
        <w:trPr>
          <w:trHeight w:val="170"/>
        </w:trPr>
        <w:tc>
          <w:tcPr>
            <w:tcW w:w="1283" w:type="dxa"/>
            <w:tcBorders>
              <w:top w:val="single" w:sz="4" w:space="0" w:color="auto"/>
              <w:left w:val="single" w:sz="4" w:space="0" w:color="auto"/>
              <w:bottom w:val="single" w:sz="4" w:space="0" w:color="auto"/>
              <w:right w:val="single" w:sz="4" w:space="0" w:color="auto"/>
            </w:tcBorders>
            <w:noWrap/>
          </w:tcPr>
          <w:p w14:paraId="23376B55"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3</w:t>
            </w:r>
          </w:p>
        </w:tc>
        <w:tc>
          <w:tcPr>
            <w:tcW w:w="8212" w:type="dxa"/>
            <w:tcBorders>
              <w:top w:val="single" w:sz="4" w:space="0" w:color="auto"/>
              <w:left w:val="nil"/>
              <w:bottom w:val="single" w:sz="4" w:space="0" w:color="auto"/>
              <w:right w:val="single" w:sz="4" w:space="0" w:color="auto"/>
            </w:tcBorders>
            <w:noWrap/>
          </w:tcPr>
          <w:p w14:paraId="201D55E0"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cs="Times New Roman"/>
                <w:sz w:val="18"/>
                <w:szCs w:val="18"/>
              </w:rPr>
              <w:t>VAS "Valsts nekustamie īpašumi"</w:t>
            </w:r>
          </w:p>
        </w:tc>
        <w:tc>
          <w:tcPr>
            <w:tcW w:w="1792" w:type="dxa"/>
            <w:tcBorders>
              <w:top w:val="single" w:sz="4" w:space="0" w:color="auto"/>
              <w:left w:val="nil"/>
              <w:bottom w:val="single" w:sz="4" w:space="0" w:color="auto"/>
              <w:right w:val="single" w:sz="4" w:space="0" w:color="auto"/>
            </w:tcBorders>
            <w:noWrap/>
          </w:tcPr>
          <w:p w14:paraId="20743C7B"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42,812</w:t>
            </w:r>
          </w:p>
        </w:tc>
        <w:tc>
          <w:tcPr>
            <w:tcW w:w="1417" w:type="dxa"/>
            <w:tcBorders>
              <w:top w:val="single" w:sz="4" w:space="0" w:color="auto"/>
              <w:left w:val="nil"/>
              <w:bottom w:val="single" w:sz="4" w:space="0" w:color="auto"/>
              <w:right w:val="single" w:sz="4" w:space="0" w:color="auto"/>
            </w:tcBorders>
            <w:noWrap/>
          </w:tcPr>
          <w:p w14:paraId="264106D0"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39,204</w:t>
            </w:r>
          </w:p>
        </w:tc>
        <w:tc>
          <w:tcPr>
            <w:tcW w:w="1417" w:type="dxa"/>
            <w:tcBorders>
              <w:top w:val="single" w:sz="4" w:space="0" w:color="auto"/>
              <w:left w:val="nil"/>
              <w:bottom w:val="single" w:sz="4" w:space="0" w:color="auto"/>
              <w:right w:val="single" w:sz="4" w:space="0" w:color="auto"/>
            </w:tcBorders>
            <w:noWrap/>
          </w:tcPr>
          <w:p w14:paraId="27AF2205"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35,829</w:t>
            </w:r>
          </w:p>
        </w:tc>
      </w:tr>
      <w:tr w:rsidR="004C6650" w:rsidRPr="004C6650" w14:paraId="587777B2" w14:textId="77777777" w:rsidTr="0052209F">
        <w:trPr>
          <w:trHeight w:val="170"/>
        </w:trPr>
        <w:tc>
          <w:tcPr>
            <w:tcW w:w="1283" w:type="dxa"/>
            <w:tcBorders>
              <w:top w:val="single" w:sz="4" w:space="0" w:color="auto"/>
              <w:left w:val="single" w:sz="4" w:space="0" w:color="auto"/>
              <w:bottom w:val="single" w:sz="4" w:space="0" w:color="auto"/>
              <w:right w:val="single" w:sz="4" w:space="0" w:color="auto"/>
            </w:tcBorders>
            <w:noWrap/>
            <w:hideMark/>
          </w:tcPr>
          <w:p w14:paraId="445FFD1C"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4</w:t>
            </w:r>
          </w:p>
        </w:tc>
        <w:tc>
          <w:tcPr>
            <w:tcW w:w="8212" w:type="dxa"/>
            <w:tcBorders>
              <w:top w:val="single" w:sz="4" w:space="0" w:color="auto"/>
              <w:left w:val="nil"/>
              <w:bottom w:val="single" w:sz="4" w:space="0" w:color="auto"/>
              <w:right w:val="single" w:sz="4" w:space="0" w:color="auto"/>
            </w:tcBorders>
            <w:noWrap/>
            <w:hideMark/>
          </w:tcPr>
          <w:p w14:paraId="317E0592"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cs="Times New Roman"/>
                <w:sz w:val="18"/>
                <w:szCs w:val="18"/>
              </w:rPr>
              <w:t>VAS "Tiesu namu aģentūra"</w:t>
            </w:r>
          </w:p>
        </w:tc>
        <w:tc>
          <w:tcPr>
            <w:tcW w:w="1792" w:type="dxa"/>
            <w:tcBorders>
              <w:top w:val="single" w:sz="4" w:space="0" w:color="auto"/>
              <w:left w:val="nil"/>
              <w:bottom w:val="single" w:sz="4" w:space="0" w:color="auto"/>
              <w:right w:val="single" w:sz="4" w:space="0" w:color="auto"/>
            </w:tcBorders>
            <w:noWrap/>
            <w:hideMark/>
          </w:tcPr>
          <w:p w14:paraId="4AA8892E"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19,102</w:t>
            </w:r>
          </w:p>
        </w:tc>
        <w:tc>
          <w:tcPr>
            <w:tcW w:w="1417" w:type="dxa"/>
            <w:tcBorders>
              <w:top w:val="single" w:sz="4" w:space="0" w:color="auto"/>
              <w:left w:val="nil"/>
              <w:bottom w:val="single" w:sz="4" w:space="0" w:color="auto"/>
              <w:right w:val="single" w:sz="4" w:space="0" w:color="auto"/>
            </w:tcBorders>
            <w:noWrap/>
          </w:tcPr>
          <w:p w14:paraId="3EA38D11"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17,502</w:t>
            </w:r>
          </w:p>
        </w:tc>
        <w:tc>
          <w:tcPr>
            <w:tcW w:w="1417" w:type="dxa"/>
            <w:tcBorders>
              <w:top w:val="single" w:sz="4" w:space="0" w:color="auto"/>
              <w:left w:val="nil"/>
              <w:bottom w:val="single" w:sz="4" w:space="0" w:color="auto"/>
              <w:right w:val="single" w:sz="4" w:space="0" w:color="auto"/>
            </w:tcBorders>
            <w:noWrap/>
          </w:tcPr>
          <w:p w14:paraId="23679979"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15,902</w:t>
            </w:r>
          </w:p>
        </w:tc>
      </w:tr>
      <w:tr w:rsidR="004C6650" w:rsidRPr="004C6650" w14:paraId="359318D5" w14:textId="77777777" w:rsidTr="0052209F">
        <w:trPr>
          <w:trHeight w:val="170"/>
        </w:trPr>
        <w:tc>
          <w:tcPr>
            <w:tcW w:w="1283" w:type="dxa"/>
            <w:tcBorders>
              <w:top w:val="single" w:sz="4" w:space="0" w:color="auto"/>
              <w:left w:val="single" w:sz="4" w:space="0" w:color="auto"/>
              <w:bottom w:val="single" w:sz="4" w:space="0" w:color="auto"/>
              <w:right w:val="single" w:sz="4" w:space="0" w:color="auto"/>
            </w:tcBorders>
            <w:noWrap/>
          </w:tcPr>
          <w:p w14:paraId="7A37BF1A"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5</w:t>
            </w:r>
          </w:p>
        </w:tc>
        <w:tc>
          <w:tcPr>
            <w:tcW w:w="8212" w:type="dxa"/>
            <w:tcBorders>
              <w:top w:val="single" w:sz="4" w:space="0" w:color="auto"/>
              <w:left w:val="nil"/>
              <w:bottom w:val="single" w:sz="4" w:space="0" w:color="auto"/>
              <w:right w:val="single" w:sz="4" w:space="0" w:color="auto"/>
            </w:tcBorders>
            <w:noWrap/>
          </w:tcPr>
          <w:p w14:paraId="47AB47AC" w14:textId="77777777" w:rsidR="004C6650" w:rsidRPr="004C6650" w:rsidRDefault="004C6650" w:rsidP="004C6650">
            <w:pPr>
              <w:spacing w:after="0"/>
              <w:ind w:firstLine="0"/>
              <w:jc w:val="left"/>
              <w:rPr>
                <w:rFonts w:cs="Times New Roman"/>
                <w:sz w:val="18"/>
                <w:szCs w:val="18"/>
              </w:rPr>
            </w:pPr>
            <w:r w:rsidRPr="004C6650">
              <w:rPr>
                <w:rFonts w:cs="Times New Roman"/>
                <w:sz w:val="18"/>
                <w:szCs w:val="18"/>
              </w:rPr>
              <w:t>SIA "Latvijas Nacionālais sporta centrs"</w:t>
            </w:r>
          </w:p>
        </w:tc>
        <w:tc>
          <w:tcPr>
            <w:tcW w:w="1792" w:type="dxa"/>
            <w:tcBorders>
              <w:top w:val="single" w:sz="4" w:space="0" w:color="auto"/>
              <w:left w:val="nil"/>
              <w:bottom w:val="single" w:sz="4" w:space="0" w:color="auto"/>
              <w:right w:val="single" w:sz="4" w:space="0" w:color="auto"/>
            </w:tcBorders>
            <w:noWrap/>
          </w:tcPr>
          <w:p w14:paraId="10E97BD0"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9,929</w:t>
            </w:r>
          </w:p>
        </w:tc>
        <w:tc>
          <w:tcPr>
            <w:tcW w:w="1417" w:type="dxa"/>
            <w:tcBorders>
              <w:top w:val="single" w:sz="4" w:space="0" w:color="auto"/>
              <w:left w:val="nil"/>
              <w:bottom w:val="single" w:sz="4" w:space="0" w:color="auto"/>
              <w:right w:val="single" w:sz="4" w:space="0" w:color="auto"/>
            </w:tcBorders>
            <w:noWrap/>
          </w:tcPr>
          <w:p w14:paraId="683F845F"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9,637</w:t>
            </w:r>
          </w:p>
        </w:tc>
        <w:tc>
          <w:tcPr>
            <w:tcW w:w="1417" w:type="dxa"/>
            <w:tcBorders>
              <w:top w:val="single" w:sz="4" w:space="0" w:color="auto"/>
              <w:left w:val="nil"/>
              <w:bottom w:val="single" w:sz="4" w:space="0" w:color="auto"/>
              <w:right w:val="single" w:sz="4" w:space="0" w:color="auto"/>
            </w:tcBorders>
            <w:noWrap/>
          </w:tcPr>
          <w:p w14:paraId="67C617FC"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9,331</w:t>
            </w:r>
          </w:p>
        </w:tc>
      </w:tr>
      <w:tr w:rsidR="004C6650" w:rsidRPr="004C6650" w14:paraId="6E85BCCA" w14:textId="77777777" w:rsidTr="0052209F">
        <w:trPr>
          <w:trHeight w:val="170"/>
        </w:trPr>
        <w:tc>
          <w:tcPr>
            <w:tcW w:w="1283" w:type="dxa"/>
            <w:tcBorders>
              <w:top w:val="single" w:sz="4" w:space="0" w:color="auto"/>
              <w:left w:val="single" w:sz="4" w:space="0" w:color="auto"/>
              <w:bottom w:val="single" w:sz="4" w:space="0" w:color="auto"/>
              <w:right w:val="single" w:sz="4" w:space="0" w:color="auto"/>
            </w:tcBorders>
            <w:noWrap/>
          </w:tcPr>
          <w:p w14:paraId="672C67A3"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6</w:t>
            </w:r>
          </w:p>
        </w:tc>
        <w:tc>
          <w:tcPr>
            <w:tcW w:w="8212" w:type="dxa"/>
            <w:tcBorders>
              <w:top w:val="single" w:sz="4" w:space="0" w:color="auto"/>
              <w:left w:val="single" w:sz="4" w:space="0" w:color="auto"/>
              <w:bottom w:val="single" w:sz="4" w:space="0" w:color="auto"/>
              <w:right w:val="single" w:sz="4" w:space="0" w:color="auto"/>
            </w:tcBorders>
            <w:noWrap/>
            <w:vAlign w:val="bottom"/>
          </w:tcPr>
          <w:p w14:paraId="2D90C443" w14:textId="77777777" w:rsidR="004C6650" w:rsidRPr="004C6650" w:rsidRDefault="004C6650" w:rsidP="004C6650">
            <w:pPr>
              <w:spacing w:after="0"/>
              <w:ind w:firstLine="0"/>
              <w:jc w:val="left"/>
              <w:rPr>
                <w:rFonts w:cs="Times New Roman"/>
                <w:sz w:val="18"/>
                <w:szCs w:val="18"/>
              </w:rPr>
            </w:pPr>
            <w:r w:rsidRPr="004C6650">
              <w:rPr>
                <w:rFonts w:cs="Times New Roman"/>
                <w:sz w:val="18"/>
                <w:szCs w:val="18"/>
              </w:rPr>
              <w:t>VAS "Latvijas autoceļu uzturētājs"</w:t>
            </w:r>
          </w:p>
        </w:tc>
        <w:tc>
          <w:tcPr>
            <w:tcW w:w="1792" w:type="dxa"/>
            <w:tcBorders>
              <w:top w:val="single" w:sz="4" w:space="0" w:color="auto"/>
              <w:left w:val="single" w:sz="4" w:space="0" w:color="auto"/>
              <w:bottom w:val="single" w:sz="4" w:space="0" w:color="auto"/>
              <w:right w:val="single" w:sz="4" w:space="0" w:color="auto"/>
            </w:tcBorders>
            <w:noWrap/>
            <w:vAlign w:val="bottom"/>
          </w:tcPr>
          <w:p w14:paraId="25C61555"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9,484</w:t>
            </w:r>
          </w:p>
        </w:tc>
        <w:tc>
          <w:tcPr>
            <w:tcW w:w="1417" w:type="dxa"/>
            <w:tcBorders>
              <w:top w:val="single" w:sz="4" w:space="0" w:color="auto"/>
              <w:left w:val="single" w:sz="4" w:space="0" w:color="auto"/>
              <w:bottom w:val="single" w:sz="4" w:space="0" w:color="auto"/>
              <w:right w:val="single" w:sz="4" w:space="0" w:color="auto"/>
            </w:tcBorders>
            <w:noWrap/>
            <w:vAlign w:val="bottom"/>
          </w:tcPr>
          <w:p w14:paraId="3B2D334C"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9,234</w:t>
            </w:r>
          </w:p>
        </w:tc>
        <w:tc>
          <w:tcPr>
            <w:tcW w:w="1417" w:type="dxa"/>
            <w:tcBorders>
              <w:top w:val="single" w:sz="4" w:space="0" w:color="auto"/>
              <w:left w:val="single" w:sz="4" w:space="0" w:color="auto"/>
              <w:bottom w:val="single" w:sz="4" w:space="0" w:color="auto"/>
              <w:right w:val="single" w:sz="4" w:space="0" w:color="auto"/>
            </w:tcBorders>
            <w:noWrap/>
            <w:vAlign w:val="bottom"/>
          </w:tcPr>
          <w:p w14:paraId="5015C725"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9,234</w:t>
            </w:r>
          </w:p>
        </w:tc>
      </w:tr>
      <w:tr w:rsidR="004C6650" w:rsidRPr="004C6650" w14:paraId="5CADF070" w14:textId="77777777" w:rsidTr="0052209F">
        <w:trPr>
          <w:trHeight w:val="87"/>
        </w:trPr>
        <w:tc>
          <w:tcPr>
            <w:tcW w:w="1283" w:type="dxa"/>
            <w:tcBorders>
              <w:top w:val="single" w:sz="4" w:space="0" w:color="auto"/>
              <w:left w:val="single" w:sz="4" w:space="0" w:color="auto"/>
              <w:bottom w:val="single" w:sz="4" w:space="0" w:color="auto"/>
              <w:right w:val="single" w:sz="4" w:space="0" w:color="auto"/>
            </w:tcBorders>
            <w:noWrap/>
            <w:hideMark/>
          </w:tcPr>
          <w:p w14:paraId="1BA8963C"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7</w:t>
            </w:r>
          </w:p>
        </w:tc>
        <w:tc>
          <w:tcPr>
            <w:tcW w:w="8212" w:type="dxa"/>
            <w:tcBorders>
              <w:top w:val="single" w:sz="4" w:space="0" w:color="auto"/>
              <w:left w:val="nil"/>
              <w:bottom w:val="single" w:sz="4" w:space="0" w:color="auto"/>
              <w:right w:val="single" w:sz="4" w:space="0" w:color="auto"/>
            </w:tcBorders>
            <w:noWrap/>
          </w:tcPr>
          <w:p w14:paraId="2D983139"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cs="Times New Roman"/>
                <w:sz w:val="18"/>
                <w:szCs w:val="18"/>
              </w:rPr>
              <w:t>VSIA Nacionālais rehabilitācijas centrs "Vaivari"</w:t>
            </w:r>
          </w:p>
        </w:tc>
        <w:tc>
          <w:tcPr>
            <w:tcW w:w="1792" w:type="dxa"/>
            <w:tcBorders>
              <w:top w:val="single" w:sz="4" w:space="0" w:color="auto"/>
              <w:left w:val="nil"/>
              <w:bottom w:val="single" w:sz="4" w:space="0" w:color="auto"/>
              <w:right w:val="single" w:sz="4" w:space="0" w:color="auto"/>
            </w:tcBorders>
            <w:noWrap/>
          </w:tcPr>
          <w:p w14:paraId="42A51EBD" w14:textId="77777777" w:rsidR="004C6650" w:rsidRPr="004C6650" w:rsidRDefault="004C6650" w:rsidP="004C6650">
            <w:pPr>
              <w:spacing w:after="0"/>
              <w:ind w:firstLine="0"/>
              <w:jc w:val="right"/>
              <w:rPr>
                <w:rFonts w:eastAsia="Times New Roman" w:cs="Times New Roman"/>
                <w:color w:val="000000"/>
                <w:sz w:val="18"/>
                <w:szCs w:val="18"/>
                <w:highlight w:val="yellow"/>
              </w:rPr>
            </w:pPr>
            <w:r w:rsidRPr="004C6650">
              <w:rPr>
                <w:rFonts w:cs="Times New Roman"/>
                <w:sz w:val="18"/>
                <w:szCs w:val="18"/>
              </w:rPr>
              <w:t>6,509</w:t>
            </w:r>
          </w:p>
        </w:tc>
        <w:tc>
          <w:tcPr>
            <w:tcW w:w="1417" w:type="dxa"/>
            <w:tcBorders>
              <w:top w:val="single" w:sz="4" w:space="0" w:color="auto"/>
              <w:left w:val="nil"/>
              <w:bottom w:val="single" w:sz="4" w:space="0" w:color="auto"/>
              <w:right w:val="single" w:sz="4" w:space="0" w:color="auto"/>
            </w:tcBorders>
            <w:noWrap/>
          </w:tcPr>
          <w:p w14:paraId="539919FE" w14:textId="77777777" w:rsidR="004C6650" w:rsidRPr="004C6650" w:rsidRDefault="004C6650" w:rsidP="004C6650">
            <w:pPr>
              <w:spacing w:after="0"/>
              <w:ind w:firstLine="0"/>
              <w:jc w:val="right"/>
              <w:rPr>
                <w:rFonts w:eastAsia="Times New Roman" w:cs="Times New Roman"/>
                <w:color w:val="000000"/>
                <w:sz w:val="18"/>
                <w:szCs w:val="18"/>
                <w:highlight w:val="yellow"/>
              </w:rPr>
            </w:pPr>
            <w:r w:rsidRPr="004C6650">
              <w:rPr>
                <w:rFonts w:cs="Times New Roman"/>
                <w:sz w:val="18"/>
                <w:szCs w:val="18"/>
              </w:rPr>
              <w:t>5,974</w:t>
            </w:r>
          </w:p>
        </w:tc>
        <w:tc>
          <w:tcPr>
            <w:tcW w:w="1417" w:type="dxa"/>
            <w:tcBorders>
              <w:top w:val="single" w:sz="4" w:space="0" w:color="auto"/>
              <w:left w:val="nil"/>
              <w:bottom w:val="single" w:sz="4" w:space="0" w:color="auto"/>
              <w:right w:val="single" w:sz="4" w:space="0" w:color="auto"/>
            </w:tcBorders>
            <w:noWrap/>
          </w:tcPr>
          <w:p w14:paraId="3386FD3E" w14:textId="77777777" w:rsidR="004C6650" w:rsidRPr="004C6650" w:rsidRDefault="004C6650" w:rsidP="004C6650">
            <w:pPr>
              <w:spacing w:after="0"/>
              <w:ind w:firstLine="0"/>
              <w:jc w:val="right"/>
              <w:rPr>
                <w:rFonts w:eastAsia="Times New Roman" w:cs="Times New Roman"/>
                <w:color w:val="000000"/>
                <w:sz w:val="18"/>
                <w:szCs w:val="18"/>
                <w:highlight w:val="yellow"/>
              </w:rPr>
            </w:pPr>
            <w:r w:rsidRPr="004C6650">
              <w:rPr>
                <w:rFonts w:cs="Times New Roman"/>
                <w:sz w:val="18"/>
                <w:szCs w:val="18"/>
              </w:rPr>
              <w:t>5,438</w:t>
            </w:r>
          </w:p>
        </w:tc>
      </w:tr>
      <w:tr w:rsidR="004C6650" w:rsidRPr="004C6650" w14:paraId="1BB52AB6" w14:textId="77777777" w:rsidTr="0052209F">
        <w:trPr>
          <w:trHeight w:val="54"/>
        </w:trPr>
        <w:tc>
          <w:tcPr>
            <w:tcW w:w="1283" w:type="dxa"/>
            <w:tcBorders>
              <w:top w:val="single" w:sz="4" w:space="0" w:color="auto"/>
              <w:left w:val="single" w:sz="4" w:space="0" w:color="auto"/>
              <w:bottom w:val="single" w:sz="4" w:space="0" w:color="auto"/>
              <w:right w:val="single" w:sz="4" w:space="0" w:color="auto"/>
            </w:tcBorders>
            <w:noWrap/>
            <w:hideMark/>
          </w:tcPr>
          <w:p w14:paraId="17EDEC61"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8</w:t>
            </w:r>
          </w:p>
        </w:tc>
        <w:tc>
          <w:tcPr>
            <w:tcW w:w="8212" w:type="dxa"/>
            <w:tcBorders>
              <w:top w:val="single" w:sz="4" w:space="0" w:color="auto"/>
              <w:left w:val="nil"/>
              <w:bottom w:val="single" w:sz="4" w:space="0" w:color="auto"/>
              <w:right w:val="single" w:sz="4" w:space="0" w:color="auto"/>
            </w:tcBorders>
            <w:noWrap/>
          </w:tcPr>
          <w:p w14:paraId="1D920A1A"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cs="Times New Roman"/>
                <w:sz w:val="18"/>
                <w:szCs w:val="18"/>
              </w:rPr>
              <w:t>AS "Pasažieru vilciens"</w:t>
            </w:r>
          </w:p>
        </w:tc>
        <w:tc>
          <w:tcPr>
            <w:tcW w:w="1792" w:type="dxa"/>
            <w:tcBorders>
              <w:top w:val="single" w:sz="4" w:space="0" w:color="auto"/>
              <w:left w:val="nil"/>
              <w:bottom w:val="single" w:sz="4" w:space="0" w:color="auto"/>
              <w:right w:val="single" w:sz="4" w:space="0" w:color="auto"/>
            </w:tcBorders>
            <w:noWrap/>
          </w:tcPr>
          <w:p w14:paraId="069A3827" w14:textId="77777777" w:rsidR="004C6650" w:rsidRPr="004C6650" w:rsidRDefault="004C6650" w:rsidP="004C6650">
            <w:pPr>
              <w:spacing w:after="0"/>
              <w:ind w:firstLine="0"/>
              <w:jc w:val="right"/>
              <w:rPr>
                <w:sz w:val="18"/>
                <w:szCs w:val="16"/>
              </w:rPr>
            </w:pPr>
            <w:r w:rsidRPr="004C6650">
              <w:rPr>
                <w:sz w:val="18"/>
                <w:szCs w:val="16"/>
              </w:rPr>
              <w:t>4,008</w:t>
            </w:r>
          </w:p>
        </w:tc>
        <w:tc>
          <w:tcPr>
            <w:tcW w:w="1417" w:type="dxa"/>
            <w:tcBorders>
              <w:top w:val="single" w:sz="4" w:space="0" w:color="auto"/>
              <w:left w:val="nil"/>
              <w:bottom w:val="single" w:sz="4" w:space="0" w:color="auto"/>
              <w:right w:val="single" w:sz="4" w:space="0" w:color="auto"/>
            </w:tcBorders>
            <w:noWrap/>
          </w:tcPr>
          <w:p w14:paraId="6568E630" w14:textId="77777777" w:rsidR="004C6650" w:rsidRPr="004C6650" w:rsidRDefault="004C6650" w:rsidP="004C6650">
            <w:pPr>
              <w:spacing w:after="0"/>
              <w:ind w:firstLine="0"/>
              <w:jc w:val="right"/>
              <w:rPr>
                <w:sz w:val="18"/>
                <w:szCs w:val="16"/>
              </w:rPr>
            </w:pPr>
            <w:r w:rsidRPr="004C6650">
              <w:rPr>
                <w:sz w:val="18"/>
                <w:szCs w:val="16"/>
              </w:rPr>
              <w:t>3,309</w:t>
            </w:r>
          </w:p>
        </w:tc>
        <w:tc>
          <w:tcPr>
            <w:tcW w:w="1417" w:type="dxa"/>
            <w:tcBorders>
              <w:top w:val="single" w:sz="4" w:space="0" w:color="auto"/>
              <w:left w:val="nil"/>
              <w:bottom w:val="single" w:sz="4" w:space="0" w:color="auto"/>
              <w:right w:val="single" w:sz="4" w:space="0" w:color="auto"/>
            </w:tcBorders>
            <w:noWrap/>
          </w:tcPr>
          <w:p w14:paraId="0453BE38" w14:textId="77777777" w:rsidR="004C6650" w:rsidRPr="004C6650" w:rsidRDefault="004C6650" w:rsidP="004C6650">
            <w:pPr>
              <w:spacing w:after="0"/>
              <w:ind w:firstLine="0"/>
              <w:jc w:val="right"/>
              <w:rPr>
                <w:sz w:val="18"/>
                <w:szCs w:val="16"/>
              </w:rPr>
            </w:pPr>
            <w:r w:rsidRPr="004C6650">
              <w:rPr>
                <w:sz w:val="18"/>
                <w:szCs w:val="16"/>
              </w:rPr>
              <w:t>2,610</w:t>
            </w:r>
          </w:p>
        </w:tc>
      </w:tr>
      <w:tr w:rsidR="004C6650" w:rsidRPr="004C6650" w14:paraId="10C8AC53"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tcPr>
          <w:p w14:paraId="10343CB8" w14:textId="77777777" w:rsidR="004C6650" w:rsidRPr="004C6650" w:rsidRDefault="004C6650" w:rsidP="004C6650">
            <w:pPr>
              <w:spacing w:after="0"/>
              <w:ind w:firstLine="0"/>
              <w:jc w:val="right"/>
              <w:rPr>
                <w:rFonts w:eastAsia="Times New Roman" w:cs="Times New Roman"/>
                <w:color w:val="000000"/>
                <w:sz w:val="18"/>
                <w:szCs w:val="18"/>
                <w:highlight w:val="yellow"/>
              </w:rPr>
            </w:pPr>
            <w:r w:rsidRPr="004C6650">
              <w:rPr>
                <w:rFonts w:cs="Times New Roman"/>
                <w:sz w:val="18"/>
                <w:szCs w:val="18"/>
              </w:rPr>
              <w:t>9</w:t>
            </w:r>
          </w:p>
        </w:tc>
        <w:tc>
          <w:tcPr>
            <w:tcW w:w="8212" w:type="dxa"/>
            <w:tcBorders>
              <w:top w:val="single" w:sz="4" w:space="0" w:color="auto"/>
              <w:left w:val="nil"/>
              <w:bottom w:val="single" w:sz="4" w:space="0" w:color="auto"/>
              <w:right w:val="single" w:sz="4" w:space="0" w:color="auto"/>
            </w:tcBorders>
            <w:noWrap/>
          </w:tcPr>
          <w:p w14:paraId="3F0A25F3" w14:textId="77777777" w:rsidR="004C6650" w:rsidRPr="004C6650" w:rsidRDefault="004C6650" w:rsidP="004C6650">
            <w:pPr>
              <w:spacing w:after="0"/>
              <w:ind w:firstLine="0"/>
              <w:jc w:val="left"/>
              <w:rPr>
                <w:rFonts w:cs="Times New Roman"/>
                <w:sz w:val="18"/>
                <w:szCs w:val="18"/>
              </w:rPr>
            </w:pPr>
            <w:r w:rsidRPr="004C6650">
              <w:rPr>
                <w:rFonts w:cs="Times New Roman"/>
                <w:sz w:val="18"/>
                <w:szCs w:val="18"/>
              </w:rPr>
              <w:t>VSIA "Latvijas Vides, ģeoloģijas un meteoroloģijas centrs"</w:t>
            </w:r>
          </w:p>
        </w:tc>
        <w:tc>
          <w:tcPr>
            <w:tcW w:w="1792" w:type="dxa"/>
            <w:tcBorders>
              <w:top w:val="single" w:sz="4" w:space="0" w:color="auto"/>
              <w:left w:val="nil"/>
              <w:bottom w:val="single" w:sz="4" w:space="0" w:color="auto"/>
              <w:right w:val="single" w:sz="4" w:space="0" w:color="auto"/>
            </w:tcBorders>
            <w:noWrap/>
          </w:tcPr>
          <w:p w14:paraId="035EC395" w14:textId="77777777" w:rsidR="004C6650" w:rsidRPr="004C6650" w:rsidRDefault="004C6650" w:rsidP="004C6650">
            <w:pPr>
              <w:spacing w:after="0"/>
              <w:ind w:firstLine="0"/>
              <w:jc w:val="right"/>
              <w:rPr>
                <w:rFonts w:cs="Times New Roman"/>
                <w:sz w:val="18"/>
                <w:szCs w:val="18"/>
              </w:rPr>
            </w:pPr>
            <w:r w:rsidRPr="004C6650">
              <w:rPr>
                <w:sz w:val="18"/>
                <w:szCs w:val="16"/>
              </w:rPr>
              <w:t>2,049</w:t>
            </w:r>
          </w:p>
        </w:tc>
        <w:tc>
          <w:tcPr>
            <w:tcW w:w="1417" w:type="dxa"/>
            <w:tcBorders>
              <w:top w:val="single" w:sz="4" w:space="0" w:color="auto"/>
              <w:left w:val="nil"/>
              <w:bottom w:val="single" w:sz="4" w:space="0" w:color="auto"/>
              <w:right w:val="single" w:sz="4" w:space="0" w:color="auto"/>
            </w:tcBorders>
            <w:noWrap/>
          </w:tcPr>
          <w:p w14:paraId="6581D89C" w14:textId="77777777" w:rsidR="004C6650" w:rsidRPr="004C6650" w:rsidRDefault="004C6650" w:rsidP="004C6650">
            <w:pPr>
              <w:spacing w:after="0"/>
              <w:ind w:firstLine="0"/>
              <w:jc w:val="right"/>
              <w:rPr>
                <w:rFonts w:cs="Times New Roman"/>
                <w:sz w:val="18"/>
                <w:szCs w:val="18"/>
              </w:rPr>
            </w:pPr>
            <w:r w:rsidRPr="004C6650">
              <w:rPr>
                <w:sz w:val="18"/>
                <w:szCs w:val="16"/>
              </w:rPr>
              <w:t>1,851</w:t>
            </w:r>
          </w:p>
        </w:tc>
        <w:tc>
          <w:tcPr>
            <w:tcW w:w="1417" w:type="dxa"/>
            <w:tcBorders>
              <w:top w:val="single" w:sz="4" w:space="0" w:color="auto"/>
              <w:left w:val="nil"/>
              <w:bottom w:val="single" w:sz="4" w:space="0" w:color="auto"/>
              <w:right w:val="single" w:sz="4" w:space="0" w:color="auto"/>
            </w:tcBorders>
            <w:noWrap/>
          </w:tcPr>
          <w:p w14:paraId="415FBC54" w14:textId="77777777" w:rsidR="004C6650" w:rsidRPr="004C6650" w:rsidRDefault="004C6650" w:rsidP="004C6650">
            <w:pPr>
              <w:spacing w:after="0"/>
              <w:ind w:firstLine="0"/>
              <w:jc w:val="right"/>
              <w:rPr>
                <w:rFonts w:cs="Times New Roman"/>
                <w:sz w:val="18"/>
                <w:szCs w:val="18"/>
              </w:rPr>
            </w:pPr>
            <w:r w:rsidRPr="004C6650">
              <w:rPr>
                <w:sz w:val="18"/>
                <w:szCs w:val="16"/>
              </w:rPr>
              <w:t>1,653</w:t>
            </w:r>
          </w:p>
        </w:tc>
      </w:tr>
      <w:tr w:rsidR="004C6650" w:rsidRPr="004C6650" w14:paraId="67B20C47"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tcPr>
          <w:p w14:paraId="7D879C67" w14:textId="77777777" w:rsidR="004C6650" w:rsidRPr="004C6650" w:rsidRDefault="004C6650" w:rsidP="004C6650">
            <w:pPr>
              <w:spacing w:after="0"/>
              <w:ind w:firstLine="0"/>
              <w:jc w:val="right"/>
              <w:rPr>
                <w:rFonts w:eastAsia="Times New Roman" w:cs="Times New Roman"/>
                <w:color w:val="000000"/>
                <w:sz w:val="18"/>
                <w:szCs w:val="18"/>
                <w:highlight w:val="yellow"/>
              </w:rPr>
            </w:pPr>
            <w:r w:rsidRPr="004C6650">
              <w:rPr>
                <w:rFonts w:cs="Times New Roman"/>
                <w:sz w:val="18"/>
                <w:szCs w:val="18"/>
              </w:rPr>
              <w:t>10</w:t>
            </w:r>
          </w:p>
        </w:tc>
        <w:tc>
          <w:tcPr>
            <w:tcW w:w="8212" w:type="dxa"/>
            <w:tcBorders>
              <w:top w:val="single" w:sz="4" w:space="0" w:color="auto"/>
              <w:left w:val="single" w:sz="4" w:space="0" w:color="auto"/>
              <w:bottom w:val="single" w:sz="4" w:space="0" w:color="auto"/>
              <w:right w:val="single" w:sz="4" w:space="0" w:color="auto"/>
            </w:tcBorders>
            <w:noWrap/>
            <w:vAlign w:val="bottom"/>
          </w:tcPr>
          <w:p w14:paraId="56881AB8" w14:textId="77777777" w:rsidR="004C6650" w:rsidRPr="004C6650" w:rsidRDefault="004C6650" w:rsidP="004C6650">
            <w:pPr>
              <w:spacing w:after="0"/>
              <w:ind w:firstLine="0"/>
              <w:jc w:val="left"/>
              <w:rPr>
                <w:rFonts w:eastAsia="Times New Roman" w:cs="Times New Roman"/>
                <w:color w:val="000000"/>
                <w:sz w:val="18"/>
                <w:szCs w:val="18"/>
                <w:highlight w:val="yellow"/>
              </w:rPr>
            </w:pPr>
            <w:r w:rsidRPr="004C6650">
              <w:rPr>
                <w:rFonts w:cs="Times New Roman"/>
                <w:sz w:val="18"/>
                <w:szCs w:val="18"/>
              </w:rPr>
              <w:t>VAS "Latvijas Sabiedriskais medijs"</w:t>
            </w:r>
          </w:p>
        </w:tc>
        <w:tc>
          <w:tcPr>
            <w:tcW w:w="1792" w:type="dxa"/>
            <w:tcBorders>
              <w:top w:val="single" w:sz="4" w:space="0" w:color="auto"/>
              <w:left w:val="single" w:sz="4" w:space="0" w:color="auto"/>
              <w:bottom w:val="single" w:sz="4" w:space="0" w:color="auto"/>
              <w:right w:val="single" w:sz="4" w:space="0" w:color="auto"/>
            </w:tcBorders>
            <w:noWrap/>
            <w:vAlign w:val="bottom"/>
          </w:tcPr>
          <w:p w14:paraId="3E75F610" w14:textId="77777777" w:rsidR="004C6650" w:rsidRPr="004C6650" w:rsidRDefault="004C6650" w:rsidP="004C6650">
            <w:pPr>
              <w:spacing w:after="0"/>
              <w:ind w:firstLine="0"/>
              <w:jc w:val="right"/>
              <w:rPr>
                <w:sz w:val="18"/>
                <w:szCs w:val="16"/>
              </w:rPr>
            </w:pPr>
            <w:r w:rsidRPr="004C6650">
              <w:rPr>
                <w:rFonts w:cs="Times New Roman"/>
                <w:sz w:val="18"/>
                <w:szCs w:val="18"/>
              </w:rPr>
              <w:t>0,557</w:t>
            </w:r>
          </w:p>
        </w:tc>
        <w:tc>
          <w:tcPr>
            <w:tcW w:w="1417" w:type="dxa"/>
            <w:tcBorders>
              <w:top w:val="single" w:sz="4" w:space="0" w:color="auto"/>
              <w:left w:val="single" w:sz="4" w:space="0" w:color="auto"/>
              <w:bottom w:val="single" w:sz="4" w:space="0" w:color="auto"/>
              <w:right w:val="single" w:sz="4" w:space="0" w:color="auto"/>
            </w:tcBorders>
            <w:noWrap/>
            <w:vAlign w:val="bottom"/>
          </w:tcPr>
          <w:p w14:paraId="4E6D88E5" w14:textId="77777777" w:rsidR="004C6650" w:rsidRPr="004C6650" w:rsidRDefault="004C6650" w:rsidP="004C6650">
            <w:pPr>
              <w:spacing w:after="0"/>
              <w:ind w:firstLine="0"/>
              <w:jc w:val="right"/>
              <w:rPr>
                <w:sz w:val="18"/>
                <w:szCs w:val="16"/>
              </w:rPr>
            </w:pPr>
            <w:r w:rsidRPr="004C6650">
              <w:rPr>
                <w:rFonts w:cs="Times New Roman"/>
                <w:sz w:val="18"/>
                <w:szCs w:val="18"/>
              </w:rPr>
              <w:t>0,418</w:t>
            </w:r>
          </w:p>
        </w:tc>
        <w:tc>
          <w:tcPr>
            <w:tcW w:w="1417" w:type="dxa"/>
            <w:tcBorders>
              <w:top w:val="single" w:sz="4" w:space="0" w:color="auto"/>
              <w:left w:val="single" w:sz="4" w:space="0" w:color="auto"/>
              <w:bottom w:val="single" w:sz="4" w:space="0" w:color="auto"/>
              <w:right w:val="single" w:sz="4" w:space="0" w:color="auto"/>
            </w:tcBorders>
            <w:noWrap/>
            <w:vAlign w:val="bottom"/>
          </w:tcPr>
          <w:p w14:paraId="5B29A529" w14:textId="77777777" w:rsidR="004C6650" w:rsidRPr="004C6650" w:rsidRDefault="004C6650" w:rsidP="004C6650">
            <w:pPr>
              <w:spacing w:after="0"/>
              <w:ind w:firstLine="0"/>
              <w:jc w:val="right"/>
              <w:rPr>
                <w:sz w:val="18"/>
                <w:szCs w:val="16"/>
              </w:rPr>
            </w:pPr>
            <w:r w:rsidRPr="004C6650">
              <w:rPr>
                <w:rFonts w:cs="Times New Roman"/>
                <w:sz w:val="18"/>
                <w:szCs w:val="18"/>
              </w:rPr>
              <w:t>0,278</w:t>
            </w:r>
          </w:p>
        </w:tc>
      </w:tr>
      <w:tr w:rsidR="004C6650" w:rsidRPr="004C6650" w14:paraId="698A2C73"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tcPr>
          <w:p w14:paraId="348DFFB2" w14:textId="77777777" w:rsidR="004C6650" w:rsidRPr="004C6650" w:rsidRDefault="004C6650" w:rsidP="004C6650">
            <w:pPr>
              <w:spacing w:after="0"/>
              <w:ind w:firstLine="0"/>
              <w:jc w:val="right"/>
              <w:rPr>
                <w:rFonts w:eastAsia="Times New Roman" w:cs="Times New Roman"/>
                <w:color w:val="000000"/>
                <w:sz w:val="18"/>
                <w:szCs w:val="18"/>
                <w:highlight w:val="yellow"/>
              </w:rPr>
            </w:pPr>
            <w:r w:rsidRPr="004C6650">
              <w:rPr>
                <w:rFonts w:cs="Times New Roman"/>
                <w:sz w:val="18"/>
                <w:szCs w:val="18"/>
              </w:rPr>
              <w:t>11</w:t>
            </w:r>
          </w:p>
        </w:tc>
        <w:tc>
          <w:tcPr>
            <w:tcW w:w="8212" w:type="dxa"/>
            <w:tcBorders>
              <w:top w:val="single" w:sz="4" w:space="0" w:color="auto"/>
              <w:left w:val="single" w:sz="4" w:space="0" w:color="auto"/>
              <w:bottom w:val="single" w:sz="4" w:space="0" w:color="auto"/>
              <w:right w:val="single" w:sz="4" w:space="0" w:color="auto"/>
            </w:tcBorders>
            <w:noWrap/>
            <w:vAlign w:val="bottom"/>
          </w:tcPr>
          <w:p w14:paraId="46972BD3"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eastAsia="Times New Roman" w:cs="Times New Roman"/>
                <w:color w:val="000000"/>
                <w:sz w:val="18"/>
                <w:szCs w:val="18"/>
              </w:rPr>
              <w:t>VSIA "Latvijas proves birojs"</w:t>
            </w:r>
          </w:p>
        </w:tc>
        <w:tc>
          <w:tcPr>
            <w:tcW w:w="1792" w:type="dxa"/>
            <w:tcBorders>
              <w:top w:val="single" w:sz="4" w:space="0" w:color="auto"/>
              <w:left w:val="single" w:sz="4" w:space="0" w:color="auto"/>
              <w:bottom w:val="single" w:sz="4" w:space="0" w:color="auto"/>
              <w:right w:val="single" w:sz="4" w:space="0" w:color="auto"/>
            </w:tcBorders>
            <w:noWrap/>
            <w:vAlign w:val="bottom"/>
          </w:tcPr>
          <w:p w14:paraId="30792787"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eastAsia="Times New Roman" w:cs="Times New Roman"/>
                <w:color w:val="000000"/>
                <w:sz w:val="18"/>
                <w:szCs w:val="18"/>
              </w:rPr>
              <w:t>0,368</w:t>
            </w:r>
          </w:p>
        </w:tc>
        <w:tc>
          <w:tcPr>
            <w:tcW w:w="1417" w:type="dxa"/>
            <w:tcBorders>
              <w:top w:val="single" w:sz="4" w:space="0" w:color="auto"/>
              <w:left w:val="single" w:sz="4" w:space="0" w:color="auto"/>
              <w:bottom w:val="single" w:sz="4" w:space="0" w:color="auto"/>
              <w:right w:val="single" w:sz="4" w:space="0" w:color="auto"/>
            </w:tcBorders>
            <w:noWrap/>
            <w:vAlign w:val="bottom"/>
          </w:tcPr>
          <w:p w14:paraId="32EE32C5"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eastAsia="Times New Roman" w:cs="Times New Roman"/>
                <w:color w:val="000000"/>
                <w:sz w:val="18"/>
                <w:szCs w:val="18"/>
              </w:rPr>
              <w:t>0,200</w:t>
            </w:r>
          </w:p>
        </w:tc>
        <w:tc>
          <w:tcPr>
            <w:tcW w:w="1417" w:type="dxa"/>
            <w:tcBorders>
              <w:top w:val="single" w:sz="4" w:space="0" w:color="auto"/>
              <w:left w:val="single" w:sz="4" w:space="0" w:color="auto"/>
              <w:bottom w:val="single" w:sz="4" w:space="0" w:color="auto"/>
              <w:right w:val="single" w:sz="4" w:space="0" w:color="auto"/>
            </w:tcBorders>
            <w:noWrap/>
            <w:vAlign w:val="bottom"/>
          </w:tcPr>
          <w:p w14:paraId="771E8967"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eastAsia="Times New Roman" w:cs="Times New Roman"/>
                <w:color w:val="000000"/>
                <w:sz w:val="18"/>
                <w:szCs w:val="18"/>
              </w:rPr>
              <w:t>0,150</w:t>
            </w:r>
          </w:p>
        </w:tc>
      </w:tr>
      <w:tr w:rsidR="004C6650" w:rsidRPr="004C6650" w14:paraId="7F3DB127"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tcPr>
          <w:p w14:paraId="74D837AD"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12</w:t>
            </w:r>
          </w:p>
        </w:tc>
        <w:tc>
          <w:tcPr>
            <w:tcW w:w="8212" w:type="dxa"/>
            <w:tcBorders>
              <w:top w:val="single" w:sz="4" w:space="0" w:color="auto"/>
              <w:left w:val="nil"/>
              <w:bottom w:val="single" w:sz="4" w:space="0" w:color="auto"/>
              <w:right w:val="single" w:sz="4" w:space="0" w:color="auto"/>
            </w:tcBorders>
            <w:noWrap/>
          </w:tcPr>
          <w:p w14:paraId="25DCEA60" w14:textId="77777777" w:rsidR="004C6650" w:rsidRPr="004C6650" w:rsidRDefault="004C6650" w:rsidP="004C6650">
            <w:pPr>
              <w:spacing w:after="0"/>
              <w:ind w:firstLine="0"/>
              <w:jc w:val="left"/>
              <w:rPr>
                <w:sz w:val="18"/>
                <w:szCs w:val="16"/>
              </w:rPr>
            </w:pPr>
            <w:r w:rsidRPr="004C6650">
              <w:rPr>
                <w:rFonts w:cs="Times New Roman"/>
                <w:sz w:val="18"/>
                <w:szCs w:val="18"/>
              </w:rPr>
              <w:t>VSIA "Slimnīca "Ģintermuiža""</w:t>
            </w:r>
          </w:p>
        </w:tc>
        <w:tc>
          <w:tcPr>
            <w:tcW w:w="1792" w:type="dxa"/>
            <w:tcBorders>
              <w:top w:val="single" w:sz="4" w:space="0" w:color="auto"/>
              <w:left w:val="nil"/>
              <w:bottom w:val="single" w:sz="4" w:space="0" w:color="auto"/>
              <w:right w:val="single" w:sz="4" w:space="0" w:color="auto"/>
            </w:tcBorders>
            <w:noWrap/>
          </w:tcPr>
          <w:p w14:paraId="27182889" w14:textId="77777777" w:rsidR="004C6650" w:rsidRPr="004C6650" w:rsidRDefault="004C6650" w:rsidP="004C6650">
            <w:pPr>
              <w:spacing w:after="0"/>
              <w:ind w:firstLine="0"/>
              <w:jc w:val="right"/>
              <w:rPr>
                <w:sz w:val="18"/>
                <w:szCs w:val="16"/>
              </w:rPr>
            </w:pPr>
            <w:r w:rsidRPr="004C6650">
              <w:rPr>
                <w:sz w:val="18"/>
                <w:szCs w:val="16"/>
              </w:rPr>
              <w:t>0,110</w:t>
            </w:r>
          </w:p>
        </w:tc>
        <w:tc>
          <w:tcPr>
            <w:tcW w:w="1417" w:type="dxa"/>
            <w:tcBorders>
              <w:top w:val="single" w:sz="4" w:space="0" w:color="auto"/>
              <w:left w:val="nil"/>
              <w:bottom w:val="single" w:sz="4" w:space="0" w:color="auto"/>
              <w:right w:val="single" w:sz="4" w:space="0" w:color="auto"/>
            </w:tcBorders>
            <w:noWrap/>
          </w:tcPr>
          <w:p w14:paraId="64D7EA6E" w14:textId="77777777" w:rsidR="004C6650" w:rsidRPr="004C6650" w:rsidRDefault="004C6650" w:rsidP="004C6650">
            <w:pPr>
              <w:spacing w:after="0"/>
              <w:ind w:firstLine="0"/>
              <w:jc w:val="right"/>
              <w:rPr>
                <w:sz w:val="18"/>
                <w:szCs w:val="16"/>
              </w:rPr>
            </w:pPr>
            <w:r w:rsidRPr="004C6650">
              <w:rPr>
                <w:sz w:val="18"/>
                <w:szCs w:val="16"/>
              </w:rPr>
              <w:t>0,110</w:t>
            </w:r>
          </w:p>
        </w:tc>
        <w:tc>
          <w:tcPr>
            <w:tcW w:w="1417" w:type="dxa"/>
            <w:tcBorders>
              <w:top w:val="single" w:sz="4" w:space="0" w:color="auto"/>
              <w:left w:val="nil"/>
              <w:bottom w:val="single" w:sz="4" w:space="0" w:color="auto"/>
              <w:right w:val="single" w:sz="4" w:space="0" w:color="auto"/>
            </w:tcBorders>
            <w:noWrap/>
          </w:tcPr>
          <w:p w14:paraId="4A4975EC" w14:textId="77777777" w:rsidR="004C6650" w:rsidRPr="004C6650" w:rsidRDefault="004C6650" w:rsidP="004C6650">
            <w:pPr>
              <w:spacing w:after="0"/>
              <w:ind w:firstLine="0"/>
              <w:jc w:val="right"/>
              <w:rPr>
                <w:sz w:val="18"/>
                <w:szCs w:val="16"/>
              </w:rPr>
            </w:pPr>
            <w:r w:rsidRPr="004C6650">
              <w:rPr>
                <w:sz w:val="18"/>
                <w:szCs w:val="16"/>
              </w:rPr>
              <w:t>0,110</w:t>
            </w:r>
          </w:p>
        </w:tc>
      </w:tr>
      <w:tr w:rsidR="004C6650" w:rsidRPr="004C6650" w14:paraId="381756E2"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tcPr>
          <w:p w14:paraId="7CC21DE0"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13</w:t>
            </w:r>
          </w:p>
        </w:tc>
        <w:tc>
          <w:tcPr>
            <w:tcW w:w="8212" w:type="dxa"/>
            <w:tcBorders>
              <w:top w:val="single" w:sz="4" w:space="0" w:color="auto"/>
              <w:left w:val="nil"/>
              <w:bottom w:val="single" w:sz="4" w:space="0" w:color="auto"/>
              <w:right w:val="single" w:sz="4" w:space="0" w:color="auto"/>
            </w:tcBorders>
            <w:noWrap/>
          </w:tcPr>
          <w:p w14:paraId="3E010C31"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eastAsia="Times New Roman" w:cs="Times New Roman"/>
                <w:color w:val="000000"/>
                <w:sz w:val="18"/>
                <w:szCs w:val="18"/>
              </w:rPr>
              <w:t>SIA "Bulduru Tehnikums"</w:t>
            </w:r>
          </w:p>
        </w:tc>
        <w:tc>
          <w:tcPr>
            <w:tcW w:w="1792" w:type="dxa"/>
            <w:tcBorders>
              <w:top w:val="single" w:sz="4" w:space="0" w:color="auto"/>
              <w:left w:val="nil"/>
              <w:bottom w:val="single" w:sz="4" w:space="0" w:color="auto"/>
              <w:right w:val="single" w:sz="4" w:space="0" w:color="auto"/>
            </w:tcBorders>
            <w:noWrap/>
          </w:tcPr>
          <w:p w14:paraId="493D8A58" w14:textId="77777777" w:rsidR="004C6650" w:rsidRPr="004C6650" w:rsidRDefault="004C6650" w:rsidP="004C6650">
            <w:pPr>
              <w:spacing w:after="0"/>
              <w:ind w:firstLine="0"/>
              <w:jc w:val="right"/>
              <w:rPr>
                <w:sz w:val="18"/>
                <w:szCs w:val="16"/>
              </w:rPr>
            </w:pPr>
            <w:r w:rsidRPr="004C6650">
              <w:rPr>
                <w:sz w:val="18"/>
                <w:szCs w:val="16"/>
              </w:rPr>
              <w:t>0,100</w:t>
            </w:r>
          </w:p>
        </w:tc>
        <w:tc>
          <w:tcPr>
            <w:tcW w:w="1417" w:type="dxa"/>
            <w:tcBorders>
              <w:top w:val="single" w:sz="4" w:space="0" w:color="auto"/>
              <w:left w:val="nil"/>
              <w:bottom w:val="single" w:sz="4" w:space="0" w:color="auto"/>
              <w:right w:val="single" w:sz="4" w:space="0" w:color="auto"/>
            </w:tcBorders>
            <w:noWrap/>
          </w:tcPr>
          <w:p w14:paraId="58F123F0" w14:textId="77777777" w:rsidR="004C6650" w:rsidRPr="004C6650" w:rsidRDefault="004C6650" w:rsidP="004C6650">
            <w:pPr>
              <w:spacing w:after="0"/>
              <w:ind w:firstLine="0"/>
              <w:jc w:val="right"/>
              <w:rPr>
                <w:sz w:val="18"/>
                <w:szCs w:val="16"/>
              </w:rPr>
            </w:pPr>
            <w:r w:rsidRPr="004C6650">
              <w:rPr>
                <w:sz w:val="18"/>
                <w:szCs w:val="16"/>
              </w:rPr>
              <w:t>0,100</w:t>
            </w:r>
          </w:p>
        </w:tc>
        <w:tc>
          <w:tcPr>
            <w:tcW w:w="1417" w:type="dxa"/>
            <w:tcBorders>
              <w:top w:val="single" w:sz="4" w:space="0" w:color="auto"/>
              <w:left w:val="nil"/>
              <w:bottom w:val="single" w:sz="4" w:space="0" w:color="auto"/>
              <w:right w:val="single" w:sz="4" w:space="0" w:color="auto"/>
            </w:tcBorders>
            <w:noWrap/>
          </w:tcPr>
          <w:p w14:paraId="35FCA374" w14:textId="77777777" w:rsidR="004C6650" w:rsidRPr="004C6650" w:rsidRDefault="004C6650" w:rsidP="004C6650">
            <w:pPr>
              <w:spacing w:after="0"/>
              <w:ind w:firstLine="0"/>
              <w:jc w:val="right"/>
              <w:rPr>
                <w:sz w:val="18"/>
                <w:szCs w:val="16"/>
              </w:rPr>
            </w:pPr>
            <w:r w:rsidRPr="004C6650">
              <w:rPr>
                <w:sz w:val="18"/>
                <w:szCs w:val="16"/>
              </w:rPr>
              <w:t>0,100</w:t>
            </w:r>
          </w:p>
        </w:tc>
      </w:tr>
      <w:tr w:rsidR="004C6650" w:rsidRPr="004C6650" w14:paraId="2F2918FC"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tcPr>
          <w:p w14:paraId="726CE95A"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14</w:t>
            </w:r>
          </w:p>
        </w:tc>
        <w:tc>
          <w:tcPr>
            <w:tcW w:w="8212" w:type="dxa"/>
            <w:tcBorders>
              <w:top w:val="single" w:sz="4" w:space="0" w:color="auto"/>
              <w:left w:val="nil"/>
              <w:bottom w:val="single" w:sz="4" w:space="0" w:color="auto"/>
              <w:right w:val="single" w:sz="4" w:space="0" w:color="auto"/>
            </w:tcBorders>
            <w:noWrap/>
          </w:tcPr>
          <w:p w14:paraId="574105F3" w14:textId="77777777" w:rsidR="004C6650" w:rsidRPr="004C6650" w:rsidRDefault="004C6650" w:rsidP="004C6650">
            <w:pPr>
              <w:spacing w:after="0"/>
              <w:ind w:firstLine="0"/>
              <w:jc w:val="left"/>
              <w:rPr>
                <w:rFonts w:cs="Times New Roman"/>
                <w:sz w:val="18"/>
                <w:szCs w:val="18"/>
              </w:rPr>
            </w:pPr>
            <w:r w:rsidRPr="004C6650">
              <w:rPr>
                <w:rFonts w:cs="Times New Roman"/>
                <w:sz w:val="18"/>
                <w:szCs w:val="18"/>
              </w:rPr>
              <w:t>VSIA "Latvijas koncerti"</w:t>
            </w:r>
          </w:p>
        </w:tc>
        <w:tc>
          <w:tcPr>
            <w:tcW w:w="1792" w:type="dxa"/>
            <w:tcBorders>
              <w:top w:val="single" w:sz="4" w:space="0" w:color="auto"/>
              <w:left w:val="nil"/>
              <w:bottom w:val="single" w:sz="4" w:space="0" w:color="auto"/>
              <w:right w:val="single" w:sz="4" w:space="0" w:color="auto"/>
            </w:tcBorders>
            <w:noWrap/>
          </w:tcPr>
          <w:p w14:paraId="748E169D" w14:textId="77777777" w:rsidR="004C6650" w:rsidRPr="004C6650" w:rsidRDefault="004C6650" w:rsidP="004C6650">
            <w:pPr>
              <w:spacing w:after="0"/>
              <w:ind w:firstLine="0"/>
              <w:jc w:val="right"/>
              <w:rPr>
                <w:sz w:val="18"/>
                <w:szCs w:val="16"/>
              </w:rPr>
            </w:pPr>
            <w:r w:rsidRPr="004C6650">
              <w:rPr>
                <w:sz w:val="18"/>
                <w:szCs w:val="16"/>
              </w:rPr>
              <w:t>0,001</w:t>
            </w:r>
          </w:p>
        </w:tc>
        <w:tc>
          <w:tcPr>
            <w:tcW w:w="1417" w:type="dxa"/>
            <w:tcBorders>
              <w:top w:val="single" w:sz="4" w:space="0" w:color="auto"/>
              <w:left w:val="nil"/>
              <w:bottom w:val="single" w:sz="4" w:space="0" w:color="auto"/>
              <w:right w:val="single" w:sz="4" w:space="0" w:color="auto"/>
            </w:tcBorders>
            <w:noWrap/>
          </w:tcPr>
          <w:p w14:paraId="0A066EFD" w14:textId="77777777" w:rsidR="004C6650" w:rsidRPr="004C6650" w:rsidRDefault="004C6650" w:rsidP="004C6650">
            <w:pPr>
              <w:spacing w:after="0"/>
              <w:ind w:firstLine="0"/>
              <w:jc w:val="right"/>
              <w:rPr>
                <w:sz w:val="18"/>
                <w:szCs w:val="16"/>
              </w:rPr>
            </w:pPr>
            <w:r w:rsidRPr="004C6650">
              <w:rPr>
                <w:sz w:val="18"/>
                <w:szCs w:val="16"/>
              </w:rPr>
              <w:t>0,000</w:t>
            </w:r>
          </w:p>
        </w:tc>
        <w:tc>
          <w:tcPr>
            <w:tcW w:w="1417" w:type="dxa"/>
            <w:tcBorders>
              <w:top w:val="single" w:sz="4" w:space="0" w:color="auto"/>
              <w:left w:val="nil"/>
              <w:bottom w:val="single" w:sz="4" w:space="0" w:color="auto"/>
              <w:right w:val="single" w:sz="4" w:space="0" w:color="auto"/>
            </w:tcBorders>
            <w:noWrap/>
          </w:tcPr>
          <w:p w14:paraId="33DC8D65" w14:textId="77777777" w:rsidR="004C6650" w:rsidRPr="004C6650" w:rsidRDefault="004C6650" w:rsidP="004C6650">
            <w:pPr>
              <w:spacing w:after="0"/>
              <w:ind w:firstLine="0"/>
              <w:jc w:val="right"/>
              <w:rPr>
                <w:sz w:val="18"/>
                <w:szCs w:val="16"/>
              </w:rPr>
            </w:pPr>
            <w:r w:rsidRPr="004C6650">
              <w:rPr>
                <w:sz w:val="18"/>
                <w:szCs w:val="16"/>
              </w:rPr>
              <w:t>0,000</w:t>
            </w:r>
          </w:p>
        </w:tc>
      </w:tr>
      <w:tr w:rsidR="004C6650" w:rsidRPr="004C6650" w14:paraId="441DC7AE"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vAlign w:val="bottom"/>
            <w:hideMark/>
          </w:tcPr>
          <w:p w14:paraId="56B0455A" w14:textId="77777777" w:rsidR="004C6650" w:rsidRPr="004C6650" w:rsidRDefault="004C6650" w:rsidP="004C6650">
            <w:pPr>
              <w:spacing w:after="0"/>
              <w:ind w:firstLine="0"/>
              <w:jc w:val="center"/>
              <w:rPr>
                <w:rFonts w:eastAsia="Times New Roman" w:cs="Times New Roman"/>
                <w:color w:val="000000"/>
                <w:sz w:val="18"/>
                <w:szCs w:val="18"/>
              </w:rPr>
            </w:pPr>
            <w:r w:rsidRPr="004C6650">
              <w:rPr>
                <w:rFonts w:eastAsia="Times New Roman" w:cs="Times New Roman"/>
                <w:color w:val="000000"/>
                <w:sz w:val="18"/>
                <w:szCs w:val="18"/>
              </w:rPr>
              <w:t>S130300</w:t>
            </w:r>
          </w:p>
        </w:tc>
        <w:tc>
          <w:tcPr>
            <w:tcW w:w="8212" w:type="dxa"/>
            <w:tcBorders>
              <w:top w:val="single" w:sz="4" w:space="0" w:color="auto"/>
              <w:left w:val="nil"/>
              <w:bottom w:val="single" w:sz="4" w:space="0" w:color="auto"/>
              <w:right w:val="single" w:sz="4" w:space="0" w:color="auto"/>
            </w:tcBorders>
            <w:noWrap/>
            <w:vAlign w:val="bottom"/>
            <w:hideMark/>
          </w:tcPr>
          <w:p w14:paraId="43616450" w14:textId="77777777" w:rsidR="004C6650" w:rsidRPr="004C6650" w:rsidRDefault="004C6650" w:rsidP="004C6650">
            <w:pPr>
              <w:spacing w:after="0"/>
              <w:ind w:firstLine="0"/>
              <w:jc w:val="left"/>
              <w:rPr>
                <w:rFonts w:eastAsia="Times New Roman" w:cs="Times New Roman"/>
                <w:color w:val="000000"/>
                <w:sz w:val="18"/>
                <w:szCs w:val="18"/>
              </w:rPr>
            </w:pPr>
            <w:r w:rsidRPr="004C6650">
              <w:rPr>
                <w:rFonts w:eastAsia="Times New Roman" w:cs="Times New Roman"/>
                <w:color w:val="000000"/>
                <w:sz w:val="18"/>
                <w:szCs w:val="18"/>
              </w:rPr>
              <w:t> </w:t>
            </w:r>
          </w:p>
        </w:tc>
        <w:tc>
          <w:tcPr>
            <w:tcW w:w="1792" w:type="dxa"/>
            <w:tcBorders>
              <w:top w:val="single" w:sz="4" w:space="0" w:color="auto"/>
              <w:left w:val="nil"/>
              <w:bottom w:val="single" w:sz="4" w:space="0" w:color="auto"/>
              <w:right w:val="single" w:sz="4" w:space="0" w:color="auto"/>
            </w:tcBorders>
            <w:noWrap/>
            <w:vAlign w:val="bottom"/>
          </w:tcPr>
          <w:p w14:paraId="0A522A02" w14:textId="77777777" w:rsidR="004C6650" w:rsidRPr="004C6650" w:rsidRDefault="004C6650" w:rsidP="004C6650">
            <w:pPr>
              <w:spacing w:after="0"/>
              <w:ind w:firstLine="0"/>
              <w:jc w:val="left"/>
              <w:rPr>
                <w:rFonts w:eastAsia="Times New Roman" w:cs="Times New Roman"/>
                <w:color w:val="000000"/>
                <w:sz w:val="18"/>
                <w:szCs w:val="18"/>
                <w:highlight w:val="yellow"/>
              </w:rPr>
            </w:pPr>
          </w:p>
        </w:tc>
        <w:tc>
          <w:tcPr>
            <w:tcW w:w="1417" w:type="dxa"/>
            <w:tcBorders>
              <w:top w:val="single" w:sz="4" w:space="0" w:color="auto"/>
              <w:left w:val="nil"/>
              <w:bottom w:val="single" w:sz="4" w:space="0" w:color="auto"/>
              <w:right w:val="single" w:sz="4" w:space="0" w:color="auto"/>
            </w:tcBorders>
            <w:noWrap/>
            <w:vAlign w:val="bottom"/>
          </w:tcPr>
          <w:p w14:paraId="0D223325" w14:textId="77777777" w:rsidR="004C6650" w:rsidRPr="004C6650" w:rsidRDefault="004C6650" w:rsidP="004C6650">
            <w:pPr>
              <w:spacing w:after="0"/>
              <w:ind w:firstLine="0"/>
              <w:jc w:val="left"/>
              <w:rPr>
                <w:rFonts w:eastAsia="Times New Roman" w:cs="Times New Roman"/>
                <w:color w:val="000000"/>
                <w:sz w:val="18"/>
                <w:szCs w:val="18"/>
                <w:highlight w:val="yellow"/>
              </w:rPr>
            </w:pPr>
          </w:p>
        </w:tc>
        <w:tc>
          <w:tcPr>
            <w:tcW w:w="1417" w:type="dxa"/>
            <w:tcBorders>
              <w:top w:val="single" w:sz="4" w:space="0" w:color="auto"/>
              <w:left w:val="nil"/>
              <w:bottom w:val="single" w:sz="4" w:space="0" w:color="auto"/>
              <w:right w:val="single" w:sz="4" w:space="0" w:color="auto"/>
            </w:tcBorders>
            <w:noWrap/>
            <w:vAlign w:val="bottom"/>
          </w:tcPr>
          <w:p w14:paraId="7410D08E" w14:textId="77777777" w:rsidR="004C6650" w:rsidRPr="004C6650" w:rsidRDefault="004C6650" w:rsidP="004C6650">
            <w:pPr>
              <w:spacing w:after="0"/>
              <w:ind w:firstLine="0"/>
              <w:jc w:val="left"/>
              <w:rPr>
                <w:rFonts w:eastAsia="Times New Roman" w:cs="Times New Roman"/>
                <w:color w:val="000000"/>
                <w:sz w:val="18"/>
                <w:szCs w:val="18"/>
                <w:highlight w:val="yellow"/>
              </w:rPr>
            </w:pPr>
          </w:p>
        </w:tc>
      </w:tr>
      <w:tr w:rsidR="004C6650" w:rsidRPr="004C6650" w14:paraId="4795D9D7"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hideMark/>
          </w:tcPr>
          <w:p w14:paraId="45822DDC"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1</w:t>
            </w:r>
          </w:p>
        </w:tc>
        <w:tc>
          <w:tcPr>
            <w:tcW w:w="8212" w:type="dxa"/>
            <w:tcBorders>
              <w:top w:val="single" w:sz="4" w:space="0" w:color="auto"/>
              <w:left w:val="single" w:sz="4" w:space="0" w:color="auto"/>
              <w:bottom w:val="single" w:sz="4" w:space="0" w:color="auto"/>
              <w:right w:val="single" w:sz="4" w:space="0" w:color="auto"/>
            </w:tcBorders>
            <w:noWrap/>
            <w:hideMark/>
          </w:tcPr>
          <w:p w14:paraId="2E262DFC" w14:textId="77777777" w:rsidR="004C6650" w:rsidRPr="004C6650" w:rsidRDefault="004C6650" w:rsidP="004C6650">
            <w:pPr>
              <w:spacing w:after="0"/>
              <w:ind w:firstLine="0"/>
              <w:jc w:val="left"/>
              <w:rPr>
                <w:rFonts w:eastAsia="Times New Roman" w:cs="Times New Roman"/>
                <w:color w:val="000000"/>
                <w:sz w:val="18"/>
                <w:szCs w:val="18"/>
                <w:highlight w:val="yellow"/>
              </w:rPr>
            </w:pPr>
            <w:r w:rsidRPr="004C6650">
              <w:rPr>
                <w:rFonts w:cs="Times New Roman"/>
                <w:sz w:val="18"/>
                <w:szCs w:val="18"/>
              </w:rPr>
              <w:t>RP SIA "Rīgas Satiksme"</w:t>
            </w:r>
          </w:p>
        </w:tc>
        <w:tc>
          <w:tcPr>
            <w:tcW w:w="1792" w:type="dxa"/>
            <w:tcBorders>
              <w:top w:val="single" w:sz="4" w:space="0" w:color="auto"/>
              <w:left w:val="single" w:sz="4" w:space="0" w:color="auto"/>
              <w:bottom w:val="single" w:sz="4" w:space="0" w:color="auto"/>
              <w:right w:val="single" w:sz="4" w:space="0" w:color="auto"/>
            </w:tcBorders>
            <w:noWrap/>
            <w:vAlign w:val="bottom"/>
          </w:tcPr>
          <w:p w14:paraId="09BEE6F4"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235,006</w:t>
            </w:r>
          </w:p>
        </w:tc>
        <w:tc>
          <w:tcPr>
            <w:tcW w:w="1417" w:type="dxa"/>
            <w:tcBorders>
              <w:top w:val="single" w:sz="4" w:space="0" w:color="auto"/>
              <w:left w:val="single" w:sz="4" w:space="0" w:color="auto"/>
              <w:bottom w:val="single" w:sz="4" w:space="0" w:color="auto"/>
              <w:right w:val="single" w:sz="4" w:space="0" w:color="auto"/>
            </w:tcBorders>
            <w:noWrap/>
            <w:vAlign w:val="bottom"/>
          </w:tcPr>
          <w:p w14:paraId="7BAEE046"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230,239</w:t>
            </w:r>
          </w:p>
        </w:tc>
        <w:tc>
          <w:tcPr>
            <w:tcW w:w="1417" w:type="dxa"/>
            <w:tcBorders>
              <w:top w:val="single" w:sz="4" w:space="0" w:color="auto"/>
              <w:left w:val="single" w:sz="4" w:space="0" w:color="auto"/>
              <w:bottom w:val="single" w:sz="4" w:space="0" w:color="auto"/>
              <w:right w:val="single" w:sz="4" w:space="0" w:color="auto"/>
            </w:tcBorders>
            <w:noWrap/>
            <w:vAlign w:val="bottom"/>
          </w:tcPr>
          <w:p w14:paraId="7EDEE220"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243,813</w:t>
            </w:r>
          </w:p>
        </w:tc>
      </w:tr>
      <w:tr w:rsidR="004C6650" w:rsidRPr="004C6650" w14:paraId="26C4E425"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hideMark/>
          </w:tcPr>
          <w:p w14:paraId="5AD2DC74"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2</w:t>
            </w:r>
          </w:p>
        </w:tc>
        <w:tc>
          <w:tcPr>
            <w:tcW w:w="8212" w:type="dxa"/>
            <w:tcBorders>
              <w:top w:val="single" w:sz="4" w:space="0" w:color="auto"/>
              <w:left w:val="single" w:sz="4" w:space="0" w:color="auto"/>
              <w:bottom w:val="single" w:sz="4" w:space="0" w:color="auto"/>
              <w:right w:val="single" w:sz="4" w:space="0" w:color="auto"/>
            </w:tcBorders>
            <w:noWrap/>
            <w:hideMark/>
          </w:tcPr>
          <w:p w14:paraId="666035B1" w14:textId="77777777" w:rsidR="004C6650" w:rsidRPr="004C6650" w:rsidRDefault="004C6650" w:rsidP="004C6650">
            <w:pPr>
              <w:spacing w:after="0"/>
              <w:ind w:firstLine="0"/>
              <w:jc w:val="left"/>
              <w:rPr>
                <w:rFonts w:eastAsia="Times New Roman" w:cs="Times New Roman"/>
                <w:color w:val="000000"/>
                <w:sz w:val="18"/>
                <w:szCs w:val="18"/>
                <w:highlight w:val="yellow"/>
              </w:rPr>
            </w:pPr>
            <w:r w:rsidRPr="004C6650">
              <w:rPr>
                <w:rFonts w:cs="Times New Roman"/>
                <w:sz w:val="18"/>
                <w:szCs w:val="18"/>
              </w:rPr>
              <w:t>SIA "Salaspils veselības centrs"</w:t>
            </w:r>
          </w:p>
        </w:tc>
        <w:tc>
          <w:tcPr>
            <w:tcW w:w="1792" w:type="dxa"/>
            <w:tcBorders>
              <w:top w:val="single" w:sz="4" w:space="0" w:color="auto"/>
              <w:left w:val="single" w:sz="4" w:space="0" w:color="auto"/>
              <w:bottom w:val="single" w:sz="4" w:space="0" w:color="auto"/>
              <w:right w:val="single" w:sz="4" w:space="0" w:color="auto"/>
            </w:tcBorders>
            <w:noWrap/>
            <w:vAlign w:val="bottom"/>
          </w:tcPr>
          <w:p w14:paraId="13F8A231"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3,209</w:t>
            </w:r>
          </w:p>
        </w:tc>
        <w:tc>
          <w:tcPr>
            <w:tcW w:w="1417" w:type="dxa"/>
            <w:tcBorders>
              <w:top w:val="single" w:sz="4" w:space="0" w:color="auto"/>
              <w:left w:val="single" w:sz="4" w:space="0" w:color="auto"/>
              <w:bottom w:val="single" w:sz="4" w:space="0" w:color="auto"/>
              <w:right w:val="single" w:sz="4" w:space="0" w:color="auto"/>
            </w:tcBorders>
            <w:noWrap/>
            <w:vAlign w:val="bottom"/>
          </w:tcPr>
          <w:p w14:paraId="4472F1F1"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3,030</w:t>
            </w:r>
          </w:p>
        </w:tc>
        <w:tc>
          <w:tcPr>
            <w:tcW w:w="1417" w:type="dxa"/>
            <w:tcBorders>
              <w:top w:val="single" w:sz="4" w:space="0" w:color="auto"/>
              <w:left w:val="single" w:sz="4" w:space="0" w:color="auto"/>
              <w:bottom w:val="single" w:sz="4" w:space="0" w:color="auto"/>
              <w:right w:val="single" w:sz="4" w:space="0" w:color="auto"/>
            </w:tcBorders>
            <w:noWrap/>
            <w:vAlign w:val="bottom"/>
          </w:tcPr>
          <w:p w14:paraId="08B8709D"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2,852</w:t>
            </w:r>
          </w:p>
        </w:tc>
      </w:tr>
      <w:tr w:rsidR="004C6650" w:rsidRPr="004C6650" w14:paraId="4FC391E9"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hideMark/>
          </w:tcPr>
          <w:p w14:paraId="6A712041"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3</w:t>
            </w:r>
          </w:p>
        </w:tc>
        <w:tc>
          <w:tcPr>
            <w:tcW w:w="8212" w:type="dxa"/>
            <w:tcBorders>
              <w:top w:val="single" w:sz="4" w:space="0" w:color="auto"/>
              <w:left w:val="single" w:sz="4" w:space="0" w:color="auto"/>
              <w:bottom w:val="single" w:sz="4" w:space="0" w:color="auto"/>
              <w:right w:val="single" w:sz="4" w:space="0" w:color="auto"/>
            </w:tcBorders>
            <w:noWrap/>
          </w:tcPr>
          <w:p w14:paraId="10EF3C07" w14:textId="77777777" w:rsidR="004C6650" w:rsidRPr="004C6650" w:rsidRDefault="004C6650" w:rsidP="004C6650">
            <w:pPr>
              <w:spacing w:after="0"/>
              <w:ind w:firstLine="0"/>
              <w:jc w:val="left"/>
              <w:rPr>
                <w:rFonts w:eastAsia="Times New Roman" w:cs="Times New Roman"/>
                <w:color w:val="000000"/>
                <w:sz w:val="18"/>
                <w:szCs w:val="18"/>
                <w:highlight w:val="yellow"/>
              </w:rPr>
            </w:pPr>
            <w:r w:rsidRPr="004C6650">
              <w:rPr>
                <w:rFonts w:cs="Times New Roman"/>
                <w:sz w:val="18"/>
                <w:szCs w:val="18"/>
              </w:rPr>
              <w:t>SIA "Liepājas Olimpiskais centrs"</w:t>
            </w:r>
          </w:p>
        </w:tc>
        <w:tc>
          <w:tcPr>
            <w:tcW w:w="1792" w:type="dxa"/>
            <w:tcBorders>
              <w:top w:val="single" w:sz="4" w:space="0" w:color="auto"/>
              <w:left w:val="single" w:sz="4" w:space="0" w:color="auto"/>
              <w:bottom w:val="single" w:sz="4" w:space="0" w:color="auto"/>
              <w:right w:val="single" w:sz="4" w:space="0" w:color="auto"/>
            </w:tcBorders>
            <w:noWrap/>
            <w:vAlign w:val="bottom"/>
          </w:tcPr>
          <w:p w14:paraId="44DE86EC" w14:textId="77777777" w:rsidR="004C6650" w:rsidRPr="004C6650" w:rsidRDefault="004C6650" w:rsidP="004C6650">
            <w:pPr>
              <w:spacing w:after="0"/>
              <w:ind w:firstLine="0"/>
              <w:jc w:val="right"/>
              <w:rPr>
                <w:rFonts w:eastAsia="Times New Roman" w:cs="Times New Roman"/>
                <w:color w:val="000000"/>
                <w:sz w:val="18"/>
                <w:szCs w:val="16"/>
                <w:highlight w:val="yellow"/>
              </w:rPr>
            </w:pPr>
            <w:r w:rsidRPr="004C6650">
              <w:rPr>
                <w:rFonts w:cs="Times New Roman"/>
                <w:sz w:val="18"/>
                <w:szCs w:val="18"/>
              </w:rPr>
              <w:t>0,790</w:t>
            </w:r>
          </w:p>
        </w:tc>
        <w:tc>
          <w:tcPr>
            <w:tcW w:w="1417" w:type="dxa"/>
            <w:tcBorders>
              <w:top w:val="single" w:sz="4" w:space="0" w:color="auto"/>
              <w:left w:val="single" w:sz="4" w:space="0" w:color="auto"/>
              <w:bottom w:val="single" w:sz="4" w:space="0" w:color="auto"/>
              <w:right w:val="single" w:sz="4" w:space="0" w:color="auto"/>
            </w:tcBorders>
            <w:noWrap/>
            <w:vAlign w:val="bottom"/>
          </w:tcPr>
          <w:p w14:paraId="27EAF649" w14:textId="77777777" w:rsidR="004C6650" w:rsidRPr="004C6650" w:rsidRDefault="004C6650" w:rsidP="004C6650">
            <w:pPr>
              <w:spacing w:after="0"/>
              <w:ind w:firstLine="0"/>
              <w:jc w:val="right"/>
              <w:rPr>
                <w:rFonts w:eastAsia="Times New Roman" w:cs="Times New Roman"/>
                <w:color w:val="000000"/>
                <w:sz w:val="18"/>
                <w:szCs w:val="16"/>
                <w:highlight w:val="yellow"/>
              </w:rPr>
            </w:pPr>
            <w:r w:rsidRPr="004C6650">
              <w:rPr>
                <w:rFonts w:cs="Times New Roman"/>
                <w:sz w:val="18"/>
                <w:szCs w:val="18"/>
              </w:rPr>
              <w:t>0,733</w:t>
            </w:r>
          </w:p>
        </w:tc>
        <w:tc>
          <w:tcPr>
            <w:tcW w:w="1417" w:type="dxa"/>
            <w:tcBorders>
              <w:top w:val="single" w:sz="4" w:space="0" w:color="auto"/>
              <w:left w:val="single" w:sz="4" w:space="0" w:color="auto"/>
              <w:bottom w:val="single" w:sz="4" w:space="0" w:color="auto"/>
              <w:right w:val="single" w:sz="4" w:space="0" w:color="auto"/>
            </w:tcBorders>
            <w:noWrap/>
            <w:vAlign w:val="bottom"/>
          </w:tcPr>
          <w:p w14:paraId="7BF70D3B" w14:textId="77777777" w:rsidR="004C6650" w:rsidRPr="004C6650" w:rsidRDefault="004C6650" w:rsidP="004C6650">
            <w:pPr>
              <w:spacing w:after="0"/>
              <w:ind w:firstLine="0"/>
              <w:jc w:val="right"/>
              <w:rPr>
                <w:rFonts w:eastAsia="Times New Roman" w:cs="Times New Roman"/>
                <w:color w:val="000000"/>
                <w:sz w:val="18"/>
                <w:szCs w:val="16"/>
                <w:highlight w:val="yellow"/>
              </w:rPr>
            </w:pPr>
            <w:r w:rsidRPr="004C6650">
              <w:rPr>
                <w:rFonts w:cs="Times New Roman"/>
                <w:sz w:val="18"/>
                <w:szCs w:val="18"/>
              </w:rPr>
              <w:t>0,676</w:t>
            </w:r>
          </w:p>
        </w:tc>
      </w:tr>
      <w:tr w:rsidR="004C6650" w:rsidRPr="004C6650" w14:paraId="10805ACB"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hideMark/>
          </w:tcPr>
          <w:p w14:paraId="1CC16CB1"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4</w:t>
            </w:r>
          </w:p>
        </w:tc>
        <w:tc>
          <w:tcPr>
            <w:tcW w:w="8212" w:type="dxa"/>
            <w:tcBorders>
              <w:top w:val="single" w:sz="4" w:space="0" w:color="auto"/>
              <w:left w:val="single" w:sz="4" w:space="0" w:color="auto"/>
              <w:bottom w:val="single" w:sz="4" w:space="0" w:color="auto"/>
              <w:right w:val="single" w:sz="4" w:space="0" w:color="auto"/>
            </w:tcBorders>
            <w:noWrap/>
          </w:tcPr>
          <w:p w14:paraId="43737BFF" w14:textId="77777777" w:rsidR="004C6650" w:rsidRPr="004C6650" w:rsidRDefault="004C6650" w:rsidP="004C6650">
            <w:pPr>
              <w:spacing w:after="0"/>
              <w:ind w:firstLine="0"/>
              <w:jc w:val="left"/>
              <w:rPr>
                <w:rFonts w:eastAsia="Times New Roman" w:cs="Times New Roman"/>
                <w:color w:val="000000"/>
                <w:sz w:val="18"/>
                <w:szCs w:val="18"/>
                <w:highlight w:val="yellow"/>
              </w:rPr>
            </w:pPr>
            <w:r w:rsidRPr="004C6650">
              <w:rPr>
                <w:rFonts w:cs="Times New Roman"/>
                <w:sz w:val="18"/>
                <w:szCs w:val="18"/>
              </w:rPr>
              <w:t>AS "Daugavpils satiksme"</w:t>
            </w:r>
          </w:p>
        </w:tc>
        <w:tc>
          <w:tcPr>
            <w:tcW w:w="1792" w:type="dxa"/>
            <w:tcBorders>
              <w:top w:val="single" w:sz="4" w:space="0" w:color="auto"/>
              <w:left w:val="single" w:sz="4" w:space="0" w:color="auto"/>
              <w:bottom w:val="single" w:sz="4" w:space="0" w:color="auto"/>
              <w:right w:val="single" w:sz="4" w:space="0" w:color="auto"/>
            </w:tcBorders>
            <w:noWrap/>
            <w:vAlign w:val="bottom"/>
          </w:tcPr>
          <w:p w14:paraId="4068BA3B"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0,669</w:t>
            </w:r>
          </w:p>
        </w:tc>
        <w:tc>
          <w:tcPr>
            <w:tcW w:w="1417" w:type="dxa"/>
            <w:tcBorders>
              <w:top w:val="single" w:sz="4" w:space="0" w:color="auto"/>
              <w:left w:val="single" w:sz="4" w:space="0" w:color="auto"/>
              <w:bottom w:val="single" w:sz="4" w:space="0" w:color="auto"/>
              <w:right w:val="single" w:sz="4" w:space="0" w:color="auto"/>
            </w:tcBorders>
            <w:noWrap/>
            <w:vAlign w:val="bottom"/>
          </w:tcPr>
          <w:p w14:paraId="0CBD460C"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0,450</w:t>
            </w:r>
          </w:p>
        </w:tc>
        <w:tc>
          <w:tcPr>
            <w:tcW w:w="1417" w:type="dxa"/>
            <w:tcBorders>
              <w:top w:val="single" w:sz="4" w:space="0" w:color="auto"/>
              <w:left w:val="single" w:sz="4" w:space="0" w:color="auto"/>
              <w:bottom w:val="single" w:sz="4" w:space="0" w:color="auto"/>
              <w:right w:val="single" w:sz="4" w:space="0" w:color="auto"/>
            </w:tcBorders>
            <w:noWrap/>
            <w:vAlign w:val="bottom"/>
          </w:tcPr>
          <w:p w14:paraId="54350151"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0,306</w:t>
            </w:r>
          </w:p>
        </w:tc>
      </w:tr>
      <w:tr w:rsidR="004C6650" w:rsidRPr="004C6650" w14:paraId="049859F9"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hideMark/>
          </w:tcPr>
          <w:p w14:paraId="2727D379"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5</w:t>
            </w:r>
          </w:p>
        </w:tc>
        <w:tc>
          <w:tcPr>
            <w:tcW w:w="8212" w:type="dxa"/>
            <w:tcBorders>
              <w:top w:val="single" w:sz="4" w:space="0" w:color="auto"/>
              <w:left w:val="single" w:sz="4" w:space="0" w:color="auto"/>
              <w:bottom w:val="single" w:sz="4" w:space="0" w:color="auto"/>
              <w:right w:val="single" w:sz="4" w:space="0" w:color="auto"/>
            </w:tcBorders>
            <w:noWrap/>
          </w:tcPr>
          <w:p w14:paraId="3DE88580" w14:textId="77777777" w:rsidR="004C6650" w:rsidRPr="004C6650" w:rsidRDefault="004C6650" w:rsidP="004C6650">
            <w:pPr>
              <w:spacing w:after="0"/>
              <w:ind w:firstLine="0"/>
              <w:jc w:val="left"/>
              <w:rPr>
                <w:rFonts w:eastAsia="Times New Roman" w:cs="Times New Roman"/>
                <w:color w:val="000000"/>
                <w:sz w:val="18"/>
                <w:szCs w:val="18"/>
                <w:highlight w:val="yellow"/>
              </w:rPr>
            </w:pPr>
            <w:r w:rsidRPr="004C6650">
              <w:rPr>
                <w:rFonts w:cs="Times New Roman"/>
                <w:sz w:val="18"/>
                <w:szCs w:val="18"/>
              </w:rPr>
              <w:t>SIA "Rēzeknes satiksme"</w:t>
            </w:r>
          </w:p>
        </w:tc>
        <w:tc>
          <w:tcPr>
            <w:tcW w:w="1792" w:type="dxa"/>
            <w:tcBorders>
              <w:top w:val="single" w:sz="4" w:space="0" w:color="auto"/>
              <w:left w:val="single" w:sz="4" w:space="0" w:color="auto"/>
              <w:bottom w:val="single" w:sz="4" w:space="0" w:color="auto"/>
              <w:right w:val="single" w:sz="4" w:space="0" w:color="auto"/>
            </w:tcBorders>
            <w:noWrap/>
            <w:vAlign w:val="bottom"/>
          </w:tcPr>
          <w:p w14:paraId="1C56505A"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3,135</w:t>
            </w:r>
          </w:p>
        </w:tc>
        <w:tc>
          <w:tcPr>
            <w:tcW w:w="1417" w:type="dxa"/>
            <w:tcBorders>
              <w:top w:val="single" w:sz="4" w:space="0" w:color="auto"/>
              <w:left w:val="single" w:sz="4" w:space="0" w:color="auto"/>
              <w:bottom w:val="single" w:sz="4" w:space="0" w:color="auto"/>
              <w:right w:val="single" w:sz="4" w:space="0" w:color="auto"/>
            </w:tcBorders>
            <w:noWrap/>
            <w:vAlign w:val="bottom"/>
          </w:tcPr>
          <w:p w14:paraId="36553FCC"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2,824</w:t>
            </w:r>
          </w:p>
        </w:tc>
        <w:tc>
          <w:tcPr>
            <w:tcW w:w="1417" w:type="dxa"/>
            <w:tcBorders>
              <w:top w:val="single" w:sz="4" w:space="0" w:color="auto"/>
              <w:left w:val="single" w:sz="4" w:space="0" w:color="auto"/>
              <w:bottom w:val="single" w:sz="4" w:space="0" w:color="auto"/>
              <w:right w:val="single" w:sz="4" w:space="0" w:color="auto"/>
            </w:tcBorders>
            <w:noWrap/>
            <w:vAlign w:val="bottom"/>
          </w:tcPr>
          <w:p w14:paraId="7F7D4A4D"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2,453</w:t>
            </w:r>
          </w:p>
        </w:tc>
      </w:tr>
      <w:tr w:rsidR="004C6650" w:rsidRPr="004C6650" w14:paraId="3148C31C"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hideMark/>
          </w:tcPr>
          <w:p w14:paraId="63C04B72"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6</w:t>
            </w:r>
          </w:p>
        </w:tc>
        <w:tc>
          <w:tcPr>
            <w:tcW w:w="8212" w:type="dxa"/>
            <w:tcBorders>
              <w:top w:val="single" w:sz="4" w:space="0" w:color="auto"/>
              <w:left w:val="single" w:sz="4" w:space="0" w:color="auto"/>
              <w:bottom w:val="single" w:sz="4" w:space="0" w:color="auto"/>
              <w:right w:val="single" w:sz="4" w:space="0" w:color="auto"/>
            </w:tcBorders>
            <w:noWrap/>
          </w:tcPr>
          <w:p w14:paraId="631B31C6" w14:textId="77777777" w:rsidR="004C6650" w:rsidRPr="004C6650" w:rsidRDefault="004C6650" w:rsidP="004C6650">
            <w:pPr>
              <w:spacing w:after="0"/>
              <w:ind w:firstLine="0"/>
              <w:jc w:val="left"/>
              <w:rPr>
                <w:rFonts w:eastAsia="Times New Roman" w:cs="Times New Roman"/>
                <w:color w:val="000000"/>
                <w:sz w:val="18"/>
                <w:szCs w:val="18"/>
                <w:highlight w:val="yellow"/>
              </w:rPr>
            </w:pPr>
            <w:r w:rsidRPr="004C6650">
              <w:rPr>
                <w:rFonts w:cs="Times New Roman"/>
                <w:sz w:val="18"/>
                <w:szCs w:val="18"/>
              </w:rPr>
              <w:t>SIA "Jūrmalas slimnīca"</w:t>
            </w:r>
          </w:p>
        </w:tc>
        <w:tc>
          <w:tcPr>
            <w:tcW w:w="1792" w:type="dxa"/>
            <w:tcBorders>
              <w:top w:val="single" w:sz="4" w:space="0" w:color="auto"/>
              <w:left w:val="single" w:sz="4" w:space="0" w:color="auto"/>
              <w:bottom w:val="single" w:sz="4" w:space="0" w:color="auto"/>
              <w:right w:val="single" w:sz="4" w:space="0" w:color="auto"/>
            </w:tcBorders>
            <w:noWrap/>
            <w:vAlign w:val="bottom"/>
          </w:tcPr>
          <w:p w14:paraId="25515F35"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0,000</w:t>
            </w:r>
          </w:p>
        </w:tc>
        <w:tc>
          <w:tcPr>
            <w:tcW w:w="1417" w:type="dxa"/>
            <w:tcBorders>
              <w:top w:val="single" w:sz="4" w:space="0" w:color="auto"/>
              <w:left w:val="single" w:sz="4" w:space="0" w:color="auto"/>
              <w:bottom w:val="single" w:sz="4" w:space="0" w:color="auto"/>
              <w:right w:val="single" w:sz="4" w:space="0" w:color="auto"/>
            </w:tcBorders>
            <w:noWrap/>
            <w:vAlign w:val="bottom"/>
          </w:tcPr>
          <w:p w14:paraId="3DBE4BC5"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0,312</w:t>
            </w:r>
          </w:p>
        </w:tc>
        <w:tc>
          <w:tcPr>
            <w:tcW w:w="1417" w:type="dxa"/>
            <w:tcBorders>
              <w:top w:val="single" w:sz="4" w:space="0" w:color="auto"/>
              <w:left w:val="single" w:sz="4" w:space="0" w:color="auto"/>
              <w:bottom w:val="single" w:sz="4" w:space="0" w:color="auto"/>
              <w:right w:val="single" w:sz="4" w:space="0" w:color="auto"/>
            </w:tcBorders>
            <w:noWrap/>
            <w:vAlign w:val="bottom"/>
          </w:tcPr>
          <w:p w14:paraId="486DA466"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2,226</w:t>
            </w:r>
          </w:p>
        </w:tc>
      </w:tr>
      <w:tr w:rsidR="004C6650" w:rsidRPr="004C6650" w14:paraId="6FB64DC8"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hideMark/>
          </w:tcPr>
          <w:p w14:paraId="4F71CBC8"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7</w:t>
            </w:r>
          </w:p>
        </w:tc>
        <w:tc>
          <w:tcPr>
            <w:tcW w:w="8212" w:type="dxa"/>
            <w:tcBorders>
              <w:top w:val="single" w:sz="4" w:space="0" w:color="auto"/>
              <w:left w:val="single" w:sz="4" w:space="0" w:color="auto"/>
              <w:bottom w:val="single" w:sz="4" w:space="0" w:color="auto"/>
              <w:right w:val="single" w:sz="4" w:space="0" w:color="auto"/>
            </w:tcBorders>
            <w:noWrap/>
          </w:tcPr>
          <w:p w14:paraId="5BA3A3DA" w14:textId="77777777" w:rsidR="004C6650" w:rsidRPr="004C6650" w:rsidRDefault="004C6650" w:rsidP="004C6650">
            <w:pPr>
              <w:spacing w:after="0"/>
              <w:ind w:firstLine="0"/>
              <w:jc w:val="left"/>
              <w:rPr>
                <w:rFonts w:eastAsia="Times New Roman" w:cs="Times New Roman"/>
                <w:color w:val="000000"/>
                <w:sz w:val="18"/>
                <w:szCs w:val="18"/>
                <w:highlight w:val="yellow"/>
              </w:rPr>
            </w:pPr>
            <w:r w:rsidRPr="004C6650">
              <w:rPr>
                <w:rFonts w:cs="Times New Roman"/>
                <w:sz w:val="18"/>
                <w:szCs w:val="18"/>
              </w:rPr>
              <w:t>SIA "Jēkabpils reģionālā slimnīca"</w:t>
            </w:r>
          </w:p>
        </w:tc>
        <w:tc>
          <w:tcPr>
            <w:tcW w:w="1792" w:type="dxa"/>
            <w:tcBorders>
              <w:top w:val="single" w:sz="4" w:space="0" w:color="auto"/>
              <w:left w:val="single" w:sz="4" w:space="0" w:color="auto"/>
              <w:bottom w:val="single" w:sz="4" w:space="0" w:color="auto"/>
              <w:right w:val="single" w:sz="4" w:space="0" w:color="auto"/>
            </w:tcBorders>
            <w:noWrap/>
            <w:vAlign w:val="bottom"/>
          </w:tcPr>
          <w:p w14:paraId="2FD1C720"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0,218</w:t>
            </w:r>
          </w:p>
        </w:tc>
        <w:tc>
          <w:tcPr>
            <w:tcW w:w="1417" w:type="dxa"/>
            <w:tcBorders>
              <w:top w:val="single" w:sz="4" w:space="0" w:color="auto"/>
              <w:left w:val="single" w:sz="4" w:space="0" w:color="auto"/>
              <w:bottom w:val="single" w:sz="4" w:space="0" w:color="auto"/>
              <w:right w:val="single" w:sz="4" w:space="0" w:color="auto"/>
            </w:tcBorders>
            <w:noWrap/>
            <w:vAlign w:val="bottom"/>
          </w:tcPr>
          <w:p w14:paraId="1DD0E3CE"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0,184</w:t>
            </w:r>
          </w:p>
        </w:tc>
        <w:tc>
          <w:tcPr>
            <w:tcW w:w="1417" w:type="dxa"/>
            <w:tcBorders>
              <w:top w:val="single" w:sz="4" w:space="0" w:color="auto"/>
              <w:left w:val="single" w:sz="4" w:space="0" w:color="auto"/>
              <w:bottom w:val="single" w:sz="4" w:space="0" w:color="auto"/>
              <w:right w:val="single" w:sz="4" w:space="0" w:color="auto"/>
            </w:tcBorders>
            <w:noWrap/>
            <w:vAlign w:val="bottom"/>
          </w:tcPr>
          <w:p w14:paraId="71C00CC1"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0,156</w:t>
            </w:r>
          </w:p>
        </w:tc>
      </w:tr>
      <w:tr w:rsidR="004C6650" w:rsidRPr="004C6650" w14:paraId="6D028ACC" w14:textId="77777777" w:rsidTr="0052209F">
        <w:trPr>
          <w:trHeight w:val="69"/>
        </w:trPr>
        <w:tc>
          <w:tcPr>
            <w:tcW w:w="1283" w:type="dxa"/>
            <w:tcBorders>
              <w:top w:val="single" w:sz="4" w:space="0" w:color="auto"/>
              <w:left w:val="single" w:sz="4" w:space="0" w:color="auto"/>
              <w:bottom w:val="single" w:sz="4" w:space="0" w:color="auto"/>
              <w:right w:val="single" w:sz="4" w:space="0" w:color="auto"/>
            </w:tcBorders>
            <w:noWrap/>
            <w:hideMark/>
          </w:tcPr>
          <w:p w14:paraId="3FD2F3A8" w14:textId="77777777" w:rsidR="004C6650" w:rsidRPr="004C6650" w:rsidRDefault="004C6650" w:rsidP="004C6650">
            <w:pPr>
              <w:spacing w:after="0"/>
              <w:ind w:firstLine="0"/>
              <w:jc w:val="right"/>
              <w:rPr>
                <w:rFonts w:eastAsia="Times New Roman" w:cs="Times New Roman"/>
                <w:color w:val="000000"/>
                <w:sz w:val="18"/>
                <w:szCs w:val="18"/>
              </w:rPr>
            </w:pPr>
            <w:r w:rsidRPr="004C6650">
              <w:rPr>
                <w:rFonts w:cs="Times New Roman"/>
                <w:sz w:val="18"/>
                <w:szCs w:val="18"/>
              </w:rPr>
              <w:t>8</w:t>
            </w:r>
          </w:p>
        </w:tc>
        <w:tc>
          <w:tcPr>
            <w:tcW w:w="8212" w:type="dxa"/>
            <w:tcBorders>
              <w:top w:val="single" w:sz="4" w:space="0" w:color="auto"/>
              <w:left w:val="single" w:sz="4" w:space="0" w:color="auto"/>
              <w:bottom w:val="single" w:sz="4" w:space="0" w:color="auto"/>
              <w:right w:val="single" w:sz="4" w:space="0" w:color="auto"/>
            </w:tcBorders>
            <w:noWrap/>
          </w:tcPr>
          <w:p w14:paraId="1ADA5391" w14:textId="77777777" w:rsidR="004C6650" w:rsidRPr="004C6650" w:rsidRDefault="004C6650" w:rsidP="004C6650">
            <w:pPr>
              <w:spacing w:after="0"/>
              <w:ind w:firstLine="0"/>
              <w:jc w:val="left"/>
              <w:rPr>
                <w:rFonts w:eastAsia="Times New Roman" w:cs="Times New Roman"/>
                <w:color w:val="000000"/>
                <w:sz w:val="18"/>
                <w:szCs w:val="18"/>
                <w:highlight w:val="yellow"/>
              </w:rPr>
            </w:pPr>
            <w:r w:rsidRPr="004C6650">
              <w:rPr>
                <w:rFonts w:cs="Times New Roman"/>
                <w:sz w:val="18"/>
                <w:szCs w:val="18"/>
              </w:rPr>
              <w:t>SIA "Olimpiskais centrs Ventspils"</w:t>
            </w:r>
          </w:p>
        </w:tc>
        <w:tc>
          <w:tcPr>
            <w:tcW w:w="1792" w:type="dxa"/>
            <w:tcBorders>
              <w:top w:val="single" w:sz="4" w:space="0" w:color="auto"/>
              <w:left w:val="single" w:sz="4" w:space="0" w:color="auto"/>
              <w:bottom w:val="single" w:sz="4" w:space="0" w:color="auto"/>
              <w:right w:val="single" w:sz="4" w:space="0" w:color="auto"/>
            </w:tcBorders>
            <w:noWrap/>
            <w:vAlign w:val="bottom"/>
          </w:tcPr>
          <w:p w14:paraId="44C4ABDB"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1,212</w:t>
            </w:r>
          </w:p>
        </w:tc>
        <w:tc>
          <w:tcPr>
            <w:tcW w:w="1417" w:type="dxa"/>
            <w:tcBorders>
              <w:top w:val="single" w:sz="4" w:space="0" w:color="auto"/>
              <w:left w:val="single" w:sz="4" w:space="0" w:color="auto"/>
              <w:bottom w:val="single" w:sz="4" w:space="0" w:color="auto"/>
              <w:right w:val="single" w:sz="4" w:space="0" w:color="auto"/>
            </w:tcBorders>
            <w:noWrap/>
            <w:vAlign w:val="bottom"/>
          </w:tcPr>
          <w:p w14:paraId="4801C3A7"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1,105</w:t>
            </w:r>
          </w:p>
        </w:tc>
        <w:tc>
          <w:tcPr>
            <w:tcW w:w="1417" w:type="dxa"/>
            <w:tcBorders>
              <w:top w:val="single" w:sz="4" w:space="0" w:color="auto"/>
              <w:left w:val="single" w:sz="4" w:space="0" w:color="auto"/>
              <w:bottom w:val="single" w:sz="4" w:space="0" w:color="auto"/>
              <w:right w:val="single" w:sz="4" w:space="0" w:color="auto"/>
            </w:tcBorders>
            <w:noWrap/>
            <w:vAlign w:val="bottom"/>
          </w:tcPr>
          <w:p w14:paraId="06BBC85F" w14:textId="77777777" w:rsidR="004C6650" w:rsidRPr="004C6650" w:rsidRDefault="004C6650" w:rsidP="004C6650">
            <w:pPr>
              <w:spacing w:after="0"/>
              <w:ind w:firstLine="0"/>
              <w:jc w:val="right"/>
              <w:rPr>
                <w:rFonts w:cs="Times New Roman"/>
                <w:sz w:val="18"/>
                <w:szCs w:val="18"/>
              </w:rPr>
            </w:pPr>
            <w:r w:rsidRPr="004C6650">
              <w:rPr>
                <w:rFonts w:cs="Times New Roman"/>
                <w:sz w:val="18"/>
                <w:szCs w:val="18"/>
              </w:rPr>
              <w:t>0,994</w:t>
            </w:r>
          </w:p>
        </w:tc>
      </w:tr>
    </w:tbl>
    <w:p w14:paraId="1593AD59" w14:textId="77777777" w:rsidR="004C6650" w:rsidRPr="004C6650" w:rsidRDefault="004C6650" w:rsidP="004C6650">
      <w:pPr>
        <w:widowControl w:val="0"/>
        <w:spacing w:before="120"/>
        <w:ind w:firstLine="0"/>
        <w:rPr>
          <w:rFonts w:cs="Times New Roman"/>
          <w:i/>
          <w:sz w:val="18"/>
          <w:szCs w:val="18"/>
        </w:rPr>
      </w:pPr>
      <w:r w:rsidRPr="004C6650">
        <w:rPr>
          <w:rFonts w:cs="Times New Roman"/>
          <w:i/>
          <w:sz w:val="18"/>
          <w:szCs w:val="18"/>
        </w:rPr>
        <w:t>Datu avots: Valsts kase</w:t>
      </w:r>
    </w:p>
    <w:p w14:paraId="6DC3273E" w14:textId="388A5A98" w:rsidR="009613CE" w:rsidRPr="00D8017D" w:rsidRDefault="004C6650" w:rsidP="004C6650">
      <w:pPr>
        <w:spacing w:after="0"/>
        <w:ind w:firstLine="0"/>
        <w:jc w:val="left"/>
        <w:rPr>
          <w:i/>
          <w:sz w:val="20"/>
          <w:highlight w:val="lightGray"/>
        </w:rPr>
      </w:pPr>
      <w:r w:rsidRPr="004C6650">
        <w:rPr>
          <w:rFonts w:cs="Times New Roman"/>
          <w:i/>
          <w:sz w:val="18"/>
          <w:szCs w:val="18"/>
        </w:rPr>
        <w:t>* Dati sagatavoti apkopojot informāciju no kapitālsabiedrību ies</w:t>
      </w:r>
      <w:r w:rsidRPr="004C6650">
        <w:rPr>
          <w:i/>
          <w:sz w:val="20"/>
        </w:rPr>
        <w:t>niegtajām veidlapām Finanšu ministrijas organizētās aptaujas rezultātā 2025. gada jūnijā/jūlijā</w:t>
      </w:r>
      <w:r w:rsidRPr="00D8017D">
        <w:rPr>
          <w:i/>
          <w:sz w:val="20"/>
          <w:highlight w:val="lightGray"/>
        </w:rPr>
        <w:t xml:space="preserve"> </w:t>
      </w:r>
      <w:r w:rsidR="005E41CA" w:rsidRPr="00D8017D">
        <w:rPr>
          <w:i/>
          <w:sz w:val="20"/>
          <w:highlight w:val="lightGray"/>
        </w:rPr>
        <w:br w:type="page"/>
      </w:r>
    </w:p>
    <w:p w14:paraId="792D188B" w14:textId="77777777" w:rsidR="002C253E" w:rsidRPr="00D8017D" w:rsidRDefault="002C253E" w:rsidP="008349F0">
      <w:pPr>
        <w:widowControl w:val="0"/>
        <w:spacing w:after="0"/>
        <w:ind w:left="12242" w:firstLine="0"/>
        <w:jc w:val="right"/>
        <w:rPr>
          <w:rFonts w:eastAsia="Times New Roman" w:cs="Times New Roman"/>
          <w:color w:val="000000"/>
          <w:highlight w:val="lightGray"/>
        </w:rPr>
      </w:pPr>
    </w:p>
    <w:p w14:paraId="4C73586A" w14:textId="77777777" w:rsidR="003160BE" w:rsidRPr="003160BE" w:rsidRDefault="003160BE" w:rsidP="003160BE">
      <w:pPr>
        <w:widowControl w:val="0"/>
        <w:ind w:left="12240" w:firstLine="0"/>
        <w:jc w:val="right"/>
        <w:rPr>
          <w:rFonts w:eastAsia="Times New Roman" w:cs="Times New Roman"/>
          <w:color w:val="000000"/>
        </w:rPr>
      </w:pPr>
      <w:r w:rsidRPr="003160BE">
        <w:rPr>
          <w:rFonts w:eastAsia="Times New Roman" w:cs="Times New Roman"/>
          <w:color w:val="000000"/>
        </w:rPr>
        <w:t>4. pielikums</w:t>
      </w:r>
    </w:p>
    <w:tbl>
      <w:tblPr>
        <w:tblW w:w="5071" w:type="pct"/>
        <w:tblLook w:val="04A0" w:firstRow="1" w:lastRow="0" w:firstColumn="1" w:lastColumn="0" w:noHBand="0" w:noVBand="1"/>
      </w:tblPr>
      <w:tblGrid>
        <w:gridCol w:w="3921"/>
        <w:gridCol w:w="1251"/>
        <w:gridCol w:w="1223"/>
        <w:gridCol w:w="1103"/>
        <w:gridCol w:w="1039"/>
        <w:gridCol w:w="1223"/>
        <w:gridCol w:w="1032"/>
        <w:gridCol w:w="1153"/>
        <w:gridCol w:w="1224"/>
        <w:gridCol w:w="1033"/>
      </w:tblGrid>
      <w:tr w:rsidR="003160BE" w:rsidRPr="003160BE" w14:paraId="0CEF638B" w14:textId="77777777" w:rsidTr="0052209F">
        <w:trPr>
          <w:trHeight w:val="278"/>
        </w:trPr>
        <w:tc>
          <w:tcPr>
            <w:tcW w:w="5000" w:type="pct"/>
            <w:gridSpan w:val="10"/>
            <w:tcBorders>
              <w:top w:val="nil"/>
              <w:left w:val="nil"/>
              <w:bottom w:val="nil"/>
              <w:right w:val="nil"/>
            </w:tcBorders>
            <w:noWrap/>
            <w:vAlign w:val="center"/>
            <w:hideMark/>
          </w:tcPr>
          <w:p w14:paraId="0013A6B7" w14:textId="77777777" w:rsidR="003160BE" w:rsidRPr="003160BE" w:rsidRDefault="003160BE" w:rsidP="003160BE">
            <w:pPr>
              <w:spacing w:after="0"/>
              <w:ind w:firstLine="0"/>
              <w:jc w:val="right"/>
              <w:rPr>
                <w:rFonts w:eastAsia="Times New Roman" w:cs="Times New Roman"/>
                <w:b/>
                <w:bCs/>
                <w:color w:val="000000"/>
                <w:szCs w:val="24"/>
              </w:rPr>
            </w:pPr>
            <w:r w:rsidRPr="003160BE">
              <w:rPr>
                <w:rFonts w:eastAsia="Times New Roman" w:cs="Times New Roman"/>
                <w:b/>
                <w:bCs/>
                <w:color w:val="000000"/>
                <w:szCs w:val="24"/>
              </w:rPr>
              <w:t>Aizsardzības ministrijas pamatbudžeta programma 31.00.00. "Militārpersonu pensiju fonds"</w:t>
            </w:r>
          </w:p>
        </w:tc>
      </w:tr>
      <w:tr w:rsidR="003160BE" w:rsidRPr="003160BE" w14:paraId="6EA38802" w14:textId="77777777" w:rsidTr="003160BE">
        <w:trPr>
          <w:trHeight w:val="292"/>
        </w:trPr>
        <w:tc>
          <w:tcPr>
            <w:tcW w:w="1384" w:type="pct"/>
            <w:tcBorders>
              <w:top w:val="nil"/>
              <w:left w:val="nil"/>
              <w:bottom w:val="single" w:sz="4" w:space="0" w:color="auto"/>
              <w:right w:val="nil"/>
            </w:tcBorders>
            <w:noWrap/>
            <w:vAlign w:val="center"/>
            <w:hideMark/>
          </w:tcPr>
          <w:p w14:paraId="56CA93A7" w14:textId="77777777" w:rsidR="003160BE" w:rsidRPr="003160BE" w:rsidRDefault="003160BE" w:rsidP="003160BE">
            <w:pPr>
              <w:spacing w:after="0"/>
              <w:ind w:firstLine="0"/>
              <w:jc w:val="left"/>
              <w:rPr>
                <w:rFonts w:eastAsia="Times New Roman" w:cs="Times New Roman"/>
                <w:b/>
                <w:bCs/>
                <w:color w:val="000000"/>
                <w:szCs w:val="24"/>
              </w:rPr>
            </w:pPr>
          </w:p>
        </w:tc>
        <w:tc>
          <w:tcPr>
            <w:tcW w:w="444" w:type="pct"/>
            <w:tcBorders>
              <w:top w:val="nil"/>
              <w:left w:val="nil"/>
              <w:bottom w:val="single" w:sz="4" w:space="0" w:color="auto"/>
              <w:right w:val="nil"/>
            </w:tcBorders>
            <w:noWrap/>
            <w:vAlign w:val="center"/>
            <w:hideMark/>
          </w:tcPr>
          <w:p w14:paraId="348F5217" w14:textId="77777777" w:rsidR="003160BE" w:rsidRPr="003160BE" w:rsidRDefault="003160BE" w:rsidP="003160BE">
            <w:pPr>
              <w:spacing w:after="0"/>
              <w:ind w:firstLine="0"/>
              <w:jc w:val="center"/>
              <w:rPr>
                <w:rFonts w:eastAsia="Times New Roman" w:cs="Times New Roman"/>
                <w:sz w:val="20"/>
                <w:szCs w:val="20"/>
              </w:rPr>
            </w:pPr>
          </w:p>
        </w:tc>
        <w:tc>
          <w:tcPr>
            <w:tcW w:w="434" w:type="pct"/>
            <w:tcBorders>
              <w:top w:val="nil"/>
              <w:left w:val="nil"/>
              <w:bottom w:val="single" w:sz="4" w:space="0" w:color="auto"/>
              <w:right w:val="nil"/>
            </w:tcBorders>
            <w:noWrap/>
            <w:vAlign w:val="center"/>
            <w:hideMark/>
          </w:tcPr>
          <w:p w14:paraId="794D1D9C" w14:textId="77777777" w:rsidR="003160BE" w:rsidRPr="003160BE" w:rsidRDefault="003160BE" w:rsidP="003160BE">
            <w:pPr>
              <w:spacing w:after="0"/>
              <w:ind w:firstLine="0"/>
              <w:jc w:val="center"/>
              <w:rPr>
                <w:rFonts w:eastAsia="Times New Roman" w:cs="Times New Roman"/>
                <w:sz w:val="20"/>
                <w:szCs w:val="20"/>
              </w:rPr>
            </w:pPr>
          </w:p>
        </w:tc>
        <w:tc>
          <w:tcPr>
            <w:tcW w:w="392" w:type="pct"/>
            <w:tcBorders>
              <w:top w:val="nil"/>
              <w:left w:val="nil"/>
              <w:bottom w:val="single" w:sz="4" w:space="0" w:color="auto"/>
              <w:right w:val="nil"/>
            </w:tcBorders>
            <w:noWrap/>
            <w:vAlign w:val="center"/>
            <w:hideMark/>
          </w:tcPr>
          <w:p w14:paraId="1E75E109" w14:textId="77777777" w:rsidR="003160BE" w:rsidRPr="003160BE" w:rsidRDefault="003160BE" w:rsidP="003160BE">
            <w:pPr>
              <w:spacing w:after="0"/>
              <w:ind w:firstLine="0"/>
              <w:jc w:val="center"/>
              <w:rPr>
                <w:rFonts w:eastAsia="Times New Roman" w:cs="Times New Roman"/>
                <w:sz w:val="20"/>
                <w:szCs w:val="20"/>
              </w:rPr>
            </w:pPr>
          </w:p>
        </w:tc>
        <w:tc>
          <w:tcPr>
            <w:tcW w:w="335" w:type="pct"/>
            <w:tcBorders>
              <w:top w:val="nil"/>
              <w:left w:val="nil"/>
              <w:bottom w:val="single" w:sz="4" w:space="0" w:color="auto"/>
              <w:right w:val="nil"/>
            </w:tcBorders>
            <w:noWrap/>
            <w:vAlign w:val="center"/>
            <w:hideMark/>
          </w:tcPr>
          <w:p w14:paraId="2B46D762" w14:textId="77777777" w:rsidR="003160BE" w:rsidRPr="003160BE" w:rsidRDefault="003160BE" w:rsidP="003160BE">
            <w:pPr>
              <w:spacing w:after="0"/>
              <w:ind w:firstLine="0"/>
              <w:jc w:val="center"/>
              <w:rPr>
                <w:rFonts w:eastAsia="Times New Roman" w:cs="Times New Roman"/>
                <w:sz w:val="20"/>
                <w:szCs w:val="20"/>
              </w:rPr>
            </w:pPr>
          </w:p>
        </w:tc>
        <w:tc>
          <w:tcPr>
            <w:tcW w:w="434" w:type="pct"/>
            <w:tcBorders>
              <w:top w:val="nil"/>
              <w:left w:val="nil"/>
              <w:bottom w:val="single" w:sz="4" w:space="0" w:color="auto"/>
              <w:right w:val="nil"/>
            </w:tcBorders>
            <w:noWrap/>
            <w:vAlign w:val="center"/>
            <w:hideMark/>
          </w:tcPr>
          <w:p w14:paraId="57C19E85" w14:textId="77777777" w:rsidR="003160BE" w:rsidRPr="003160BE" w:rsidRDefault="003160BE" w:rsidP="003160BE">
            <w:pPr>
              <w:spacing w:after="0"/>
              <w:ind w:firstLine="0"/>
              <w:jc w:val="center"/>
              <w:rPr>
                <w:rFonts w:eastAsia="Times New Roman" w:cs="Times New Roman"/>
                <w:sz w:val="20"/>
                <w:szCs w:val="20"/>
              </w:rPr>
            </w:pPr>
          </w:p>
        </w:tc>
        <w:tc>
          <w:tcPr>
            <w:tcW w:w="367" w:type="pct"/>
            <w:tcBorders>
              <w:top w:val="nil"/>
              <w:left w:val="nil"/>
              <w:bottom w:val="single" w:sz="4" w:space="0" w:color="auto"/>
              <w:right w:val="nil"/>
            </w:tcBorders>
            <w:noWrap/>
            <w:vAlign w:val="center"/>
            <w:hideMark/>
          </w:tcPr>
          <w:p w14:paraId="39EB3EF1" w14:textId="77777777" w:rsidR="003160BE" w:rsidRPr="003160BE" w:rsidRDefault="003160BE" w:rsidP="003160BE">
            <w:pPr>
              <w:spacing w:after="0"/>
              <w:ind w:firstLine="0"/>
              <w:jc w:val="center"/>
              <w:rPr>
                <w:rFonts w:eastAsia="Times New Roman" w:cs="Times New Roman"/>
                <w:sz w:val="20"/>
                <w:szCs w:val="20"/>
              </w:rPr>
            </w:pPr>
          </w:p>
        </w:tc>
        <w:tc>
          <w:tcPr>
            <w:tcW w:w="409" w:type="pct"/>
            <w:tcBorders>
              <w:top w:val="nil"/>
              <w:left w:val="nil"/>
              <w:bottom w:val="single" w:sz="4" w:space="0" w:color="auto"/>
              <w:right w:val="nil"/>
            </w:tcBorders>
            <w:noWrap/>
            <w:vAlign w:val="center"/>
            <w:hideMark/>
          </w:tcPr>
          <w:p w14:paraId="10DA693D" w14:textId="77777777" w:rsidR="003160BE" w:rsidRPr="003160BE" w:rsidRDefault="003160BE" w:rsidP="003160BE">
            <w:pPr>
              <w:spacing w:after="0"/>
              <w:ind w:firstLine="0"/>
              <w:jc w:val="center"/>
              <w:rPr>
                <w:rFonts w:eastAsia="Times New Roman" w:cs="Times New Roman"/>
                <w:sz w:val="20"/>
                <w:szCs w:val="20"/>
              </w:rPr>
            </w:pPr>
          </w:p>
        </w:tc>
        <w:tc>
          <w:tcPr>
            <w:tcW w:w="434" w:type="pct"/>
            <w:tcBorders>
              <w:top w:val="nil"/>
              <w:left w:val="nil"/>
              <w:bottom w:val="single" w:sz="4" w:space="0" w:color="auto"/>
              <w:right w:val="nil"/>
            </w:tcBorders>
            <w:noWrap/>
            <w:vAlign w:val="center"/>
            <w:hideMark/>
          </w:tcPr>
          <w:p w14:paraId="2603F9CA" w14:textId="77777777" w:rsidR="003160BE" w:rsidRPr="003160BE" w:rsidRDefault="003160BE" w:rsidP="003160BE">
            <w:pPr>
              <w:spacing w:after="0"/>
              <w:ind w:firstLine="0"/>
              <w:jc w:val="center"/>
              <w:rPr>
                <w:rFonts w:eastAsia="Times New Roman" w:cs="Times New Roman"/>
                <w:sz w:val="20"/>
                <w:szCs w:val="20"/>
              </w:rPr>
            </w:pPr>
          </w:p>
        </w:tc>
        <w:tc>
          <w:tcPr>
            <w:tcW w:w="367" w:type="pct"/>
            <w:tcBorders>
              <w:top w:val="nil"/>
              <w:left w:val="nil"/>
              <w:bottom w:val="single" w:sz="4" w:space="0" w:color="auto"/>
              <w:right w:val="nil"/>
            </w:tcBorders>
            <w:noWrap/>
            <w:vAlign w:val="center"/>
            <w:hideMark/>
          </w:tcPr>
          <w:p w14:paraId="01928FCE" w14:textId="77777777" w:rsidR="003160BE" w:rsidRPr="003160BE" w:rsidRDefault="003160BE" w:rsidP="003160BE">
            <w:pPr>
              <w:spacing w:after="0"/>
              <w:ind w:firstLine="0"/>
              <w:jc w:val="center"/>
              <w:rPr>
                <w:rFonts w:eastAsia="Times New Roman" w:cs="Times New Roman"/>
                <w:i/>
                <w:iCs/>
                <w:color w:val="000000"/>
                <w:szCs w:val="24"/>
              </w:rPr>
            </w:pPr>
          </w:p>
        </w:tc>
      </w:tr>
      <w:tr w:rsidR="003160BE" w:rsidRPr="003160BE" w14:paraId="775487AA" w14:textId="77777777" w:rsidTr="003160BE">
        <w:trPr>
          <w:trHeight w:val="278"/>
        </w:trPr>
        <w:tc>
          <w:tcPr>
            <w:tcW w:w="1384" w:type="pct"/>
            <w:vMerge w:val="restart"/>
            <w:tcBorders>
              <w:top w:val="single" w:sz="4" w:space="0" w:color="auto"/>
              <w:left w:val="single" w:sz="4" w:space="0" w:color="auto"/>
              <w:bottom w:val="single" w:sz="4" w:space="0" w:color="auto"/>
              <w:right w:val="single" w:sz="4" w:space="0" w:color="auto"/>
            </w:tcBorders>
            <w:shd w:val="clear" w:color="000000" w:fill="BDD6EE"/>
            <w:noWrap/>
            <w:vAlign w:val="center"/>
            <w:hideMark/>
          </w:tcPr>
          <w:p w14:paraId="12A59B15"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Programma/pensijas, pabalsta veids</w:t>
            </w:r>
          </w:p>
        </w:tc>
        <w:tc>
          <w:tcPr>
            <w:tcW w:w="1270" w:type="pct"/>
            <w:gridSpan w:val="3"/>
            <w:tcBorders>
              <w:top w:val="single" w:sz="4" w:space="0" w:color="auto"/>
              <w:left w:val="single" w:sz="4" w:space="0" w:color="auto"/>
              <w:bottom w:val="single" w:sz="4" w:space="0" w:color="auto"/>
              <w:right w:val="single" w:sz="4" w:space="0" w:color="auto"/>
            </w:tcBorders>
            <w:shd w:val="clear" w:color="000000" w:fill="BDD6EE"/>
            <w:vAlign w:val="center"/>
            <w:hideMark/>
          </w:tcPr>
          <w:p w14:paraId="763B3849"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2026. gada</w:t>
            </w:r>
          </w:p>
        </w:tc>
        <w:tc>
          <w:tcPr>
            <w:tcW w:w="1136" w:type="pct"/>
            <w:gridSpan w:val="3"/>
            <w:tcBorders>
              <w:top w:val="single" w:sz="4" w:space="0" w:color="auto"/>
              <w:left w:val="single" w:sz="4" w:space="0" w:color="auto"/>
              <w:bottom w:val="single" w:sz="4" w:space="0" w:color="auto"/>
              <w:right w:val="single" w:sz="4" w:space="0" w:color="auto"/>
            </w:tcBorders>
            <w:shd w:val="clear" w:color="000000" w:fill="BDD6EE"/>
            <w:vAlign w:val="center"/>
            <w:hideMark/>
          </w:tcPr>
          <w:p w14:paraId="58EB498B"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2027. gada</w:t>
            </w:r>
          </w:p>
        </w:tc>
        <w:tc>
          <w:tcPr>
            <w:tcW w:w="1210" w:type="pct"/>
            <w:gridSpan w:val="3"/>
            <w:tcBorders>
              <w:top w:val="single" w:sz="4" w:space="0" w:color="auto"/>
              <w:left w:val="single" w:sz="4" w:space="0" w:color="auto"/>
              <w:bottom w:val="single" w:sz="4" w:space="0" w:color="auto"/>
              <w:right w:val="single" w:sz="4" w:space="0" w:color="auto"/>
            </w:tcBorders>
            <w:shd w:val="clear" w:color="000000" w:fill="BDD6EE"/>
            <w:vAlign w:val="center"/>
            <w:hideMark/>
          </w:tcPr>
          <w:p w14:paraId="5571519B"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2028. gada</w:t>
            </w:r>
          </w:p>
        </w:tc>
      </w:tr>
      <w:tr w:rsidR="003160BE" w:rsidRPr="003160BE" w14:paraId="7D6A3DD5" w14:textId="77777777" w:rsidTr="003160BE">
        <w:trPr>
          <w:trHeight w:val="1020"/>
        </w:trPr>
        <w:tc>
          <w:tcPr>
            <w:tcW w:w="1384" w:type="pct"/>
            <w:vMerge/>
            <w:tcBorders>
              <w:top w:val="single" w:sz="4" w:space="0" w:color="auto"/>
              <w:left w:val="single" w:sz="4" w:space="0" w:color="auto"/>
              <w:bottom w:val="single" w:sz="4" w:space="0" w:color="auto"/>
              <w:right w:val="single" w:sz="4" w:space="0" w:color="auto"/>
            </w:tcBorders>
            <w:vAlign w:val="center"/>
            <w:hideMark/>
          </w:tcPr>
          <w:p w14:paraId="00E5753B" w14:textId="77777777" w:rsidR="003160BE" w:rsidRPr="003160BE" w:rsidRDefault="003160BE" w:rsidP="003160BE">
            <w:pPr>
              <w:spacing w:after="0"/>
              <w:ind w:firstLine="0"/>
              <w:jc w:val="left"/>
              <w:rPr>
                <w:rFonts w:eastAsia="Times New Roman" w:cs="Times New Roman"/>
                <w:b/>
                <w:bCs/>
                <w:color w:val="000000"/>
                <w:sz w:val="20"/>
                <w:szCs w:val="20"/>
              </w:rPr>
            </w:pPr>
          </w:p>
        </w:tc>
        <w:tc>
          <w:tcPr>
            <w:tcW w:w="444"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7DCEFE45"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pensijas/ pabalsta/ atlīdzības apmērs vidēji mēnesī (</w:t>
            </w:r>
            <w:r w:rsidRPr="003160BE">
              <w:rPr>
                <w:rFonts w:eastAsia="Times New Roman" w:cs="Times New Roman"/>
                <w:b/>
                <w:bCs/>
                <w:i/>
                <w:iCs/>
                <w:color w:val="000000"/>
                <w:sz w:val="20"/>
                <w:szCs w:val="20"/>
              </w:rPr>
              <w:t>euro</w:t>
            </w:r>
            <w:r w:rsidRPr="003160BE">
              <w:rPr>
                <w:rFonts w:eastAsia="Times New Roman" w:cs="Times New Roman"/>
                <w:b/>
                <w:bCs/>
                <w:color w:val="000000"/>
                <w:sz w:val="20"/>
                <w:szCs w:val="20"/>
              </w:rPr>
              <w:t>)</w:t>
            </w:r>
          </w:p>
        </w:tc>
        <w:tc>
          <w:tcPr>
            <w:tcW w:w="434"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08FD92DC"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kontingents</w:t>
            </w:r>
          </w:p>
          <w:p w14:paraId="02F7AF42"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(vidēji mēnesī)</w:t>
            </w:r>
          </w:p>
        </w:tc>
        <w:tc>
          <w:tcPr>
            <w:tcW w:w="392"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730B2654"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izdevumi kopā</w:t>
            </w:r>
          </w:p>
          <w:p w14:paraId="0DCA5CEE"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w:t>
            </w:r>
            <w:r w:rsidRPr="003160BE">
              <w:rPr>
                <w:rFonts w:eastAsia="Times New Roman" w:cs="Times New Roman"/>
                <w:b/>
                <w:bCs/>
                <w:i/>
                <w:iCs/>
                <w:color w:val="000000"/>
                <w:sz w:val="20"/>
                <w:szCs w:val="20"/>
              </w:rPr>
              <w:t>euro</w:t>
            </w:r>
            <w:r w:rsidRPr="003160BE">
              <w:rPr>
                <w:rFonts w:eastAsia="Times New Roman" w:cs="Times New Roman"/>
                <w:b/>
                <w:bCs/>
                <w:color w:val="000000"/>
                <w:sz w:val="20"/>
                <w:szCs w:val="20"/>
              </w:rPr>
              <w:t>)</w:t>
            </w:r>
          </w:p>
        </w:tc>
        <w:tc>
          <w:tcPr>
            <w:tcW w:w="335"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275BDCF8"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pensijas/ pabalsta/ atlīdzības apmērs vidēji mēnesī (</w:t>
            </w:r>
            <w:r w:rsidRPr="003160BE">
              <w:rPr>
                <w:rFonts w:eastAsia="Times New Roman" w:cs="Times New Roman"/>
                <w:b/>
                <w:bCs/>
                <w:i/>
                <w:iCs/>
                <w:color w:val="000000"/>
                <w:sz w:val="20"/>
                <w:szCs w:val="20"/>
              </w:rPr>
              <w:t>euro</w:t>
            </w:r>
            <w:r w:rsidRPr="003160BE">
              <w:rPr>
                <w:rFonts w:eastAsia="Times New Roman" w:cs="Times New Roman"/>
                <w:b/>
                <w:bCs/>
                <w:color w:val="000000"/>
                <w:sz w:val="20"/>
                <w:szCs w:val="20"/>
              </w:rPr>
              <w:t>)</w:t>
            </w:r>
          </w:p>
        </w:tc>
        <w:tc>
          <w:tcPr>
            <w:tcW w:w="434"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0A38ED04"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kontingents</w:t>
            </w:r>
          </w:p>
          <w:p w14:paraId="44E95A8A"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(vidēji mēnesī)</w:t>
            </w:r>
          </w:p>
        </w:tc>
        <w:tc>
          <w:tcPr>
            <w:tcW w:w="367"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474340CA"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izdevumi kopā</w:t>
            </w:r>
          </w:p>
          <w:p w14:paraId="7A196B5B"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w:t>
            </w:r>
            <w:r w:rsidRPr="003160BE">
              <w:rPr>
                <w:rFonts w:eastAsia="Times New Roman" w:cs="Times New Roman"/>
                <w:b/>
                <w:bCs/>
                <w:i/>
                <w:iCs/>
                <w:color w:val="000000"/>
                <w:sz w:val="20"/>
                <w:szCs w:val="20"/>
              </w:rPr>
              <w:t>euro</w:t>
            </w:r>
            <w:r w:rsidRPr="003160BE">
              <w:rPr>
                <w:rFonts w:eastAsia="Times New Roman" w:cs="Times New Roman"/>
                <w:b/>
                <w:bCs/>
                <w:color w:val="000000"/>
                <w:sz w:val="20"/>
                <w:szCs w:val="20"/>
              </w:rPr>
              <w:t>)</w:t>
            </w:r>
          </w:p>
        </w:tc>
        <w:tc>
          <w:tcPr>
            <w:tcW w:w="409"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3C388A6E"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pensijas/ pabalsta/ atlīdzības apmērs vidēji mēnesī (</w:t>
            </w:r>
            <w:r w:rsidRPr="003160BE">
              <w:rPr>
                <w:rFonts w:eastAsia="Times New Roman" w:cs="Times New Roman"/>
                <w:b/>
                <w:bCs/>
                <w:i/>
                <w:iCs/>
                <w:color w:val="000000"/>
                <w:sz w:val="20"/>
                <w:szCs w:val="20"/>
              </w:rPr>
              <w:t>euro</w:t>
            </w:r>
            <w:r w:rsidRPr="003160BE">
              <w:rPr>
                <w:rFonts w:eastAsia="Times New Roman" w:cs="Times New Roman"/>
                <w:b/>
                <w:bCs/>
                <w:color w:val="000000"/>
                <w:sz w:val="20"/>
                <w:szCs w:val="20"/>
              </w:rPr>
              <w:t>)</w:t>
            </w:r>
          </w:p>
        </w:tc>
        <w:tc>
          <w:tcPr>
            <w:tcW w:w="434"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602367EA"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kontingents</w:t>
            </w:r>
          </w:p>
          <w:p w14:paraId="49566090"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(vidēji mēnesī)</w:t>
            </w:r>
          </w:p>
        </w:tc>
        <w:tc>
          <w:tcPr>
            <w:tcW w:w="367" w:type="pct"/>
            <w:tcBorders>
              <w:top w:val="single" w:sz="4" w:space="0" w:color="auto"/>
              <w:left w:val="single" w:sz="4" w:space="0" w:color="auto"/>
              <w:bottom w:val="single" w:sz="4" w:space="0" w:color="auto"/>
              <w:right w:val="single" w:sz="4" w:space="0" w:color="auto"/>
            </w:tcBorders>
            <w:shd w:val="clear" w:color="000000" w:fill="BDD6EE"/>
            <w:vAlign w:val="center"/>
            <w:hideMark/>
          </w:tcPr>
          <w:p w14:paraId="11C34503"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izdevumi kopā</w:t>
            </w:r>
          </w:p>
          <w:p w14:paraId="0B3B4F9F" w14:textId="77777777" w:rsidR="003160BE" w:rsidRPr="003160BE" w:rsidRDefault="003160BE" w:rsidP="003160BE">
            <w:pPr>
              <w:spacing w:after="0"/>
              <w:ind w:firstLine="0"/>
              <w:jc w:val="center"/>
              <w:rPr>
                <w:rFonts w:eastAsia="Times New Roman" w:cs="Times New Roman"/>
                <w:b/>
                <w:bCs/>
                <w:color w:val="000000"/>
                <w:sz w:val="20"/>
                <w:szCs w:val="20"/>
              </w:rPr>
            </w:pPr>
            <w:r w:rsidRPr="003160BE">
              <w:rPr>
                <w:rFonts w:eastAsia="Times New Roman" w:cs="Times New Roman"/>
                <w:b/>
                <w:bCs/>
                <w:color w:val="000000"/>
                <w:sz w:val="20"/>
                <w:szCs w:val="20"/>
              </w:rPr>
              <w:t>(</w:t>
            </w:r>
            <w:r w:rsidRPr="003160BE">
              <w:rPr>
                <w:rFonts w:eastAsia="Times New Roman" w:cs="Times New Roman"/>
                <w:b/>
                <w:bCs/>
                <w:i/>
                <w:iCs/>
                <w:color w:val="000000"/>
                <w:sz w:val="20"/>
                <w:szCs w:val="20"/>
              </w:rPr>
              <w:t>euro</w:t>
            </w:r>
            <w:r w:rsidRPr="003160BE">
              <w:rPr>
                <w:rFonts w:eastAsia="Times New Roman" w:cs="Times New Roman"/>
                <w:b/>
                <w:bCs/>
                <w:color w:val="000000"/>
                <w:sz w:val="20"/>
                <w:szCs w:val="20"/>
              </w:rPr>
              <w:t>)</w:t>
            </w:r>
          </w:p>
        </w:tc>
      </w:tr>
      <w:tr w:rsidR="003160BE" w:rsidRPr="003160BE" w14:paraId="25E6BAF4" w14:textId="77777777" w:rsidTr="003160BE">
        <w:trPr>
          <w:trHeight w:val="265"/>
        </w:trPr>
        <w:tc>
          <w:tcPr>
            <w:tcW w:w="13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3019F" w14:textId="77777777" w:rsidR="003160BE" w:rsidRPr="003160BE" w:rsidRDefault="003160BE" w:rsidP="003160BE">
            <w:pPr>
              <w:spacing w:after="0"/>
              <w:ind w:firstLine="0"/>
              <w:rPr>
                <w:rFonts w:eastAsia="Times New Roman" w:cs="Times New Roman"/>
                <w:b/>
                <w:bCs/>
                <w:sz w:val="18"/>
                <w:szCs w:val="18"/>
              </w:rPr>
            </w:pPr>
            <w:r w:rsidRPr="003160BE">
              <w:rPr>
                <w:rFonts w:eastAsia="Times New Roman" w:cs="Times New Roman"/>
                <w:b/>
                <w:bCs/>
                <w:sz w:val="18"/>
                <w:szCs w:val="18"/>
              </w:rPr>
              <w:t xml:space="preserve">Izdevumi kopā </w:t>
            </w:r>
          </w:p>
        </w:tc>
        <w:tc>
          <w:tcPr>
            <w:tcW w:w="444" w:type="pct"/>
            <w:vMerge w:val="restart"/>
            <w:tcBorders>
              <w:top w:val="single" w:sz="4" w:space="0" w:color="auto"/>
              <w:left w:val="single" w:sz="4" w:space="0" w:color="auto"/>
              <w:bottom w:val="single" w:sz="4" w:space="0" w:color="auto"/>
              <w:right w:val="single" w:sz="4" w:space="0" w:color="auto"/>
            </w:tcBorders>
            <w:hideMark/>
          </w:tcPr>
          <w:p w14:paraId="0CF22AAC"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 xml:space="preserve"> </w:t>
            </w:r>
          </w:p>
          <w:p w14:paraId="415BD057" w14:textId="77777777" w:rsidR="003160BE" w:rsidRPr="003160BE" w:rsidRDefault="003160BE" w:rsidP="003160BE">
            <w:pPr>
              <w:spacing w:after="0"/>
              <w:ind w:firstLine="0"/>
              <w:jc w:val="center"/>
              <w:rPr>
                <w:rFonts w:eastAsia="Times New Roman" w:cs="Times New Roman"/>
                <w:sz w:val="18"/>
                <w:szCs w:val="18"/>
              </w:rPr>
            </w:pPr>
          </w:p>
        </w:tc>
        <w:tc>
          <w:tcPr>
            <w:tcW w:w="434" w:type="pct"/>
            <w:vMerge w:val="restart"/>
            <w:tcBorders>
              <w:top w:val="single" w:sz="4" w:space="0" w:color="auto"/>
              <w:left w:val="single" w:sz="4" w:space="0" w:color="auto"/>
              <w:bottom w:val="single" w:sz="4" w:space="0" w:color="auto"/>
              <w:right w:val="single" w:sz="4" w:space="0" w:color="auto"/>
            </w:tcBorders>
            <w:hideMark/>
          </w:tcPr>
          <w:p w14:paraId="7A547ADC"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 xml:space="preserve"> </w:t>
            </w:r>
          </w:p>
          <w:p w14:paraId="15FA4149" w14:textId="77777777" w:rsidR="003160BE" w:rsidRPr="003160BE" w:rsidRDefault="003160BE" w:rsidP="003160BE">
            <w:pPr>
              <w:spacing w:after="0"/>
              <w:ind w:firstLine="0"/>
              <w:jc w:val="center"/>
              <w:rPr>
                <w:rFonts w:eastAsia="Times New Roman" w:cs="Times New Roman"/>
                <w:sz w:val="18"/>
                <w:szCs w:val="18"/>
              </w:rPr>
            </w:pPr>
          </w:p>
        </w:tc>
        <w:tc>
          <w:tcPr>
            <w:tcW w:w="392" w:type="pct"/>
            <w:vMerge w:val="restart"/>
            <w:tcBorders>
              <w:top w:val="single" w:sz="4" w:space="0" w:color="auto"/>
              <w:left w:val="single" w:sz="4" w:space="0" w:color="auto"/>
              <w:bottom w:val="single" w:sz="4" w:space="0" w:color="auto"/>
              <w:right w:val="single" w:sz="4" w:space="0" w:color="auto"/>
            </w:tcBorders>
          </w:tcPr>
          <w:p w14:paraId="3CA74EA2" w14:textId="77777777" w:rsidR="003160BE" w:rsidRPr="003160BE" w:rsidRDefault="003160BE" w:rsidP="003160BE">
            <w:pPr>
              <w:spacing w:after="0"/>
              <w:ind w:firstLine="0"/>
              <w:jc w:val="left"/>
              <w:rPr>
                <w:rFonts w:eastAsia="Times New Roman" w:cs="Times New Roman"/>
                <w:b/>
                <w:bCs/>
                <w:sz w:val="18"/>
                <w:szCs w:val="18"/>
              </w:rPr>
            </w:pPr>
            <w:r w:rsidRPr="003160BE">
              <w:rPr>
                <w:rFonts w:eastAsia="Times New Roman" w:cs="Times New Roman"/>
                <w:sz w:val="18"/>
                <w:szCs w:val="18"/>
              </w:rPr>
              <w:t>23 526 175</w:t>
            </w:r>
          </w:p>
        </w:tc>
        <w:tc>
          <w:tcPr>
            <w:tcW w:w="335" w:type="pct"/>
            <w:vMerge w:val="restart"/>
            <w:tcBorders>
              <w:top w:val="single" w:sz="4" w:space="0" w:color="auto"/>
              <w:left w:val="single" w:sz="4" w:space="0" w:color="auto"/>
              <w:bottom w:val="single" w:sz="4" w:space="0" w:color="auto"/>
              <w:right w:val="single" w:sz="4" w:space="0" w:color="auto"/>
            </w:tcBorders>
            <w:noWrap/>
            <w:hideMark/>
          </w:tcPr>
          <w:p w14:paraId="798070C5" w14:textId="77777777" w:rsidR="003160BE" w:rsidRPr="003160BE" w:rsidRDefault="003160BE" w:rsidP="003160BE">
            <w:pPr>
              <w:spacing w:after="0"/>
              <w:ind w:firstLine="0"/>
              <w:jc w:val="left"/>
              <w:rPr>
                <w:rFonts w:eastAsia="Times New Roman" w:cs="Times New Roman"/>
                <w:sz w:val="18"/>
                <w:szCs w:val="18"/>
              </w:rPr>
            </w:pPr>
            <w:r w:rsidRPr="003160BE">
              <w:rPr>
                <w:rFonts w:eastAsia="Times New Roman" w:cs="Times New Roman"/>
                <w:sz w:val="18"/>
                <w:szCs w:val="18"/>
              </w:rPr>
              <w:t xml:space="preserve"> </w:t>
            </w:r>
          </w:p>
          <w:p w14:paraId="4F732030" w14:textId="77777777" w:rsidR="003160BE" w:rsidRPr="003160BE" w:rsidRDefault="003160BE" w:rsidP="003160BE">
            <w:pPr>
              <w:spacing w:after="0"/>
              <w:ind w:firstLine="0"/>
              <w:jc w:val="left"/>
              <w:rPr>
                <w:rFonts w:eastAsia="Times New Roman" w:cs="Times New Roman"/>
                <w:sz w:val="18"/>
                <w:szCs w:val="18"/>
              </w:rPr>
            </w:pPr>
          </w:p>
        </w:tc>
        <w:tc>
          <w:tcPr>
            <w:tcW w:w="434" w:type="pct"/>
            <w:vMerge w:val="restart"/>
            <w:tcBorders>
              <w:top w:val="single" w:sz="4" w:space="0" w:color="auto"/>
              <w:left w:val="single" w:sz="4" w:space="0" w:color="auto"/>
              <w:bottom w:val="single" w:sz="4" w:space="0" w:color="auto"/>
              <w:right w:val="single" w:sz="4" w:space="0" w:color="auto"/>
            </w:tcBorders>
            <w:noWrap/>
            <w:hideMark/>
          </w:tcPr>
          <w:p w14:paraId="0EA6BD90" w14:textId="77777777" w:rsidR="003160BE" w:rsidRPr="003160BE" w:rsidRDefault="003160BE" w:rsidP="003160BE">
            <w:pPr>
              <w:spacing w:after="0"/>
              <w:ind w:firstLine="0"/>
              <w:jc w:val="left"/>
              <w:rPr>
                <w:rFonts w:eastAsia="Times New Roman" w:cs="Times New Roman"/>
                <w:sz w:val="18"/>
                <w:szCs w:val="18"/>
              </w:rPr>
            </w:pPr>
            <w:r w:rsidRPr="003160BE">
              <w:rPr>
                <w:rFonts w:eastAsia="Times New Roman" w:cs="Times New Roman"/>
                <w:sz w:val="18"/>
                <w:szCs w:val="18"/>
              </w:rPr>
              <w:t xml:space="preserve"> </w:t>
            </w:r>
          </w:p>
          <w:p w14:paraId="2DC2F4E9" w14:textId="77777777" w:rsidR="003160BE" w:rsidRPr="003160BE" w:rsidRDefault="003160BE" w:rsidP="003160BE">
            <w:pPr>
              <w:spacing w:after="0"/>
              <w:ind w:firstLine="0"/>
              <w:jc w:val="left"/>
              <w:rPr>
                <w:rFonts w:eastAsia="Times New Roman" w:cs="Times New Roman"/>
                <w:sz w:val="18"/>
                <w:szCs w:val="18"/>
              </w:rPr>
            </w:pPr>
          </w:p>
        </w:tc>
        <w:tc>
          <w:tcPr>
            <w:tcW w:w="367" w:type="pct"/>
            <w:vMerge w:val="restart"/>
            <w:tcBorders>
              <w:top w:val="single" w:sz="4" w:space="0" w:color="auto"/>
              <w:left w:val="single" w:sz="4" w:space="0" w:color="auto"/>
              <w:bottom w:val="single" w:sz="4" w:space="0" w:color="auto"/>
              <w:right w:val="single" w:sz="4" w:space="0" w:color="auto"/>
            </w:tcBorders>
            <w:hideMark/>
          </w:tcPr>
          <w:p w14:paraId="2B3A5FF1"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Times New Roman" w:cs="Times New Roman"/>
                <w:sz w:val="18"/>
                <w:szCs w:val="18"/>
              </w:rPr>
              <w:t>23 777 817</w:t>
            </w:r>
          </w:p>
        </w:tc>
        <w:tc>
          <w:tcPr>
            <w:tcW w:w="409" w:type="pct"/>
            <w:vMerge w:val="restart"/>
            <w:tcBorders>
              <w:top w:val="single" w:sz="4" w:space="0" w:color="auto"/>
              <w:left w:val="single" w:sz="4" w:space="0" w:color="auto"/>
              <w:bottom w:val="single" w:sz="4" w:space="0" w:color="auto"/>
              <w:right w:val="single" w:sz="4" w:space="0" w:color="auto"/>
            </w:tcBorders>
            <w:noWrap/>
            <w:hideMark/>
          </w:tcPr>
          <w:p w14:paraId="797F7D75" w14:textId="77777777" w:rsidR="003160BE" w:rsidRPr="003160BE" w:rsidRDefault="003160BE" w:rsidP="003160BE">
            <w:pPr>
              <w:spacing w:after="0"/>
              <w:ind w:firstLine="0"/>
              <w:jc w:val="left"/>
              <w:rPr>
                <w:rFonts w:eastAsia="Times New Roman" w:cs="Times New Roman"/>
                <w:sz w:val="18"/>
                <w:szCs w:val="18"/>
              </w:rPr>
            </w:pPr>
            <w:r w:rsidRPr="003160BE">
              <w:rPr>
                <w:rFonts w:eastAsia="Times New Roman" w:cs="Times New Roman"/>
                <w:sz w:val="18"/>
                <w:szCs w:val="18"/>
              </w:rPr>
              <w:t xml:space="preserve"> </w:t>
            </w:r>
          </w:p>
          <w:p w14:paraId="2AFCFAB3" w14:textId="77777777" w:rsidR="003160BE" w:rsidRPr="003160BE" w:rsidRDefault="003160BE" w:rsidP="003160BE">
            <w:pPr>
              <w:spacing w:after="0"/>
              <w:ind w:firstLine="0"/>
              <w:jc w:val="left"/>
              <w:rPr>
                <w:rFonts w:eastAsia="Times New Roman" w:cs="Times New Roman"/>
                <w:sz w:val="18"/>
                <w:szCs w:val="18"/>
              </w:rPr>
            </w:pPr>
          </w:p>
        </w:tc>
        <w:tc>
          <w:tcPr>
            <w:tcW w:w="434" w:type="pct"/>
            <w:vMerge w:val="restart"/>
            <w:tcBorders>
              <w:top w:val="single" w:sz="4" w:space="0" w:color="auto"/>
              <w:left w:val="single" w:sz="4" w:space="0" w:color="auto"/>
              <w:bottom w:val="single" w:sz="4" w:space="0" w:color="auto"/>
              <w:right w:val="single" w:sz="4" w:space="0" w:color="auto"/>
            </w:tcBorders>
            <w:noWrap/>
            <w:hideMark/>
          </w:tcPr>
          <w:p w14:paraId="462A6EFB" w14:textId="77777777" w:rsidR="003160BE" w:rsidRPr="003160BE" w:rsidRDefault="003160BE" w:rsidP="003160BE">
            <w:pPr>
              <w:spacing w:after="0"/>
              <w:ind w:firstLine="0"/>
              <w:jc w:val="left"/>
              <w:rPr>
                <w:rFonts w:eastAsia="Times New Roman" w:cs="Times New Roman"/>
                <w:sz w:val="18"/>
                <w:szCs w:val="18"/>
              </w:rPr>
            </w:pPr>
            <w:r w:rsidRPr="003160BE">
              <w:rPr>
                <w:rFonts w:eastAsia="Times New Roman" w:cs="Times New Roman"/>
                <w:sz w:val="18"/>
                <w:szCs w:val="18"/>
              </w:rPr>
              <w:t xml:space="preserve"> </w:t>
            </w:r>
          </w:p>
          <w:p w14:paraId="64F077BC" w14:textId="77777777" w:rsidR="003160BE" w:rsidRPr="003160BE" w:rsidRDefault="003160BE" w:rsidP="003160BE">
            <w:pPr>
              <w:spacing w:after="0"/>
              <w:ind w:firstLine="0"/>
              <w:jc w:val="left"/>
              <w:rPr>
                <w:rFonts w:eastAsia="Times New Roman" w:cs="Times New Roman"/>
                <w:sz w:val="18"/>
                <w:szCs w:val="18"/>
              </w:rPr>
            </w:pPr>
          </w:p>
        </w:tc>
        <w:tc>
          <w:tcPr>
            <w:tcW w:w="367" w:type="pct"/>
            <w:vMerge w:val="restart"/>
            <w:tcBorders>
              <w:top w:val="single" w:sz="4" w:space="0" w:color="auto"/>
              <w:left w:val="single" w:sz="4" w:space="0" w:color="auto"/>
              <w:bottom w:val="single" w:sz="4" w:space="0" w:color="auto"/>
              <w:right w:val="single" w:sz="4" w:space="0" w:color="auto"/>
            </w:tcBorders>
            <w:hideMark/>
          </w:tcPr>
          <w:p w14:paraId="782E5E5B"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Times New Roman" w:cs="Times New Roman"/>
                <w:sz w:val="18"/>
                <w:szCs w:val="18"/>
              </w:rPr>
              <w:t>24 039 923</w:t>
            </w:r>
          </w:p>
        </w:tc>
      </w:tr>
      <w:tr w:rsidR="003160BE" w:rsidRPr="003160BE" w14:paraId="381F62C2" w14:textId="77777777" w:rsidTr="003160BE">
        <w:trPr>
          <w:trHeight w:val="278"/>
        </w:trPr>
        <w:tc>
          <w:tcPr>
            <w:tcW w:w="13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D9B7" w14:textId="77777777" w:rsidR="003160BE" w:rsidRPr="003160BE" w:rsidRDefault="003160BE" w:rsidP="003160BE">
            <w:pPr>
              <w:spacing w:after="0"/>
              <w:ind w:firstLine="0"/>
              <w:rPr>
                <w:rFonts w:eastAsia="Times New Roman" w:cs="Times New Roman"/>
                <w:sz w:val="18"/>
                <w:szCs w:val="18"/>
              </w:rPr>
            </w:pPr>
            <w:r w:rsidRPr="003160BE">
              <w:rPr>
                <w:rFonts w:eastAsia="Times New Roman" w:cs="Times New Roman"/>
                <w:sz w:val="18"/>
                <w:szCs w:val="18"/>
              </w:rPr>
              <w:t>(EKK 6000 Sociālie pabalsti)</w:t>
            </w:r>
          </w:p>
        </w:tc>
        <w:tc>
          <w:tcPr>
            <w:tcW w:w="444" w:type="pct"/>
            <w:vMerge/>
            <w:tcBorders>
              <w:top w:val="single" w:sz="4" w:space="0" w:color="auto"/>
              <w:left w:val="single" w:sz="4" w:space="0" w:color="auto"/>
              <w:bottom w:val="single" w:sz="4" w:space="0" w:color="auto"/>
              <w:right w:val="single" w:sz="4" w:space="0" w:color="auto"/>
            </w:tcBorders>
            <w:hideMark/>
          </w:tcPr>
          <w:p w14:paraId="2C13085D" w14:textId="77777777" w:rsidR="003160BE" w:rsidRPr="003160BE" w:rsidRDefault="003160BE" w:rsidP="003160BE">
            <w:pPr>
              <w:spacing w:after="0"/>
              <w:ind w:firstLine="0"/>
              <w:jc w:val="left"/>
              <w:rPr>
                <w:rFonts w:eastAsia="Times New Roman" w:cs="Times New Roman"/>
                <w:sz w:val="18"/>
                <w:szCs w:val="18"/>
              </w:rPr>
            </w:pPr>
          </w:p>
        </w:tc>
        <w:tc>
          <w:tcPr>
            <w:tcW w:w="434" w:type="pct"/>
            <w:vMerge/>
            <w:tcBorders>
              <w:top w:val="single" w:sz="4" w:space="0" w:color="auto"/>
              <w:left w:val="single" w:sz="4" w:space="0" w:color="auto"/>
              <w:bottom w:val="single" w:sz="4" w:space="0" w:color="auto"/>
              <w:right w:val="single" w:sz="4" w:space="0" w:color="auto"/>
            </w:tcBorders>
            <w:hideMark/>
          </w:tcPr>
          <w:p w14:paraId="7134AB2D" w14:textId="77777777" w:rsidR="003160BE" w:rsidRPr="003160BE" w:rsidRDefault="003160BE" w:rsidP="003160BE">
            <w:pPr>
              <w:spacing w:after="0"/>
              <w:ind w:firstLine="0"/>
              <w:jc w:val="left"/>
              <w:rPr>
                <w:rFonts w:eastAsia="Times New Roman" w:cs="Times New Roman"/>
                <w:sz w:val="18"/>
                <w:szCs w:val="18"/>
              </w:rPr>
            </w:pPr>
          </w:p>
        </w:tc>
        <w:tc>
          <w:tcPr>
            <w:tcW w:w="392" w:type="pct"/>
            <w:vMerge/>
            <w:tcBorders>
              <w:top w:val="single" w:sz="4" w:space="0" w:color="auto"/>
              <w:left w:val="single" w:sz="4" w:space="0" w:color="auto"/>
              <w:bottom w:val="single" w:sz="4" w:space="0" w:color="auto"/>
              <w:right w:val="single" w:sz="4" w:space="0" w:color="auto"/>
            </w:tcBorders>
          </w:tcPr>
          <w:p w14:paraId="0C97E3EC" w14:textId="77777777" w:rsidR="003160BE" w:rsidRPr="003160BE" w:rsidRDefault="003160BE" w:rsidP="003160BE">
            <w:pPr>
              <w:spacing w:after="0"/>
              <w:ind w:firstLine="0"/>
              <w:jc w:val="left"/>
              <w:rPr>
                <w:rFonts w:eastAsia="Times New Roman" w:cs="Times New Roman"/>
                <w:b/>
                <w:bCs/>
                <w:sz w:val="18"/>
                <w:szCs w:val="18"/>
              </w:rPr>
            </w:pPr>
          </w:p>
        </w:tc>
        <w:tc>
          <w:tcPr>
            <w:tcW w:w="335" w:type="pct"/>
            <w:vMerge/>
            <w:tcBorders>
              <w:top w:val="single" w:sz="4" w:space="0" w:color="auto"/>
              <w:left w:val="single" w:sz="4" w:space="0" w:color="auto"/>
              <w:bottom w:val="single" w:sz="4" w:space="0" w:color="auto"/>
              <w:right w:val="single" w:sz="4" w:space="0" w:color="auto"/>
            </w:tcBorders>
            <w:hideMark/>
          </w:tcPr>
          <w:p w14:paraId="3A0F90E7" w14:textId="77777777" w:rsidR="003160BE" w:rsidRPr="003160BE" w:rsidRDefault="003160BE" w:rsidP="003160BE">
            <w:pPr>
              <w:spacing w:after="0"/>
              <w:ind w:firstLine="0"/>
              <w:jc w:val="left"/>
              <w:rPr>
                <w:rFonts w:eastAsia="Times New Roman" w:cs="Times New Roman"/>
                <w:sz w:val="18"/>
                <w:szCs w:val="18"/>
              </w:rPr>
            </w:pPr>
          </w:p>
        </w:tc>
        <w:tc>
          <w:tcPr>
            <w:tcW w:w="434" w:type="pct"/>
            <w:vMerge/>
            <w:tcBorders>
              <w:top w:val="single" w:sz="4" w:space="0" w:color="auto"/>
              <w:left w:val="single" w:sz="4" w:space="0" w:color="auto"/>
              <w:bottom w:val="single" w:sz="4" w:space="0" w:color="auto"/>
              <w:right w:val="single" w:sz="4" w:space="0" w:color="auto"/>
            </w:tcBorders>
            <w:hideMark/>
          </w:tcPr>
          <w:p w14:paraId="0236C24B" w14:textId="77777777" w:rsidR="003160BE" w:rsidRPr="003160BE" w:rsidRDefault="003160BE" w:rsidP="003160BE">
            <w:pPr>
              <w:spacing w:after="0"/>
              <w:ind w:firstLine="0"/>
              <w:jc w:val="left"/>
              <w:rPr>
                <w:rFonts w:eastAsia="Times New Roman" w:cs="Times New Roman"/>
                <w:sz w:val="18"/>
                <w:szCs w:val="18"/>
              </w:rPr>
            </w:pPr>
          </w:p>
        </w:tc>
        <w:tc>
          <w:tcPr>
            <w:tcW w:w="367" w:type="pct"/>
            <w:vMerge/>
            <w:tcBorders>
              <w:top w:val="single" w:sz="4" w:space="0" w:color="auto"/>
              <w:left w:val="single" w:sz="4" w:space="0" w:color="auto"/>
              <w:bottom w:val="single" w:sz="4" w:space="0" w:color="auto"/>
              <w:right w:val="single" w:sz="4" w:space="0" w:color="auto"/>
            </w:tcBorders>
            <w:hideMark/>
          </w:tcPr>
          <w:p w14:paraId="09C85898" w14:textId="77777777" w:rsidR="003160BE" w:rsidRPr="003160BE" w:rsidRDefault="003160BE" w:rsidP="003160BE">
            <w:pPr>
              <w:spacing w:after="0"/>
              <w:ind w:firstLine="0"/>
              <w:jc w:val="left"/>
              <w:rPr>
                <w:rFonts w:eastAsia="Times New Roman" w:cs="Times New Roman"/>
                <w:b/>
                <w:bCs/>
                <w:sz w:val="18"/>
                <w:szCs w:val="18"/>
              </w:rPr>
            </w:pPr>
          </w:p>
        </w:tc>
        <w:tc>
          <w:tcPr>
            <w:tcW w:w="409" w:type="pct"/>
            <w:vMerge/>
            <w:tcBorders>
              <w:top w:val="single" w:sz="4" w:space="0" w:color="auto"/>
              <w:left w:val="single" w:sz="4" w:space="0" w:color="auto"/>
              <w:bottom w:val="single" w:sz="4" w:space="0" w:color="auto"/>
              <w:right w:val="single" w:sz="4" w:space="0" w:color="auto"/>
            </w:tcBorders>
            <w:hideMark/>
          </w:tcPr>
          <w:p w14:paraId="65FB6C2D" w14:textId="77777777" w:rsidR="003160BE" w:rsidRPr="003160BE" w:rsidRDefault="003160BE" w:rsidP="003160BE">
            <w:pPr>
              <w:spacing w:after="0"/>
              <w:ind w:firstLine="0"/>
              <w:jc w:val="left"/>
              <w:rPr>
                <w:rFonts w:eastAsia="Times New Roman" w:cs="Times New Roman"/>
                <w:sz w:val="18"/>
                <w:szCs w:val="18"/>
              </w:rPr>
            </w:pPr>
          </w:p>
        </w:tc>
        <w:tc>
          <w:tcPr>
            <w:tcW w:w="434" w:type="pct"/>
            <w:vMerge/>
            <w:tcBorders>
              <w:top w:val="single" w:sz="4" w:space="0" w:color="auto"/>
              <w:left w:val="single" w:sz="4" w:space="0" w:color="auto"/>
              <w:bottom w:val="single" w:sz="4" w:space="0" w:color="auto"/>
              <w:right w:val="single" w:sz="4" w:space="0" w:color="auto"/>
            </w:tcBorders>
            <w:hideMark/>
          </w:tcPr>
          <w:p w14:paraId="7971EA94" w14:textId="77777777" w:rsidR="003160BE" w:rsidRPr="003160BE" w:rsidRDefault="003160BE" w:rsidP="003160BE">
            <w:pPr>
              <w:spacing w:after="0"/>
              <w:ind w:firstLine="0"/>
              <w:jc w:val="left"/>
              <w:rPr>
                <w:rFonts w:eastAsia="Times New Roman" w:cs="Times New Roman"/>
                <w:sz w:val="18"/>
                <w:szCs w:val="18"/>
              </w:rPr>
            </w:pPr>
          </w:p>
        </w:tc>
        <w:tc>
          <w:tcPr>
            <w:tcW w:w="367" w:type="pct"/>
            <w:vMerge/>
            <w:tcBorders>
              <w:top w:val="single" w:sz="4" w:space="0" w:color="auto"/>
              <w:left w:val="single" w:sz="4" w:space="0" w:color="auto"/>
              <w:bottom w:val="single" w:sz="4" w:space="0" w:color="auto"/>
              <w:right w:val="single" w:sz="4" w:space="0" w:color="auto"/>
            </w:tcBorders>
            <w:hideMark/>
          </w:tcPr>
          <w:p w14:paraId="2241246E" w14:textId="77777777" w:rsidR="003160BE" w:rsidRPr="003160BE" w:rsidRDefault="003160BE" w:rsidP="003160BE">
            <w:pPr>
              <w:spacing w:after="0"/>
              <w:ind w:firstLine="0"/>
              <w:jc w:val="left"/>
              <w:rPr>
                <w:rFonts w:eastAsia="Times New Roman" w:cs="Times New Roman"/>
                <w:b/>
                <w:bCs/>
                <w:sz w:val="18"/>
                <w:szCs w:val="18"/>
              </w:rPr>
            </w:pPr>
          </w:p>
        </w:tc>
      </w:tr>
      <w:tr w:rsidR="003160BE" w:rsidRPr="003160BE" w14:paraId="1F712929" w14:textId="77777777" w:rsidTr="003160BE">
        <w:trPr>
          <w:trHeight w:val="265"/>
        </w:trPr>
        <w:tc>
          <w:tcPr>
            <w:tcW w:w="13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71C7B4E" w14:textId="77777777" w:rsidR="003160BE" w:rsidRPr="003160BE" w:rsidRDefault="003160BE" w:rsidP="003160BE">
            <w:pPr>
              <w:spacing w:after="0"/>
              <w:ind w:firstLine="0"/>
              <w:rPr>
                <w:rFonts w:eastAsia="Times New Roman" w:cs="Times New Roman"/>
                <w:b/>
                <w:bCs/>
                <w:sz w:val="18"/>
                <w:szCs w:val="18"/>
              </w:rPr>
            </w:pPr>
            <w:r w:rsidRPr="003160BE">
              <w:rPr>
                <w:rFonts w:eastAsia="Times New Roman" w:cs="Times New Roman"/>
                <w:b/>
                <w:bCs/>
                <w:sz w:val="18"/>
                <w:szCs w:val="18"/>
              </w:rPr>
              <w:t xml:space="preserve">Izdienas pensijas – kopā </w:t>
            </w:r>
          </w:p>
        </w:tc>
        <w:tc>
          <w:tcPr>
            <w:tcW w:w="444" w:type="pct"/>
            <w:vMerge w:val="restart"/>
            <w:tcBorders>
              <w:top w:val="single" w:sz="4" w:space="0" w:color="auto"/>
              <w:left w:val="single" w:sz="4" w:space="0" w:color="auto"/>
              <w:bottom w:val="single" w:sz="4" w:space="0" w:color="auto"/>
              <w:right w:val="single" w:sz="4" w:space="0" w:color="auto"/>
            </w:tcBorders>
            <w:hideMark/>
          </w:tcPr>
          <w:p w14:paraId="0AB3161D"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434" w:type="pct"/>
            <w:vMerge w:val="restart"/>
            <w:tcBorders>
              <w:top w:val="single" w:sz="4" w:space="0" w:color="auto"/>
              <w:left w:val="single" w:sz="4" w:space="0" w:color="auto"/>
              <w:bottom w:val="single" w:sz="4" w:space="0" w:color="auto"/>
              <w:right w:val="single" w:sz="4" w:space="0" w:color="auto"/>
            </w:tcBorders>
            <w:hideMark/>
          </w:tcPr>
          <w:p w14:paraId="1364018C"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392" w:type="pct"/>
            <w:vMerge w:val="restart"/>
            <w:tcBorders>
              <w:top w:val="single" w:sz="4" w:space="0" w:color="auto"/>
              <w:left w:val="single" w:sz="4" w:space="0" w:color="auto"/>
              <w:bottom w:val="single" w:sz="4" w:space="0" w:color="auto"/>
              <w:right w:val="single" w:sz="4" w:space="0" w:color="auto"/>
            </w:tcBorders>
          </w:tcPr>
          <w:p w14:paraId="7E9C155F" w14:textId="77777777" w:rsidR="003160BE" w:rsidRPr="003160BE" w:rsidRDefault="003160BE" w:rsidP="003160BE">
            <w:pPr>
              <w:spacing w:after="0"/>
              <w:ind w:firstLine="0"/>
              <w:rPr>
                <w:rFonts w:eastAsia="Times New Roman" w:cs="Times New Roman"/>
                <w:b/>
                <w:bCs/>
                <w:sz w:val="18"/>
                <w:szCs w:val="18"/>
              </w:rPr>
            </w:pPr>
            <w:r w:rsidRPr="003160BE">
              <w:rPr>
                <w:rFonts w:eastAsia="Times New Roman" w:cs="Times New Roman"/>
                <w:sz w:val="18"/>
                <w:szCs w:val="18"/>
              </w:rPr>
              <w:t>21 534 899</w:t>
            </w:r>
          </w:p>
        </w:tc>
        <w:tc>
          <w:tcPr>
            <w:tcW w:w="335" w:type="pct"/>
            <w:vMerge w:val="restart"/>
            <w:tcBorders>
              <w:top w:val="single" w:sz="4" w:space="0" w:color="auto"/>
              <w:left w:val="single" w:sz="4" w:space="0" w:color="auto"/>
              <w:bottom w:val="single" w:sz="4" w:space="0" w:color="auto"/>
              <w:right w:val="single" w:sz="4" w:space="0" w:color="auto"/>
            </w:tcBorders>
            <w:noWrap/>
            <w:hideMark/>
          </w:tcPr>
          <w:p w14:paraId="44ECE296"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434" w:type="pct"/>
            <w:vMerge w:val="restart"/>
            <w:tcBorders>
              <w:top w:val="single" w:sz="4" w:space="0" w:color="auto"/>
              <w:left w:val="single" w:sz="4" w:space="0" w:color="auto"/>
              <w:bottom w:val="single" w:sz="4" w:space="0" w:color="auto"/>
              <w:right w:val="single" w:sz="4" w:space="0" w:color="auto"/>
            </w:tcBorders>
            <w:noWrap/>
            <w:hideMark/>
          </w:tcPr>
          <w:p w14:paraId="4EBD5EBF"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367" w:type="pct"/>
            <w:vMerge w:val="restart"/>
            <w:tcBorders>
              <w:top w:val="single" w:sz="4" w:space="0" w:color="auto"/>
              <w:left w:val="single" w:sz="4" w:space="0" w:color="auto"/>
              <w:bottom w:val="single" w:sz="4" w:space="0" w:color="auto"/>
              <w:right w:val="single" w:sz="4" w:space="0" w:color="auto"/>
            </w:tcBorders>
            <w:noWrap/>
            <w:hideMark/>
          </w:tcPr>
          <w:p w14:paraId="51E89F73"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Times New Roman" w:cs="Times New Roman"/>
                <w:sz w:val="18"/>
                <w:szCs w:val="18"/>
              </w:rPr>
              <w:t>21 786 541</w:t>
            </w:r>
          </w:p>
        </w:tc>
        <w:tc>
          <w:tcPr>
            <w:tcW w:w="409" w:type="pct"/>
            <w:vMerge w:val="restart"/>
            <w:tcBorders>
              <w:top w:val="single" w:sz="4" w:space="0" w:color="auto"/>
              <w:left w:val="single" w:sz="4" w:space="0" w:color="auto"/>
              <w:bottom w:val="single" w:sz="4" w:space="0" w:color="auto"/>
              <w:right w:val="single" w:sz="4" w:space="0" w:color="auto"/>
            </w:tcBorders>
            <w:noWrap/>
            <w:hideMark/>
          </w:tcPr>
          <w:p w14:paraId="6439E55A"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434" w:type="pct"/>
            <w:vMerge w:val="restart"/>
            <w:tcBorders>
              <w:top w:val="single" w:sz="4" w:space="0" w:color="auto"/>
              <w:left w:val="single" w:sz="4" w:space="0" w:color="auto"/>
              <w:bottom w:val="single" w:sz="4" w:space="0" w:color="auto"/>
              <w:right w:val="single" w:sz="4" w:space="0" w:color="auto"/>
            </w:tcBorders>
            <w:noWrap/>
            <w:hideMark/>
          </w:tcPr>
          <w:p w14:paraId="1C20A116"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367" w:type="pct"/>
            <w:vMerge w:val="restart"/>
            <w:tcBorders>
              <w:top w:val="single" w:sz="4" w:space="0" w:color="auto"/>
              <w:left w:val="single" w:sz="4" w:space="0" w:color="auto"/>
              <w:bottom w:val="single" w:sz="4" w:space="0" w:color="auto"/>
              <w:right w:val="single" w:sz="4" w:space="0" w:color="auto"/>
            </w:tcBorders>
            <w:noWrap/>
            <w:hideMark/>
          </w:tcPr>
          <w:p w14:paraId="2AD09858"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Times New Roman" w:cs="Times New Roman"/>
                <w:sz w:val="18"/>
                <w:szCs w:val="18"/>
              </w:rPr>
              <w:t>22 048 647</w:t>
            </w:r>
          </w:p>
        </w:tc>
      </w:tr>
      <w:tr w:rsidR="003160BE" w:rsidRPr="003160BE" w14:paraId="1E59D5D2" w14:textId="77777777" w:rsidTr="003160BE">
        <w:trPr>
          <w:trHeight w:val="278"/>
        </w:trPr>
        <w:tc>
          <w:tcPr>
            <w:tcW w:w="13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344BE6B" w14:textId="77777777" w:rsidR="003160BE" w:rsidRPr="003160BE" w:rsidRDefault="003160BE" w:rsidP="003160BE">
            <w:pPr>
              <w:spacing w:after="0"/>
              <w:ind w:firstLine="0"/>
              <w:rPr>
                <w:rFonts w:eastAsia="Times New Roman" w:cs="Times New Roman"/>
                <w:sz w:val="18"/>
                <w:szCs w:val="18"/>
              </w:rPr>
            </w:pPr>
            <w:r w:rsidRPr="003160BE">
              <w:rPr>
                <w:rFonts w:eastAsia="Times New Roman" w:cs="Times New Roman"/>
                <w:sz w:val="18"/>
                <w:szCs w:val="18"/>
              </w:rPr>
              <w:t>(EKK 6216)</w:t>
            </w:r>
          </w:p>
        </w:tc>
        <w:tc>
          <w:tcPr>
            <w:tcW w:w="444" w:type="pct"/>
            <w:vMerge/>
            <w:tcBorders>
              <w:top w:val="single" w:sz="4" w:space="0" w:color="auto"/>
              <w:left w:val="single" w:sz="4" w:space="0" w:color="auto"/>
              <w:bottom w:val="single" w:sz="4" w:space="0" w:color="auto"/>
              <w:right w:val="single" w:sz="4" w:space="0" w:color="auto"/>
            </w:tcBorders>
            <w:vAlign w:val="center"/>
            <w:hideMark/>
          </w:tcPr>
          <w:p w14:paraId="0F49F560" w14:textId="77777777" w:rsidR="003160BE" w:rsidRPr="003160BE" w:rsidRDefault="003160BE" w:rsidP="003160BE">
            <w:pPr>
              <w:spacing w:after="0"/>
              <w:ind w:firstLine="0"/>
              <w:jc w:val="left"/>
              <w:rPr>
                <w:rFonts w:eastAsia="Times New Roman" w:cs="Times New Roman"/>
                <w:b/>
                <w:bCs/>
                <w:sz w:val="18"/>
                <w:szCs w:val="18"/>
              </w:rPr>
            </w:pPr>
          </w:p>
        </w:tc>
        <w:tc>
          <w:tcPr>
            <w:tcW w:w="434" w:type="pct"/>
            <w:vMerge/>
            <w:tcBorders>
              <w:top w:val="single" w:sz="4" w:space="0" w:color="auto"/>
              <w:left w:val="single" w:sz="4" w:space="0" w:color="auto"/>
              <w:bottom w:val="single" w:sz="4" w:space="0" w:color="auto"/>
              <w:right w:val="single" w:sz="4" w:space="0" w:color="auto"/>
            </w:tcBorders>
            <w:vAlign w:val="center"/>
            <w:hideMark/>
          </w:tcPr>
          <w:p w14:paraId="235729EF" w14:textId="77777777" w:rsidR="003160BE" w:rsidRPr="003160BE" w:rsidRDefault="003160BE" w:rsidP="003160BE">
            <w:pPr>
              <w:spacing w:after="0"/>
              <w:ind w:firstLine="0"/>
              <w:jc w:val="left"/>
              <w:rPr>
                <w:rFonts w:eastAsia="Times New Roman" w:cs="Times New Roman"/>
                <w:b/>
                <w:bCs/>
                <w:sz w:val="18"/>
                <w:szCs w:val="18"/>
              </w:rPr>
            </w:pPr>
          </w:p>
        </w:tc>
        <w:tc>
          <w:tcPr>
            <w:tcW w:w="392" w:type="pct"/>
            <w:vMerge/>
            <w:tcBorders>
              <w:top w:val="single" w:sz="4" w:space="0" w:color="auto"/>
              <w:left w:val="single" w:sz="4" w:space="0" w:color="auto"/>
              <w:bottom w:val="single" w:sz="4" w:space="0" w:color="auto"/>
              <w:right w:val="single" w:sz="4" w:space="0" w:color="auto"/>
            </w:tcBorders>
            <w:vAlign w:val="center"/>
          </w:tcPr>
          <w:p w14:paraId="61F0894B" w14:textId="77777777" w:rsidR="003160BE" w:rsidRPr="003160BE" w:rsidRDefault="003160BE" w:rsidP="003160BE">
            <w:pPr>
              <w:spacing w:after="0"/>
              <w:ind w:firstLine="0"/>
              <w:jc w:val="left"/>
              <w:rPr>
                <w:rFonts w:eastAsia="Times New Roman" w:cs="Times New Roman"/>
                <w:b/>
                <w:bCs/>
                <w:sz w:val="18"/>
                <w:szCs w:val="18"/>
              </w:rPr>
            </w:pPr>
          </w:p>
        </w:tc>
        <w:tc>
          <w:tcPr>
            <w:tcW w:w="335" w:type="pct"/>
            <w:vMerge/>
            <w:tcBorders>
              <w:top w:val="single" w:sz="4" w:space="0" w:color="auto"/>
              <w:left w:val="single" w:sz="4" w:space="0" w:color="auto"/>
              <w:bottom w:val="single" w:sz="4" w:space="0" w:color="auto"/>
              <w:right w:val="single" w:sz="4" w:space="0" w:color="auto"/>
            </w:tcBorders>
            <w:vAlign w:val="center"/>
            <w:hideMark/>
          </w:tcPr>
          <w:p w14:paraId="63CFE96C" w14:textId="77777777" w:rsidR="003160BE" w:rsidRPr="003160BE" w:rsidRDefault="003160BE" w:rsidP="003160BE">
            <w:pPr>
              <w:spacing w:after="0"/>
              <w:ind w:firstLine="0"/>
              <w:jc w:val="left"/>
              <w:rPr>
                <w:rFonts w:eastAsia="Times New Roman" w:cs="Times New Roman"/>
                <w:b/>
                <w:bCs/>
                <w:sz w:val="18"/>
                <w:szCs w:val="18"/>
              </w:rPr>
            </w:pPr>
          </w:p>
        </w:tc>
        <w:tc>
          <w:tcPr>
            <w:tcW w:w="434" w:type="pct"/>
            <w:vMerge/>
            <w:tcBorders>
              <w:top w:val="single" w:sz="4" w:space="0" w:color="auto"/>
              <w:left w:val="single" w:sz="4" w:space="0" w:color="auto"/>
              <w:bottom w:val="single" w:sz="4" w:space="0" w:color="auto"/>
              <w:right w:val="single" w:sz="4" w:space="0" w:color="auto"/>
            </w:tcBorders>
            <w:vAlign w:val="center"/>
            <w:hideMark/>
          </w:tcPr>
          <w:p w14:paraId="3A3AB2A5" w14:textId="77777777" w:rsidR="003160BE" w:rsidRPr="003160BE" w:rsidRDefault="003160BE" w:rsidP="003160BE">
            <w:pPr>
              <w:spacing w:after="0"/>
              <w:ind w:firstLine="0"/>
              <w:jc w:val="left"/>
              <w:rPr>
                <w:rFonts w:eastAsia="Times New Roman" w:cs="Times New Roman"/>
                <w:b/>
                <w:bCs/>
                <w:sz w:val="18"/>
                <w:szCs w:val="18"/>
              </w:rPr>
            </w:pPr>
          </w:p>
        </w:tc>
        <w:tc>
          <w:tcPr>
            <w:tcW w:w="367" w:type="pct"/>
            <w:vMerge/>
            <w:tcBorders>
              <w:top w:val="single" w:sz="4" w:space="0" w:color="auto"/>
              <w:left w:val="single" w:sz="4" w:space="0" w:color="auto"/>
              <w:bottom w:val="single" w:sz="4" w:space="0" w:color="auto"/>
              <w:right w:val="single" w:sz="4" w:space="0" w:color="auto"/>
            </w:tcBorders>
            <w:vAlign w:val="center"/>
            <w:hideMark/>
          </w:tcPr>
          <w:p w14:paraId="78E438AF" w14:textId="77777777" w:rsidR="003160BE" w:rsidRPr="003160BE" w:rsidRDefault="003160BE" w:rsidP="003160BE">
            <w:pPr>
              <w:spacing w:after="0"/>
              <w:ind w:firstLine="0"/>
              <w:jc w:val="left"/>
              <w:rPr>
                <w:rFonts w:eastAsia="Times New Roman" w:cs="Times New Roman"/>
                <w:b/>
                <w:bCs/>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hideMark/>
          </w:tcPr>
          <w:p w14:paraId="665F7C1F" w14:textId="77777777" w:rsidR="003160BE" w:rsidRPr="003160BE" w:rsidRDefault="003160BE" w:rsidP="003160BE">
            <w:pPr>
              <w:spacing w:after="0"/>
              <w:ind w:firstLine="0"/>
              <w:jc w:val="left"/>
              <w:rPr>
                <w:rFonts w:eastAsia="Times New Roman" w:cs="Times New Roman"/>
                <w:b/>
                <w:bCs/>
                <w:sz w:val="18"/>
                <w:szCs w:val="18"/>
              </w:rPr>
            </w:pPr>
          </w:p>
        </w:tc>
        <w:tc>
          <w:tcPr>
            <w:tcW w:w="434" w:type="pct"/>
            <w:vMerge/>
            <w:tcBorders>
              <w:top w:val="single" w:sz="4" w:space="0" w:color="auto"/>
              <w:left w:val="single" w:sz="4" w:space="0" w:color="auto"/>
              <w:bottom w:val="single" w:sz="4" w:space="0" w:color="auto"/>
              <w:right w:val="single" w:sz="4" w:space="0" w:color="auto"/>
            </w:tcBorders>
            <w:vAlign w:val="center"/>
            <w:hideMark/>
          </w:tcPr>
          <w:p w14:paraId="7829967D" w14:textId="77777777" w:rsidR="003160BE" w:rsidRPr="003160BE" w:rsidRDefault="003160BE" w:rsidP="003160BE">
            <w:pPr>
              <w:spacing w:after="0"/>
              <w:ind w:firstLine="0"/>
              <w:jc w:val="left"/>
              <w:rPr>
                <w:rFonts w:eastAsia="Times New Roman" w:cs="Times New Roman"/>
                <w:b/>
                <w:bCs/>
                <w:sz w:val="18"/>
                <w:szCs w:val="18"/>
              </w:rPr>
            </w:pPr>
          </w:p>
        </w:tc>
        <w:tc>
          <w:tcPr>
            <w:tcW w:w="367" w:type="pct"/>
            <w:vMerge/>
            <w:tcBorders>
              <w:top w:val="single" w:sz="4" w:space="0" w:color="auto"/>
              <w:left w:val="single" w:sz="4" w:space="0" w:color="auto"/>
              <w:bottom w:val="single" w:sz="4" w:space="0" w:color="auto"/>
              <w:right w:val="single" w:sz="4" w:space="0" w:color="auto"/>
            </w:tcBorders>
            <w:vAlign w:val="center"/>
            <w:hideMark/>
          </w:tcPr>
          <w:p w14:paraId="6E7F2275" w14:textId="77777777" w:rsidR="003160BE" w:rsidRPr="003160BE" w:rsidRDefault="003160BE" w:rsidP="003160BE">
            <w:pPr>
              <w:spacing w:after="0"/>
              <w:ind w:firstLine="0"/>
              <w:jc w:val="left"/>
              <w:rPr>
                <w:rFonts w:eastAsia="Times New Roman" w:cs="Times New Roman"/>
                <w:b/>
                <w:bCs/>
                <w:sz w:val="18"/>
                <w:szCs w:val="18"/>
              </w:rPr>
            </w:pPr>
          </w:p>
        </w:tc>
      </w:tr>
      <w:tr w:rsidR="003160BE" w:rsidRPr="003160BE" w14:paraId="353B984D" w14:textId="77777777" w:rsidTr="003160BE">
        <w:trPr>
          <w:trHeight w:val="278"/>
        </w:trPr>
        <w:tc>
          <w:tcPr>
            <w:tcW w:w="13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6CA1BE" w14:textId="77777777" w:rsidR="003160BE" w:rsidRPr="003160BE" w:rsidRDefault="003160BE" w:rsidP="003160BE">
            <w:pPr>
              <w:spacing w:after="0"/>
              <w:ind w:firstLine="0"/>
              <w:jc w:val="right"/>
              <w:rPr>
                <w:rFonts w:eastAsia="Times New Roman" w:cs="Times New Roman"/>
                <w:i/>
                <w:iCs/>
                <w:sz w:val="18"/>
                <w:szCs w:val="18"/>
              </w:rPr>
            </w:pPr>
            <w:r w:rsidRPr="003160BE">
              <w:rPr>
                <w:rFonts w:eastAsia="Times New Roman" w:cs="Times New Roman"/>
                <w:i/>
                <w:iCs/>
                <w:sz w:val="18"/>
                <w:szCs w:val="18"/>
              </w:rPr>
              <w:t>tajā skaitā:</w:t>
            </w:r>
          </w:p>
        </w:tc>
        <w:tc>
          <w:tcPr>
            <w:tcW w:w="3616" w:type="pct"/>
            <w:gridSpan w:val="9"/>
            <w:tcBorders>
              <w:top w:val="single" w:sz="4" w:space="0" w:color="auto"/>
              <w:left w:val="single" w:sz="4" w:space="0" w:color="auto"/>
              <w:bottom w:val="single" w:sz="4" w:space="0" w:color="auto"/>
              <w:right w:val="single" w:sz="4" w:space="0" w:color="auto"/>
            </w:tcBorders>
            <w:vAlign w:val="center"/>
          </w:tcPr>
          <w:p w14:paraId="1D85E8AB" w14:textId="77777777" w:rsidR="003160BE" w:rsidRPr="003160BE" w:rsidRDefault="003160BE" w:rsidP="003160BE">
            <w:pPr>
              <w:spacing w:after="0"/>
              <w:ind w:firstLine="0"/>
              <w:jc w:val="left"/>
              <w:rPr>
                <w:rFonts w:ascii="Calibri" w:eastAsia="Times New Roman" w:hAnsi="Calibri" w:cs="Times New Roman"/>
                <w:sz w:val="22"/>
              </w:rPr>
            </w:pPr>
            <w:r w:rsidRPr="003160BE">
              <w:rPr>
                <w:rFonts w:ascii="Calibri" w:eastAsia="Times New Roman" w:hAnsi="Calibri" w:cs="Times New Roman"/>
                <w:sz w:val="22"/>
              </w:rPr>
              <w:t> </w:t>
            </w:r>
          </w:p>
        </w:tc>
      </w:tr>
      <w:tr w:rsidR="003160BE" w:rsidRPr="003160BE" w14:paraId="14382182" w14:textId="77777777" w:rsidTr="003160BE">
        <w:trPr>
          <w:trHeight w:val="278"/>
        </w:trPr>
        <w:tc>
          <w:tcPr>
            <w:tcW w:w="1384" w:type="pct"/>
            <w:tcBorders>
              <w:top w:val="single" w:sz="4" w:space="0" w:color="auto"/>
              <w:left w:val="single" w:sz="4" w:space="0" w:color="auto"/>
              <w:bottom w:val="single" w:sz="4" w:space="0" w:color="auto"/>
              <w:right w:val="single" w:sz="4" w:space="0" w:color="auto"/>
            </w:tcBorders>
            <w:noWrap/>
            <w:vAlign w:val="center"/>
            <w:hideMark/>
          </w:tcPr>
          <w:p w14:paraId="4A4E93F2" w14:textId="77777777" w:rsidR="003160BE" w:rsidRPr="003160BE" w:rsidRDefault="003160BE" w:rsidP="003160BE">
            <w:pPr>
              <w:spacing w:after="0"/>
              <w:ind w:firstLine="0"/>
              <w:rPr>
                <w:rFonts w:eastAsia="Times New Roman" w:cs="Times New Roman"/>
                <w:sz w:val="18"/>
                <w:szCs w:val="18"/>
              </w:rPr>
            </w:pPr>
            <w:r w:rsidRPr="003160BE">
              <w:rPr>
                <w:rFonts w:eastAsia="Times New Roman" w:cs="Times New Roman"/>
                <w:sz w:val="18"/>
                <w:szCs w:val="18"/>
              </w:rPr>
              <w:t xml:space="preserve">Izdienas pensijas </w:t>
            </w:r>
          </w:p>
        </w:tc>
        <w:tc>
          <w:tcPr>
            <w:tcW w:w="444" w:type="pct"/>
            <w:tcBorders>
              <w:top w:val="single" w:sz="4" w:space="0" w:color="auto"/>
              <w:left w:val="single" w:sz="4" w:space="0" w:color="auto"/>
              <w:bottom w:val="single" w:sz="4" w:space="0" w:color="auto"/>
              <w:right w:val="single" w:sz="4" w:space="0" w:color="auto"/>
            </w:tcBorders>
            <w:hideMark/>
          </w:tcPr>
          <w:p w14:paraId="438E79D0"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841,73</w:t>
            </w:r>
          </w:p>
        </w:tc>
        <w:tc>
          <w:tcPr>
            <w:tcW w:w="434" w:type="pct"/>
            <w:tcBorders>
              <w:top w:val="single" w:sz="4" w:space="0" w:color="auto"/>
              <w:left w:val="single" w:sz="4" w:space="0" w:color="auto"/>
              <w:bottom w:val="single" w:sz="4" w:space="0" w:color="auto"/>
              <w:right w:val="single" w:sz="4" w:space="0" w:color="auto"/>
            </w:tcBorders>
            <w:hideMark/>
          </w:tcPr>
          <w:p w14:paraId="4BE404AB"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2 132</w:t>
            </w:r>
          </w:p>
        </w:tc>
        <w:tc>
          <w:tcPr>
            <w:tcW w:w="392" w:type="pct"/>
            <w:tcBorders>
              <w:top w:val="single" w:sz="4" w:space="0" w:color="auto"/>
              <w:left w:val="single" w:sz="4" w:space="0" w:color="auto"/>
              <w:bottom w:val="single" w:sz="4" w:space="0" w:color="auto"/>
              <w:right w:val="single" w:sz="4" w:space="0" w:color="auto"/>
            </w:tcBorders>
          </w:tcPr>
          <w:p w14:paraId="0593E160" w14:textId="77777777" w:rsidR="003160BE" w:rsidRPr="003160BE" w:rsidRDefault="003160BE" w:rsidP="003160BE">
            <w:pPr>
              <w:spacing w:after="0"/>
              <w:ind w:firstLine="0"/>
              <w:rPr>
                <w:rFonts w:eastAsia="Times New Roman" w:cs="Times New Roman"/>
                <w:sz w:val="18"/>
                <w:szCs w:val="18"/>
              </w:rPr>
            </w:pPr>
            <w:r w:rsidRPr="003160BE">
              <w:rPr>
                <w:rFonts w:eastAsia="Times New Roman" w:cs="Times New Roman"/>
                <w:sz w:val="18"/>
                <w:szCs w:val="18"/>
              </w:rPr>
              <w:t>21 534 899</w:t>
            </w:r>
          </w:p>
        </w:tc>
        <w:tc>
          <w:tcPr>
            <w:tcW w:w="335" w:type="pct"/>
            <w:tcBorders>
              <w:top w:val="single" w:sz="4" w:space="0" w:color="auto"/>
              <w:left w:val="single" w:sz="4" w:space="0" w:color="auto"/>
              <w:bottom w:val="single" w:sz="4" w:space="0" w:color="auto"/>
              <w:right w:val="single" w:sz="4" w:space="0" w:color="auto"/>
            </w:tcBorders>
            <w:noWrap/>
            <w:hideMark/>
          </w:tcPr>
          <w:p w14:paraId="1539DDC5"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841,73</w:t>
            </w:r>
          </w:p>
        </w:tc>
        <w:tc>
          <w:tcPr>
            <w:tcW w:w="434" w:type="pct"/>
            <w:tcBorders>
              <w:top w:val="single" w:sz="4" w:space="0" w:color="auto"/>
              <w:left w:val="single" w:sz="4" w:space="0" w:color="auto"/>
              <w:bottom w:val="single" w:sz="4" w:space="0" w:color="auto"/>
              <w:right w:val="single" w:sz="4" w:space="0" w:color="auto"/>
            </w:tcBorders>
            <w:noWrap/>
            <w:hideMark/>
          </w:tcPr>
          <w:p w14:paraId="67FD8364"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2 132</w:t>
            </w:r>
          </w:p>
        </w:tc>
        <w:tc>
          <w:tcPr>
            <w:tcW w:w="367" w:type="pct"/>
            <w:tcBorders>
              <w:top w:val="single" w:sz="4" w:space="0" w:color="auto"/>
              <w:left w:val="single" w:sz="4" w:space="0" w:color="auto"/>
              <w:bottom w:val="single" w:sz="4" w:space="0" w:color="auto"/>
              <w:right w:val="single" w:sz="4" w:space="0" w:color="auto"/>
            </w:tcBorders>
            <w:noWrap/>
            <w:hideMark/>
          </w:tcPr>
          <w:p w14:paraId="03A66F58"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21 786 541</w:t>
            </w:r>
          </w:p>
        </w:tc>
        <w:tc>
          <w:tcPr>
            <w:tcW w:w="409" w:type="pct"/>
            <w:tcBorders>
              <w:top w:val="single" w:sz="4" w:space="0" w:color="auto"/>
              <w:left w:val="single" w:sz="4" w:space="0" w:color="auto"/>
              <w:bottom w:val="single" w:sz="4" w:space="0" w:color="auto"/>
              <w:right w:val="single" w:sz="4" w:space="0" w:color="auto"/>
            </w:tcBorders>
            <w:noWrap/>
            <w:hideMark/>
          </w:tcPr>
          <w:p w14:paraId="230A388B"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841,73</w:t>
            </w:r>
          </w:p>
        </w:tc>
        <w:tc>
          <w:tcPr>
            <w:tcW w:w="434" w:type="pct"/>
            <w:tcBorders>
              <w:top w:val="single" w:sz="4" w:space="0" w:color="auto"/>
              <w:left w:val="single" w:sz="4" w:space="0" w:color="auto"/>
              <w:bottom w:val="single" w:sz="4" w:space="0" w:color="auto"/>
              <w:right w:val="single" w:sz="4" w:space="0" w:color="auto"/>
            </w:tcBorders>
            <w:noWrap/>
            <w:hideMark/>
          </w:tcPr>
          <w:p w14:paraId="5A280177"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2 132</w:t>
            </w:r>
          </w:p>
        </w:tc>
        <w:tc>
          <w:tcPr>
            <w:tcW w:w="367" w:type="pct"/>
            <w:tcBorders>
              <w:top w:val="single" w:sz="4" w:space="0" w:color="auto"/>
              <w:left w:val="single" w:sz="4" w:space="0" w:color="auto"/>
              <w:bottom w:val="single" w:sz="4" w:space="0" w:color="auto"/>
              <w:right w:val="single" w:sz="4" w:space="0" w:color="auto"/>
            </w:tcBorders>
            <w:noWrap/>
            <w:hideMark/>
          </w:tcPr>
          <w:p w14:paraId="4BCD0B52"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22 048 647</w:t>
            </w:r>
          </w:p>
        </w:tc>
      </w:tr>
      <w:tr w:rsidR="003160BE" w:rsidRPr="003160BE" w14:paraId="6A37E299" w14:textId="77777777" w:rsidTr="003160BE">
        <w:trPr>
          <w:trHeight w:val="265"/>
        </w:trPr>
        <w:tc>
          <w:tcPr>
            <w:tcW w:w="13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A2E1A" w14:textId="77777777" w:rsidR="003160BE" w:rsidRPr="003160BE" w:rsidRDefault="003160BE" w:rsidP="003160BE">
            <w:pPr>
              <w:spacing w:after="0"/>
              <w:ind w:firstLine="0"/>
              <w:rPr>
                <w:rFonts w:eastAsia="Times New Roman" w:cs="Times New Roman"/>
                <w:b/>
                <w:bCs/>
                <w:sz w:val="18"/>
                <w:szCs w:val="18"/>
              </w:rPr>
            </w:pPr>
            <w:r w:rsidRPr="003160BE">
              <w:rPr>
                <w:rFonts w:eastAsia="Times New Roman" w:cs="Times New Roman"/>
                <w:b/>
                <w:bCs/>
                <w:sz w:val="18"/>
                <w:szCs w:val="18"/>
              </w:rPr>
              <w:t xml:space="preserve">Pārējie valsts pabalsti un kompensācijas – kopā </w:t>
            </w:r>
          </w:p>
        </w:tc>
        <w:tc>
          <w:tcPr>
            <w:tcW w:w="444" w:type="pct"/>
            <w:vMerge w:val="restart"/>
            <w:tcBorders>
              <w:top w:val="single" w:sz="4" w:space="0" w:color="auto"/>
              <w:left w:val="single" w:sz="4" w:space="0" w:color="auto"/>
              <w:bottom w:val="single" w:sz="4" w:space="0" w:color="auto"/>
              <w:right w:val="single" w:sz="4" w:space="0" w:color="auto"/>
            </w:tcBorders>
            <w:hideMark/>
          </w:tcPr>
          <w:p w14:paraId="2C7765ED"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434" w:type="pct"/>
            <w:vMerge w:val="restart"/>
            <w:tcBorders>
              <w:top w:val="single" w:sz="4" w:space="0" w:color="auto"/>
              <w:left w:val="single" w:sz="4" w:space="0" w:color="auto"/>
              <w:bottom w:val="single" w:sz="4" w:space="0" w:color="auto"/>
              <w:right w:val="single" w:sz="4" w:space="0" w:color="auto"/>
            </w:tcBorders>
            <w:hideMark/>
          </w:tcPr>
          <w:p w14:paraId="7B8DFDB3"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392" w:type="pct"/>
            <w:vMerge w:val="restart"/>
            <w:tcBorders>
              <w:top w:val="single" w:sz="4" w:space="0" w:color="auto"/>
              <w:left w:val="single" w:sz="4" w:space="0" w:color="auto"/>
              <w:bottom w:val="single" w:sz="4" w:space="0" w:color="auto"/>
              <w:right w:val="single" w:sz="4" w:space="0" w:color="auto"/>
            </w:tcBorders>
          </w:tcPr>
          <w:p w14:paraId="114ABC9C"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Times New Roman" w:cs="Times New Roman"/>
                <w:sz w:val="18"/>
                <w:szCs w:val="18"/>
              </w:rPr>
              <w:t>1 991 276</w:t>
            </w:r>
          </w:p>
        </w:tc>
        <w:tc>
          <w:tcPr>
            <w:tcW w:w="335" w:type="pct"/>
            <w:vMerge w:val="restart"/>
            <w:tcBorders>
              <w:top w:val="single" w:sz="4" w:space="0" w:color="auto"/>
              <w:left w:val="single" w:sz="4" w:space="0" w:color="auto"/>
              <w:bottom w:val="single" w:sz="4" w:space="0" w:color="auto"/>
              <w:right w:val="single" w:sz="4" w:space="0" w:color="auto"/>
            </w:tcBorders>
            <w:noWrap/>
            <w:hideMark/>
          </w:tcPr>
          <w:p w14:paraId="7B325475"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434" w:type="pct"/>
            <w:vMerge w:val="restart"/>
            <w:tcBorders>
              <w:top w:val="single" w:sz="4" w:space="0" w:color="auto"/>
              <w:left w:val="single" w:sz="4" w:space="0" w:color="auto"/>
              <w:bottom w:val="single" w:sz="4" w:space="0" w:color="auto"/>
              <w:right w:val="single" w:sz="4" w:space="0" w:color="auto"/>
            </w:tcBorders>
            <w:noWrap/>
            <w:hideMark/>
          </w:tcPr>
          <w:p w14:paraId="54DEF7A7"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367" w:type="pct"/>
            <w:vMerge w:val="restart"/>
            <w:tcBorders>
              <w:top w:val="single" w:sz="4" w:space="0" w:color="auto"/>
              <w:left w:val="single" w:sz="4" w:space="0" w:color="auto"/>
              <w:bottom w:val="single" w:sz="4" w:space="0" w:color="auto"/>
              <w:right w:val="single" w:sz="4" w:space="0" w:color="auto"/>
            </w:tcBorders>
            <w:noWrap/>
            <w:hideMark/>
          </w:tcPr>
          <w:p w14:paraId="08CF91EB"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Times New Roman" w:cs="Times New Roman"/>
                <w:sz w:val="18"/>
                <w:szCs w:val="18"/>
              </w:rPr>
              <w:t>1 991 276</w:t>
            </w:r>
          </w:p>
        </w:tc>
        <w:tc>
          <w:tcPr>
            <w:tcW w:w="409" w:type="pct"/>
            <w:vMerge w:val="restart"/>
            <w:tcBorders>
              <w:top w:val="single" w:sz="4" w:space="0" w:color="auto"/>
              <w:left w:val="single" w:sz="4" w:space="0" w:color="auto"/>
              <w:bottom w:val="single" w:sz="4" w:space="0" w:color="auto"/>
              <w:right w:val="single" w:sz="4" w:space="0" w:color="auto"/>
            </w:tcBorders>
            <w:noWrap/>
            <w:hideMark/>
          </w:tcPr>
          <w:p w14:paraId="1E1DAC74"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434" w:type="pct"/>
            <w:vMerge w:val="restart"/>
            <w:tcBorders>
              <w:top w:val="single" w:sz="4" w:space="0" w:color="auto"/>
              <w:left w:val="single" w:sz="4" w:space="0" w:color="auto"/>
              <w:bottom w:val="single" w:sz="4" w:space="0" w:color="auto"/>
              <w:right w:val="single" w:sz="4" w:space="0" w:color="auto"/>
            </w:tcBorders>
            <w:noWrap/>
            <w:hideMark/>
          </w:tcPr>
          <w:p w14:paraId="736DADF0"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sz w:val="18"/>
                <w:szCs w:val="18"/>
              </w:rPr>
              <w:t>X</w:t>
            </w:r>
          </w:p>
        </w:tc>
        <w:tc>
          <w:tcPr>
            <w:tcW w:w="367" w:type="pct"/>
            <w:vMerge w:val="restart"/>
            <w:tcBorders>
              <w:top w:val="single" w:sz="4" w:space="0" w:color="auto"/>
              <w:left w:val="single" w:sz="4" w:space="0" w:color="auto"/>
              <w:bottom w:val="single" w:sz="4" w:space="0" w:color="auto"/>
              <w:right w:val="single" w:sz="4" w:space="0" w:color="auto"/>
            </w:tcBorders>
            <w:noWrap/>
            <w:hideMark/>
          </w:tcPr>
          <w:p w14:paraId="51B6BB2F"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Times New Roman" w:cs="Times New Roman"/>
                <w:sz w:val="18"/>
                <w:szCs w:val="18"/>
              </w:rPr>
              <w:t>1 991 276</w:t>
            </w:r>
          </w:p>
        </w:tc>
      </w:tr>
      <w:tr w:rsidR="003160BE" w:rsidRPr="003160BE" w14:paraId="3C408867" w14:textId="77777777" w:rsidTr="003160BE">
        <w:trPr>
          <w:trHeight w:val="278"/>
        </w:trPr>
        <w:tc>
          <w:tcPr>
            <w:tcW w:w="13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CF054" w14:textId="77777777" w:rsidR="003160BE" w:rsidRPr="003160BE" w:rsidRDefault="003160BE" w:rsidP="003160BE">
            <w:pPr>
              <w:spacing w:after="0"/>
              <w:ind w:firstLine="0"/>
              <w:rPr>
                <w:rFonts w:eastAsia="Times New Roman" w:cs="Times New Roman"/>
                <w:sz w:val="18"/>
                <w:szCs w:val="18"/>
              </w:rPr>
            </w:pPr>
            <w:r w:rsidRPr="003160BE">
              <w:rPr>
                <w:rFonts w:eastAsia="Times New Roman" w:cs="Times New Roman"/>
                <w:sz w:val="18"/>
                <w:szCs w:val="18"/>
              </w:rPr>
              <w:t>(EKK 6239)</w:t>
            </w:r>
          </w:p>
        </w:tc>
        <w:tc>
          <w:tcPr>
            <w:tcW w:w="444" w:type="pct"/>
            <w:vMerge/>
            <w:tcBorders>
              <w:top w:val="single" w:sz="4" w:space="0" w:color="auto"/>
              <w:left w:val="single" w:sz="4" w:space="0" w:color="auto"/>
              <w:bottom w:val="single" w:sz="4" w:space="0" w:color="auto"/>
              <w:right w:val="single" w:sz="4" w:space="0" w:color="auto"/>
            </w:tcBorders>
            <w:vAlign w:val="center"/>
            <w:hideMark/>
          </w:tcPr>
          <w:p w14:paraId="0E9CC42C" w14:textId="77777777" w:rsidR="003160BE" w:rsidRPr="003160BE" w:rsidRDefault="003160BE" w:rsidP="003160BE">
            <w:pPr>
              <w:spacing w:after="0"/>
              <w:ind w:firstLine="0"/>
              <w:jc w:val="left"/>
              <w:rPr>
                <w:rFonts w:eastAsia="Times New Roman" w:cs="Times New Roman"/>
                <w:b/>
                <w:bCs/>
                <w:sz w:val="18"/>
                <w:szCs w:val="18"/>
              </w:rPr>
            </w:pPr>
          </w:p>
        </w:tc>
        <w:tc>
          <w:tcPr>
            <w:tcW w:w="434" w:type="pct"/>
            <w:vMerge/>
            <w:tcBorders>
              <w:top w:val="single" w:sz="4" w:space="0" w:color="auto"/>
              <w:left w:val="single" w:sz="4" w:space="0" w:color="auto"/>
              <w:bottom w:val="single" w:sz="4" w:space="0" w:color="auto"/>
              <w:right w:val="single" w:sz="4" w:space="0" w:color="auto"/>
            </w:tcBorders>
            <w:vAlign w:val="center"/>
            <w:hideMark/>
          </w:tcPr>
          <w:p w14:paraId="2F1E96FD" w14:textId="77777777" w:rsidR="003160BE" w:rsidRPr="003160BE" w:rsidRDefault="003160BE" w:rsidP="003160BE">
            <w:pPr>
              <w:spacing w:after="0"/>
              <w:ind w:firstLine="0"/>
              <w:jc w:val="left"/>
              <w:rPr>
                <w:rFonts w:eastAsia="Times New Roman" w:cs="Times New Roman"/>
                <w:b/>
                <w:bCs/>
                <w:sz w:val="18"/>
                <w:szCs w:val="18"/>
              </w:rPr>
            </w:pPr>
          </w:p>
        </w:tc>
        <w:tc>
          <w:tcPr>
            <w:tcW w:w="392" w:type="pct"/>
            <w:vMerge/>
            <w:tcBorders>
              <w:top w:val="single" w:sz="4" w:space="0" w:color="auto"/>
              <w:left w:val="single" w:sz="4" w:space="0" w:color="auto"/>
              <w:bottom w:val="single" w:sz="4" w:space="0" w:color="auto"/>
              <w:right w:val="single" w:sz="4" w:space="0" w:color="auto"/>
            </w:tcBorders>
            <w:vAlign w:val="center"/>
          </w:tcPr>
          <w:p w14:paraId="43933AEE" w14:textId="77777777" w:rsidR="003160BE" w:rsidRPr="003160BE" w:rsidRDefault="003160BE" w:rsidP="003160BE">
            <w:pPr>
              <w:spacing w:after="0"/>
              <w:ind w:firstLine="0"/>
              <w:jc w:val="left"/>
              <w:rPr>
                <w:rFonts w:eastAsia="Times New Roman" w:cs="Times New Roman"/>
                <w:b/>
                <w:bCs/>
                <w:sz w:val="18"/>
                <w:szCs w:val="18"/>
              </w:rPr>
            </w:pPr>
          </w:p>
        </w:tc>
        <w:tc>
          <w:tcPr>
            <w:tcW w:w="335" w:type="pct"/>
            <w:vMerge/>
            <w:tcBorders>
              <w:top w:val="single" w:sz="4" w:space="0" w:color="auto"/>
              <w:left w:val="single" w:sz="4" w:space="0" w:color="auto"/>
              <w:bottom w:val="single" w:sz="4" w:space="0" w:color="auto"/>
              <w:right w:val="single" w:sz="4" w:space="0" w:color="auto"/>
            </w:tcBorders>
            <w:vAlign w:val="center"/>
            <w:hideMark/>
          </w:tcPr>
          <w:p w14:paraId="0248A032" w14:textId="77777777" w:rsidR="003160BE" w:rsidRPr="003160BE" w:rsidRDefault="003160BE" w:rsidP="003160BE">
            <w:pPr>
              <w:spacing w:after="0"/>
              <w:ind w:firstLine="0"/>
              <w:jc w:val="left"/>
              <w:rPr>
                <w:rFonts w:eastAsia="Times New Roman" w:cs="Times New Roman"/>
                <w:b/>
                <w:bCs/>
                <w:sz w:val="18"/>
                <w:szCs w:val="18"/>
              </w:rPr>
            </w:pPr>
          </w:p>
        </w:tc>
        <w:tc>
          <w:tcPr>
            <w:tcW w:w="434" w:type="pct"/>
            <w:vMerge/>
            <w:tcBorders>
              <w:top w:val="single" w:sz="4" w:space="0" w:color="auto"/>
              <w:left w:val="single" w:sz="4" w:space="0" w:color="auto"/>
              <w:bottom w:val="single" w:sz="4" w:space="0" w:color="auto"/>
              <w:right w:val="single" w:sz="4" w:space="0" w:color="auto"/>
            </w:tcBorders>
            <w:vAlign w:val="center"/>
            <w:hideMark/>
          </w:tcPr>
          <w:p w14:paraId="37364893" w14:textId="77777777" w:rsidR="003160BE" w:rsidRPr="003160BE" w:rsidRDefault="003160BE" w:rsidP="003160BE">
            <w:pPr>
              <w:spacing w:after="0"/>
              <w:ind w:firstLine="0"/>
              <w:jc w:val="left"/>
              <w:rPr>
                <w:rFonts w:eastAsia="Times New Roman" w:cs="Times New Roman"/>
                <w:b/>
                <w:bCs/>
                <w:sz w:val="18"/>
                <w:szCs w:val="18"/>
              </w:rPr>
            </w:pPr>
          </w:p>
        </w:tc>
        <w:tc>
          <w:tcPr>
            <w:tcW w:w="367" w:type="pct"/>
            <w:vMerge/>
            <w:tcBorders>
              <w:top w:val="single" w:sz="4" w:space="0" w:color="auto"/>
              <w:left w:val="single" w:sz="4" w:space="0" w:color="auto"/>
              <w:bottom w:val="single" w:sz="4" w:space="0" w:color="auto"/>
              <w:right w:val="single" w:sz="4" w:space="0" w:color="auto"/>
            </w:tcBorders>
            <w:vAlign w:val="center"/>
            <w:hideMark/>
          </w:tcPr>
          <w:p w14:paraId="388B01E7" w14:textId="77777777" w:rsidR="003160BE" w:rsidRPr="003160BE" w:rsidRDefault="003160BE" w:rsidP="003160BE">
            <w:pPr>
              <w:spacing w:after="0"/>
              <w:ind w:firstLine="0"/>
              <w:jc w:val="left"/>
              <w:rPr>
                <w:rFonts w:eastAsia="Times New Roman" w:cs="Times New Roman"/>
                <w:b/>
                <w:bCs/>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hideMark/>
          </w:tcPr>
          <w:p w14:paraId="47D4C4DF" w14:textId="77777777" w:rsidR="003160BE" w:rsidRPr="003160BE" w:rsidRDefault="003160BE" w:rsidP="003160BE">
            <w:pPr>
              <w:spacing w:after="0"/>
              <w:ind w:firstLine="0"/>
              <w:jc w:val="left"/>
              <w:rPr>
                <w:rFonts w:eastAsia="Times New Roman" w:cs="Times New Roman"/>
                <w:b/>
                <w:bCs/>
                <w:sz w:val="18"/>
                <w:szCs w:val="18"/>
              </w:rPr>
            </w:pPr>
          </w:p>
        </w:tc>
        <w:tc>
          <w:tcPr>
            <w:tcW w:w="434" w:type="pct"/>
            <w:vMerge/>
            <w:tcBorders>
              <w:top w:val="single" w:sz="4" w:space="0" w:color="auto"/>
              <w:left w:val="single" w:sz="4" w:space="0" w:color="auto"/>
              <w:bottom w:val="single" w:sz="4" w:space="0" w:color="auto"/>
              <w:right w:val="single" w:sz="4" w:space="0" w:color="auto"/>
            </w:tcBorders>
            <w:vAlign w:val="center"/>
            <w:hideMark/>
          </w:tcPr>
          <w:p w14:paraId="48918391" w14:textId="77777777" w:rsidR="003160BE" w:rsidRPr="003160BE" w:rsidRDefault="003160BE" w:rsidP="003160BE">
            <w:pPr>
              <w:spacing w:after="0"/>
              <w:ind w:firstLine="0"/>
              <w:jc w:val="left"/>
              <w:rPr>
                <w:rFonts w:eastAsia="Times New Roman" w:cs="Times New Roman"/>
                <w:b/>
                <w:bCs/>
                <w:sz w:val="18"/>
                <w:szCs w:val="18"/>
              </w:rPr>
            </w:pPr>
          </w:p>
        </w:tc>
        <w:tc>
          <w:tcPr>
            <w:tcW w:w="367" w:type="pct"/>
            <w:vMerge/>
            <w:tcBorders>
              <w:top w:val="single" w:sz="4" w:space="0" w:color="auto"/>
              <w:left w:val="single" w:sz="4" w:space="0" w:color="auto"/>
              <w:bottom w:val="single" w:sz="4" w:space="0" w:color="auto"/>
              <w:right w:val="single" w:sz="4" w:space="0" w:color="auto"/>
            </w:tcBorders>
            <w:vAlign w:val="center"/>
            <w:hideMark/>
          </w:tcPr>
          <w:p w14:paraId="11712260" w14:textId="77777777" w:rsidR="003160BE" w:rsidRPr="003160BE" w:rsidRDefault="003160BE" w:rsidP="003160BE">
            <w:pPr>
              <w:spacing w:after="0"/>
              <w:ind w:firstLine="0"/>
              <w:jc w:val="left"/>
              <w:rPr>
                <w:rFonts w:eastAsia="Times New Roman" w:cs="Times New Roman"/>
                <w:b/>
                <w:bCs/>
                <w:sz w:val="18"/>
                <w:szCs w:val="18"/>
              </w:rPr>
            </w:pPr>
          </w:p>
        </w:tc>
      </w:tr>
      <w:tr w:rsidR="003160BE" w:rsidRPr="003160BE" w14:paraId="50144E72" w14:textId="77777777" w:rsidTr="003160BE">
        <w:trPr>
          <w:trHeight w:val="278"/>
        </w:trPr>
        <w:tc>
          <w:tcPr>
            <w:tcW w:w="13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DB4DB" w14:textId="77777777" w:rsidR="003160BE" w:rsidRPr="003160BE" w:rsidRDefault="003160BE" w:rsidP="003160BE">
            <w:pPr>
              <w:spacing w:after="0"/>
              <w:ind w:firstLine="0"/>
              <w:jc w:val="right"/>
              <w:rPr>
                <w:rFonts w:eastAsia="Times New Roman" w:cs="Times New Roman"/>
                <w:i/>
                <w:iCs/>
                <w:sz w:val="18"/>
                <w:szCs w:val="18"/>
              </w:rPr>
            </w:pPr>
            <w:r w:rsidRPr="003160BE">
              <w:rPr>
                <w:rFonts w:eastAsia="Times New Roman" w:cs="Times New Roman"/>
                <w:i/>
                <w:iCs/>
                <w:sz w:val="18"/>
                <w:szCs w:val="18"/>
              </w:rPr>
              <w:t>tajā skaitā:</w:t>
            </w:r>
          </w:p>
        </w:tc>
        <w:tc>
          <w:tcPr>
            <w:tcW w:w="3616" w:type="pct"/>
            <w:gridSpan w:val="9"/>
            <w:tcBorders>
              <w:top w:val="single" w:sz="4" w:space="0" w:color="auto"/>
              <w:left w:val="single" w:sz="4" w:space="0" w:color="auto"/>
              <w:bottom w:val="single" w:sz="4" w:space="0" w:color="auto"/>
              <w:right w:val="single" w:sz="4" w:space="0" w:color="auto"/>
            </w:tcBorders>
            <w:vAlign w:val="center"/>
          </w:tcPr>
          <w:p w14:paraId="12CFFC72" w14:textId="77777777" w:rsidR="003160BE" w:rsidRPr="003160BE" w:rsidRDefault="003160BE" w:rsidP="003160BE">
            <w:pPr>
              <w:spacing w:after="0"/>
              <w:ind w:firstLine="0"/>
              <w:jc w:val="left"/>
              <w:rPr>
                <w:rFonts w:ascii="Calibri" w:eastAsia="Times New Roman" w:hAnsi="Calibri" w:cs="Times New Roman"/>
                <w:sz w:val="22"/>
              </w:rPr>
            </w:pPr>
            <w:r w:rsidRPr="003160BE">
              <w:rPr>
                <w:rFonts w:ascii="Calibri" w:eastAsia="Times New Roman" w:hAnsi="Calibri" w:cs="Times New Roman"/>
                <w:sz w:val="22"/>
              </w:rPr>
              <w:t> </w:t>
            </w:r>
          </w:p>
        </w:tc>
      </w:tr>
      <w:tr w:rsidR="003160BE" w:rsidRPr="003160BE" w14:paraId="7FEB96B3" w14:textId="77777777" w:rsidTr="003160BE">
        <w:trPr>
          <w:trHeight w:val="278"/>
        </w:trPr>
        <w:tc>
          <w:tcPr>
            <w:tcW w:w="13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124B9F" w14:textId="77777777" w:rsidR="003160BE" w:rsidRPr="003160BE" w:rsidRDefault="003160BE" w:rsidP="003160BE">
            <w:pPr>
              <w:spacing w:after="0"/>
              <w:ind w:firstLine="0"/>
              <w:jc w:val="left"/>
              <w:rPr>
                <w:rFonts w:eastAsia="Times New Roman" w:cs="Times New Roman"/>
                <w:sz w:val="18"/>
                <w:szCs w:val="18"/>
              </w:rPr>
            </w:pPr>
            <w:r w:rsidRPr="003160BE">
              <w:rPr>
                <w:rFonts w:eastAsia="Times New Roman" w:cs="Times New Roman"/>
                <w:sz w:val="18"/>
                <w:szCs w:val="18"/>
              </w:rPr>
              <w:t>Nacionālās pretošanās kustības dalībnieku pabalsti</w:t>
            </w:r>
          </w:p>
        </w:tc>
        <w:tc>
          <w:tcPr>
            <w:tcW w:w="444" w:type="pct"/>
            <w:tcBorders>
              <w:top w:val="single" w:sz="4" w:space="0" w:color="auto"/>
              <w:left w:val="single" w:sz="4" w:space="0" w:color="auto"/>
              <w:bottom w:val="single" w:sz="4" w:space="0" w:color="auto"/>
              <w:right w:val="single" w:sz="4" w:space="0" w:color="auto"/>
            </w:tcBorders>
            <w:hideMark/>
          </w:tcPr>
          <w:p w14:paraId="76EBF54A"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340,00</w:t>
            </w:r>
          </w:p>
        </w:tc>
        <w:tc>
          <w:tcPr>
            <w:tcW w:w="434" w:type="pct"/>
            <w:tcBorders>
              <w:top w:val="single" w:sz="4" w:space="0" w:color="auto"/>
              <w:left w:val="single" w:sz="4" w:space="0" w:color="auto"/>
              <w:bottom w:val="single" w:sz="4" w:space="0" w:color="auto"/>
              <w:right w:val="single" w:sz="4" w:space="0" w:color="auto"/>
            </w:tcBorders>
            <w:hideMark/>
          </w:tcPr>
          <w:p w14:paraId="552E129D"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143</w:t>
            </w:r>
          </w:p>
        </w:tc>
        <w:tc>
          <w:tcPr>
            <w:tcW w:w="392" w:type="pct"/>
            <w:tcBorders>
              <w:top w:val="single" w:sz="4" w:space="0" w:color="auto"/>
              <w:left w:val="single" w:sz="4" w:space="0" w:color="auto"/>
              <w:bottom w:val="single" w:sz="4" w:space="0" w:color="auto"/>
              <w:right w:val="single" w:sz="4" w:space="0" w:color="auto"/>
            </w:tcBorders>
          </w:tcPr>
          <w:p w14:paraId="638CFF41"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583 440</w:t>
            </w:r>
          </w:p>
        </w:tc>
        <w:tc>
          <w:tcPr>
            <w:tcW w:w="335" w:type="pct"/>
            <w:tcBorders>
              <w:top w:val="single" w:sz="4" w:space="0" w:color="auto"/>
              <w:left w:val="single" w:sz="4" w:space="0" w:color="auto"/>
              <w:bottom w:val="single" w:sz="4" w:space="0" w:color="auto"/>
              <w:right w:val="single" w:sz="4" w:space="0" w:color="auto"/>
            </w:tcBorders>
            <w:noWrap/>
            <w:hideMark/>
          </w:tcPr>
          <w:p w14:paraId="332941DF"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340,00</w:t>
            </w:r>
          </w:p>
        </w:tc>
        <w:tc>
          <w:tcPr>
            <w:tcW w:w="434" w:type="pct"/>
            <w:tcBorders>
              <w:top w:val="single" w:sz="4" w:space="0" w:color="auto"/>
              <w:left w:val="single" w:sz="4" w:space="0" w:color="auto"/>
              <w:bottom w:val="single" w:sz="4" w:space="0" w:color="auto"/>
              <w:right w:val="single" w:sz="4" w:space="0" w:color="auto"/>
            </w:tcBorders>
            <w:noWrap/>
            <w:hideMark/>
          </w:tcPr>
          <w:p w14:paraId="50D0D902"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143</w:t>
            </w:r>
          </w:p>
        </w:tc>
        <w:tc>
          <w:tcPr>
            <w:tcW w:w="367" w:type="pct"/>
            <w:tcBorders>
              <w:top w:val="single" w:sz="4" w:space="0" w:color="auto"/>
              <w:left w:val="single" w:sz="4" w:space="0" w:color="auto"/>
              <w:bottom w:val="single" w:sz="4" w:space="0" w:color="auto"/>
              <w:right w:val="single" w:sz="4" w:space="0" w:color="auto"/>
            </w:tcBorders>
            <w:noWrap/>
            <w:hideMark/>
          </w:tcPr>
          <w:p w14:paraId="77220920"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583 440</w:t>
            </w:r>
          </w:p>
        </w:tc>
        <w:tc>
          <w:tcPr>
            <w:tcW w:w="409" w:type="pct"/>
            <w:tcBorders>
              <w:top w:val="single" w:sz="4" w:space="0" w:color="auto"/>
              <w:left w:val="single" w:sz="4" w:space="0" w:color="auto"/>
              <w:bottom w:val="single" w:sz="4" w:space="0" w:color="auto"/>
              <w:right w:val="single" w:sz="4" w:space="0" w:color="auto"/>
            </w:tcBorders>
            <w:noWrap/>
            <w:hideMark/>
          </w:tcPr>
          <w:p w14:paraId="6FC503F0"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340,00</w:t>
            </w:r>
          </w:p>
        </w:tc>
        <w:tc>
          <w:tcPr>
            <w:tcW w:w="434" w:type="pct"/>
            <w:tcBorders>
              <w:top w:val="single" w:sz="4" w:space="0" w:color="auto"/>
              <w:left w:val="single" w:sz="4" w:space="0" w:color="auto"/>
              <w:bottom w:val="single" w:sz="4" w:space="0" w:color="auto"/>
              <w:right w:val="single" w:sz="4" w:space="0" w:color="auto"/>
            </w:tcBorders>
            <w:noWrap/>
            <w:hideMark/>
          </w:tcPr>
          <w:p w14:paraId="7434FD01"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143</w:t>
            </w:r>
          </w:p>
        </w:tc>
        <w:tc>
          <w:tcPr>
            <w:tcW w:w="367" w:type="pct"/>
            <w:tcBorders>
              <w:top w:val="single" w:sz="4" w:space="0" w:color="auto"/>
              <w:left w:val="single" w:sz="4" w:space="0" w:color="auto"/>
              <w:bottom w:val="single" w:sz="4" w:space="0" w:color="auto"/>
              <w:right w:val="single" w:sz="4" w:space="0" w:color="auto"/>
            </w:tcBorders>
            <w:noWrap/>
            <w:hideMark/>
          </w:tcPr>
          <w:p w14:paraId="2FDB0214"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583 440</w:t>
            </w:r>
          </w:p>
        </w:tc>
      </w:tr>
      <w:tr w:rsidR="003160BE" w:rsidRPr="003160BE" w14:paraId="1651BEB2" w14:textId="77777777" w:rsidTr="003160BE">
        <w:trPr>
          <w:trHeight w:val="278"/>
        </w:trPr>
        <w:tc>
          <w:tcPr>
            <w:tcW w:w="13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C013E47" w14:textId="77777777" w:rsidR="003160BE" w:rsidRPr="003160BE" w:rsidRDefault="003160BE" w:rsidP="003160BE">
            <w:pPr>
              <w:spacing w:after="0"/>
              <w:ind w:firstLine="0"/>
              <w:jc w:val="left"/>
              <w:rPr>
                <w:rFonts w:eastAsia="Times New Roman" w:cs="Times New Roman"/>
                <w:sz w:val="18"/>
                <w:szCs w:val="18"/>
              </w:rPr>
            </w:pPr>
            <w:r w:rsidRPr="003160BE">
              <w:rPr>
                <w:rFonts w:eastAsia="Times New Roman" w:cs="Times New Roman"/>
                <w:sz w:val="18"/>
                <w:szCs w:val="18"/>
              </w:rPr>
              <w:t>Barikāžu pabalsti</w:t>
            </w:r>
          </w:p>
        </w:tc>
        <w:tc>
          <w:tcPr>
            <w:tcW w:w="444" w:type="pct"/>
            <w:tcBorders>
              <w:top w:val="single" w:sz="4" w:space="0" w:color="auto"/>
              <w:left w:val="single" w:sz="4" w:space="0" w:color="auto"/>
              <w:bottom w:val="single" w:sz="4" w:space="0" w:color="auto"/>
              <w:right w:val="single" w:sz="4" w:space="0" w:color="auto"/>
            </w:tcBorders>
            <w:hideMark/>
          </w:tcPr>
          <w:p w14:paraId="26BED6FA"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100,00</w:t>
            </w:r>
          </w:p>
        </w:tc>
        <w:tc>
          <w:tcPr>
            <w:tcW w:w="434" w:type="pct"/>
            <w:tcBorders>
              <w:top w:val="single" w:sz="4" w:space="0" w:color="auto"/>
              <w:left w:val="single" w:sz="4" w:space="0" w:color="auto"/>
              <w:bottom w:val="single" w:sz="4" w:space="0" w:color="auto"/>
              <w:right w:val="single" w:sz="4" w:space="0" w:color="auto"/>
            </w:tcBorders>
            <w:hideMark/>
          </w:tcPr>
          <w:p w14:paraId="0249FC9B"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8</w:t>
            </w:r>
          </w:p>
        </w:tc>
        <w:tc>
          <w:tcPr>
            <w:tcW w:w="392" w:type="pct"/>
            <w:tcBorders>
              <w:top w:val="single" w:sz="4" w:space="0" w:color="auto"/>
              <w:left w:val="single" w:sz="4" w:space="0" w:color="auto"/>
              <w:bottom w:val="single" w:sz="4" w:space="0" w:color="auto"/>
              <w:right w:val="single" w:sz="4" w:space="0" w:color="auto"/>
            </w:tcBorders>
          </w:tcPr>
          <w:p w14:paraId="6B6C7A3B"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9 600</w:t>
            </w:r>
          </w:p>
        </w:tc>
        <w:tc>
          <w:tcPr>
            <w:tcW w:w="335" w:type="pct"/>
            <w:tcBorders>
              <w:top w:val="single" w:sz="4" w:space="0" w:color="auto"/>
              <w:left w:val="single" w:sz="4" w:space="0" w:color="auto"/>
              <w:bottom w:val="single" w:sz="4" w:space="0" w:color="auto"/>
              <w:right w:val="single" w:sz="4" w:space="0" w:color="auto"/>
            </w:tcBorders>
            <w:noWrap/>
            <w:hideMark/>
          </w:tcPr>
          <w:p w14:paraId="3B9A24EB"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100,00</w:t>
            </w:r>
          </w:p>
        </w:tc>
        <w:tc>
          <w:tcPr>
            <w:tcW w:w="434" w:type="pct"/>
            <w:tcBorders>
              <w:top w:val="single" w:sz="4" w:space="0" w:color="auto"/>
              <w:left w:val="single" w:sz="4" w:space="0" w:color="auto"/>
              <w:bottom w:val="single" w:sz="4" w:space="0" w:color="auto"/>
              <w:right w:val="single" w:sz="4" w:space="0" w:color="auto"/>
            </w:tcBorders>
            <w:noWrap/>
            <w:hideMark/>
          </w:tcPr>
          <w:p w14:paraId="2387231D"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8</w:t>
            </w:r>
          </w:p>
        </w:tc>
        <w:tc>
          <w:tcPr>
            <w:tcW w:w="367" w:type="pct"/>
            <w:tcBorders>
              <w:top w:val="single" w:sz="4" w:space="0" w:color="auto"/>
              <w:left w:val="single" w:sz="4" w:space="0" w:color="auto"/>
              <w:bottom w:val="single" w:sz="4" w:space="0" w:color="auto"/>
              <w:right w:val="single" w:sz="4" w:space="0" w:color="auto"/>
            </w:tcBorders>
            <w:noWrap/>
            <w:hideMark/>
          </w:tcPr>
          <w:p w14:paraId="125ADDEA"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9 600</w:t>
            </w:r>
          </w:p>
        </w:tc>
        <w:tc>
          <w:tcPr>
            <w:tcW w:w="409" w:type="pct"/>
            <w:tcBorders>
              <w:top w:val="single" w:sz="4" w:space="0" w:color="auto"/>
              <w:left w:val="single" w:sz="4" w:space="0" w:color="auto"/>
              <w:bottom w:val="single" w:sz="4" w:space="0" w:color="auto"/>
              <w:right w:val="single" w:sz="4" w:space="0" w:color="auto"/>
            </w:tcBorders>
            <w:noWrap/>
            <w:hideMark/>
          </w:tcPr>
          <w:p w14:paraId="43000D55"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100,00</w:t>
            </w:r>
          </w:p>
        </w:tc>
        <w:tc>
          <w:tcPr>
            <w:tcW w:w="434" w:type="pct"/>
            <w:tcBorders>
              <w:top w:val="single" w:sz="4" w:space="0" w:color="auto"/>
              <w:left w:val="single" w:sz="4" w:space="0" w:color="auto"/>
              <w:bottom w:val="single" w:sz="4" w:space="0" w:color="auto"/>
              <w:right w:val="single" w:sz="4" w:space="0" w:color="auto"/>
            </w:tcBorders>
            <w:noWrap/>
            <w:hideMark/>
          </w:tcPr>
          <w:p w14:paraId="740C5FF9"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8</w:t>
            </w:r>
          </w:p>
        </w:tc>
        <w:tc>
          <w:tcPr>
            <w:tcW w:w="367" w:type="pct"/>
            <w:tcBorders>
              <w:top w:val="single" w:sz="4" w:space="0" w:color="auto"/>
              <w:left w:val="single" w:sz="4" w:space="0" w:color="auto"/>
              <w:bottom w:val="single" w:sz="4" w:space="0" w:color="auto"/>
              <w:right w:val="single" w:sz="4" w:space="0" w:color="auto"/>
            </w:tcBorders>
            <w:noWrap/>
            <w:hideMark/>
          </w:tcPr>
          <w:p w14:paraId="19CADB74"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9 600</w:t>
            </w:r>
          </w:p>
        </w:tc>
      </w:tr>
      <w:tr w:rsidR="003160BE" w:rsidRPr="003160BE" w14:paraId="55430298" w14:textId="77777777" w:rsidTr="003160BE">
        <w:trPr>
          <w:trHeight w:val="278"/>
        </w:trPr>
        <w:tc>
          <w:tcPr>
            <w:tcW w:w="13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90D6610" w14:textId="77777777" w:rsidR="003160BE" w:rsidRPr="003160BE" w:rsidRDefault="003160BE" w:rsidP="003160BE">
            <w:pPr>
              <w:spacing w:after="0"/>
              <w:ind w:firstLine="0"/>
              <w:jc w:val="left"/>
              <w:rPr>
                <w:rFonts w:eastAsia="Times New Roman" w:cs="Times New Roman"/>
                <w:sz w:val="18"/>
                <w:szCs w:val="18"/>
              </w:rPr>
            </w:pPr>
            <w:r w:rsidRPr="003160BE">
              <w:rPr>
                <w:rFonts w:eastAsia="Times New Roman" w:cs="Times New Roman"/>
                <w:sz w:val="18"/>
                <w:szCs w:val="18"/>
              </w:rPr>
              <w:t>Obligātā militārā dienesta kompensācijas</w:t>
            </w:r>
          </w:p>
        </w:tc>
        <w:tc>
          <w:tcPr>
            <w:tcW w:w="444" w:type="pct"/>
            <w:tcBorders>
              <w:top w:val="single" w:sz="4" w:space="0" w:color="auto"/>
              <w:left w:val="single" w:sz="4" w:space="0" w:color="auto"/>
              <w:bottom w:val="single" w:sz="4" w:space="0" w:color="auto"/>
              <w:right w:val="single" w:sz="4" w:space="0" w:color="auto"/>
            </w:tcBorders>
            <w:hideMark/>
          </w:tcPr>
          <w:p w14:paraId="721164E0"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501,36</w:t>
            </w:r>
          </w:p>
        </w:tc>
        <w:tc>
          <w:tcPr>
            <w:tcW w:w="434" w:type="pct"/>
            <w:tcBorders>
              <w:top w:val="single" w:sz="4" w:space="0" w:color="auto"/>
              <w:left w:val="single" w:sz="4" w:space="0" w:color="auto"/>
              <w:bottom w:val="single" w:sz="4" w:space="0" w:color="auto"/>
              <w:right w:val="single" w:sz="4" w:space="0" w:color="auto"/>
            </w:tcBorders>
            <w:hideMark/>
          </w:tcPr>
          <w:p w14:paraId="2057E940"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6</w:t>
            </w:r>
          </w:p>
        </w:tc>
        <w:tc>
          <w:tcPr>
            <w:tcW w:w="392" w:type="pct"/>
            <w:tcBorders>
              <w:top w:val="single" w:sz="4" w:space="0" w:color="auto"/>
              <w:left w:val="single" w:sz="4" w:space="0" w:color="auto"/>
              <w:bottom w:val="single" w:sz="4" w:space="0" w:color="auto"/>
              <w:right w:val="single" w:sz="4" w:space="0" w:color="auto"/>
            </w:tcBorders>
          </w:tcPr>
          <w:p w14:paraId="679C0A19"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36 098</w:t>
            </w:r>
          </w:p>
        </w:tc>
        <w:tc>
          <w:tcPr>
            <w:tcW w:w="335" w:type="pct"/>
            <w:tcBorders>
              <w:top w:val="single" w:sz="4" w:space="0" w:color="auto"/>
              <w:left w:val="single" w:sz="4" w:space="0" w:color="auto"/>
              <w:bottom w:val="single" w:sz="4" w:space="0" w:color="auto"/>
              <w:right w:val="single" w:sz="4" w:space="0" w:color="auto"/>
            </w:tcBorders>
            <w:noWrap/>
            <w:hideMark/>
          </w:tcPr>
          <w:p w14:paraId="683C56B8"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501,36</w:t>
            </w:r>
          </w:p>
        </w:tc>
        <w:tc>
          <w:tcPr>
            <w:tcW w:w="434" w:type="pct"/>
            <w:tcBorders>
              <w:top w:val="single" w:sz="4" w:space="0" w:color="auto"/>
              <w:left w:val="single" w:sz="4" w:space="0" w:color="auto"/>
              <w:bottom w:val="single" w:sz="4" w:space="0" w:color="auto"/>
              <w:right w:val="single" w:sz="4" w:space="0" w:color="auto"/>
            </w:tcBorders>
            <w:noWrap/>
            <w:hideMark/>
          </w:tcPr>
          <w:p w14:paraId="6DD7B16D"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6</w:t>
            </w:r>
          </w:p>
        </w:tc>
        <w:tc>
          <w:tcPr>
            <w:tcW w:w="367" w:type="pct"/>
            <w:tcBorders>
              <w:top w:val="single" w:sz="4" w:space="0" w:color="auto"/>
              <w:left w:val="single" w:sz="4" w:space="0" w:color="auto"/>
              <w:bottom w:val="single" w:sz="4" w:space="0" w:color="auto"/>
              <w:right w:val="single" w:sz="4" w:space="0" w:color="auto"/>
            </w:tcBorders>
            <w:noWrap/>
            <w:hideMark/>
          </w:tcPr>
          <w:p w14:paraId="06BE819C"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36 098</w:t>
            </w:r>
          </w:p>
        </w:tc>
        <w:tc>
          <w:tcPr>
            <w:tcW w:w="409" w:type="pct"/>
            <w:tcBorders>
              <w:top w:val="single" w:sz="4" w:space="0" w:color="auto"/>
              <w:left w:val="single" w:sz="4" w:space="0" w:color="auto"/>
              <w:bottom w:val="single" w:sz="4" w:space="0" w:color="auto"/>
              <w:right w:val="single" w:sz="4" w:space="0" w:color="auto"/>
            </w:tcBorders>
            <w:noWrap/>
            <w:hideMark/>
          </w:tcPr>
          <w:p w14:paraId="557EFD6F"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501,36</w:t>
            </w:r>
          </w:p>
        </w:tc>
        <w:tc>
          <w:tcPr>
            <w:tcW w:w="434" w:type="pct"/>
            <w:tcBorders>
              <w:top w:val="single" w:sz="4" w:space="0" w:color="auto"/>
              <w:left w:val="single" w:sz="4" w:space="0" w:color="auto"/>
              <w:bottom w:val="single" w:sz="4" w:space="0" w:color="auto"/>
              <w:right w:val="single" w:sz="4" w:space="0" w:color="auto"/>
            </w:tcBorders>
            <w:noWrap/>
            <w:hideMark/>
          </w:tcPr>
          <w:p w14:paraId="03CD7B45"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6</w:t>
            </w:r>
          </w:p>
        </w:tc>
        <w:tc>
          <w:tcPr>
            <w:tcW w:w="367" w:type="pct"/>
            <w:tcBorders>
              <w:top w:val="single" w:sz="4" w:space="0" w:color="auto"/>
              <w:left w:val="single" w:sz="4" w:space="0" w:color="auto"/>
              <w:bottom w:val="single" w:sz="4" w:space="0" w:color="auto"/>
              <w:right w:val="single" w:sz="4" w:space="0" w:color="auto"/>
            </w:tcBorders>
            <w:noWrap/>
            <w:hideMark/>
          </w:tcPr>
          <w:p w14:paraId="7CFEC7C6"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36 098</w:t>
            </w:r>
          </w:p>
        </w:tc>
      </w:tr>
      <w:tr w:rsidR="003160BE" w:rsidRPr="003160BE" w14:paraId="006A1B04" w14:textId="77777777" w:rsidTr="003160BE">
        <w:trPr>
          <w:trHeight w:val="278"/>
        </w:trPr>
        <w:tc>
          <w:tcPr>
            <w:tcW w:w="13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7713E" w14:textId="77777777" w:rsidR="003160BE" w:rsidRPr="003160BE" w:rsidRDefault="003160BE" w:rsidP="003160BE">
            <w:pPr>
              <w:spacing w:after="0"/>
              <w:ind w:firstLine="0"/>
              <w:jc w:val="left"/>
              <w:rPr>
                <w:rFonts w:eastAsia="Times New Roman" w:cs="Times New Roman"/>
                <w:sz w:val="18"/>
                <w:szCs w:val="18"/>
              </w:rPr>
            </w:pPr>
            <w:r w:rsidRPr="003160BE">
              <w:rPr>
                <w:rFonts w:eastAsia="Times New Roman" w:cs="Times New Roman"/>
                <w:sz w:val="18"/>
                <w:szCs w:val="18"/>
              </w:rPr>
              <w:t>Darbā nodarītā kaitējuma atlīdzība</w:t>
            </w:r>
          </w:p>
        </w:tc>
        <w:tc>
          <w:tcPr>
            <w:tcW w:w="444" w:type="pct"/>
            <w:tcBorders>
              <w:top w:val="single" w:sz="4" w:space="0" w:color="auto"/>
              <w:left w:val="single" w:sz="4" w:space="0" w:color="auto"/>
              <w:bottom w:val="single" w:sz="4" w:space="0" w:color="auto"/>
              <w:right w:val="single" w:sz="4" w:space="0" w:color="auto"/>
            </w:tcBorders>
            <w:hideMark/>
          </w:tcPr>
          <w:p w14:paraId="2C4FF9D8"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324,08</w:t>
            </w:r>
          </w:p>
        </w:tc>
        <w:tc>
          <w:tcPr>
            <w:tcW w:w="434" w:type="pct"/>
            <w:tcBorders>
              <w:top w:val="single" w:sz="4" w:space="0" w:color="auto"/>
              <w:left w:val="single" w:sz="4" w:space="0" w:color="auto"/>
              <w:bottom w:val="single" w:sz="4" w:space="0" w:color="auto"/>
              <w:right w:val="single" w:sz="4" w:space="0" w:color="auto"/>
            </w:tcBorders>
            <w:hideMark/>
          </w:tcPr>
          <w:p w14:paraId="13308E4A"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w:t>
            </w:r>
          </w:p>
        </w:tc>
        <w:tc>
          <w:tcPr>
            <w:tcW w:w="392" w:type="pct"/>
            <w:tcBorders>
              <w:top w:val="single" w:sz="4" w:space="0" w:color="auto"/>
              <w:left w:val="single" w:sz="4" w:space="0" w:color="auto"/>
              <w:bottom w:val="single" w:sz="4" w:space="0" w:color="auto"/>
              <w:right w:val="single" w:sz="4" w:space="0" w:color="auto"/>
            </w:tcBorders>
          </w:tcPr>
          <w:p w14:paraId="48CF76E9"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7 778</w:t>
            </w:r>
          </w:p>
        </w:tc>
        <w:tc>
          <w:tcPr>
            <w:tcW w:w="335" w:type="pct"/>
            <w:tcBorders>
              <w:top w:val="single" w:sz="4" w:space="0" w:color="auto"/>
              <w:left w:val="single" w:sz="4" w:space="0" w:color="auto"/>
              <w:bottom w:val="single" w:sz="4" w:space="0" w:color="auto"/>
              <w:right w:val="single" w:sz="4" w:space="0" w:color="auto"/>
            </w:tcBorders>
            <w:noWrap/>
            <w:hideMark/>
          </w:tcPr>
          <w:p w14:paraId="5A11B42A"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324,08</w:t>
            </w:r>
          </w:p>
        </w:tc>
        <w:tc>
          <w:tcPr>
            <w:tcW w:w="434" w:type="pct"/>
            <w:tcBorders>
              <w:top w:val="single" w:sz="4" w:space="0" w:color="auto"/>
              <w:left w:val="single" w:sz="4" w:space="0" w:color="auto"/>
              <w:bottom w:val="single" w:sz="4" w:space="0" w:color="auto"/>
              <w:right w:val="single" w:sz="4" w:space="0" w:color="auto"/>
            </w:tcBorders>
            <w:noWrap/>
            <w:hideMark/>
          </w:tcPr>
          <w:p w14:paraId="7439A232"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w:t>
            </w:r>
          </w:p>
        </w:tc>
        <w:tc>
          <w:tcPr>
            <w:tcW w:w="367" w:type="pct"/>
            <w:tcBorders>
              <w:top w:val="single" w:sz="4" w:space="0" w:color="auto"/>
              <w:left w:val="single" w:sz="4" w:space="0" w:color="auto"/>
              <w:bottom w:val="single" w:sz="4" w:space="0" w:color="auto"/>
              <w:right w:val="single" w:sz="4" w:space="0" w:color="auto"/>
            </w:tcBorders>
            <w:noWrap/>
            <w:hideMark/>
          </w:tcPr>
          <w:p w14:paraId="62104A6E"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7 778</w:t>
            </w:r>
          </w:p>
        </w:tc>
        <w:tc>
          <w:tcPr>
            <w:tcW w:w="409" w:type="pct"/>
            <w:tcBorders>
              <w:top w:val="single" w:sz="4" w:space="0" w:color="auto"/>
              <w:left w:val="single" w:sz="4" w:space="0" w:color="auto"/>
              <w:bottom w:val="single" w:sz="4" w:space="0" w:color="auto"/>
              <w:right w:val="single" w:sz="4" w:space="0" w:color="auto"/>
            </w:tcBorders>
            <w:noWrap/>
            <w:hideMark/>
          </w:tcPr>
          <w:p w14:paraId="260437F4"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324,08</w:t>
            </w:r>
          </w:p>
        </w:tc>
        <w:tc>
          <w:tcPr>
            <w:tcW w:w="434" w:type="pct"/>
            <w:tcBorders>
              <w:top w:val="single" w:sz="4" w:space="0" w:color="auto"/>
              <w:left w:val="single" w:sz="4" w:space="0" w:color="auto"/>
              <w:bottom w:val="single" w:sz="4" w:space="0" w:color="auto"/>
              <w:right w:val="single" w:sz="4" w:space="0" w:color="auto"/>
            </w:tcBorders>
            <w:noWrap/>
            <w:hideMark/>
          </w:tcPr>
          <w:p w14:paraId="0AE344E4"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w:t>
            </w:r>
          </w:p>
        </w:tc>
        <w:tc>
          <w:tcPr>
            <w:tcW w:w="367" w:type="pct"/>
            <w:tcBorders>
              <w:top w:val="single" w:sz="4" w:space="0" w:color="auto"/>
              <w:left w:val="single" w:sz="4" w:space="0" w:color="auto"/>
              <w:bottom w:val="single" w:sz="4" w:space="0" w:color="auto"/>
              <w:right w:val="single" w:sz="4" w:space="0" w:color="auto"/>
            </w:tcBorders>
            <w:noWrap/>
            <w:hideMark/>
          </w:tcPr>
          <w:p w14:paraId="4BD6899D"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7 778</w:t>
            </w:r>
          </w:p>
        </w:tc>
      </w:tr>
      <w:tr w:rsidR="003160BE" w:rsidRPr="003160BE" w14:paraId="47EA1F21" w14:textId="77777777" w:rsidTr="003160BE">
        <w:trPr>
          <w:trHeight w:val="438"/>
        </w:trPr>
        <w:tc>
          <w:tcPr>
            <w:tcW w:w="13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19B06CE" w14:textId="77777777" w:rsidR="003160BE" w:rsidRPr="003160BE" w:rsidRDefault="003160BE" w:rsidP="003160BE">
            <w:pPr>
              <w:spacing w:after="0"/>
              <w:ind w:firstLine="0"/>
              <w:jc w:val="left"/>
              <w:rPr>
                <w:rFonts w:eastAsia="Times New Roman" w:cs="Times New Roman"/>
                <w:sz w:val="18"/>
                <w:szCs w:val="18"/>
              </w:rPr>
            </w:pPr>
            <w:r w:rsidRPr="003160BE">
              <w:rPr>
                <w:rFonts w:eastAsia="Times New Roman" w:cs="Times New Roman"/>
                <w:sz w:val="18"/>
                <w:szCs w:val="18"/>
              </w:rPr>
              <w:t>Veselības bojājuma, traumu un apbedīšanas pabalsti militārpersonām</w:t>
            </w:r>
          </w:p>
        </w:tc>
        <w:tc>
          <w:tcPr>
            <w:tcW w:w="444" w:type="pct"/>
            <w:tcBorders>
              <w:top w:val="single" w:sz="4" w:space="0" w:color="auto"/>
              <w:left w:val="single" w:sz="4" w:space="0" w:color="auto"/>
              <w:bottom w:val="single" w:sz="4" w:space="0" w:color="auto"/>
              <w:right w:val="single" w:sz="4" w:space="0" w:color="auto"/>
            </w:tcBorders>
            <w:hideMark/>
          </w:tcPr>
          <w:p w14:paraId="3360AF9B"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2264,20</w:t>
            </w:r>
          </w:p>
        </w:tc>
        <w:tc>
          <w:tcPr>
            <w:tcW w:w="434" w:type="pct"/>
            <w:tcBorders>
              <w:top w:val="single" w:sz="4" w:space="0" w:color="auto"/>
              <w:left w:val="single" w:sz="4" w:space="0" w:color="auto"/>
              <w:bottom w:val="single" w:sz="4" w:space="0" w:color="auto"/>
              <w:right w:val="single" w:sz="4" w:space="0" w:color="auto"/>
            </w:tcBorders>
            <w:hideMark/>
          </w:tcPr>
          <w:p w14:paraId="1F3D9713"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24</w:t>
            </w:r>
          </w:p>
        </w:tc>
        <w:tc>
          <w:tcPr>
            <w:tcW w:w="392" w:type="pct"/>
            <w:tcBorders>
              <w:top w:val="single" w:sz="4" w:space="0" w:color="auto"/>
              <w:left w:val="single" w:sz="4" w:space="0" w:color="auto"/>
              <w:bottom w:val="single" w:sz="4" w:space="0" w:color="auto"/>
              <w:right w:val="single" w:sz="4" w:space="0" w:color="auto"/>
            </w:tcBorders>
          </w:tcPr>
          <w:p w14:paraId="18D98337"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652 090</w:t>
            </w:r>
          </w:p>
        </w:tc>
        <w:tc>
          <w:tcPr>
            <w:tcW w:w="335" w:type="pct"/>
            <w:tcBorders>
              <w:top w:val="single" w:sz="4" w:space="0" w:color="auto"/>
              <w:left w:val="single" w:sz="4" w:space="0" w:color="auto"/>
              <w:bottom w:val="single" w:sz="4" w:space="0" w:color="auto"/>
              <w:right w:val="single" w:sz="4" w:space="0" w:color="auto"/>
            </w:tcBorders>
            <w:noWrap/>
            <w:hideMark/>
          </w:tcPr>
          <w:p w14:paraId="6B8BA5DD"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2264,20</w:t>
            </w:r>
          </w:p>
        </w:tc>
        <w:tc>
          <w:tcPr>
            <w:tcW w:w="434" w:type="pct"/>
            <w:tcBorders>
              <w:top w:val="single" w:sz="4" w:space="0" w:color="auto"/>
              <w:left w:val="single" w:sz="4" w:space="0" w:color="auto"/>
              <w:bottom w:val="single" w:sz="4" w:space="0" w:color="auto"/>
              <w:right w:val="single" w:sz="4" w:space="0" w:color="auto"/>
            </w:tcBorders>
            <w:noWrap/>
            <w:hideMark/>
          </w:tcPr>
          <w:p w14:paraId="6766FF6A"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24</w:t>
            </w:r>
          </w:p>
        </w:tc>
        <w:tc>
          <w:tcPr>
            <w:tcW w:w="367" w:type="pct"/>
            <w:tcBorders>
              <w:top w:val="single" w:sz="4" w:space="0" w:color="auto"/>
              <w:left w:val="single" w:sz="4" w:space="0" w:color="auto"/>
              <w:bottom w:val="single" w:sz="4" w:space="0" w:color="auto"/>
              <w:right w:val="single" w:sz="4" w:space="0" w:color="auto"/>
            </w:tcBorders>
            <w:noWrap/>
            <w:hideMark/>
          </w:tcPr>
          <w:p w14:paraId="75616BEF"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652 090</w:t>
            </w:r>
          </w:p>
        </w:tc>
        <w:tc>
          <w:tcPr>
            <w:tcW w:w="409" w:type="pct"/>
            <w:tcBorders>
              <w:top w:val="single" w:sz="4" w:space="0" w:color="auto"/>
              <w:left w:val="single" w:sz="4" w:space="0" w:color="auto"/>
              <w:bottom w:val="single" w:sz="4" w:space="0" w:color="auto"/>
              <w:right w:val="single" w:sz="4" w:space="0" w:color="auto"/>
            </w:tcBorders>
            <w:noWrap/>
            <w:hideMark/>
          </w:tcPr>
          <w:p w14:paraId="35769547"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2264,20</w:t>
            </w:r>
          </w:p>
        </w:tc>
        <w:tc>
          <w:tcPr>
            <w:tcW w:w="434" w:type="pct"/>
            <w:tcBorders>
              <w:top w:val="single" w:sz="4" w:space="0" w:color="auto"/>
              <w:left w:val="single" w:sz="4" w:space="0" w:color="auto"/>
              <w:bottom w:val="single" w:sz="4" w:space="0" w:color="auto"/>
              <w:right w:val="single" w:sz="4" w:space="0" w:color="auto"/>
            </w:tcBorders>
            <w:noWrap/>
            <w:hideMark/>
          </w:tcPr>
          <w:p w14:paraId="21499C89"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24</w:t>
            </w:r>
          </w:p>
        </w:tc>
        <w:tc>
          <w:tcPr>
            <w:tcW w:w="367" w:type="pct"/>
            <w:tcBorders>
              <w:top w:val="single" w:sz="4" w:space="0" w:color="auto"/>
              <w:left w:val="single" w:sz="4" w:space="0" w:color="auto"/>
              <w:bottom w:val="single" w:sz="4" w:space="0" w:color="auto"/>
              <w:right w:val="single" w:sz="4" w:space="0" w:color="auto"/>
            </w:tcBorders>
            <w:noWrap/>
            <w:hideMark/>
          </w:tcPr>
          <w:p w14:paraId="20070226"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652 090</w:t>
            </w:r>
          </w:p>
        </w:tc>
      </w:tr>
      <w:tr w:rsidR="003160BE" w:rsidRPr="003160BE" w14:paraId="7160F3EB" w14:textId="77777777" w:rsidTr="003160BE">
        <w:trPr>
          <w:trHeight w:val="278"/>
        </w:trPr>
        <w:tc>
          <w:tcPr>
            <w:tcW w:w="13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BB91F15" w14:textId="77777777" w:rsidR="003160BE" w:rsidRPr="003160BE" w:rsidRDefault="003160BE" w:rsidP="003160BE">
            <w:pPr>
              <w:spacing w:after="0"/>
              <w:ind w:firstLine="0"/>
              <w:jc w:val="left"/>
              <w:rPr>
                <w:rFonts w:eastAsia="Times New Roman" w:cs="Times New Roman"/>
                <w:sz w:val="18"/>
                <w:szCs w:val="18"/>
              </w:rPr>
            </w:pPr>
            <w:bookmarkStart w:id="144" w:name="_Hlk97717361"/>
            <w:r w:rsidRPr="003160BE">
              <w:rPr>
                <w:rFonts w:eastAsia="Times New Roman" w:cs="Times New Roman"/>
                <w:sz w:val="18"/>
                <w:szCs w:val="18"/>
              </w:rPr>
              <w:t xml:space="preserve">Veselības aprūpes izdevumi </w:t>
            </w:r>
          </w:p>
        </w:tc>
        <w:tc>
          <w:tcPr>
            <w:tcW w:w="444" w:type="pct"/>
            <w:tcBorders>
              <w:top w:val="single" w:sz="4" w:space="0" w:color="auto"/>
              <w:left w:val="single" w:sz="4" w:space="0" w:color="auto"/>
              <w:bottom w:val="single" w:sz="4" w:space="0" w:color="auto"/>
              <w:right w:val="single" w:sz="4" w:space="0" w:color="auto"/>
            </w:tcBorders>
            <w:hideMark/>
          </w:tcPr>
          <w:p w14:paraId="07EA70A1"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390,15</w:t>
            </w:r>
          </w:p>
        </w:tc>
        <w:tc>
          <w:tcPr>
            <w:tcW w:w="434" w:type="pct"/>
            <w:tcBorders>
              <w:top w:val="single" w:sz="4" w:space="0" w:color="auto"/>
              <w:left w:val="single" w:sz="4" w:space="0" w:color="auto"/>
              <w:bottom w:val="single" w:sz="4" w:space="0" w:color="auto"/>
              <w:right w:val="single" w:sz="4" w:space="0" w:color="auto"/>
            </w:tcBorders>
            <w:hideMark/>
          </w:tcPr>
          <w:p w14:paraId="47EF77AD"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150</w:t>
            </w:r>
          </w:p>
        </w:tc>
        <w:tc>
          <w:tcPr>
            <w:tcW w:w="392" w:type="pct"/>
            <w:tcBorders>
              <w:top w:val="single" w:sz="4" w:space="0" w:color="auto"/>
              <w:left w:val="single" w:sz="4" w:space="0" w:color="auto"/>
              <w:bottom w:val="single" w:sz="4" w:space="0" w:color="auto"/>
              <w:right w:val="single" w:sz="4" w:space="0" w:color="auto"/>
            </w:tcBorders>
          </w:tcPr>
          <w:p w14:paraId="48CF019D"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702 270</w:t>
            </w:r>
          </w:p>
        </w:tc>
        <w:tc>
          <w:tcPr>
            <w:tcW w:w="335" w:type="pct"/>
            <w:tcBorders>
              <w:top w:val="single" w:sz="4" w:space="0" w:color="auto"/>
              <w:left w:val="single" w:sz="4" w:space="0" w:color="auto"/>
              <w:bottom w:val="single" w:sz="4" w:space="0" w:color="auto"/>
              <w:right w:val="single" w:sz="4" w:space="0" w:color="auto"/>
            </w:tcBorders>
            <w:noWrap/>
            <w:hideMark/>
          </w:tcPr>
          <w:p w14:paraId="487DAEBD"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390,15</w:t>
            </w:r>
          </w:p>
        </w:tc>
        <w:tc>
          <w:tcPr>
            <w:tcW w:w="434" w:type="pct"/>
            <w:tcBorders>
              <w:top w:val="single" w:sz="4" w:space="0" w:color="auto"/>
              <w:left w:val="single" w:sz="4" w:space="0" w:color="auto"/>
              <w:bottom w:val="single" w:sz="4" w:space="0" w:color="auto"/>
              <w:right w:val="single" w:sz="4" w:space="0" w:color="auto"/>
            </w:tcBorders>
            <w:noWrap/>
            <w:hideMark/>
          </w:tcPr>
          <w:p w14:paraId="18A5662C"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150</w:t>
            </w:r>
          </w:p>
        </w:tc>
        <w:tc>
          <w:tcPr>
            <w:tcW w:w="367" w:type="pct"/>
            <w:tcBorders>
              <w:top w:val="single" w:sz="4" w:space="0" w:color="auto"/>
              <w:left w:val="single" w:sz="4" w:space="0" w:color="auto"/>
              <w:bottom w:val="single" w:sz="4" w:space="0" w:color="auto"/>
              <w:right w:val="single" w:sz="4" w:space="0" w:color="auto"/>
            </w:tcBorders>
            <w:noWrap/>
            <w:hideMark/>
          </w:tcPr>
          <w:p w14:paraId="1C4D73D6"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702 270</w:t>
            </w:r>
          </w:p>
        </w:tc>
        <w:tc>
          <w:tcPr>
            <w:tcW w:w="409" w:type="pct"/>
            <w:tcBorders>
              <w:top w:val="single" w:sz="4" w:space="0" w:color="auto"/>
              <w:left w:val="single" w:sz="4" w:space="0" w:color="auto"/>
              <w:bottom w:val="single" w:sz="4" w:space="0" w:color="auto"/>
              <w:right w:val="single" w:sz="4" w:space="0" w:color="auto"/>
            </w:tcBorders>
            <w:noWrap/>
            <w:hideMark/>
          </w:tcPr>
          <w:p w14:paraId="6261A804"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390,15</w:t>
            </w:r>
          </w:p>
        </w:tc>
        <w:tc>
          <w:tcPr>
            <w:tcW w:w="434" w:type="pct"/>
            <w:tcBorders>
              <w:top w:val="single" w:sz="4" w:space="0" w:color="auto"/>
              <w:left w:val="single" w:sz="4" w:space="0" w:color="auto"/>
              <w:bottom w:val="single" w:sz="4" w:space="0" w:color="auto"/>
              <w:right w:val="single" w:sz="4" w:space="0" w:color="auto"/>
            </w:tcBorders>
            <w:noWrap/>
            <w:hideMark/>
          </w:tcPr>
          <w:p w14:paraId="57778209"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150</w:t>
            </w:r>
          </w:p>
        </w:tc>
        <w:tc>
          <w:tcPr>
            <w:tcW w:w="367" w:type="pct"/>
            <w:tcBorders>
              <w:top w:val="single" w:sz="4" w:space="0" w:color="auto"/>
              <w:left w:val="single" w:sz="4" w:space="0" w:color="auto"/>
              <w:bottom w:val="single" w:sz="4" w:space="0" w:color="auto"/>
              <w:right w:val="single" w:sz="4" w:space="0" w:color="auto"/>
            </w:tcBorders>
            <w:noWrap/>
            <w:hideMark/>
          </w:tcPr>
          <w:p w14:paraId="1EC47248" w14:textId="77777777" w:rsidR="003160BE" w:rsidRPr="003160BE" w:rsidRDefault="003160BE" w:rsidP="003160BE">
            <w:pPr>
              <w:spacing w:after="0"/>
              <w:ind w:firstLine="0"/>
              <w:jc w:val="right"/>
              <w:rPr>
                <w:rFonts w:eastAsia="Times New Roman" w:cs="Times New Roman"/>
                <w:sz w:val="18"/>
                <w:szCs w:val="18"/>
              </w:rPr>
            </w:pPr>
            <w:r w:rsidRPr="003160BE">
              <w:rPr>
                <w:rFonts w:eastAsia="Times New Roman" w:cs="Times New Roman"/>
                <w:sz w:val="18"/>
                <w:szCs w:val="18"/>
              </w:rPr>
              <w:t>702 270</w:t>
            </w:r>
          </w:p>
        </w:tc>
      </w:tr>
    </w:tbl>
    <w:bookmarkEnd w:id="144"/>
    <w:p w14:paraId="2F7A6E51" w14:textId="77777777" w:rsidR="003160BE" w:rsidRPr="003160BE" w:rsidRDefault="003160BE" w:rsidP="003160BE">
      <w:pPr>
        <w:widowControl w:val="0"/>
        <w:spacing w:before="120"/>
        <w:ind w:firstLine="0"/>
        <w:rPr>
          <w:rFonts w:eastAsia="Calibri" w:cs="Times New Roman"/>
          <w:i/>
          <w:sz w:val="20"/>
        </w:rPr>
      </w:pPr>
      <w:r w:rsidRPr="003160BE">
        <w:rPr>
          <w:rFonts w:eastAsia="Calibri" w:cs="Times New Roman"/>
          <w:i/>
          <w:sz w:val="20"/>
        </w:rPr>
        <w:t>Datu avots: FM</w:t>
      </w:r>
    </w:p>
    <w:p w14:paraId="39EC4823" w14:textId="77777777" w:rsidR="00F7392F" w:rsidRPr="00D8017D" w:rsidRDefault="00F7392F" w:rsidP="008349F0">
      <w:pPr>
        <w:spacing w:after="0"/>
        <w:ind w:firstLine="0"/>
        <w:jc w:val="left"/>
        <w:rPr>
          <w:rFonts w:eastAsia="Times New Roman" w:cs="Times New Roman"/>
          <w:color w:val="000000"/>
          <w:highlight w:val="lightGray"/>
        </w:rPr>
      </w:pPr>
      <w:r w:rsidRPr="00D8017D">
        <w:rPr>
          <w:rFonts w:eastAsia="Times New Roman" w:cs="Times New Roman"/>
          <w:color w:val="000000"/>
          <w:highlight w:val="lightGray"/>
        </w:rPr>
        <w:br w:type="page"/>
      </w:r>
    </w:p>
    <w:p w14:paraId="25C29452" w14:textId="77777777" w:rsidR="002C253E" w:rsidRPr="00D8017D" w:rsidRDefault="002C253E" w:rsidP="008349F0">
      <w:pPr>
        <w:widowControl w:val="0"/>
        <w:spacing w:after="0"/>
        <w:ind w:firstLine="0"/>
        <w:jc w:val="right"/>
        <w:rPr>
          <w:rFonts w:eastAsia="Times New Roman" w:cs="Times New Roman"/>
          <w:color w:val="000000"/>
          <w:highlight w:val="lightGray"/>
        </w:rPr>
      </w:pPr>
    </w:p>
    <w:p w14:paraId="4CAE416F" w14:textId="77777777" w:rsidR="003160BE" w:rsidRPr="003160BE" w:rsidRDefault="003160BE" w:rsidP="003160BE">
      <w:pPr>
        <w:widowControl w:val="0"/>
        <w:spacing w:after="240"/>
        <w:ind w:firstLine="0"/>
        <w:jc w:val="right"/>
        <w:rPr>
          <w:rFonts w:eastAsia="Times New Roman" w:cs="Times New Roman"/>
          <w:color w:val="000000"/>
        </w:rPr>
      </w:pPr>
      <w:r w:rsidRPr="003160BE">
        <w:rPr>
          <w:rFonts w:eastAsia="Times New Roman" w:cs="Times New Roman"/>
          <w:color w:val="000000"/>
        </w:rPr>
        <w:t>5. pielikums</w:t>
      </w:r>
    </w:p>
    <w:p w14:paraId="54110BC0" w14:textId="77777777" w:rsidR="003160BE" w:rsidRPr="003160BE" w:rsidRDefault="003160BE" w:rsidP="003160BE">
      <w:pPr>
        <w:widowControl w:val="0"/>
        <w:spacing w:after="240"/>
        <w:jc w:val="right"/>
        <w:rPr>
          <w:rFonts w:eastAsia="Times New Roman" w:cs="Times New Roman"/>
          <w:b/>
          <w:color w:val="000000"/>
          <w:sz w:val="28"/>
        </w:rPr>
      </w:pPr>
      <w:r w:rsidRPr="003160BE">
        <w:rPr>
          <w:rFonts w:eastAsia="Times New Roman" w:cs="Times New Roman"/>
          <w:b/>
          <w:color w:val="000000"/>
        </w:rPr>
        <w:t>Labklājības ministrijas pamatbudžeta apakšprogramma 20.01.00 "Valsts sociālie pabalsti"</w:t>
      </w:r>
    </w:p>
    <w:tbl>
      <w:tblPr>
        <w:tblW w:w="14243" w:type="dxa"/>
        <w:tblLook w:val="04A0" w:firstRow="1" w:lastRow="0" w:firstColumn="1" w:lastColumn="0" w:noHBand="0" w:noVBand="1"/>
      </w:tblPr>
      <w:tblGrid>
        <w:gridCol w:w="4500"/>
        <w:gridCol w:w="880"/>
        <w:gridCol w:w="980"/>
        <w:gridCol w:w="1148"/>
        <w:gridCol w:w="1134"/>
        <w:gridCol w:w="1276"/>
        <w:gridCol w:w="1134"/>
        <w:gridCol w:w="992"/>
        <w:gridCol w:w="966"/>
        <w:gridCol w:w="1233"/>
      </w:tblGrid>
      <w:tr w:rsidR="003160BE" w:rsidRPr="003160BE" w14:paraId="64B93081" w14:textId="77777777" w:rsidTr="0052209F">
        <w:trPr>
          <w:trHeight w:val="660"/>
          <w:tblHeader/>
        </w:trPr>
        <w:tc>
          <w:tcPr>
            <w:tcW w:w="4500" w:type="dxa"/>
            <w:vMerge w:val="restart"/>
            <w:tcBorders>
              <w:top w:val="single" w:sz="4" w:space="0" w:color="auto"/>
              <w:left w:val="single" w:sz="4" w:space="0" w:color="auto"/>
              <w:right w:val="single" w:sz="4" w:space="0" w:color="auto"/>
            </w:tcBorders>
            <w:shd w:val="clear" w:color="auto" w:fill="9CC2E5"/>
            <w:noWrap/>
            <w:vAlign w:val="bottom"/>
            <w:hideMark/>
          </w:tcPr>
          <w:p w14:paraId="2CFCA915"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 Pabalsta veids</w:t>
            </w:r>
          </w:p>
        </w:tc>
        <w:tc>
          <w:tcPr>
            <w:tcW w:w="3008"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73EF466B"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2026. gada projekts</w:t>
            </w:r>
          </w:p>
        </w:tc>
        <w:tc>
          <w:tcPr>
            <w:tcW w:w="3544"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3D6D7520"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2027. gada prognoze</w:t>
            </w:r>
          </w:p>
        </w:tc>
        <w:tc>
          <w:tcPr>
            <w:tcW w:w="3191"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2B332903"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2028. gada prognoze</w:t>
            </w:r>
          </w:p>
        </w:tc>
      </w:tr>
      <w:tr w:rsidR="003160BE" w:rsidRPr="003160BE" w14:paraId="07C295B5" w14:textId="77777777" w:rsidTr="0052209F">
        <w:trPr>
          <w:trHeight w:val="480"/>
          <w:tblHeader/>
        </w:trPr>
        <w:tc>
          <w:tcPr>
            <w:tcW w:w="4500" w:type="dxa"/>
            <w:vMerge/>
            <w:tcBorders>
              <w:left w:val="single" w:sz="4" w:space="0" w:color="auto"/>
              <w:right w:val="single" w:sz="4" w:space="0" w:color="auto"/>
            </w:tcBorders>
            <w:shd w:val="clear" w:color="auto" w:fill="9CC2E5"/>
            <w:noWrap/>
            <w:vAlign w:val="center"/>
            <w:hideMark/>
          </w:tcPr>
          <w:p w14:paraId="2F86AB97" w14:textId="77777777" w:rsidR="003160BE" w:rsidRPr="003160BE" w:rsidRDefault="003160BE" w:rsidP="003160BE">
            <w:pPr>
              <w:spacing w:after="0"/>
              <w:ind w:firstLine="0"/>
              <w:jc w:val="center"/>
              <w:rPr>
                <w:rFonts w:eastAsia="Times New Roman" w:cs="Times New Roman"/>
                <w:sz w:val="18"/>
                <w:szCs w:val="18"/>
              </w:rPr>
            </w:pPr>
          </w:p>
        </w:tc>
        <w:tc>
          <w:tcPr>
            <w:tcW w:w="880" w:type="dxa"/>
            <w:vMerge w:val="restart"/>
            <w:tcBorders>
              <w:top w:val="nil"/>
              <w:left w:val="single" w:sz="4" w:space="0" w:color="auto"/>
              <w:bottom w:val="single" w:sz="4" w:space="0" w:color="000000"/>
              <w:right w:val="single" w:sz="4" w:space="0" w:color="auto"/>
            </w:tcBorders>
            <w:shd w:val="clear" w:color="auto" w:fill="DEEAF6"/>
            <w:vAlign w:val="center"/>
            <w:hideMark/>
          </w:tcPr>
          <w:p w14:paraId="5C719AD1"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Pabalsta apmērs vidēji mēnesī (</w:t>
            </w:r>
            <w:r w:rsidRPr="003160BE">
              <w:rPr>
                <w:rFonts w:eastAsia="Times New Roman" w:cs="Times New Roman"/>
                <w:i/>
                <w:sz w:val="18"/>
                <w:szCs w:val="18"/>
              </w:rPr>
              <w:t>euro</w:t>
            </w:r>
            <w:r w:rsidRPr="003160BE">
              <w:rPr>
                <w:rFonts w:eastAsia="Times New Roman" w:cs="Times New Roman"/>
                <w:sz w:val="18"/>
                <w:szCs w:val="18"/>
              </w:rPr>
              <w:t>)</w:t>
            </w:r>
          </w:p>
        </w:tc>
        <w:tc>
          <w:tcPr>
            <w:tcW w:w="980" w:type="dxa"/>
            <w:tcBorders>
              <w:top w:val="nil"/>
              <w:left w:val="nil"/>
              <w:bottom w:val="nil"/>
              <w:right w:val="single" w:sz="4" w:space="0" w:color="auto"/>
            </w:tcBorders>
            <w:shd w:val="clear" w:color="auto" w:fill="DEEAF6"/>
            <w:vAlign w:val="center"/>
            <w:hideMark/>
          </w:tcPr>
          <w:p w14:paraId="0D4D3166" w14:textId="77777777" w:rsidR="003160BE" w:rsidRPr="003160BE" w:rsidRDefault="003160BE" w:rsidP="003160BE">
            <w:pPr>
              <w:spacing w:after="0"/>
              <w:ind w:firstLine="0"/>
              <w:jc w:val="center"/>
              <w:rPr>
                <w:rFonts w:eastAsia="Times New Roman" w:cs="Times New Roman"/>
                <w:sz w:val="18"/>
                <w:szCs w:val="18"/>
              </w:rPr>
            </w:pPr>
          </w:p>
          <w:p w14:paraId="656CD7FD"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w:t>
            </w:r>
            <w:r w:rsidRPr="003160BE">
              <w:rPr>
                <w:rFonts w:eastAsia="Times New Roman" w:cs="Times New Roman"/>
                <w:sz w:val="18"/>
                <w:szCs w:val="18"/>
              </w:rPr>
              <w:br/>
              <w:t xml:space="preserve"> skaits</w:t>
            </w:r>
          </w:p>
        </w:tc>
        <w:tc>
          <w:tcPr>
            <w:tcW w:w="1148" w:type="dxa"/>
            <w:tcBorders>
              <w:top w:val="nil"/>
              <w:left w:val="nil"/>
              <w:bottom w:val="nil"/>
              <w:right w:val="single" w:sz="4" w:space="0" w:color="auto"/>
            </w:tcBorders>
            <w:shd w:val="clear" w:color="auto" w:fill="DEEAF6"/>
            <w:vAlign w:val="center"/>
            <w:hideMark/>
          </w:tcPr>
          <w:p w14:paraId="1BA6FF1F" w14:textId="77777777" w:rsidR="003160BE" w:rsidRPr="003160BE" w:rsidRDefault="003160BE" w:rsidP="003160BE">
            <w:pPr>
              <w:spacing w:after="0"/>
              <w:ind w:firstLine="0"/>
              <w:jc w:val="center"/>
              <w:rPr>
                <w:rFonts w:eastAsia="Times New Roman" w:cs="Times New Roman"/>
                <w:sz w:val="18"/>
                <w:szCs w:val="18"/>
              </w:rPr>
            </w:pPr>
          </w:p>
          <w:p w14:paraId="7096058D"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w:t>
            </w:r>
          </w:p>
        </w:tc>
        <w:tc>
          <w:tcPr>
            <w:tcW w:w="1134" w:type="dxa"/>
            <w:vMerge w:val="restart"/>
            <w:tcBorders>
              <w:top w:val="nil"/>
              <w:left w:val="single" w:sz="4" w:space="0" w:color="auto"/>
              <w:bottom w:val="single" w:sz="4" w:space="0" w:color="000000"/>
              <w:right w:val="single" w:sz="4" w:space="0" w:color="auto"/>
            </w:tcBorders>
            <w:shd w:val="clear" w:color="auto" w:fill="DEEAF6"/>
            <w:vAlign w:val="center"/>
            <w:hideMark/>
          </w:tcPr>
          <w:p w14:paraId="465FE264"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Pabalsta apmērs vidēji mēnesī (</w:t>
            </w:r>
            <w:r w:rsidRPr="003160BE">
              <w:rPr>
                <w:rFonts w:eastAsia="Times New Roman" w:cs="Times New Roman"/>
                <w:i/>
                <w:sz w:val="18"/>
                <w:szCs w:val="18"/>
              </w:rPr>
              <w:t>euro</w:t>
            </w:r>
            <w:r w:rsidRPr="003160BE">
              <w:rPr>
                <w:rFonts w:eastAsia="Times New Roman" w:cs="Times New Roman"/>
                <w:sz w:val="18"/>
                <w:szCs w:val="18"/>
              </w:rPr>
              <w:t>)</w:t>
            </w:r>
          </w:p>
        </w:tc>
        <w:tc>
          <w:tcPr>
            <w:tcW w:w="1276" w:type="dxa"/>
            <w:tcBorders>
              <w:top w:val="nil"/>
              <w:left w:val="nil"/>
              <w:bottom w:val="nil"/>
              <w:right w:val="single" w:sz="4" w:space="0" w:color="auto"/>
            </w:tcBorders>
            <w:shd w:val="clear" w:color="auto" w:fill="DEEAF6"/>
            <w:vAlign w:val="center"/>
            <w:hideMark/>
          </w:tcPr>
          <w:p w14:paraId="677CED05" w14:textId="77777777" w:rsidR="003160BE" w:rsidRPr="003160BE" w:rsidRDefault="003160BE" w:rsidP="003160BE">
            <w:pPr>
              <w:spacing w:after="0"/>
              <w:ind w:firstLine="0"/>
              <w:jc w:val="center"/>
              <w:rPr>
                <w:rFonts w:eastAsia="Times New Roman" w:cs="Times New Roman"/>
                <w:sz w:val="18"/>
                <w:szCs w:val="18"/>
              </w:rPr>
            </w:pPr>
          </w:p>
          <w:p w14:paraId="3E9DB8BA"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w:t>
            </w:r>
            <w:r w:rsidRPr="003160BE">
              <w:rPr>
                <w:rFonts w:eastAsia="Times New Roman" w:cs="Times New Roman"/>
                <w:sz w:val="18"/>
                <w:szCs w:val="18"/>
              </w:rPr>
              <w:br/>
              <w:t xml:space="preserve"> skaits</w:t>
            </w:r>
          </w:p>
        </w:tc>
        <w:tc>
          <w:tcPr>
            <w:tcW w:w="1134" w:type="dxa"/>
            <w:tcBorders>
              <w:top w:val="nil"/>
              <w:left w:val="nil"/>
              <w:bottom w:val="nil"/>
              <w:right w:val="single" w:sz="4" w:space="0" w:color="auto"/>
            </w:tcBorders>
            <w:shd w:val="clear" w:color="auto" w:fill="DEEAF6"/>
            <w:vAlign w:val="center"/>
            <w:hideMark/>
          </w:tcPr>
          <w:p w14:paraId="43C47E3A" w14:textId="77777777" w:rsidR="003160BE" w:rsidRPr="003160BE" w:rsidRDefault="003160BE" w:rsidP="003160BE">
            <w:pPr>
              <w:spacing w:after="0"/>
              <w:ind w:firstLine="0"/>
              <w:jc w:val="center"/>
              <w:rPr>
                <w:rFonts w:eastAsia="Times New Roman" w:cs="Times New Roman"/>
                <w:sz w:val="18"/>
                <w:szCs w:val="18"/>
              </w:rPr>
            </w:pPr>
          </w:p>
          <w:p w14:paraId="642B5BEC"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w:t>
            </w:r>
          </w:p>
        </w:tc>
        <w:tc>
          <w:tcPr>
            <w:tcW w:w="992" w:type="dxa"/>
            <w:vMerge w:val="restart"/>
            <w:tcBorders>
              <w:top w:val="nil"/>
              <w:left w:val="single" w:sz="4" w:space="0" w:color="auto"/>
              <w:bottom w:val="single" w:sz="4" w:space="0" w:color="000000"/>
              <w:right w:val="single" w:sz="4" w:space="0" w:color="auto"/>
            </w:tcBorders>
            <w:shd w:val="clear" w:color="auto" w:fill="DEEAF6"/>
            <w:vAlign w:val="center"/>
            <w:hideMark/>
          </w:tcPr>
          <w:p w14:paraId="6E72594E"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Pabalsta apmērs vidēji mēnesī (</w:t>
            </w:r>
            <w:r w:rsidRPr="003160BE">
              <w:rPr>
                <w:rFonts w:eastAsia="Times New Roman" w:cs="Times New Roman"/>
                <w:i/>
                <w:sz w:val="18"/>
                <w:szCs w:val="18"/>
              </w:rPr>
              <w:t>euro</w:t>
            </w:r>
            <w:r w:rsidRPr="003160BE">
              <w:rPr>
                <w:rFonts w:eastAsia="Times New Roman" w:cs="Times New Roman"/>
                <w:sz w:val="18"/>
                <w:szCs w:val="18"/>
              </w:rPr>
              <w:t>)</w:t>
            </w:r>
          </w:p>
        </w:tc>
        <w:tc>
          <w:tcPr>
            <w:tcW w:w="966" w:type="dxa"/>
            <w:tcBorders>
              <w:top w:val="nil"/>
              <w:left w:val="nil"/>
              <w:bottom w:val="nil"/>
              <w:right w:val="single" w:sz="4" w:space="0" w:color="auto"/>
            </w:tcBorders>
            <w:shd w:val="clear" w:color="auto" w:fill="DEEAF6"/>
            <w:vAlign w:val="center"/>
            <w:hideMark/>
          </w:tcPr>
          <w:p w14:paraId="33D8E6BE" w14:textId="77777777" w:rsidR="003160BE" w:rsidRPr="003160BE" w:rsidRDefault="003160BE" w:rsidP="003160BE">
            <w:pPr>
              <w:spacing w:after="0"/>
              <w:ind w:firstLine="0"/>
              <w:jc w:val="center"/>
              <w:rPr>
                <w:rFonts w:eastAsia="Times New Roman" w:cs="Times New Roman"/>
                <w:sz w:val="18"/>
                <w:szCs w:val="18"/>
              </w:rPr>
            </w:pPr>
          </w:p>
          <w:p w14:paraId="2318E5F6"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w:t>
            </w:r>
            <w:r w:rsidRPr="003160BE">
              <w:rPr>
                <w:rFonts w:eastAsia="Times New Roman" w:cs="Times New Roman"/>
                <w:sz w:val="18"/>
                <w:szCs w:val="18"/>
              </w:rPr>
              <w:br/>
              <w:t xml:space="preserve"> skaits</w:t>
            </w:r>
          </w:p>
        </w:tc>
        <w:tc>
          <w:tcPr>
            <w:tcW w:w="1233" w:type="dxa"/>
            <w:tcBorders>
              <w:top w:val="nil"/>
              <w:left w:val="nil"/>
              <w:bottom w:val="nil"/>
              <w:right w:val="single" w:sz="4" w:space="0" w:color="auto"/>
            </w:tcBorders>
            <w:shd w:val="clear" w:color="auto" w:fill="DEEAF6"/>
            <w:vAlign w:val="center"/>
            <w:hideMark/>
          </w:tcPr>
          <w:p w14:paraId="0D3AC72B" w14:textId="77777777" w:rsidR="003160BE" w:rsidRPr="003160BE" w:rsidRDefault="003160BE" w:rsidP="003160BE">
            <w:pPr>
              <w:spacing w:after="0"/>
              <w:ind w:firstLine="0"/>
              <w:jc w:val="center"/>
              <w:rPr>
                <w:rFonts w:eastAsia="Times New Roman" w:cs="Times New Roman"/>
                <w:sz w:val="18"/>
                <w:szCs w:val="18"/>
              </w:rPr>
            </w:pPr>
          </w:p>
          <w:p w14:paraId="22F763F6"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w:t>
            </w:r>
          </w:p>
        </w:tc>
      </w:tr>
      <w:tr w:rsidR="003160BE" w:rsidRPr="003160BE" w14:paraId="0680E123" w14:textId="77777777" w:rsidTr="0052209F">
        <w:trPr>
          <w:trHeight w:val="591"/>
          <w:tblHeader/>
        </w:trPr>
        <w:tc>
          <w:tcPr>
            <w:tcW w:w="4500" w:type="dxa"/>
            <w:tcBorders>
              <w:left w:val="single" w:sz="4" w:space="0" w:color="auto"/>
              <w:bottom w:val="single" w:sz="4" w:space="0" w:color="000000"/>
              <w:right w:val="single" w:sz="4" w:space="0" w:color="auto"/>
            </w:tcBorders>
            <w:shd w:val="clear" w:color="auto" w:fill="9CC2E5"/>
            <w:vAlign w:val="center"/>
            <w:hideMark/>
          </w:tcPr>
          <w:p w14:paraId="4EF60337" w14:textId="77777777" w:rsidR="003160BE" w:rsidRPr="003160BE" w:rsidRDefault="003160BE" w:rsidP="003160BE">
            <w:pPr>
              <w:spacing w:after="0"/>
              <w:ind w:firstLine="0"/>
              <w:jc w:val="left"/>
              <w:rPr>
                <w:rFonts w:eastAsia="Times New Roman" w:cs="Times New Roman"/>
                <w:sz w:val="18"/>
                <w:szCs w:val="18"/>
              </w:rPr>
            </w:pPr>
          </w:p>
        </w:tc>
        <w:tc>
          <w:tcPr>
            <w:tcW w:w="880" w:type="dxa"/>
            <w:vMerge/>
            <w:tcBorders>
              <w:top w:val="nil"/>
              <w:left w:val="single" w:sz="4" w:space="0" w:color="auto"/>
              <w:bottom w:val="single" w:sz="4" w:space="0" w:color="000000"/>
              <w:right w:val="single" w:sz="4" w:space="0" w:color="auto"/>
            </w:tcBorders>
            <w:shd w:val="clear" w:color="auto" w:fill="DEEAF6"/>
            <w:vAlign w:val="center"/>
            <w:hideMark/>
          </w:tcPr>
          <w:p w14:paraId="4EE6333D" w14:textId="77777777" w:rsidR="003160BE" w:rsidRPr="003160BE" w:rsidRDefault="003160BE" w:rsidP="003160BE">
            <w:pPr>
              <w:spacing w:after="0"/>
              <w:ind w:firstLine="0"/>
              <w:jc w:val="left"/>
              <w:rPr>
                <w:rFonts w:eastAsia="Times New Roman" w:cs="Times New Roman"/>
                <w:sz w:val="18"/>
                <w:szCs w:val="18"/>
              </w:rPr>
            </w:pPr>
          </w:p>
        </w:tc>
        <w:tc>
          <w:tcPr>
            <w:tcW w:w="980" w:type="dxa"/>
            <w:tcBorders>
              <w:top w:val="nil"/>
              <w:left w:val="nil"/>
              <w:bottom w:val="single" w:sz="4" w:space="0" w:color="auto"/>
              <w:right w:val="single" w:sz="4" w:space="0" w:color="auto"/>
            </w:tcBorders>
            <w:shd w:val="clear" w:color="auto" w:fill="DEEAF6"/>
            <w:noWrap/>
            <w:hideMark/>
          </w:tcPr>
          <w:p w14:paraId="70489854"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(vid.mēn.)</w:t>
            </w:r>
          </w:p>
        </w:tc>
        <w:tc>
          <w:tcPr>
            <w:tcW w:w="1148" w:type="dxa"/>
            <w:tcBorders>
              <w:top w:val="nil"/>
              <w:left w:val="nil"/>
              <w:bottom w:val="single" w:sz="4" w:space="0" w:color="auto"/>
              <w:right w:val="single" w:sz="4" w:space="0" w:color="auto"/>
            </w:tcBorders>
            <w:shd w:val="clear" w:color="auto" w:fill="DEEAF6"/>
            <w:noWrap/>
            <w:hideMark/>
          </w:tcPr>
          <w:p w14:paraId="2C08C14F"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w:t>
            </w:r>
            <w:r w:rsidRPr="003160BE">
              <w:rPr>
                <w:rFonts w:eastAsia="Times New Roman" w:cs="Times New Roman"/>
                <w:i/>
                <w:sz w:val="18"/>
                <w:szCs w:val="18"/>
              </w:rPr>
              <w:t>euro</w:t>
            </w:r>
            <w:r w:rsidRPr="003160BE">
              <w:rPr>
                <w:rFonts w:eastAsia="Times New Roman" w:cs="Times New Roman"/>
                <w:sz w:val="18"/>
                <w:szCs w:val="18"/>
              </w:rPr>
              <w:t>)</w:t>
            </w:r>
          </w:p>
        </w:tc>
        <w:tc>
          <w:tcPr>
            <w:tcW w:w="1134" w:type="dxa"/>
            <w:vMerge/>
            <w:tcBorders>
              <w:top w:val="nil"/>
              <w:left w:val="single" w:sz="4" w:space="0" w:color="auto"/>
              <w:bottom w:val="single" w:sz="4" w:space="0" w:color="000000"/>
              <w:right w:val="single" w:sz="4" w:space="0" w:color="auto"/>
            </w:tcBorders>
            <w:shd w:val="clear" w:color="auto" w:fill="DEEAF6"/>
            <w:vAlign w:val="center"/>
            <w:hideMark/>
          </w:tcPr>
          <w:p w14:paraId="66ECB1AA" w14:textId="77777777" w:rsidR="003160BE" w:rsidRPr="003160BE" w:rsidRDefault="003160BE" w:rsidP="003160BE">
            <w:pPr>
              <w:spacing w:after="0"/>
              <w:ind w:firstLine="0"/>
              <w:jc w:val="left"/>
              <w:rPr>
                <w:rFonts w:eastAsia="Times New Roman" w:cs="Times New Roman"/>
                <w:sz w:val="18"/>
                <w:szCs w:val="18"/>
              </w:rPr>
            </w:pPr>
          </w:p>
        </w:tc>
        <w:tc>
          <w:tcPr>
            <w:tcW w:w="1276" w:type="dxa"/>
            <w:tcBorders>
              <w:top w:val="nil"/>
              <w:left w:val="nil"/>
              <w:bottom w:val="single" w:sz="4" w:space="0" w:color="auto"/>
              <w:right w:val="single" w:sz="4" w:space="0" w:color="auto"/>
            </w:tcBorders>
            <w:shd w:val="clear" w:color="auto" w:fill="DEEAF6"/>
            <w:noWrap/>
            <w:hideMark/>
          </w:tcPr>
          <w:p w14:paraId="2168A8EB"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(vid.mēn)</w:t>
            </w:r>
          </w:p>
        </w:tc>
        <w:tc>
          <w:tcPr>
            <w:tcW w:w="1134" w:type="dxa"/>
            <w:tcBorders>
              <w:top w:val="nil"/>
              <w:left w:val="nil"/>
              <w:bottom w:val="single" w:sz="4" w:space="0" w:color="auto"/>
              <w:right w:val="single" w:sz="4" w:space="0" w:color="auto"/>
            </w:tcBorders>
            <w:shd w:val="clear" w:color="auto" w:fill="DEEAF6"/>
            <w:noWrap/>
            <w:hideMark/>
          </w:tcPr>
          <w:p w14:paraId="4724F0E6"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w:t>
            </w:r>
            <w:r w:rsidRPr="003160BE">
              <w:rPr>
                <w:rFonts w:eastAsia="Times New Roman" w:cs="Times New Roman"/>
                <w:i/>
                <w:sz w:val="18"/>
                <w:szCs w:val="18"/>
              </w:rPr>
              <w:t>euro</w:t>
            </w:r>
            <w:r w:rsidRPr="003160BE">
              <w:rPr>
                <w:rFonts w:eastAsia="Times New Roman" w:cs="Times New Roman"/>
                <w:sz w:val="18"/>
                <w:szCs w:val="18"/>
              </w:rPr>
              <w:t>)</w:t>
            </w:r>
          </w:p>
        </w:tc>
        <w:tc>
          <w:tcPr>
            <w:tcW w:w="992" w:type="dxa"/>
            <w:vMerge/>
            <w:tcBorders>
              <w:top w:val="nil"/>
              <w:left w:val="single" w:sz="4" w:space="0" w:color="auto"/>
              <w:bottom w:val="single" w:sz="4" w:space="0" w:color="000000"/>
              <w:right w:val="single" w:sz="4" w:space="0" w:color="auto"/>
            </w:tcBorders>
            <w:shd w:val="clear" w:color="auto" w:fill="DEEAF6"/>
            <w:vAlign w:val="center"/>
            <w:hideMark/>
          </w:tcPr>
          <w:p w14:paraId="6F3A83DD" w14:textId="77777777" w:rsidR="003160BE" w:rsidRPr="003160BE" w:rsidRDefault="003160BE" w:rsidP="003160BE">
            <w:pPr>
              <w:spacing w:after="0"/>
              <w:ind w:firstLine="0"/>
              <w:jc w:val="left"/>
              <w:rPr>
                <w:rFonts w:eastAsia="Times New Roman" w:cs="Times New Roman"/>
                <w:sz w:val="18"/>
                <w:szCs w:val="18"/>
              </w:rPr>
            </w:pPr>
          </w:p>
        </w:tc>
        <w:tc>
          <w:tcPr>
            <w:tcW w:w="966" w:type="dxa"/>
            <w:tcBorders>
              <w:top w:val="nil"/>
              <w:left w:val="nil"/>
              <w:bottom w:val="single" w:sz="4" w:space="0" w:color="auto"/>
              <w:right w:val="single" w:sz="4" w:space="0" w:color="auto"/>
            </w:tcBorders>
            <w:shd w:val="clear" w:color="auto" w:fill="DEEAF6"/>
            <w:noWrap/>
            <w:hideMark/>
          </w:tcPr>
          <w:p w14:paraId="32E1AD19"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(vid.mēn.)</w:t>
            </w:r>
          </w:p>
        </w:tc>
        <w:tc>
          <w:tcPr>
            <w:tcW w:w="1233" w:type="dxa"/>
            <w:tcBorders>
              <w:top w:val="nil"/>
              <w:left w:val="nil"/>
              <w:bottom w:val="single" w:sz="4" w:space="0" w:color="auto"/>
              <w:right w:val="single" w:sz="4" w:space="0" w:color="auto"/>
            </w:tcBorders>
            <w:shd w:val="clear" w:color="auto" w:fill="DEEAF6"/>
            <w:noWrap/>
            <w:hideMark/>
          </w:tcPr>
          <w:p w14:paraId="16BA5CA5"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w:t>
            </w:r>
            <w:r w:rsidRPr="003160BE">
              <w:rPr>
                <w:rFonts w:eastAsia="Times New Roman" w:cs="Times New Roman"/>
                <w:i/>
                <w:sz w:val="18"/>
                <w:szCs w:val="18"/>
              </w:rPr>
              <w:t>euro</w:t>
            </w:r>
            <w:r w:rsidRPr="003160BE">
              <w:rPr>
                <w:rFonts w:eastAsia="Times New Roman" w:cs="Times New Roman"/>
                <w:sz w:val="18"/>
                <w:szCs w:val="18"/>
              </w:rPr>
              <w:t>)</w:t>
            </w:r>
          </w:p>
        </w:tc>
      </w:tr>
      <w:tr w:rsidR="003160BE" w:rsidRPr="003160BE" w14:paraId="1E31F87F" w14:textId="77777777" w:rsidTr="0052209F">
        <w:trPr>
          <w:trHeight w:val="276"/>
          <w:tblHeader/>
        </w:trPr>
        <w:tc>
          <w:tcPr>
            <w:tcW w:w="4500" w:type="dxa"/>
            <w:tcBorders>
              <w:top w:val="nil"/>
              <w:left w:val="single" w:sz="4" w:space="0" w:color="auto"/>
              <w:bottom w:val="single" w:sz="4" w:space="0" w:color="auto"/>
              <w:right w:val="single" w:sz="4" w:space="0" w:color="auto"/>
            </w:tcBorders>
            <w:shd w:val="clear" w:color="000000" w:fill="FFFFFF"/>
            <w:noWrap/>
            <w:vAlign w:val="center"/>
            <w:hideMark/>
          </w:tcPr>
          <w:p w14:paraId="1949C23A"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1</w:t>
            </w:r>
          </w:p>
        </w:tc>
        <w:tc>
          <w:tcPr>
            <w:tcW w:w="880" w:type="dxa"/>
            <w:tcBorders>
              <w:top w:val="nil"/>
              <w:left w:val="nil"/>
              <w:bottom w:val="single" w:sz="4" w:space="0" w:color="auto"/>
              <w:right w:val="single" w:sz="4" w:space="0" w:color="auto"/>
            </w:tcBorders>
            <w:noWrap/>
            <w:vAlign w:val="center"/>
            <w:hideMark/>
          </w:tcPr>
          <w:p w14:paraId="3DACDBA0"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2</w:t>
            </w:r>
          </w:p>
        </w:tc>
        <w:tc>
          <w:tcPr>
            <w:tcW w:w="980" w:type="dxa"/>
            <w:tcBorders>
              <w:top w:val="nil"/>
              <w:left w:val="nil"/>
              <w:bottom w:val="single" w:sz="4" w:space="0" w:color="auto"/>
              <w:right w:val="single" w:sz="4" w:space="0" w:color="auto"/>
            </w:tcBorders>
            <w:noWrap/>
            <w:vAlign w:val="center"/>
            <w:hideMark/>
          </w:tcPr>
          <w:p w14:paraId="2B725794"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3</w:t>
            </w:r>
          </w:p>
        </w:tc>
        <w:tc>
          <w:tcPr>
            <w:tcW w:w="1148" w:type="dxa"/>
            <w:tcBorders>
              <w:top w:val="nil"/>
              <w:left w:val="nil"/>
              <w:bottom w:val="single" w:sz="4" w:space="0" w:color="auto"/>
              <w:right w:val="single" w:sz="4" w:space="0" w:color="auto"/>
            </w:tcBorders>
            <w:noWrap/>
            <w:vAlign w:val="center"/>
            <w:hideMark/>
          </w:tcPr>
          <w:p w14:paraId="5C96830F"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4</w:t>
            </w:r>
          </w:p>
        </w:tc>
        <w:tc>
          <w:tcPr>
            <w:tcW w:w="1134" w:type="dxa"/>
            <w:tcBorders>
              <w:top w:val="nil"/>
              <w:left w:val="nil"/>
              <w:bottom w:val="single" w:sz="4" w:space="0" w:color="auto"/>
              <w:right w:val="single" w:sz="4" w:space="0" w:color="auto"/>
            </w:tcBorders>
            <w:noWrap/>
            <w:vAlign w:val="center"/>
            <w:hideMark/>
          </w:tcPr>
          <w:p w14:paraId="152EBC6E"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5</w:t>
            </w:r>
          </w:p>
        </w:tc>
        <w:tc>
          <w:tcPr>
            <w:tcW w:w="1276" w:type="dxa"/>
            <w:tcBorders>
              <w:top w:val="nil"/>
              <w:left w:val="nil"/>
              <w:bottom w:val="single" w:sz="4" w:space="0" w:color="auto"/>
              <w:right w:val="single" w:sz="4" w:space="0" w:color="auto"/>
            </w:tcBorders>
            <w:noWrap/>
            <w:vAlign w:val="center"/>
            <w:hideMark/>
          </w:tcPr>
          <w:p w14:paraId="3CFF839B"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6</w:t>
            </w:r>
          </w:p>
        </w:tc>
        <w:tc>
          <w:tcPr>
            <w:tcW w:w="1134" w:type="dxa"/>
            <w:tcBorders>
              <w:top w:val="nil"/>
              <w:left w:val="nil"/>
              <w:bottom w:val="single" w:sz="4" w:space="0" w:color="auto"/>
              <w:right w:val="single" w:sz="4" w:space="0" w:color="auto"/>
            </w:tcBorders>
            <w:noWrap/>
            <w:vAlign w:val="center"/>
            <w:hideMark/>
          </w:tcPr>
          <w:p w14:paraId="31689B44"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7</w:t>
            </w:r>
          </w:p>
        </w:tc>
        <w:tc>
          <w:tcPr>
            <w:tcW w:w="992" w:type="dxa"/>
            <w:tcBorders>
              <w:top w:val="nil"/>
              <w:left w:val="nil"/>
              <w:bottom w:val="single" w:sz="4" w:space="0" w:color="auto"/>
              <w:right w:val="single" w:sz="4" w:space="0" w:color="auto"/>
            </w:tcBorders>
            <w:noWrap/>
            <w:vAlign w:val="center"/>
            <w:hideMark/>
          </w:tcPr>
          <w:p w14:paraId="15193DE6"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8</w:t>
            </w:r>
          </w:p>
        </w:tc>
        <w:tc>
          <w:tcPr>
            <w:tcW w:w="966" w:type="dxa"/>
            <w:tcBorders>
              <w:top w:val="nil"/>
              <w:left w:val="nil"/>
              <w:bottom w:val="single" w:sz="4" w:space="0" w:color="auto"/>
              <w:right w:val="single" w:sz="4" w:space="0" w:color="auto"/>
            </w:tcBorders>
            <w:noWrap/>
            <w:vAlign w:val="center"/>
            <w:hideMark/>
          </w:tcPr>
          <w:p w14:paraId="04684AE5"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9</w:t>
            </w:r>
          </w:p>
        </w:tc>
        <w:tc>
          <w:tcPr>
            <w:tcW w:w="1233" w:type="dxa"/>
            <w:tcBorders>
              <w:top w:val="nil"/>
              <w:left w:val="nil"/>
              <w:bottom w:val="single" w:sz="4" w:space="0" w:color="auto"/>
              <w:right w:val="single" w:sz="4" w:space="0" w:color="auto"/>
            </w:tcBorders>
            <w:noWrap/>
            <w:vAlign w:val="center"/>
            <w:hideMark/>
          </w:tcPr>
          <w:p w14:paraId="300DD85B"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10</w:t>
            </w:r>
          </w:p>
        </w:tc>
      </w:tr>
      <w:tr w:rsidR="003160BE" w:rsidRPr="003160BE" w14:paraId="60660F9E" w14:textId="77777777" w:rsidTr="0052209F">
        <w:trPr>
          <w:trHeight w:val="405"/>
        </w:trPr>
        <w:tc>
          <w:tcPr>
            <w:tcW w:w="4500" w:type="dxa"/>
            <w:tcBorders>
              <w:top w:val="single" w:sz="4" w:space="0" w:color="auto"/>
              <w:left w:val="single" w:sz="4" w:space="0" w:color="auto"/>
              <w:bottom w:val="single" w:sz="4" w:space="0" w:color="auto"/>
              <w:right w:val="single" w:sz="4" w:space="0" w:color="auto"/>
            </w:tcBorders>
            <w:shd w:val="clear" w:color="000000" w:fill="FFFFFF"/>
            <w:noWrap/>
            <w:hideMark/>
          </w:tcPr>
          <w:p w14:paraId="7E16E704"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Valsts sociālā nodrošinājuma pabalsts</w:t>
            </w:r>
          </w:p>
        </w:tc>
        <w:tc>
          <w:tcPr>
            <w:tcW w:w="880" w:type="dxa"/>
            <w:tcBorders>
              <w:top w:val="nil"/>
              <w:left w:val="nil"/>
              <w:bottom w:val="single" w:sz="4" w:space="0" w:color="auto"/>
              <w:right w:val="nil"/>
            </w:tcBorders>
            <w:shd w:val="clear" w:color="000000" w:fill="FFFFFF"/>
            <w:noWrap/>
            <w:hideMark/>
          </w:tcPr>
          <w:p w14:paraId="4FA97E36"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267,71</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345BBDE7"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23 184</w:t>
            </w:r>
          </w:p>
        </w:tc>
        <w:tc>
          <w:tcPr>
            <w:tcW w:w="1148" w:type="dxa"/>
            <w:tcBorders>
              <w:top w:val="nil"/>
              <w:left w:val="nil"/>
              <w:bottom w:val="single" w:sz="4" w:space="0" w:color="auto"/>
              <w:right w:val="single" w:sz="4" w:space="0" w:color="auto"/>
            </w:tcBorders>
            <w:shd w:val="clear" w:color="000000" w:fill="FFFFFF"/>
            <w:noWrap/>
            <w:hideMark/>
          </w:tcPr>
          <w:p w14:paraId="3E910A0E"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74 479 064</w:t>
            </w:r>
          </w:p>
        </w:tc>
        <w:tc>
          <w:tcPr>
            <w:tcW w:w="1134" w:type="dxa"/>
            <w:tcBorders>
              <w:top w:val="nil"/>
              <w:left w:val="nil"/>
              <w:bottom w:val="single" w:sz="4" w:space="0" w:color="auto"/>
              <w:right w:val="single" w:sz="4" w:space="0" w:color="auto"/>
            </w:tcBorders>
            <w:shd w:val="clear" w:color="000000" w:fill="FFFFFF"/>
            <w:noWrap/>
            <w:hideMark/>
          </w:tcPr>
          <w:p w14:paraId="5D3B8B55"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294,58</w:t>
            </w:r>
          </w:p>
        </w:tc>
        <w:tc>
          <w:tcPr>
            <w:tcW w:w="1276" w:type="dxa"/>
            <w:tcBorders>
              <w:top w:val="nil"/>
              <w:left w:val="nil"/>
              <w:bottom w:val="single" w:sz="4" w:space="0" w:color="auto"/>
              <w:right w:val="nil"/>
            </w:tcBorders>
            <w:shd w:val="clear" w:color="000000" w:fill="FFFFFF"/>
            <w:noWrap/>
            <w:hideMark/>
          </w:tcPr>
          <w:p w14:paraId="505D2A5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23 856</w:t>
            </w:r>
          </w:p>
        </w:tc>
        <w:tc>
          <w:tcPr>
            <w:tcW w:w="1134" w:type="dxa"/>
            <w:tcBorders>
              <w:top w:val="nil"/>
              <w:left w:val="single" w:sz="4" w:space="0" w:color="auto"/>
              <w:bottom w:val="single" w:sz="4" w:space="0" w:color="auto"/>
              <w:right w:val="single" w:sz="4" w:space="0" w:color="auto"/>
            </w:tcBorders>
            <w:shd w:val="clear" w:color="000000" w:fill="FFFFFF"/>
            <w:noWrap/>
            <w:hideMark/>
          </w:tcPr>
          <w:p w14:paraId="212D81F4"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84 330 006</w:t>
            </w:r>
          </w:p>
        </w:tc>
        <w:tc>
          <w:tcPr>
            <w:tcW w:w="992" w:type="dxa"/>
            <w:tcBorders>
              <w:top w:val="nil"/>
              <w:left w:val="nil"/>
              <w:bottom w:val="single" w:sz="4" w:space="0" w:color="auto"/>
              <w:right w:val="nil"/>
            </w:tcBorders>
            <w:shd w:val="clear" w:color="000000" w:fill="FFFFFF"/>
            <w:noWrap/>
            <w:hideMark/>
          </w:tcPr>
          <w:p w14:paraId="69DF3246"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318,81</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32988FF5"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24 541</w:t>
            </w:r>
          </w:p>
        </w:tc>
        <w:tc>
          <w:tcPr>
            <w:tcW w:w="1233" w:type="dxa"/>
            <w:tcBorders>
              <w:top w:val="nil"/>
              <w:left w:val="nil"/>
              <w:bottom w:val="single" w:sz="4" w:space="0" w:color="auto"/>
              <w:right w:val="single" w:sz="4" w:space="0" w:color="auto"/>
            </w:tcBorders>
            <w:shd w:val="clear" w:color="000000" w:fill="FFFFFF"/>
            <w:noWrap/>
            <w:hideMark/>
          </w:tcPr>
          <w:p w14:paraId="21D76C64"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93 886 995</w:t>
            </w:r>
          </w:p>
        </w:tc>
      </w:tr>
      <w:tr w:rsidR="003160BE" w:rsidRPr="003160BE" w14:paraId="0EEAA7C8" w14:textId="77777777" w:rsidTr="0052209F">
        <w:trPr>
          <w:trHeight w:val="708"/>
        </w:trPr>
        <w:tc>
          <w:tcPr>
            <w:tcW w:w="4500" w:type="dxa"/>
            <w:tcBorders>
              <w:top w:val="nil"/>
              <w:left w:val="single" w:sz="4" w:space="0" w:color="auto"/>
              <w:bottom w:val="single" w:sz="4" w:space="0" w:color="auto"/>
              <w:right w:val="single" w:sz="4" w:space="0" w:color="auto"/>
            </w:tcBorders>
            <w:shd w:val="clear" w:color="000000" w:fill="FFFFFF"/>
            <w:hideMark/>
          </w:tcPr>
          <w:p w14:paraId="467211B1"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Pabalsts transporta izdevumu kompensēšanai personām ar invaliditāti, kurām ir apgrūtināta pārvietošanās</w:t>
            </w:r>
          </w:p>
        </w:tc>
        <w:tc>
          <w:tcPr>
            <w:tcW w:w="880" w:type="dxa"/>
            <w:tcBorders>
              <w:top w:val="nil"/>
              <w:left w:val="nil"/>
              <w:bottom w:val="single" w:sz="4" w:space="0" w:color="auto"/>
              <w:right w:val="nil"/>
            </w:tcBorders>
            <w:shd w:val="clear" w:color="000000" w:fill="FFFFFF"/>
            <w:noWrap/>
            <w:hideMark/>
          </w:tcPr>
          <w:p w14:paraId="211D7F5B"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105,01</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03AB878D"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47 981</w:t>
            </w:r>
          </w:p>
        </w:tc>
        <w:tc>
          <w:tcPr>
            <w:tcW w:w="1148" w:type="dxa"/>
            <w:tcBorders>
              <w:top w:val="nil"/>
              <w:left w:val="nil"/>
              <w:bottom w:val="single" w:sz="4" w:space="0" w:color="auto"/>
              <w:right w:val="single" w:sz="4" w:space="0" w:color="auto"/>
            </w:tcBorders>
            <w:shd w:val="clear" w:color="000000" w:fill="FFFFFF"/>
            <w:noWrap/>
            <w:hideMark/>
          </w:tcPr>
          <w:p w14:paraId="667BD641"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10 076 970</w:t>
            </w:r>
          </w:p>
        </w:tc>
        <w:tc>
          <w:tcPr>
            <w:tcW w:w="1134" w:type="dxa"/>
            <w:tcBorders>
              <w:top w:val="nil"/>
              <w:left w:val="nil"/>
              <w:bottom w:val="single" w:sz="4" w:space="0" w:color="auto"/>
              <w:right w:val="single" w:sz="4" w:space="0" w:color="auto"/>
            </w:tcBorders>
            <w:shd w:val="clear" w:color="000000" w:fill="FFFFFF"/>
            <w:noWrap/>
            <w:hideMark/>
          </w:tcPr>
          <w:p w14:paraId="37D777FF"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105,01</w:t>
            </w:r>
          </w:p>
        </w:tc>
        <w:tc>
          <w:tcPr>
            <w:tcW w:w="1276" w:type="dxa"/>
            <w:tcBorders>
              <w:top w:val="nil"/>
              <w:left w:val="nil"/>
              <w:bottom w:val="single" w:sz="4" w:space="0" w:color="auto"/>
              <w:right w:val="single" w:sz="4" w:space="0" w:color="auto"/>
            </w:tcBorders>
            <w:shd w:val="clear" w:color="000000" w:fill="FFFFFF"/>
            <w:noWrap/>
            <w:hideMark/>
          </w:tcPr>
          <w:p w14:paraId="60233931"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51 426</w:t>
            </w:r>
          </w:p>
        </w:tc>
        <w:tc>
          <w:tcPr>
            <w:tcW w:w="1134" w:type="dxa"/>
            <w:tcBorders>
              <w:top w:val="nil"/>
              <w:left w:val="nil"/>
              <w:bottom w:val="single" w:sz="4" w:space="0" w:color="auto"/>
              <w:right w:val="single" w:sz="4" w:space="0" w:color="auto"/>
            </w:tcBorders>
            <w:shd w:val="clear" w:color="000000" w:fill="FFFFFF"/>
            <w:noWrap/>
            <w:hideMark/>
          </w:tcPr>
          <w:p w14:paraId="4255F88C"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10 800 489</w:t>
            </w:r>
          </w:p>
        </w:tc>
        <w:tc>
          <w:tcPr>
            <w:tcW w:w="992" w:type="dxa"/>
            <w:tcBorders>
              <w:top w:val="nil"/>
              <w:left w:val="nil"/>
              <w:bottom w:val="single" w:sz="4" w:space="0" w:color="auto"/>
              <w:right w:val="nil"/>
            </w:tcBorders>
            <w:shd w:val="clear" w:color="000000" w:fill="FFFFFF"/>
            <w:noWrap/>
            <w:hideMark/>
          </w:tcPr>
          <w:p w14:paraId="772CF457"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105,01</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12A6938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55 131</w:t>
            </w:r>
          </w:p>
        </w:tc>
        <w:tc>
          <w:tcPr>
            <w:tcW w:w="1233" w:type="dxa"/>
            <w:tcBorders>
              <w:top w:val="nil"/>
              <w:left w:val="nil"/>
              <w:bottom w:val="single" w:sz="4" w:space="0" w:color="auto"/>
              <w:right w:val="single" w:sz="4" w:space="0" w:color="auto"/>
            </w:tcBorders>
            <w:shd w:val="clear" w:color="000000" w:fill="FFFFFF"/>
            <w:noWrap/>
            <w:hideMark/>
          </w:tcPr>
          <w:p w14:paraId="1B75BD44"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11 578 613</w:t>
            </w:r>
          </w:p>
        </w:tc>
      </w:tr>
      <w:tr w:rsidR="003160BE" w:rsidRPr="003160BE" w14:paraId="2FB077AD" w14:textId="77777777" w:rsidTr="0052209F">
        <w:trPr>
          <w:trHeight w:val="905"/>
        </w:trPr>
        <w:tc>
          <w:tcPr>
            <w:tcW w:w="4500" w:type="dxa"/>
            <w:tcBorders>
              <w:top w:val="nil"/>
              <w:left w:val="single" w:sz="4" w:space="0" w:color="auto"/>
              <w:bottom w:val="single" w:sz="4" w:space="0" w:color="auto"/>
              <w:right w:val="single" w:sz="4" w:space="0" w:color="auto"/>
            </w:tcBorders>
            <w:shd w:val="clear" w:color="000000" w:fill="FFFFFF"/>
            <w:hideMark/>
          </w:tcPr>
          <w:p w14:paraId="5B336179"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Valsts sociālais pabalsts Černobiļas AES avārijas seku likvidēšanas dalībniekiem un mirušo Černobiļas AES avārijas seku likvidēšanas dalībnieku ģimenēm</w:t>
            </w:r>
          </w:p>
        </w:tc>
        <w:tc>
          <w:tcPr>
            <w:tcW w:w="880" w:type="dxa"/>
            <w:tcBorders>
              <w:top w:val="nil"/>
              <w:left w:val="nil"/>
              <w:bottom w:val="single" w:sz="4" w:space="0" w:color="auto"/>
              <w:right w:val="nil"/>
            </w:tcBorders>
            <w:shd w:val="clear" w:color="000000" w:fill="FFFFFF"/>
            <w:noWrap/>
            <w:hideMark/>
          </w:tcPr>
          <w:p w14:paraId="5D2F332D"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184,45</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76CB257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2 554</w:t>
            </w:r>
          </w:p>
        </w:tc>
        <w:tc>
          <w:tcPr>
            <w:tcW w:w="1148" w:type="dxa"/>
            <w:tcBorders>
              <w:top w:val="nil"/>
              <w:left w:val="nil"/>
              <w:bottom w:val="single" w:sz="4" w:space="0" w:color="auto"/>
              <w:right w:val="single" w:sz="4" w:space="0" w:color="auto"/>
            </w:tcBorders>
            <w:shd w:val="clear" w:color="000000" w:fill="FFFFFF"/>
            <w:noWrap/>
            <w:hideMark/>
          </w:tcPr>
          <w:p w14:paraId="6A69BB3E"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5 653 024</w:t>
            </w:r>
          </w:p>
        </w:tc>
        <w:tc>
          <w:tcPr>
            <w:tcW w:w="1134" w:type="dxa"/>
            <w:tcBorders>
              <w:top w:val="nil"/>
              <w:left w:val="nil"/>
              <w:bottom w:val="single" w:sz="4" w:space="0" w:color="auto"/>
              <w:right w:val="nil"/>
            </w:tcBorders>
            <w:shd w:val="clear" w:color="000000" w:fill="FFFFFF"/>
            <w:noWrap/>
            <w:hideMark/>
          </w:tcPr>
          <w:p w14:paraId="75413886"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201,39</w:t>
            </w:r>
          </w:p>
        </w:tc>
        <w:tc>
          <w:tcPr>
            <w:tcW w:w="1276" w:type="dxa"/>
            <w:tcBorders>
              <w:top w:val="nil"/>
              <w:left w:val="single" w:sz="4" w:space="0" w:color="auto"/>
              <w:bottom w:val="single" w:sz="4" w:space="0" w:color="auto"/>
              <w:right w:val="nil"/>
            </w:tcBorders>
            <w:shd w:val="clear" w:color="000000" w:fill="FFFFFF"/>
            <w:noWrap/>
            <w:hideMark/>
          </w:tcPr>
          <w:p w14:paraId="6222684F"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2 490</w:t>
            </w:r>
          </w:p>
        </w:tc>
        <w:tc>
          <w:tcPr>
            <w:tcW w:w="1134" w:type="dxa"/>
            <w:tcBorders>
              <w:top w:val="nil"/>
              <w:left w:val="single" w:sz="4" w:space="0" w:color="auto"/>
              <w:bottom w:val="single" w:sz="4" w:space="0" w:color="auto"/>
              <w:right w:val="single" w:sz="4" w:space="0" w:color="auto"/>
            </w:tcBorders>
            <w:shd w:val="clear" w:color="000000" w:fill="FFFFFF"/>
            <w:noWrap/>
            <w:hideMark/>
          </w:tcPr>
          <w:p w14:paraId="5D0893D0"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6 017 533</w:t>
            </w:r>
          </w:p>
        </w:tc>
        <w:tc>
          <w:tcPr>
            <w:tcW w:w="992" w:type="dxa"/>
            <w:tcBorders>
              <w:top w:val="nil"/>
              <w:left w:val="nil"/>
              <w:bottom w:val="single" w:sz="4" w:space="0" w:color="auto"/>
              <w:right w:val="nil"/>
            </w:tcBorders>
            <w:shd w:val="clear" w:color="000000" w:fill="FFFFFF"/>
            <w:noWrap/>
            <w:hideMark/>
          </w:tcPr>
          <w:p w14:paraId="2D1B68B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216,34</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0F8DA36E"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2 427</w:t>
            </w:r>
          </w:p>
        </w:tc>
        <w:tc>
          <w:tcPr>
            <w:tcW w:w="1233" w:type="dxa"/>
            <w:tcBorders>
              <w:top w:val="nil"/>
              <w:left w:val="nil"/>
              <w:bottom w:val="single" w:sz="4" w:space="0" w:color="auto"/>
              <w:right w:val="single" w:sz="4" w:space="0" w:color="auto"/>
            </w:tcBorders>
            <w:shd w:val="clear" w:color="000000" w:fill="FFFFFF"/>
            <w:noWrap/>
            <w:hideMark/>
          </w:tcPr>
          <w:p w14:paraId="47C3701A"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6 300 686</w:t>
            </w:r>
          </w:p>
        </w:tc>
      </w:tr>
      <w:tr w:rsidR="003160BE" w:rsidRPr="003160BE" w14:paraId="139E0EAE" w14:textId="77777777" w:rsidTr="0052209F">
        <w:trPr>
          <w:trHeight w:val="779"/>
        </w:trPr>
        <w:tc>
          <w:tcPr>
            <w:tcW w:w="4500" w:type="dxa"/>
            <w:tcBorders>
              <w:top w:val="nil"/>
              <w:left w:val="single" w:sz="4" w:space="0" w:color="auto"/>
              <w:bottom w:val="single" w:sz="4" w:space="0" w:color="auto"/>
              <w:right w:val="single" w:sz="4" w:space="0" w:color="auto"/>
            </w:tcBorders>
            <w:shd w:val="clear" w:color="000000" w:fill="FFFFFF"/>
            <w:hideMark/>
          </w:tcPr>
          <w:p w14:paraId="1FEC06B6"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Kaitējuma atlīdzība Černobiļas AES avārijas seku likvidēšanas dalībniekam vai viņa nāves gadījumā – viņa apgādībā bijušajiem darbnespējīgajiem ģimenes locekļiem </w:t>
            </w:r>
          </w:p>
        </w:tc>
        <w:tc>
          <w:tcPr>
            <w:tcW w:w="880" w:type="dxa"/>
            <w:tcBorders>
              <w:top w:val="nil"/>
              <w:left w:val="nil"/>
              <w:bottom w:val="single" w:sz="4" w:space="0" w:color="auto"/>
              <w:right w:val="nil"/>
            </w:tcBorders>
            <w:shd w:val="clear" w:color="000000" w:fill="FFFFFF"/>
            <w:noWrap/>
            <w:hideMark/>
          </w:tcPr>
          <w:p w14:paraId="3CCA25F2"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369,01</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321E86BD"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398</w:t>
            </w:r>
          </w:p>
        </w:tc>
        <w:tc>
          <w:tcPr>
            <w:tcW w:w="1148" w:type="dxa"/>
            <w:tcBorders>
              <w:top w:val="nil"/>
              <w:left w:val="nil"/>
              <w:bottom w:val="single" w:sz="4" w:space="0" w:color="auto"/>
              <w:right w:val="single" w:sz="4" w:space="0" w:color="auto"/>
            </w:tcBorders>
            <w:shd w:val="clear" w:color="000000" w:fill="FFFFFF"/>
            <w:noWrap/>
            <w:hideMark/>
          </w:tcPr>
          <w:p w14:paraId="5823C19F"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1 762 392</w:t>
            </w:r>
          </w:p>
        </w:tc>
        <w:tc>
          <w:tcPr>
            <w:tcW w:w="1134" w:type="dxa"/>
            <w:tcBorders>
              <w:top w:val="nil"/>
              <w:left w:val="nil"/>
              <w:bottom w:val="single" w:sz="4" w:space="0" w:color="auto"/>
              <w:right w:val="single" w:sz="4" w:space="0" w:color="auto"/>
            </w:tcBorders>
            <w:shd w:val="clear" w:color="000000" w:fill="FFFFFF"/>
            <w:noWrap/>
            <w:hideMark/>
          </w:tcPr>
          <w:p w14:paraId="6EC7DD1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392,24</w:t>
            </w:r>
          </w:p>
        </w:tc>
        <w:tc>
          <w:tcPr>
            <w:tcW w:w="1276" w:type="dxa"/>
            <w:tcBorders>
              <w:top w:val="nil"/>
              <w:left w:val="nil"/>
              <w:bottom w:val="single" w:sz="4" w:space="0" w:color="auto"/>
              <w:right w:val="single" w:sz="4" w:space="0" w:color="auto"/>
            </w:tcBorders>
            <w:shd w:val="clear" w:color="000000" w:fill="FFFFFF"/>
            <w:noWrap/>
            <w:hideMark/>
          </w:tcPr>
          <w:p w14:paraId="047A47AD"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398</w:t>
            </w:r>
          </w:p>
        </w:tc>
        <w:tc>
          <w:tcPr>
            <w:tcW w:w="1134" w:type="dxa"/>
            <w:tcBorders>
              <w:top w:val="nil"/>
              <w:left w:val="nil"/>
              <w:bottom w:val="single" w:sz="4" w:space="0" w:color="auto"/>
              <w:right w:val="single" w:sz="4" w:space="0" w:color="auto"/>
            </w:tcBorders>
            <w:shd w:val="clear" w:color="000000" w:fill="FFFFFF"/>
            <w:noWrap/>
            <w:hideMark/>
          </w:tcPr>
          <w:p w14:paraId="621C7CD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1 873 338</w:t>
            </w:r>
          </w:p>
        </w:tc>
        <w:tc>
          <w:tcPr>
            <w:tcW w:w="992" w:type="dxa"/>
            <w:tcBorders>
              <w:top w:val="nil"/>
              <w:left w:val="nil"/>
              <w:bottom w:val="single" w:sz="4" w:space="0" w:color="auto"/>
              <w:right w:val="nil"/>
            </w:tcBorders>
            <w:shd w:val="clear" w:color="000000" w:fill="FFFFFF"/>
            <w:noWrap/>
            <w:hideMark/>
          </w:tcPr>
          <w:p w14:paraId="79EEC28F"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415,08</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57AAE275"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398</w:t>
            </w:r>
          </w:p>
        </w:tc>
        <w:tc>
          <w:tcPr>
            <w:tcW w:w="1233" w:type="dxa"/>
            <w:tcBorders>
              <w:top w:val="nil"/>
              <w:left w:val="nil"/>
              <w:bottom w:val="single" w:sz="4" w:space="0" w:color="auto"/>
              <w:right w:val="single" w:sz="4" w:space="0" w:color="auto"/>
            </w:tcBorders>
            <w:shd w:val="clear" w:color="000000" w:fill="FFFFFF"/>
            <w:noWrap/>
            <w:hideMark/>
          </w:tcPr>
          <w:p w14:paraId="51BE7BBE"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1 982 422</w:t>
            </w:r>
          </w:p>
        </w:tc>
      </w:tr>
      <w:tr w:rsidR="003160BE" w:rsidRPr="003160BE" w14:paraId="1100C08C" w14:textId="77777777" w:rsidTr="0052209F">
        <w:trPr>
          <w:trHeight w:val="528"/>
        </w:trPr>
        <w:tc>
          <w:tcPr>
            <w:tcW w:w="4500" w:type="dxa"/>
            <w:tcBorders>
              <w:top w:val="nil"/>
              <w:left w:val="single" w:sz="4" w:space="0" w:color="auto"/>
              <w:bottom w:val="single" w:sz="4" w:space="0" w:color="auto"/>
              <w:right w:val="single" w:sz="4" w:space="0" w:color="auto"/>
            </w:tcBorders>
            <w:shd w:val="clear" w:color="000000" w:fill="FFFFFF"/>
            <w:hideMark/>
          </w:tcPr>
          <w:p w14:paraId="31A5D6D8"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Pabalsts personai ar invaliditāti, kurai nepieciešama īpaša kopšana</w:t>
            </w:r>
          </w:p>
        </w:tc>
        <w:tc>
          <w:tcPr>
            <w:tcW w:w="880" w:type="dxa"/>
            <w:tcBorders>
              <w:top w:val="nil"/>
              <w:left w:val="nil"/>
              <w:bottom w:val="single" w:sz="4" w:space="0" w:color="auto"/>
              <w:right w:val="nil"/>
            </w:tcBorders>
            <w:shd w:val="clear" w:color="000000" w:fill="FFFFFF"/>
            <w:noWrap/>
            <w:hideMark/>
          </w:tcPr>
          <w:p w14:paraId="422FE7B2"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251,45</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42D87F97"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17 408</w:t>
            </w:r>
          </w:p>
        </w:tc>
        <w:tc>
          <w:tcPr>
            <w:tcW w:w="1148" w:type="dxa"/>
            <w:tcBorders>
              <w:top w:val="nil"/>
              <w:left w:val="nil"/>
              <w:bottom w:val="single" w:sz="4" w:space="0" w:color="auto"/>
              <w:right w:val="single" w:sz="4" w:space="0" w:color="auto"/>
            </w:tcBorders>
            <w:shd w:val="clear" w:color="000000" w:fill="FFFFFF"/>
            <w:noWrap/>
            <w:hideMark/>
          </w:tcPr>
          <w:p w14:paraId="06A39B3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52 526 899</w:t>
            </w:r>
          </w:p>
        </w:tc>
        <w:tc>
          <w:tcPr>
            <w:tcW w:w="1134" w:type="dxa"/>
            <w:tcBorders>
              <w:top w:val="nil"/>
              <w:left w:val="nil"/>
              <w:bottom w:val="single" w:sz="4" w:space="0" w:color="auto"/>
              <w:right w:val="single" w:sz="4" w:space="0" w:color="auto"/>
            </w:tcBorders>
            <w:shd w:val="clear" w:color="000000" w:fill="FFFFFF"/>
            <w:noWrap/>
            <w:hideMark/>
          </w:tcPr>
          <w:p w14:paraId="4D86AB9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251,45</w:t>
            </w:r>
          </w:p>
        </w:tc>
        <w:tc>
          <w:tcPr>
            <w:tcW w:w="1276" w:type="dxa"/>
            <w:tcBorders>
              <w:top w:val="nil"/>
              <w:left w:val="nil"/>
              <w:bottom w:val="single" w:sz="4" w:space="0" w:color="auto"/>
              <w:right w:val="single" w:sz="4" w:space="0" w:color="auto"/>
            </w:tcBorders>
            <w:shd w:val="clear" w:color="000000" w:fill="FFFFFF"/>
            <w:noWrap/>
            <w:hideMark/>
          </w:tcPr>
          <w:p w14:paraId="4272213D"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17 758</w:t>
            </w:r>
          </w:p>
        </w:tc>
        <w:tc>
          <w:tcPr>
            <w:tcW w:w="1134" w:type="dxa"/>
            <w:tcBorders>
              <w:top w:val="nil"/>
              <w:left w:val="nil"/>
              <w:bottom w:val="single" w:sz="4" w:space="0" w:color="auto"/>
              <w:right w:val="single" w:sz="4" w:space="0" w:color="auto"/>
            </w:tcBorders>
            <w:shd w:val="clear" w:color="000000" w:fill="FFFFFF"/>
            <w:noWrap/>
            <w:hideMark/>
          </w:tcPr>
          <w:p w14:paraId="2F72096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53 582 989</w:t>
            </w:r>
          </w:p>
        </w:tc>
        <w:tc>
          <w:tcPr>
            <w:tcW w:w="992" w:type="dxa"/>
            <w:tcBorders>
              <w:top w:val="nil"/>
              <w:left w:val="nil"/>
              <w:bottom w:val="single" w:sz="4" w:space="0" w:color="auto"/>
              <w:right w:val="single" w:sz="4" w:space="0" w:color="auto"/>
            </w:tcBorders>
            <w:shd w:val="clear" w:color="000000" w:fill="FFFFFF"/>
            <w:noWrap/>
            <w:hideMark/>
          </w:tcPr>
          <w:p w14:paraId="44DEE7D7"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251,45</w:t>
            </w:r>
          </w:p>
        </w:tc>
        <w:tc>
          <w:tcPr>
            <w:tcW w:w="966" w:type="dxa"/>
            <w:tcBorders>
              <w:top w:val="nil"/>
              <w:left w:val="nil"/>
              <w:bottom w:val="single" w:sz="4" w:space="0" w:color="auto"/>
              <w:right w:val="single" w:sz="4" w:space="0" w:color="auto"/>
            </w:tcBorders>
            <w:shd w:val="clear" w:color="000000" w:fill="FFFFFF"/>
            <w:noWrap/>
            <w:hideMark/>
          </w:tcPr>
          <w:p w14:paraId="36710AE2"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18 106</w:t>
            </w:r>
          </w:p>
        </w:tc>
        <w:tc>
          <w:tcPr>
            <w:tcW w:w="1233" w:type="dxa"/>
            <w:tcBorders>
              <w:top w:val="nil"/>
              <w:left w:val="nil"/>
              <w:bottom w:val="single" w:sz="4" w:space="0" w:color="auto"/>
              <w:right w:val="single" w:sz="4" w:space="0" w:color="auto"/>
            </w:tcBorders>
            <w:shd w:val="clear" w:color="000000" w:fill="FFFFFF"/>
            <w:noWrap/>
            <w:hideMark/>
          </w:tcPr>
          <w:p w14:paraId="29BB4988"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54 633 044</w:t>
            </w:r>
          </w:p>
        </w:tc>
      </w:tr>
      <w:tr w:rsidR="003160BE" w:rsidRPr="003160BE" w14:paraId="4ADB0BED" w14:textId="77777777" w:rsidTr="0052209F">
        <w:trPr>
          <w:trHeight w:val="528"/>
        </w:trPr>
        <w:tc>
          <w:tcPr>
            <w:tcW w:w="4500" w:type="dxa"/>
            <w:tcBorders>
              <w:top w:val="nil"/>
              <w:left w:val="single" w:sz="4" w:space="0" w:color="auto"/>
              <w:bottom w:val="single" w:sz="4" w:space="0" w:color="auto"/>
              <w:right w:val="single" w:sz="4" w:space="0" w:color="auto"/>
            </w:tcBorders>
            <w:shd w:val="clear" w:color="000000" w:fill="FFFFFF"/>
            <w:hideMark/>
          </w:tcPr>
          <w:p w14:paraId="64E7820A"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Apbedīšanas pabalsts, ja miris valsts sociālā nodrošinājuma pabalsta saņēmējs</w:t>
            </w:r>
          </w:p>
        </w:tc>
        <w:tc>
          <w:tcPr>
            <w:tcW w:w="880" w:type="dxa"/>
            <w:tcBorders>
              <w:top w:val="nil"/>
              <w:left w:val="nil"/>
              <w:bottom w:val="single" w:sz="4" w:space="0" w:color="auto"/>
              <w:right w:val="nil"/>
            </w:tcBorders>
            <w:shd w:val="clear" w:color="000000" w:fill="FFFFFF"/>
            <w:noWrap/>
            <w:hideMark/>
          </w:tcPr>
          <w:p w14:paraId="2074A8E7"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535,55</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368075A4"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47</w:t>
            </w:r>
          </w:p>
        </w:tc>
        <w:tc>
          <w:tcPr>
            <w:tcW w:w="1148" w:type="dxa"/>
            <w:tcBorders>
              <w:top w:val="nil"/>
              <w:left w:val="nil"/>
              <w:bottom w:val="single" w:sz="4" w:space="0" w:color="auto"/>
              <w:right w:val="single" w:sz="4" w:space="0" w:color="auto"/>
            </w:tcBorders>
            <w:shd w:val="clear" w:color="000000" w:fill="FFFFFF"/>
            <w:noWrap/>
            <w:hideMark/>
          </w:tcPr>
          <w:p w14:paraId="792DF89B"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302 050</w:t>
            </w:r>
          </w:p>
        </w:tc>
        <w:tc>
          <w:tcPr>
            <w:tcW w:w="1134" w:type="dxa"/>
            <w:tcBorders>
              <w:top w:val="nil"/>
              <w:left w:val="nil"/>
              <w:bottom w:val="single" w:sz="4" w:space="0" w:color="auto"/>
              <w:right w:val="single" w:sz="4" w:space="0" w:color="auto"/>
            </w:tcBorders>
            <w:shd w:val="clear" w:color="000000" w:fill="FFFFFF"/>
            <w:noWrap/>
            <w:hideMark/>
          </w:tcPr>
          <w:p w14:paraId="73A73EF4"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590,73</w:t>
            </w:r>
          </w:p>
        </w:tc>
        <w:tc>
          <w:tcPr>
            <w:tcW w:w="1276" w:type="dxa"/>
            <w:tcBorders>
              <w:top w:val="nil"/>
              <w:left w:val="nil"/>
              <w:bottom w:val="single" w:sz="4" w:space="0" w:color="auto"/>
              <w:right w:val="nil"/>
            </w:tcBorders>
            <w:shd w:val="clear" w:color="000000" w:fill="FFFFFF"/>
            <w:noWrap/>
            <w:hideMark/>
          </w:tcPr>
          <w:p w14:paraId="7226FF2A"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48</w:t>
            </w:r>
          </w:p>
        </w:tc>
        <w:tc>
          <w:tcPr>
            <w:tcW w:w="1134" w:type="dxa"/>
            <w:tcBorders>
              <w:top w:val="nil"/>
              <w:left w:val="single" w:sz="4" w:space="0" w:color="auto"/>
              <w:bottom w:val="single" w:sz="4" w:space="0" w:color="auto"/>
              <w:right w:val="single" w:sz="4" w:space="0" w:color="auto"/>
            </w:tcBorders>
            <w:shd w:val="clear" w:color="000000" w:fill="FFFFFF"/>
            <w:noWrap/>
            <w:hideMark/>
          </w:tcPr>
          <w:p w14:paraId="5D17D715"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340 260</w:t>
            </w:r>
          </w:p>
        </w:tc>
        <w:tc>
          <w:tcPr>
            <w:tcW w:w="992" w:type="dxa"/>
            <w:tcBorders>
              <w:top w:val="nil"/>
              <w:left w:val="nil"/>
              <w:bottom w:val="single" w:sz="4" w:space="0" w:color="auto"/>
              <w:right w:val="nil"/>
            </w:tcBorders>
            <w:shd w:val="clear" w:color="000000" w:fill="FFFFFF"/>
            <w:noWrap/>
            <w:hideMark/>
          </w:tcPr>
          <w:p w14:paraId="76A31EF6"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640,01</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6AE7B781"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49</w:t>
            </w:r>
          </w:p>
        </w:tc>
        <w:tc>
          <w:tcPr>
            <w:tcW w:w="1233" w:type="dxa"/>
            <w:tcBorders>
              <w:top w:val="nil"/>
              <w:left w:val="nil"/>
              <w:bottom w:val="single" w:sz="4" w:space="0" w:color="auto"/>
              <w:right w:val="single" w:sz="4" w:space="0" w:color="auto"/>
            </w:tcBorders>
            <w:shd w:val="clear" w:color="000000" w:fill="FFFFFF"/>
            <w:noWrap/>
            <w:hideMark/>
          </w:tcPr>
          <w:p w14:paraId="5677BEAE"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376 326</w:t>
            </w:r>
          </w:p>
        </w:tc>
      </w:tr>
      <w:tr w:rsidR="003160BE" w:rsidRPr="003160BE" w14:paraId="01CE08DD" w14:textId="77777777" w:rsidTr="0052209F">
        <w:trPr>
          <w:trHeight w:val="528"/>
        </w:trPr>
        <w:tc>
          <w:tcPr>
            <w:tcW w:w="4500" w:type="dxa"/>
            <w:tcBorders>
              <w:top w:val="nil"/>
              <w:left w:val="single" w:sz="4" w:space="0" w:color="auto"/>
              <w:bottom w:val="single" w:sz="4" w:space="0" w:color="auto"/>
              <w:right w:val="single" w:sz="4" w:space="0" w:color="auto"/>
            </w:tcBorders>
            <w:shd w:val="clear" w:color="000000" w:fill="FFFFFF"/>
            <w:hideMark/>
          </w:tcPr>
          <w:p w14:paraId="50656075"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Pabalsts par asistenta izmantošanu personām ar I grupas redzes invaliditāti</w:t>
            </w:r>
          </w:p>
        </w:tc>
        <w:tc>
          <w:tcPr>
            <w:tcW w:w="880" w:type="dxa"/>
            <w:tcBorders>
              <w:top w:val="nil"/>
              <w:left w:val="nil"/>
              <w:bottom w:val="single" w:sz="4" w:space="0" w:color="auto"/>
              <w:right w:val="nil"/>
            </w:tcBorders>
            <w:shd w:val="clear" w:color="000000" w:fill="FFFFFF"/>
            <w:noWrap/>
            <w:hideMark/>
          </w:tcPr>
          <w:p w14:paraId="5C324EC8"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73,43</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1105262D"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1 630</w:t>
            </w:r>
          </w:p>
        </w:tc>
        <w:tc>
          <w:tcPr>
            <w:tcW w:w="1148" w:type="dxa"/>
            <w:tcBorders>
              <w:top w:val="nil"/>
              <w:left w:val="nil"/>
              <w:bottom w:val="single" w:sz="4" w:space="0" w:color="auto"/>
              <w:right w:val="single" w:sz="4" w:space="0" w:color="auto"/>
            </w:tcBorders>
            <w:shd w:val="clear" w:color="000000" w:fill="FFFFFF"/>
            <w:noWrap/>
            <w:hideMark/>
          </w:tcPr>
          <w:p w14:paraId="0D9645D2"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1 436 283</w:t>
            </w:r>
          </w:p>
        </w:tc>
        <w:tc>
          <w:tcPr>
            <w:tcW w:w="1134" w:type="dxa"/>
            <w:tcBorders>
              <w:top w:val="nil"/>
              <w:left w:val="nil"/>
              <w:bottom w:val="single" w:sz="4" w:space="0" w:color="auto"/>
              <w:right w:val="single" w:sz="4" w:space="0" w:color="auto"/>
            </w:tcBorders>
            <w:shd w:val="clear" w:color="000000" w:fill="FFFFFF"/>
            <w:noWrap/>
            <w:hideMark/>
          </w:tcPr>
          <w:p w14:paraId="590148FA"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73,43</w:t>
            </w:r>
          </w:p>
        </w:tc>
        <w:tc>
          <w:tcPr>
            <w:tcW w:w="1276" w:type="dxa"/>
            <w:tcBorders>
              <w:top w:val="nil"/>
              <w:left w:val="nil"/>
              <w:bottom w:val="nil"/>
              <w:right w:val="single" w:sz="4" w:space="0" w:color="auto"/>
            </w:tcBorders>
            <w:shd w:val="clear" w:color="000000" w:fill="FFFFFF"/>
            <w:noWrap/>
            <w:hideMark/>
          </w:tcPr>
          <w:p w14:paraId="215987CC"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1 605</w:t>
            </w:r>
          </w:p>
        </w:tc>
        <w:tc>
          <w:tcPr>
            <w:tcW w:w="1134" w:type="dxa"/>
            <w:tcBorders>
              <w:top w:val="nil"/>
              <w:left w:val="nil"/>
              <w:bottom w:val="nil"/>
              <w:right w:val="single" w:sz="4" w:space="0" w:color="auto"/>
            </w:tcBorders>
            <w:shd w:val="clear" w:color="000000" w:fill="FFFFFF"/>
            <w:noWrap/>
            <w:hideMark/>
          </w:tcPr>
          <w:p w14:paraId="02BB62F2"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1 414 254</w:t>
            </w:r>
          </w:p>
        </w:tc>
        <w:tc>
          <w:tcPr>
            <w:tcW w:w="992" w:type="dxa"/>
            <w:tcBorders>
              <w:top w:val="nil"/>
              <w:left w:val="nil"/>
              <w:bottom w:val="single" w:sz="4" w:space="0" w:color="auto"/>
              <w:right w:val="single" w:sz="4" w:space="0" w:color="auto"/>
            </w:tcBorders>
            <w:shd w:val="clear" w:color="000000" w:fill="FFFFFF"/>
            <w:noWrap/>
            <w:hideMark/>
          </w:tcPr>
          <w:p w14:paraId="69CF9C7A"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73,43</w:t>
            </w:r>
          </w:p>
        </w:tc>
        <w:tc>
          <w:tcPr>
            <w:tcW w:w="966" w:type="dxa"/>
            <w:tcBorders>
              <w:top w:val="nil"/>
              <w:left w:val="nil"/>
              <w:bottom w:val="nil"/>
              <w:right w:val="single" w:sz="4" w:space="0" w:color="auto"/>
            </w:tcBorders>
            <w:shd w:val="clear" w:color="000000" w:fill="FFFFFF"/>
            <w:noWrap/>
            <w:hideMark/>
          </w:tcPr>
          <w:p w14:paraId="5CB2E7DC"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1 581</w:t>
            </w:r>
          </w:p>
        </w:tc>
        <w:tc>
          <w:tcPr>
            <w:tcW w:w="1233" w:type="dxa"/>
            <w:tcBorders>
              <w:top w:val="nil"/>
              <w:left w:val="nil"/>
              <w:bottom w:val="nil"/>
              <w:right w:val="single" w:sz="4" w:space="0" w:color="auto"/>
            </w:tcBorders>
            <w:shd w:val="clear" w:color="000000" w:fill="FFFFFF"/>
            <w:noWrap/>
            <w:hideMark/>
          </w:tcPr>
          <w:p w14:paraId="5675D736"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1 393 106</w:t>
            </w:r>
          </w:p>
        </w:tc>
      </w:tr>
      <w:tr w:rsidR="003160BE" w:rsidRPr="003160BE" w14:paraId="37C7D446" w14:textId="77777777" w:rsidTr="0052209F">
        <w:trPr>
          <w:trHeight w:val="276"/>
        </w:trPr>
        <w:tc>
          <w:tcPr>
            <w:tcW w:w="4500" w:type="dxa"/>
            <w:tcBorders>
              <w:top w:val="nil"/>
              <w:left w:val="single" w:sz="4" w:space="0" w:color="auto"/>
              <w:bottom w:val="single" w:sz="4" w:space="0" w:color="auto"/>
              <w:right w:val="single" w:sz="4" w:space="0" w:color="auto"/>
            </w:tcBorders>
            <w:shd w:val="clear" w:color="000000" w:fill="FFFFFF"/>
            <w:hideMark/>
          </w:tcPr>
          <w:p w14:paraId="5836BC62"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Valsts sociālie pabalsti ģimenēm ar bērniem - kopā</w:t>
            </w:r>
          </w:p>
        </w:tc>
        <w:tc>
          <w:tcPr>
            <w:tcW w:w="880" w:type="dxa"/>
            <w:tcBorders>
              <w:top w:val="nil"/>
              <w:left w:val="nil"/>
              <w:bottom w:val="single" w:sz="4" w:space="0" w:color="auto"/>
              <w:right w:val="single" w:sz="4" w:space="0" w:color="auto"/>
            </w:tcBorders>
            <w:shd w:val="clear" w:color="000000" w:fill="FFFFFF"/>
            <w:noWrap/>
            <w:hideMark/>
          </w:tcPr>
          <w:p w14:paraId="46E5DAFD"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980" w:type="dxa"/>
            <w:tcBorders>
              <w:top w:val="nil"/>
              <w:left w:val="nil"/>
              <w:bottom w:val="single" w:sz="4" w:space="0" w:color="auto"/>
              <w:right w:val="nil"/>
            </w:tcBorders>
            <w:shd w:val="clear" w:color="000000" w:fill="FFFFFF"/>
            <w:noWrap/>
            <w:hideMark/>
          </w:tcPr>
          <w:p w14:paraId="7B0EEF27"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1148" w:type="dxa"/>
            <w:tcBorders>
              <w:top w:val="nil"/>
              <w:left w:val="single" w:sz="4" w:space="0" w:color="auto"/>
              <w:bottom w:val="single" w:sz="4" w:space="0" w:color="auto"/>
              <w:right w:val="single" w:sz="4" w:space="0" w:color="auto"/>
            </w:tcBorders>
            <w:shd w:val="clear" w:color="000000" w:fill="FFFFFF"/>
            <w:noWrap/>
            <w:hideMark/>
          </w:tcPr>
          <w:p w14:paraId="06F9A3CE"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328 221 405</w:t>
            </w:r>
          </w:p>
        </w:tc>
        <w:tc>
          <w:tcPr>
            <w:tcW w:w="1134" w:type="dxa"/>
            <w:tcBorders>
              <w:top w:val="nil"/>
              <w:left w:val="nil"/>
              <w:bottom w:val="single" w:sz="4" w:space="0" w:color="auto"/>
              <w:right w:val="single" w:sz="4" w:space="0" w:color="auto"/>
            </w:tcBorders>
            <w:shd w:val="clear" w:color="000000" w:fill="FFFFFF"/>
            <w:noWrap/>
            <w:hideMark/>
          </w:tcPr>
          <w:p w14:paraId="320DDA66"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1276" w:type="dxa"/>
            <w:tcBorders>
              <w:top w:val="single" w:sz="4" w:space="0" w:color="auto"/>
              <w:left w:val="nil"/>
              <w:bottom w:val="single" w:sz="4" w:space="0" w:color="auto"/>
              <w:right w:val="single" w:sz="4" w:space="0" w:color="auto"/>
            </w:tcBorders>
            <w:shd w:val="clear" w:color="000000" w:fill="FFFFFF"/>
            <w:noWrap/>
            <w:hideMark/>
          </w:tcPr>
          <w:p w14:paraId="5880363F"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1134" w:type="dxa"/>
            <w:tcBorders>
              <w:top w:val="single" w:sz="4" w:space="0" w:color="auto"/>
              <w:left w:val="nil"/>
              <w:bottom w:val="single" w:sz="4" w:space="0" w:color="auto"/>
              <w:right w:val="single" w:sz="4" w:space="0" w:color="auto"/>
            </w:tcBorders>
            <w:shd w:val="clear" w:color="000000" w:fill="FFFFFF"/>
            <w:noWrap/>
            <w:hideMark/>
          </w:tcPr>
          <w:p w14:paraId="49ADFBC2"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330 948 412</w:t>
            </w:r>
          </w:p>
        </w:tc>
        <w:tc>
          <w:tcPr>
            <w:tcW w:w="992" w:type="dxa"/>
            <w:tcBorders>
              <w:top w:val="nil"/>
              <w:left w:val="nil"/>
              <w:bottom w:val="single" w:sz="4" w:space="0" w:color="auto"/>
              <w:right w:val="single" w:sz="4" w:space="0" w:color="auto"/>
            </w:tcBorders>
            <w:shd w:val="clear" w:color="000000" w:fill="FFFFFF"/>
            <w:noWrap/>
            <w:hideMark/>
          </w:tcPr>
          <w:p w14:paraId="32A01865"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966" w:type="dxa"/>
            <w:tcBorders>
              <w:top w:val="single" w:sz="4" w:space="0" w:color="auto"/>
              <w:left w:val="nil"/>
              <w:bottom w:val="single" w:sz="4" w:space="0" w:color="auto"/>
              <w:right w:val="single" w:sz="4" w:space="0" w:color="auto"/>
            </w:tcBorders>
            <w:shd w:val="clear" w:color="000000" w:fill="FFFFFF"/>
            <w:noWrap/>
            <w:hideMark/>
          </w:tcPr>
          <w:p w14:paraId="42D4A924"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1233" w:type="dxa"/>
            <w:tcBorders>
              <w:top w:val="single" w:sz="4" w:space="0" w:color="auto"/>
              <w:left w:val="nil"/>
              <w:bottom w:val="single" w:sz="4" w:space="0" w:color="auto"/>
              <w:right w:val="single" w:sz="4" w:space="0" w:color="auto"/>
            </w:tcBorders>
            <w:shd w:val="clear" w:color="000000" w:fill="FFFFFF"/>
            <w:noWrap/>
            <w:hideMark/>
          </w:tcPr>
          <w:p w14:paraId="7369AABC"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346 053 327</w:t>
            </w:r>
          </w:p>
        </w:tc>
      </w:tr>
      <w:tr w:rsidR="003160BE" w:rsidRPr="003160BE" w14:paraId="6FBEC803" w14:textId="77777777" w:rsidTr="0052209F">
        <w:trPr>
          <w:trHeight w:val="276"/>
        </w:trPr>
        <w:tc>
          <w:tcPr>
            <w:tcW w:w="4500" w:type="dxa"/>
            <w:tcBorders>
              <w:top w:val="nil"/>
              <w:left w:val="single" w:sz="4" w:space="0" w:color="auto"/>
              <w:bottom w:val="single" w:sz="4" w:space="0" w:color="auto"/>
              <w:right w:val="single" w:sz="4" w:space="0" w:color="auto"/>
            </w:tcBorders>
            <w:shd w:val="clear" w:color="000000" w:fill="FFFFFF"/>
            <w:noWrap/>
            <w:hideMark/>
          </w:tcPr>
          <w:p w14:paraId="08276384" w14:textId="77777777" w:rsidR="003160BE" w:rsidRPr="003160BE" w:rsidRDefault="003160BE" w:rsidP="003160BE">
            <w:pPr>
              <w:spacing w:after="0"/>
              <w:ind w:firstLine="0"/>
              <w:jc w:val="center"/>
              <w:rPr>
                <w:rFonts w:eastAsia="Times New Roman" w:cs="Times New Roman"/>
                <w:i/>
                <w:iCs/>
                <w:sz w:val="18"/>
                <w:szCs w:val="18"/>
                <w:highlight w:val="lightGray"/>
              </w:rPr>
            </w:pPr>
            <w:r w:rsidRPr="003160BE">
              <w:rPr>
                <w:rFonts w:eastAsia="Calibri" w:cs="Times New Roman"/>
                <w:i/>
                <w:iCs/>
                <w:sz w:val="18"/>
                <w:szCs w:val="18"/>
                <w:lang w:eastAsia="en-US"/>
              </w:rPr>
              <w:t>tajā skaitā:</w:t>
            </w:r>
          </w:p>
        </w:tc>
        <w:tc>
          <w:tcPr>
            <w:tcW w:w="880" w:type="dxa"/>
            <w:tcBorders>
              <w:top w:val="nil"/>
              <w:left w:val="nil"/>
              <w:bottom w:val="single" w:sz="4" w:space="0" w:color="auto"/>
              <w:right w:val="nil"/>
            </w:tcBorders>
            <w:shd w:val="clear" w:color="000000" w:fill="FFFFFF"/>
            <w:noWrap/>
            <w:hideMark/>
          </w:tcPr>
          <w:p w14:paraId="6A216983"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980" w:type="dxa"/>
            <w:tcBorders>
              <w:top w:val="nil"/>
              <w:left w:val="single" w:sz="4" w:space="0" w:color="auto"/>
              <w:bottom w:val="single" w:sz="4" w:space="0" w:color="auto"/>
              <w:right w:val="single" w:sz="4" w:space="0" w:color="auto"/>
            </w:tcBorders>
            <w:shd w:val="clear" w:color="000000" w:fill="FFFFFF"/>
            <w:hideMark/>
          </w:tcPr>
          <w:p w14:paraId="1ED9A706"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1148" w:type="dxa"/>
            <w:tcBorders>
              <w:top w:val="nil"/>
              <w:left w:val="nil"/>
              <w:bottom w:val="single" w:sz="4" w:space="0" w:color="auto"/>
              <w:right w:val="single" w:sz="4" w:space="0" w:color="auto"/>
            </w:tcBorders>
            <w:shd w:val="clear" w:color="000000" w:fill="FFFFFF"/>
            <w:noWrap/>
            <w:hideMark/>
          </w:tcPr>
          <w:p w14:paraId="1EE96241"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1134" w:type="dxa"/>
            <w:tcBorders>
              <w:top w:val="nil"/>
              <w:left w:val="nil"/>
              <w:bottom w:val="single" w:sz="4" w:space="0" w:color="auto"/>
              <w:right w:val="single" w:sz="4" w:space="0" w:color="auto"/>
            </w:tcBorders>
            <w:shd w:val="clear" w:color="000000" w:fill="FFFFFF"/>
            <w:noWrap/>
            <w:hideMark/>
          </w:tcPr>
          <w:p w14:paraId="7A6B1F9E"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1276" w:type="dxa"/>
            <w:tcBorders>
              <w:top w:val="nil"/>
              <w:left w:val="nil"/>
              <w:bottom w:val="single" w:sz="4" w:space="0" w:color="auto"/>
              <w:right w:val="single" w:sz="4" w:space="0" w:color="auto"/>
            </w:tcBorders>
            <w:shd w:val="clear" w:color="000000" w:fill="FFFFFF"/>
            <w:hideMark/>
          </w:tcPr>
          <w:p w14:paraId="7AA8DF97"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1134" w:type="dxa"/>
            <w:tcBorders>
              <w:top w:val="nil"/>
              <w:left w:val="nil"/>
              <w:bottom w:val="single" w:sz="4" w:space="0" w:color="auto"/>
              <w:right w:val="single" w:sz="4" w:space="0" w:color="auto"/>
            </w:tcBorders>
            <w:shd w:val="clear" w:color="000000" w:fill="FFFFFF"/>
            <w:noWrap/>
            <w:hideMark/>
          </w:tcPr>
          <w:p w14:paraId="3B9692FA"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992" w:type="dxa"/>
            <w:tcBorders>
              <w:top w:val="nil"/>
              <w:left w:val="nil"/>
              <w:bottom w:val="single" w:sz="4" w:space="0" w:color="auto"/>
              <w:right w:val="single" w:sz="4" w:space="0" w:color="auto"/>
            </w:tcBorders>
            <w:shd w:val="clear" w:color="000000" w:fill="FFFFFF"/>
            <w:noWrap/>
            <w:hideMark/>
          </w:tcPr>
          <w:p w14:paraId="1A9142AF"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966" w:type="dxa"/>
            <w:tcBorders>
              <w:top w:val="nil"/>
              <w:left w:val="nil"/>
              <w:bottom w:val="single" w:sz="4" w:space="0" w:color="auto"/>
              <w:right w:val="single" w:sz="4" w:space="0" w:color="auto"/>
            </w:tcBorders>
            <w:shd w:val="clear" w:color="000000" w:fill="FFFFFF"/>
            <w:hideMark/>
          </w:tcPr>
          <w:p w14:paraId="51B80073" w14:textId="77777777" w:rsidR="003160BE" w:rsidRPr="003160BE" w:rsidRDefault="003160BE" w:rsidP="003160BE">
            <w:pPr>
              <w:spacing w:after="0"/>
              <w:ind w:firstLine="0"/>
              <w:jc w:val="center"/>
              <w:rPr>
                <w:rFonts w:eastAsia="Times New Roman" w:cs="Times New Roman"/>
                <w:sz w:val="18"/>
                <w:szCs w:val="18"/>
                <w:highlight w:val="lightGray"/>
              </w:rPr>
            </w:pPr>
          </w:p>
        </w:tc>
        <w:tc>
          <w:tcPr>
            <w:tcW w:w="1233" w:type="dxa"/>
            <w:tcBorders>
              <w:top w:val="nil"/>
              <w:left w:val="nil"/>
              <w:bottom w:val="single" w:sz="4" w:space="0" w:color="auto"/>
              <w:right w:val="single" w:sz="4" w:space="0" w:color="auto"/>
            </w:tcBorders>
            <w:shd w:val="clear" w:color="000000" w:fill="FFFFFF"/>
            <w:noWrap/>
            <w:hideMark/>
          </w:tcPr>
          <w:p w14:paraId="1AF6238E" w14:textId="77777777" w:rsidR="003160BE" w:rsidRPr="003160BE" w:rsidRDefault="003160BE" w:rsidP="003160BE">
            <w:pPr>
              <w:spacing w:after="0"/>
              <w:ind w:firstLine="0"/>
              <w:jc w:val="center"/>
              <w:rPr>
                <w:rFonts w:eastAsia="Times New Roman" w:cs="Times New Roman"/>
                <w:sz w:val="18"/>
                <w:szCs w:val="18"/>
                <w:highlight w:val="lightGray"/>
              </w:rPr>
            </w:pPr>
          </w:p>
        </w:tc>
      </w:tr>
      <w:tr w:rsidR="003160BE" w:rsidRPr="003160BE" w14:paraId="7EB3DE18" w14:textId="77777777" w:rsidTr="0052209F">
        <w:trPr>
          <w:trHeight w:val="276"/>
        </w:trPr>
        <w:tc>
          <w:tcPr>
            <w:tcW w:w="4500" w:type="dxa"/>
            <w:tcBorders>
              <w:top w:val="nil"/>
              <w:left w:val="single" w:sz="4" w:space="0" w:color="auto"/>
              <w:bottom w:val="single" w:sz="4" w:space="0" w:color="auto"/>
              <w:right w:val="single" w:sz="4" w:space="0" w:color="auto"/>
            </w:tcBorders>
            <w:shd w:val="clear" w:color="000000" w:fill="FFFFFF"/>
            <w:noWrap/>
            <w:hideMark/>
          </w:tcPr>
          <w:p w14:paraId="050C1B99" w14:textId="77777777" w:rsidR="003160BE" w:rsidRPr="003160BE" w:rsidRDefault="003160BE" w:rsidP="003160BE">
            <w:pPr>
              <w:spacing w:after="0"/>
              <w:ind w:left="567" w:firstLine="0"/>
              <w:jc w:val="left"/>
              <w:rPr>
                <w:rFonts w:eastAsia="Times New Roman" w:cs="Times New Roman"/>
                <w:sz w:val="18"/>
                <w:szCs w:val="18"/>
                <w:highlight w:val="lightGray"/>
              </w:rPr>
            </w:pPr>
            <w:r w:rsidRPr="003160BE">
              <w:rPr>
                <w:rFonts w:eastAsia="Calibri" w:cs="Times New Roman"/>
                <w:sz w:val="18"/>
                <w:szCs w:val="18"/>
                <w:lang w:eastAsia="en-US"/>
              </w:rPr>
              <w:t xml:space="preserve">  bērna piedzimšanas pabalsts</w:t>
            </w:r>
          </w:p>
        </w:tc>
        <w:tc>
          <w:tcPr>
            <w:tcW w:w="880" w:type="dxa"/>
            <w:tcBorders>
              <w:top w:val="nil"/>
              <w:left w:val="nil"/>
              <w:bottom w:val="single" w:sz="4" w:space="0" w:color="auto"/>
              <w:right w:val="nil"/>
            </w:tcBorders>
            <w:shd w:val="clear" w:color="000000" w:fill="FFFFFF"/>
            <w:noWrap/>
            <w:hideMark/>
          </w:tcPr>
          <w:p w14:paraId="3C8B5D7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600,06</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498DE132"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1 007</w:t>
            </w:r>
          </w:p>
        </w:tc>
        <w:tc>
          <w:tcPr>
            <w:tcW w:w="1148" w:type="dxa"/>
            <w:tcBorders>
              <w:top w:val="nil"/>
              <w:left w:val="nil"/>
              <w:bottom w:val="single" w:sz="4" w:space="0" w:color="auto"/>
              <w:right w:val="single" w:sz="4" w:space="0" w:color="auto"/>
            </w:tcBorders>
            <w:shd w:val="clear" w:color="000000" w:fill="FFFFFF"/>
            <w:noWrap/>
            <w:hideMark/>
          </w:tcPr>
          <w:p w14:paraId="630506C4"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7 251 155</w:t>
            </w:r>
          </w:p>
        </w:tc>
        <w:tc>
          <w:tcPr>
            <w:tcW w:w="1134" w:type="dxa"/>
            <w:tcBorders>
              <w:top w:val="nil"/>
              <w:left w:val="nil"/>
              <w:bottom w:val="single" w:sz="4" w:space="0" w:color="auto"/>
              <w:right w:val="single" w:sz="4" w:space="0" w:color="auto"/>
            </w:tcBorders>
            <w:shd w:val="clear" w:color="000000" w:fill="FFFFFF"/>
            <w:noWrap/>
            <w:hideMark/>
          </w:tcPr>
          <w:p w14:paraId="52E1719B"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600,06</w:t>
            </w:r>
          </w:p>
        </w:tc>
        <w:tc>
          <w:tcPr>
            <w:tcW w:w="1276" w:type="dxa"/>
            <w:tcBorders>
              <w:top w:val="nil"/>
              <w:left w:val="nil"/>
              <w:bottom w:val="single" w:sz="4" w:space="0" w:color="auto"/>
              <w:right w:val="single" w:sz="4" w:space="0" w:color="auto"/>
            </w:tcBorders>
            <w:shd w:val="clear" w:color="000000" w:fill="FFFFFF"/>
            <w:noWrap/>
            <w:hideMark/>
          </w:tcPr>
          <w:p w14:paraId="2DD0306F"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1 007</w:t>
            </w:r>
          </w:p>
        </w:tc>
        <w:tc>
          <w:tcPr>
            <w:tcW w:w="1134" w:type="dxa"/>
            <w:tcBorders>
              <w:top w:val="nil"/>
              <w:left w:val="nil"/>
              <w:bottom w:val="single" w:sz="4" w:space="0" w:color="auto"/>
              <w:right w:val="single" w:sz="4" w:space="0" w:color="auto"/>
            </w:tcBorders>
            <w:shd w:val="clear" w:color="000000" w:fill="FFFFFF"/>
            <w:noWrap/>
            <w:hideMark/>
          </w:tcPr>
          <w:p w14:paraId="26DEE619"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7 251 155</w:t>
            </w:r>
          </w:p>
        </w:tc>
        <w:tc>
          <w:tcPr>
            <w:tcW w:w="992" w:type="dxa"/>
            <w:tcBorders>
              <w:top w:val="nil"/>
              <w:left w:val="nil"/>
              <w:bottom w:val="single" w:sz="4" w:space="0" w:color="auto"/>
              <w:right w:val="single" w:sz="4" w:space="0" w:color="auto"/>
            </w:tcBorders>
            <w:shd w:val="clear" w:color="000000" w:fill="FFFFFF"/>
            <w:noWrap/>
            <w:hideMark/>
          </w:tcPr>
          <w:p w14:paraId="502E0368"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600,06</w:t>
            </w:r>
          </w:p>
        </w:tc>
        <w:tc>
          <w:tcPr>
            <w:tcW w:w="966" w:type="dxa"/>
            <w:tcBorders>
              <w:top w:val="nil"/>
              <w:left w:val="nil"/>
              <w:bottom w:val="single" w:sz="4" w:space="0" w:color="auto"/>
              <w:right w:val="single" w:sz="4" w:space="0" w:color="auto"/>
            </w:tcBorders>
            <w:shd w:val="clear" w:color="000000" w:fill="FFFFFF"/>
            <w:noWrap/>
            <w:hideMark/>
          </w:tcPr>
          <w:p w14:paraId="10457AB6"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1 007</w:t>
            </w:r>
          </w:p>
        </w:tc>
        <w:tc>
          <w:tcPr>
            <w:tcW w:w="1233" w:type="dxa"/>
            <w:tcBorders>
              <w:top w:val="nil"/>
              <w:left w:val="nil"/>
              <w:bottom w:val="single" w:sz="4" w:space="0" w:color="auto"/>
              <w:right w:val="single" w:sz="4" w:space="0" w:color="auto"/>
            </w:tcBorders>
            <w:shd w:val="clear" w:color="000000" w:fill="FFFFFF"/>
            <w:noWrap/>
            <w:hideMark/>
          </w:tcPr>
          <w:p w14:paraId="548147FF"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7 251 155</w:t>
            </w:r>
          </w:p>
        </w:tc>
      </w:tr>
      <w:tr w:rsidR="003160BE" w:rsidRPr="003160BE" w14:paraId="7806A48F" w14:textId="77777777" w:rsidTr="0052209F">
        <w:trPr>
          <w:trHeight w:val="792"/>
        </w:trPr>
        <w:tc>
          <w:tcPr>
            <w:tcW w:w="4500" w:type="dxa"/>
            <w:tcBorders>
              <w:top w:val="nil"/>
              <w:left w:val="single" w:sz="4" w:space="0" w:color="auto"/>
              <w:bottom w:val="single" w:sz="4" w:space="0" w:color="auto"/>
              <w:right w:val="single" w:sz="4" w:space="0" w:color="auto"/>
            </w:tcBorders>
            <w:shd w:val="clear" w:color="000000" w:fill="FFFFFF"/>
            <w:hideMark/>
          </w:tcPr>
          <w:p w14:paraId="555C4477" w14:textId="77777777" w:rsidR="003160BE" w:rsidRPr="003160BE" w:rsidRDefault="003160BE" w:rsidP="003160BE">
            <w:pPr>
              <w:spacing w:after="0"/>
              <w:ind w:left="567" w:firstLine="0"/>
              <w:jc w:val="left"/>
              <w:rPr>
                <w:rFonts w:eastAsia="Times New Roman" w:cs="Times New Roman"/>
                <w:sz w:val="18"/>
                <w:szCs w:val="18"/>
                <w:highlight w:val="lightGray"/>
              </w:rPr>
            </w:pPr>
            <w:r w:rsidRPr="003160BE">
              <w:rPr>
                <w:rFonts w:eastAsia="Calibri" w:cs="Times New Roman"/>
                <w:sz w:val="18"/>
                <w:szCs w:val="18"/>
                <w:lang w:eastAsia="en-US"/>
              </w:rPr>
              <w:lastRenderedPageBreak/>
              <w:t xml:space="preserve">bērna kopšanas pabalsts un piemaksa pie bērna kopšanas pabalsta un vecāku pabalsta par dvīņiem vai vairākiem vienās dzemdībās dzimušiem bērniem </w:t>
            </w:r>
          </w:p>
        </w:tc>
        <w:tc>
          <w:tcPr>
            <w:tcW w:w="880" w:type="dxa"/>
            <w:tcBorders>
              <w:top w:val="nil"/>
              <w:left w:val="nil"/>
              <w:bottom w:val="single" w:sz="4" w:space="0" w:color="auto"/>
              <w:right w:val="single" w:sz="4" w:space="0" w:color="auto"/>
            </w:tcBorders>
            <w:shd w:val="clear" w:color="000000" w:fill="FFFFFF"/>
            <w:noWrap/>
            <w:hideMark/>
          </w:tcPr>
          <w:p w14:paraId="4FBB6BE9"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222,88</w:t>
            </w:r>
          </w:p>
        </w:tc>
        <w:tc>
          <w:tcPr>
            <w:tcW w:w="980" w:type="dxa"/>
            <w:tcBorders>
              <w:top w:val="nil"/>
              <w:left w:val="nil"/>
              <w:bottom w:val="single" w:sz="4" w:space="0" w:color="auto"/>
              <w:right w:val="single" w:sz="4" w:space="0" w:color="auto"/>
            </w:tcBorders>
            <w:shd w:val="clear" w:color="000000" w:fill="FFFFFF"/>
            <w:noWrap/>
            <w:hideMark/>
          </w:tcPr>
          <w:p w14:paraId="6427ABF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26 000</w:t>
            </w:r>
          </w:p>
        </w:tc>
        <w:tc>
          <w:tcPr>
            <w:tcW w:w="1148" w:type="dxa"/>
            <w:tcBorders>
              <w:top w:val="nil"/>
              <w:left w:val="nil"/>
              <w:bottom w:val="single" w:sz="4" w:space="0" w:color="auto"/>
              <w:right w:val="single" w:sz="4" w:space="0" w:color="auto"/>
            </w:tcBorders>
            <w:shd w:val="clear" w:color="000000" w:fill="FFFFFF"/>
            <w:noWrap/>
            <w:hideMark/>
          </w:tcPr>
          <w:p w14:paraId="60FC6F1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69 538 519</w:t>
            </w:r>
          </w:p>
        </w:tc>
        <w:tc>
          <w:tcPr>
            <w:tcW w:w="1134" w:type="dxa"/>
            <w:tcBorders>
              <w:top w:val="nil"/>
              <w:left w:val="nil"/>
              <w:bottom w:val="single" w:sz="4" w:space="0" w:color="auto"/>
              <w:right w:val="single" w:sz="4" w:space="0" w:color="auto"/>
            </w:tcBorders>
            <w:shd w:val="clear" w:color="000000" w:fill="FFFFFF"/>
            <w:noWrap/>
            <w:hideMark/>
          </w:tcPr>
          <w:p w14:paraId="4F3F32E1"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222,88</w:t>
            </w:r>
          </w:p>
        </w:tc>
        <w:tc>
          <w:tcPr>
            <w:tcW w:w="1276" w:type="dxa"/>
            <w:tcBorders>
              <w:top w:val="nil"/>
              <w:left w:val="nil"/>
              <w:bottom w:val="single" w:sz="4" w:space="0" w:color="auto"/>
              <w:right w:val="single" w:sz="4" w:space="0" w:color="auto"/>
            </w:tcBorders>
            <w:shd w:val="clear" w:color="000000" w:fill="FFFFFF"/>
            <w:noWrap/>
            <w:hideMark/>
          </w:tcPr>
          <w:p w14:paraId="468FB3EF"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26 000</w:t>
            </w:r>
          </w:p>
        </w:tc>
        <w:tc>
          <w:tcPr>
            <w:tcW w:w="1134" w:type="dxa"/>
            <w:tcBorders>
              <w:top w:val="nil"/>
              <w:left w:val="nil"/>
              <w:bottom w:val="single" w:sz="4" w:space="0" w:color="auto"/>
              <w:right w:val="single" w:sz="4" w:space="0" w:color="auto"/>
            </w:tcBorders>
            <w:shd w:val="clear" w:color="000000" w:fill="FFFFFF"/>
            <w:noWrap/>
            <w:hideMark/>
          </w:tcPr>
          <w:p w14:paraId="11F6BBA2"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69 538 519</w:t>
            </w:r>
          </w:p>
        </w:tc>
        <w:tc>
          <w:tcPr>
            <w:tcW w:w="992" w:type="dxa"/>
            <w:tcBorders>
              <w:top w:val="nil"/>
              <w:left w:val="nil"/>
              <w:bottom w:val="single" w:sz="4" w:space="0" w:color="auto"/>
              <w:right w:val="single" w:sz="4" w:space="0" w:color="auto"/>
            </w:tcBorders>
            <w:shd w:val="clear" w:color="000000" w:fill="FFFFFF"/>
            <w:noWrap/>
            <w:hideMark/>
          </w:tcPr>
          <w:p w14:paraId="4188E73B"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260,69</w:t>
            </w:r>
          </w:p>
        </w:tc>
        <w:tc>
          <w:tcPr>
            <w:tcW w:w="966" w:type="dxa"/>
            <w:tcBorders>
              <w:top w:val="nil"/>
              <w:left w:val="nil"/>
              <w:bottom w:val="single" w:sz="4" w:space="0" w:color="auto"/>
              <w:right w:val="single" w:sz="4" w:space="0" w:color="auto"/>
            </w:tcBorders>
            <w:shd w:val="clear" w:color="000000" w:fill="FFFFFF"/>
            <w:noWrap/>
            <w:hideMark/>
          </w:tcPr>
          <w:p w14:paraId="3C1B90CF"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26 117</w:t>
            </w:r>
          </w:p>
        </w:tc>
        <w:tc>
          <w:tcPr>
            <w:tcW w:w="1233" w:type="dxa"/>
            <w:tcBorders>
              <w:top w:val="nil"/>
              <w:left w:val="nil"/>
              <w:bottom w:val="single" w:sz="4" w:space="0" w:color="auto"/>
              <w:right w:val="single" w:sz="4" w:space="0" w:color="auto"/>
            </w:tcBorders>
            <w:shd w:val="clear" w:color="000000" w:fill="FFFFFF"/>
            <w:noWrap/>
            <w:hideMark/>
          </w:tcPr>
          <w:p w14:paraId="088F2EE4"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81 701 828</w:t>
            </w:r>
          </w:p>
        </w:tc>
      </w:tr>
      <w:tr w:rsidR="003160BE" w:rsidRPr="003160BE" w14:paraId="4CB56339" w14:textId="77777777" w:rsidTr="0052209F">
        <w:trPr>
          <w:trHeight w:val="276"/>
        </w:trPr>
        <w:tc>
          <w:tcPr>
            <w:tcW w:w="4500" w:type="dxa"/>
            <w:tcBorders>
              <w:top w:val="nil"/>
              <w:left w:val="single" w:sz="4" w:space="0" w:color="auto"/>
              <w:bottom w:val="single" w:sz="4" w:space="0" w:color="auto"/>
              <w:right w:val="single" w:sz="4" w:space="0" w:color="auto"/>
            </w:tcBorders>
            <w:shd w:val="clear" w:color="000000" w:fill="FFFFFF"/>
            <w:noWrap/>
            <w:hideMark/>
          </w:tcPr>
          <w:p w14:paraId="31E409F2" w14:textId="77777777" w:rsidR="003160BE" w:rsidRPr="003160BE" w:rsidRDefault="003160BE" w:rsidP="003160BE">
            <w:pPr>
              <w:spacing w:after="0"/>
              <w:ind w:left="567" w:firstLine="0"/>
              <w:jc w:val="left"/>
              <w:rPr>
                <w:rFonts w:eastAsia="Times New Roman" w:cs="Times New Roman"/>
                <w:sz w:val="18"/>
                <w:szCs w:val="18"/>
                <w:highlight w:val="lightGray"/>
              </w:rPr>
            </w:pPr>
            <w:r w:rsidRPr="003160BE">
              <w:rPr>
                <w:rFonts w:eastAsia="Calibri" w:cs="Times New Roman"/>
                <w:sz w:val="18"/>
                <w:szCs w:val="18"/>
                <w:lang w:eastAsia="en-US"/>
              </w:rPr>
              <w:t>bērna ar invaliditāti kopšanas pabalsts</w:t>
            </w:r>
          </w:p>
        </w:tc>
        <w:tc>
          <w:tcPr>
            <w:tcW w:w="880" w:type="dxa"/>
            <w:tcBorders>
              <w:top w:val="nil"/>
              <w:left w:val="nil"/>
              <w:bottom w:val="single" w:sz="4" w:space="0" w:color="auto"/>
              <w:right w:val="nil"/>
            </w:tcBorders>
            <w:shd w:val="clear" w:color="000000" w:fill="FFFFFF"/>
            <w:noWrap/>
            <w:hideMark/>
          </w:tcPr>
          <w:p w14:paraId="145E5678"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417,61</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0227ED00"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4 266</w:t>
            </w:r>
          </w:p>
        </w:tc>
        <w:tc>
          <w:tcPr>
            <w:tcW w:w="1148" w:type="dxa"/>
            <w:tcBorders>
              <w:top w:val="nil"/>
              <w:left w:val="nil"/>
              <w:bottom w:val="single" w:sz="4" w:space="0" w:color="auto"/>
              <w:right w:val="single" w:sz="4" w:space="0" w:color="auto"/>
            </w:tcBorders>
            <w:shd w:val="clear" w:color="000000" w:fill="FFFFFF"/>
            <w:noWrap/>
            <w:hideMark/>
          </w:tcPr>
          <w:p w14:paraId="50BBBD57"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21 378 291</w:t>
            </w:r>
          </w:p>
        </w:tc>
        <w:tc>
          <w:tcPr>
            <w:tcW w:w="1134" w:type="dxa"/>
            <w:tcBorders>
              <w:top w:val="nil"/>
              <w:left w:val="nil"/>
              <w:bottom w:val="single" w:sz="4" w:space="0" w:color="auto"/>
              <w:right w:val="single" w:sz="4" w:space="0" w:color="auto"/>
            </w:tcBorders>
            <w:shd w:val="clear" w:color="000000" w:fill="FFFFFF"/>
            <w:noWrap/>
            <w:hideMark/>
          </w:tcPr>
          <w:p w14:paraId="4D5B901E"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417,61</w:t>
            </w:r>
          </w:p>
        </w:tc>
        <w:tc>
          <w:tcPr>
            <w:tcW w:w="1276" w:type="dxa"/>
            <w:tcBorders>
              <w:top w:val="nil"/>
              <w:left w:val="nil"/>
              <w:bottom w:val="single" w:sz="4" w:space="0" w:color="auto"/>
              <w:right w:val="single" w:sz="4" w:space="0" w:color="auto"/>
            </w:tcBorders>
            <w:shd w:val="clear" w:color="000000" w:fill="FFFFFF"/>
            <w:noWrap/>
            <w:hideMark/>
          </w:tcPr>
          <w:p w14:paraId="4CB4B3C0"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4 663</w:t>
            </w:r>
          </w:p>
        </w:tc>
        <w:tc>
          <w:tcPr>
            <w:tcW w:w="1134" w:type="dxa"/>
            <w:tcBorders>
              <w:top w:val="nil"/>
              <w:left w:val="nil"/>
              <w:bottom w:val="single" w:sz="4" w:space="0" w:color="auto"/>
              <w:right w:val="single" w:sz="4" w:space="0" w:color="auto"/>
            </w:tcBorders>
            <w:shd w:val="clear" w:color="000000" w:fill="FFFFFF"/>
            <w:noWrap/>
            <w:hideMark/>
          </w:tcPr>
          <w:p w14:paraId="4B60B952"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23 367 785</w:t>
            </w:r>
          </w:p>
        </w:tc>
        <w:tc>
          <w:tcPr>
            <w:tcW w:w="992" w:type="dxa"/>
            <w:tcBorders>
              <w:top w:val="nil"/>
              <w:left w:val="nil"/>
              <w:bottom w:val="single" w:sz="4" w:space="0" w:color="auto"/>
              <w:right w:val="single" w:sz="4" w:space="0" w:color="auto"/>
            </w:tcBorders>
            <w:shd w:val="clear" w:color="000000" w:fill="FFFFFF"/>
            <w:noWrap/>
            <w:hideMark/>
          </w:tcPr>
          <w:p w14:paraId="58B26032"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417,61</w:t>
            </w:r>
          </w:p>
        </w:tc>
        <w:tc>
          <w:tcPr>
            <w:tcW w:w="966" w:type="dxa"/>
            <w:tcBorders>
              <w:top w:val="nil"/>
              <w:left w:val="nil"/>
              <w:bottom w:val="single" w:sz="4" w:space="0" w:color="auto"/>
              <w:right w:val="single" w:sz="4" w:space="0" w:color="auto"/>
            </w:tcBorders>
            <w:shd w:val="clear" w:color="000000" w:fill="FFFFFF"/>
            <w:noWrap/>
            <w:hideMark/>
          </w:tcPr>
          <w:p w14:paraId="4E213D19"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5 097</w:t>
            </w:r>
          </w:p>
        </w:tc>
        <w:tc>
          <w:tcPr>
            <w:tcW w:w="1233" w:type="dxa"/>
            <w:tcBorders>
              <w:top w:val="nil"/>
              <w:left w:val="nil"/>
              <w:bottom w:val="single" w:sz="4" w:space="0" w:color="auto"/>
              <w:right w:val="single" w:sz="4" w:space="0" w:color="auto"/>
            </w:tcBorders>
            <w:shd w:val="clear" w:color="000000" w:fill="FFFFFF"/>
            <w:noWrap/>
            <w:hideMark/>
          </w:tcPr>
          <w:p w14:paraId="6C31C73D"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25 542 698</w:t>
            </w:r>
          </w:p>
        </w:tc>
      </w:tr>
      <w:tr w:rsidR="003160BE" w:rsidRPr="003160BE" w14:paraId="18F5B69B" w14:textId="77777777" w:rsidTr="0052209F">
        <w:trPr>
          <w:trHeight w:val="276"/>
        </w:trPr>
        <w:tc>
          <w:tcPr>
            <w:tcW w:w="4500" w:type="dxa"/>
            <w:tcBorders>
              <w:top w:val="nil"/>
              <w:left w:val="single" w:sz="4" w:space="0" w:color="auto"/>
              <w:bottom w:val="single" w:sz="4" w:space="0" w:color="auto"/>
              <w:right w:val="single" w:sz="4" w:space="0" w:color="auto"/>
            </w:tcBorders>
            <w:shd w:val="clear" w:color="000000" w:fill="FFFFFF"/>
            <w:noWrap/>
            <w:hideMark/>
          </w:tcPr>
          <w:p w14:paraId="65AC697B" w14:textId="77777777" w:rsidR="003160BE" w:rsidRPr="003160BE" w:rsidRDefault="003160BE" w:rsidP="003160BE">
            <w:pPr>
              <w:spacing w:after="0"/>
              <w:ind w:left="567" w:firstLine="0"/>
              <w:jc w:val="left"/>
              <w:rPr>
                <w:rFonts w:eastAsia="Times New Roman" w:cs="Times New Roman"/>
                <w:sz w:val="18"/>
                <w:szCs w:val="18"/>
                <w:highlight w:val="lightGray"/>
              </w:rPr>
            </w:pPr>
            <w:r w:rsidRPr="003160BE">
              <w:rPr>
                <w:rFonts w:eastAsia="Calibri" w:cs="Times New Roman"/>
                <w:sz w:val="18"/>
                <w:szCs w:val="18"/>
                <w:lang w:eastAsia="en-US"/>
              </w:rPr>
              <w:t>ģimenes valsts pabalsts</w:t>
            </w:r>
          </w:p>
        </w:tc>
        <w:tc>
          <w:tcPr>
            <w:tcW w:w="880" w:type="dxa"/>
            <w:tcBorders>
              <w:top w:val="nil"/>
              <w:left w:val="nil"/>
              <w:bottom w:val="single" w:sz="4" w:space="0" w:color="auto"/>
              <w:right w:val="nil"/>
            </w:tcBorders>
            <w:shd w:val="clear" w:color="000000" w:fill="FFFFFF"/>
            <w:noWrap/>
            <w:hideMark/>
          </w:tcPr>
          <w:p w14:paraId="2257837B"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81,63</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125BB976"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216 017</w:t>
            </w:r>
          </w:p>
        </w:tc>
        <w:tc>
          <w:tcPr>
            <w:tcW w:w="1148" w:type="dxa"/>
            <w:tcBorders>
              <w:top w:val="nil"/>
              <w:left w:val="nil"/>
              <w:bottom w:val="single" w:sz="4" w:space="0" w:color="auto"/>
              <w:right w:val="single" w:sz="4" w:space="0" w:color="auto"/>
            </w:tcBorders>
            <w:shd w:val="clear" w:color="000000" w:fill="FFFFFF"/>
            <w:noWrap/>
            <w:hideMark/>
          </w:tcPr>
          <w:p w14:paraId="63E6AB0C"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211 606 118</w:t>
            </w:r>
          </w:p>
        </w:tc>
        <w:tc>
          <w:tcPr>
            <w:tcW w:w="1134" w:type="dxa"/>
            <w:tcBorders>
              <w:top w:val="nil"/>
              <w:left w:val="nil"/>
              <w:bottom w:val="single" w:sz="4" w:space="0" w:color="auto"/>
              <w:right w:val="single" w:sz="4" w:space="0" w:color="auto"/>
            </w:tcBorders>
            <w:shd w:val="clear" w:color="000000" w:fill="FFFFFF"/>
            <w:noWrap/>
            <w:hideMark/>
          </w:tcPr>
          <w:p w14:paraId="233CDAA1"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81,63</w:t>
            </w:r>
          </w:p>
        </w:tc>
        <w:tc>
          <w:tcPr>
            <w:tcW w:w="1276" w:type="dxa"/>
            <w:tcBorders>
              <w:top w:val="nil"/>
              <w:left w:val="nil"/>
              <w:bottom w:val="single" w:sz="4" w:space="0" w:color="auto"/>
              <w:right w:val="single" w:sz="4" w:space="0" w:color="auto"/>
            </w:tcBorders>
            <w:shd w:val="clear" w:color="000000" w:fill="FFFFFF"/>
            <w:noWrap/>
            <w:hideMark/>
          </w:tcPr>
          <w:p w14:paraId="709C2236"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216 017</w:t>
            </w:r>
          </w:p>
        </w:tc>
        <w:tc>
          <w:tcPr>
            <w:tcW w:w="1134" w:type="dxa"/>
            <w:tcBorders>
              <w:top w:val="nil"/>
              <w:left w:val="nil"/>
              <w:bottom w:val="single" w:sz="4" w:space="0" w:color="auto"/>
              <w:right w:val="single" w:sz="4" w:space="0" w:color="auto"/>
            </w:tcBorders>
            <w:shd w:val="clear" w:color="000000" w:fill="FFFFFF"/>
            <w:noWrap/>
            <w:hideMark/>
          </w:tcPr>
          <w:p w14:paraId="30D955A6"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211 606 118</w:t>
            </w:r>
          </w:p>
        </w:tc>
        <w:tc>
          <w:tcPr>
            <w:tcW w:w="992" w:type="dxa"/>
            <w:tcBorders>
              <w:top w:val="nil"/>
              <w:left w:val="nil"/>
              <w:bottom w:val="single" w:sz="4" w:space="0" w:color="auto"/>
              <w:right w:val="single" w:sz="4" w:space="0" w:color="auto"/>
            </w:tcBorders>
            <w:shd w:val="clear" w:color="000000" w:fill="FFFFFF"/>
            <w:noWrap/>
            <w:hideMark/>
          </w:tcPr>
          <w:p w14:paraId="1CB787AA"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81,63</w:t>
            </w:r>
          </w:p>
        </w:tc>
        <w:tc>
          <w:tcPr>
            <w:tcW w:w="966" w:type="dxa"/>
            <w:tcBorders>
              <w:top w:val="nil"/>
              <w:left w:val="nil"/>
              <w:bottom w:val="single" w:sz="4" w:space="0" w:color="auto"/>
              <w:right w:val="single" w:sz="4" w:space="0" w:color="auto"/>
            </w:tcBorders>
            <w:shd w:val="clear" w:color="000000" w:fill="FFFFFF"/>
            <w:noWrap/>
            <w:hideMark/>
          </w:tcPr>
          <w:p w14:paraId="47DC4DBD"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216 017</w:t>
            </w:r>
          </w:p>
        </w:tc>
        <w:tc>
          <w:tcPr>
            <w:tcW w:w="1233" w:type="dxa"/>
            <w:tcBorders>
              <w:top w:val="nil"/>
              <w:left w:val="nil"/>
              <w:bottom w:val="single" w:sz="4" w:space="0" w:color="auto"/>
              <w:right w:val="single" w:sz="4" w:space="0" w:color="auto"/>
            </w:tcBorders>
            <w:shd w:val="clear" w:color="000000" w:fill="FFFFFF"/>
            <w:noWrap/>
            <w:hideMark/>
          </w:tcPr>
          <w:p w14:paraId="699F225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211 606 118</w:t>
            </w:r>
          </w:p>
        </w:tc>
      </w:tr>
      <w:tr w:rsidR="003160BE" w:rsidRPr="003160BE" w14:paraId="336BECDA" w14:textId="77777777" w:rsidTr="0052209F">
        <w:trPr>
          <w:trHeight w:val="528"/>
        </w:trPr>
        <w:tc>
          <w:tcPr>
            <w:tcW w:w="4500" w:type="dxa"/>
            <w:tcBorders>
              <w:top w:val="nil"/>
              <w:left w:val="single" w:sz="4" w:space="0" w:color="auto"/>
              <w:bottom w:val="single" w:sz="4" w:space="0" w:color="auto"/>
              <w:right w:val="single" w:sz="4" w:space="0" w:color="auto"/>
            </w:tcBorders>
            <w:shd w:val="clear" w:color="000000" w:fill="FFFFFF"/>
            <w:hideMark/>
          </w:tcPr>
          <w:p w14:paraId="256B1EF8" w14:textId="77777777" w:rsidR="003160BE" w:rsidRPr="003160BE" w:rsidRDefault="003160BE" w:rsidP="003160BE">
            <w:pPr>
              <w:spacing w:after="0"/>
              <w:ind w:left="567" w:firstLine="0"/>
              <w:jc w:val="left"/>
              <w:rPr>
                <w:rFonts w:eastAsia="Times New Roman" w:cs="Times New Roman"/>
                <w:sz w:val="18"/>
                <w:szCs w:val="18"/>
                <w:highlight w:val="lightGray"/>
              </w:rPr>
            </w:pPr>
            <w:r w:rsidRPr="003160BE">
              <w:rPr>
                <w:rFonts w:eastAsia="Calibri" w:cs="Times New Roman"/>
                <w:sz w:val="18"/>
                <w:szCs w:val="18"/>
                <w:lang w:eastAsia="en-US"/>
              </w:rPr>
              <w:t xml:space="preserve">piemaksa pie ģimenes valsts pabalsta par bērnu ar invaliditāti </w:t>
            </w:r>
          </w:p>
        </w:tc>
        <w:tc>
          <w:tcPr>
            <w:tcW w:w="880" w:type="dxa"/>
            <w:tcBorders>
              <w:top w:val="nil"/>
              <w:left w:val="nil"/>
              <w:bottom w:val="single" w:sz="4" w:space="0" w:color="auto"/>
              <w:right w:val="nil"/>
            </w:tcBorders>
            <w:shd w:val="clear" w:color="000000" w:fill="FFFFFF"/>
            <w:noWrap/>
            <w:hideMark/>
          </w:tcPr>
          <w:p w14:paraId="198FCE96"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162,16</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3CF516B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9 480</w:t>
            </w:r>
          </w:p>
        </w:tc>
        <w:tc>
          <w:tcPr>
            <w:tcW w:w="1148" w:type="dxa"/>
            <w:tcBorders>
              <w:top w:val="nil"/>
              <w:left w:val="nil"/>
              <w:bottom w:val="single" w:sz="4" w:space="0" w:color="auto"/>
              <w:right w:val="single" w:sz="4" w:space="0" w:color="auto"/>
            </w:tcBorders>
            <w:shd w:val="clear" w:color="000000" w:fill="FFFFFF"/>
            <w:noWrap/>
            <w:hideMark/>
          </w:tcPr>
          <w:p w14:paraId="2174B270"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18 447 322</w:t>
            </w:r>
          </w:p>
        </w:tc>
        <w:tc>
          <w:tcPr>
            <w:tcW w:w="1134" w:type="dxa"/>
            <w:tcBorders>
              <w:top w:val="nil"/>
              <w:left w:val="nil"/>
              <w:bottom w:val="single" w:sz="4" w:space="0" w:color="auto"/>
              <w:right w:val="single" w:sz="4" w:space="0" w:color="auto"/>
            </w:tcBorders>
            <w:shd w:val="clear" w:color="000000" w:fill="FFFFFF"/>
            <w:noWrap/>
            <w:hideMark/>
          </w:tcPr>
          <w:p w14:paraId="14EE2B43"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162,16</w:t>
            </w:r>
          </w:p>
        </w:tc>
        <w:tc>
          <w:tcPr>
            <w:tcW w:w="1276" w:type="dxa"/>
            <w:tcBorders>
              <w:top w:val="nil"/>
              <w:left w:val="nil"/>
              <w:bottom w:val="single" w:sz="4" w:space="0" w:color="auto"/>
              <w:right w:val="single" w:sz="4" w:space="0" w:color="auto"/>
            </w:tcBorders>
            <w:shd w:val="clear" w:color="000000" w:fill="FFFFFF"/>
            <w:noWrap/>
            <w:hideMark/>
          </w:tcPr>
          <w:p w14:paraId="0FFE6224"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9 859</w:t>
            </w:r>
          </w:p>
        </w:tc>
        <w:tc>
          <w:tcPr>
            <w:tcW w:w="1134" w:type="dxa"/>
            <w:tcBorders>
              <w:top w:val="nil"/>
              <w:left w:val="nil"/>
              <w:bottom w:val="single" w:sz="4" w:space="0" w:color="auto"/>
              <w:right w:val="single" w:sz="4" w:space="0" w:color="auto"/>
            </w:tcBorders>
            <w:shd w:val="clear" w:color="000000" w:fill="FFFFFF"/>
            <w:noWrap/>
            <w:hideMark/>
          </w:tcPr>
          <w:p w14:paraId="2D07A66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19 184 835</w:t>
            </w:r>
          </w:p>
        </w:tc>
        <w:tc>
          <w:tcPr>
            <w:tcW w:w="992" w:type="dxa"/>
            <w:tcBorders>
              <w:top w:val="nil"/>
              <w:left w:val="nil"/>
              <w:bottom w:val="single" w:sz="4" w:space="0" w:color="auto"/>
              <w:right w:val="single" w:sz="4" w:space="0" w:color="auto"/>
            </w:tcBorders>
            <w:shd w:val="clear" w:color="000000" w:fill="FFFFFF"/>
            <w:noWrap/>
            <w:hideMark/>
          </w:tcPr>
          <w:p w14:paraId="19881836"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162,16</w:t>
            </w:r>
          </w:p>
        </w:tc>
        <w:tc>
          <w:tcPr>
            <w:tcW w:w="966" w:type="dxa"/>
            <w:tcBorders>
              <w:top w:val="nil"/>
              <w:left w:val="nil"/>
              <w:bottom w:val="single" w:sz="4" w:space="0" w:color="auto"/>
              <w:right w:val="single" w:sz="4" w:space="0" w:color="auto"/>
            </w:tcBorders>
            <w:shd w:val="clear" w:color="000000" w:fill="FFFFFF"/>
            <w:noWrap/>
            <w:hideMark/>
          </w:tcPr>
          <w:p w14:paraId="15159215"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10 253</w:t>
            </w:r>
          </w:p>
        </w:tc>
        <w:tc>
          <w:tcPr>
            <w:tcW w:w="1233" w:type="dxa"/>
            <w:tcBorders>
              <w:top w:val="nil"/>
              <w:left w:val="nil"/>
              <w:bottom w:val="single" w:sz="4" w:space="0" w:color="auto"/>
              <w:right w:val="single" w:sz="4" w:space="0" w:color="auto"/>
            </w:tcBorders>
            <w:shd w:val="clear" w:color="000000" w:fill="FFFFFF"/>
            <w:noWrap/>
            <w:hideMark/>
          </w:tcPr>
          <w:p w14:paraId="7791E786"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19 951 528</w:t>
            </w:r>
          </w:p>
        </w:tc>
      </w:tr>
      <w:tr w:rsidR="003160BE" w:rsidRPr="003160BE" w14:paraId="2C979F70" w14:textId="77777777" w:rsidTr="0052209F">
        <w:trPr>
          <w:trHeight w:val="276"/>
        </w:trPr>
        <w:tc>
          <w:tcPr>
            <w:tcW w:w="4500" w:type="dxa"/>
            <w:tcBorders>
              <w:top w:val="nil"/>
              <w:left w:val="single" w:sz="4" w:space="0" w:color="auto"/>
              <w:bottom w:val="single" w:sz="4" w:space="0" w:color="auto"/>
              <w:right w:val="single" w:sz="4" w:space="0" w:color="auto"/>
            </w:tcBorders>
            <w:shd w:val="clear" w:color="000000" w:fill="FFFFFF"/>
            <w:hideMark/>
          </w:tcPr>
          <w:p w14:paraId="4E6A33B2"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Pabalsts aizbildnim par bērna uzturēšanu</w:t>
            </w:r>
          </w:p>
        </w:tc>
        <w:tc>
          <w:tcPr>
            <w:tcW w:w="880" w:type="dxa"/>
            <w:tcBorders>
              <w:top w:val="nil"/>
              <w:left w:val="nil"/>
              <w:bottom w:val="single" w:sz="4" w:space="0" w:color="auto"/>
              <w:right w:val="nil"/>
            </w:tcBorders>
            <w:shd w:val="clear" w:color="000000" w:fill="FFFFFF"/>
            <w:noWrap/>
            <w:hideMark/>
          </w:tcPr>
          <w:p w14:paraId="5B4E1EF6"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444,62</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5F06A167"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2 462</w:t>
            </w:r>
          </w:p>
        </w:tc>
        <w:tc>
          <w:tcPr>
            <w:tcW w:w="1148" w:type="dxa"/>
            <w:tcBorders>
              <w:top w:val="nil"/>
              <w:left w:val="nil"/>
              <w:bottom w:val="single" w:sz="4" w:space="0" w:color="auto"/>
              <w:right w:val="single" w:sz="4" w:space="0" w:color="auto"/>
            </w:tcBorders>
            <w:shd w:val="clear" w:color="000000" w:fill="FFFFFF"/>
            <w:noWrap/>
            <w:hideMark/>
          </w:tcPr>
          <w:p w14:paraId="1C6AC4B0"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13 135 717</w:t>
            </w:r>
          </w:p>
        </w:tc>
        <w:tc>
          <w:tcPr>
            <w:tcW w:w="1134" w:type="dxa"/>
            <w:tcBorders>
              <w:top w:val="nil"/>
              <w:left w:val="nil"/>
              <w:bottom w:val="single" w:sz="4" w:space="0" w:color="auto"/>
              <w:right w:val="single" w:sz="4" w:space="0" w:color="auto"/>
            </w:tcBorders>
            <w:shd w:val="clear" w:color="000000" w:fill="FFFFFF"/>
            <w:noWrap/>
            <w:hideMark/>
          </w:tcPr>
          <w:p w14:paraId="4708465D"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464,72</w:t>
            </w:r>
          </w:p>
        </w:tc>
        <w:tc>
          <w:tcPr>
            <w:tcW w:w="1276" w:type="dxa"/>
            <w:tcBorders>
              <w:top w:val="nil"/>
              <w:left w:val="nil"/>
              <w:bottom w:val="single" w:sz="4" w:space="0" w:color="auto"/>
              <w:right w:val="single" w:sz="4" w:space="0" w:color="auto"/>
            </w:tcBorders>
            <w:shd w:val="clear" w:color="000000" w:fill="FFFFFF"/>
            <w:noWrap/>
            <w:hideMark/>
          </w:tcPr>
          <w:p w14:paraId="238040FE"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2 449</w:t>
            </w:r>
          </w:p>
        </w:tc>
        <w:tc>
          <w:tcPr>
            <w:tcW w:w="1134" w:type="dxa"/>
            <w:tcBorders>
              <w:top w:val="nil"/>
              <w:left w:val="nil"/>
              <w:bottom w:val="single" w:sz="4" w:space="0" w:color="auto"/>
              <w:right w:val="single" w:sz="4" w:space="0" w:color="auto"/>
            </w:tcBorders>
            <w:shd w:val="clear" w:color="000000" w:fill="FFFFFF"/>
            <w:noWrap/>
            <w:hideMark/>
          </w:tcPr>
          <w:p w14:paraId="0A4A16A2"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13 657 141</w:t>
            </w:r>
          </w:p>
        </w:tc>
        <w:tc>
          <w:tcPr>
            <w:tcW w:w="992" w:type="dxa"/>
            <w:tcBorders>
              <w:top w:val="nil"/>
              <w:left w:val="nil"/>
              <w:bottom w:val="single" w:sz="4" w:space="0" w:color="auto"/>
              <w:right w:val="nil"/>
            </w:tcBorders>
            <w:shd w:val="clear" w:color="000000" w:fill="FFFFFF"/>
            <w:noWrap/>
            <w:hideMark/>
          </w:tcPr>
          <w:p w14:paraId="57530DD5"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484,85</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28467B1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2 437</w:t>
            </w:r>
          </w:p>
        </w:tc>
        <w:tc>
          <w:tcPr>
            <w:tcW w:w="1233" w:type="dxa"/>
            <w:tcBorders>
              <w:top w:val="nil"/>
              <w:left w:val="nil"/>
              <w:bottom w:val="single" w:sz="4" w:space="0" w:color="auto"/>
              <w:right w:val="single" w:sz="4" w:space="0" w:color="auto"/>
            </w:tcBorders>
            <w:shd w:val="clear" w:color="000000" w:fill="FFFFFF"/>
            <w:noWrap/>
            <w:hideMark/>
          </w:tcPr>
          <w:p w14:paraId="32EC417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14 178 934</w:t>
            </w:r>
          </w:p>
        </w:tc>
      </w:tr>
      <w:tr w:rsidR="003160BE" w:rsidRPr="003160BE" w14:paraId="00CA2D0C" w14:textId="77777777" w:rsidTr="0052209F">
        <w:trPr>
          <w:trHeight w:val="276"/>
        </w:trPr>
        <w:tc>
          <w:tcPr>
            <w:tcW w:w="4500" w:type="dxa"/>
            <w:tcBorders>
              <w:top w:val="nil"/>
              <w:left w:val="single" w:sz="4" w:space="0" w:color="auto"/>
              <w:bottom w:val="single" w:sz="4" w:space="0" w:color="auto"/>
              <w:right w:val="single" w:sz="4" w:space="0" w:color="auto"/>
            </w:tcBorders>
            <w:shd w:val="clear" w:color="000000" w:fill="FFFFFF"/>
            <w:hideMark/>
          </w:tcPr>
          <w:p w14:paraId="4FCC4A2D"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Atlīdzība par aizbildņa pienākumu pildīšanu</w:t>
            </w:r>
          </w:p>
        </w:tc>
        <w:tc>
          <w:tcPr>
            <w:tcW w:w="880" w:type="dxa"/>
            <w:tcBorders>
              <w:top w:val="nil"/>
              <w:left w:val="nil"/>
              <w:bottom w:val="single" w:sz="4" w:space="0" w:color="auto"/>
              <w:right w:val="nil"/>
            </w:tcBorders>
            <w:shd w:val="clear" w:color="000000" w:fill="FFFFFF"/>
            <w:noWrap/>
            <w:hideMark/>
          </w:tcPr>
          <w:p w14:paraId="6B468CEB"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298,28</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0C98F4C8"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2 446</w:t>
            </w:r>
          </w:p>
        </w:tc>
        <w:tc>
          <w:tcPr>
            <w:tcW w:w="1148" w:type="dxa"/>
            <w:tcBorders>
              <w:top w:val="nil"/>
              <w:left w:val="nil"/>
              <w:bottom w:val="single" w:sz="4" w:space="0" w:color="auto"/>
              <w:right w:val="single" w:sz="4" w:space="0" w:color="auto"/>
            </w:tcBorders>
            <w:shd w:val="clear" w:color="000000" w:fill="FFFFFF"/>
            <w:noWrap/>
            <w:hideMark/>
          </w:tcPr>
          <w:p w14:paraId="62F3553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8 755 114</w:t>
            </w:r>
          </w:p>
        </w:tc>
        <w:tc>
          <w:tcPr>
            <w:tcW w:w="1134" w:type="dxa"/>
            <w:tcBorders>
              <w:top w:val="nil"/>
              <w:left w:val="nil"/>
              <w:bottom w:val="single" w:sz="4" w:space="0" w:color="auto"/>
              <w:right w:val="single" w:sz="4" w:space="0" w:color="auto"/>
            </w:tcBorders>
            <w:shd w:val="clear" w:color="000000" w:fill="FFFFFF"/>
            <w:noWrap/>
            <w:hideMark/>
          </w:tcPr>
          <w:p w14:paraId="2C19713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298,28</w:t>
            </w:r>
          </w:p>
        </w:tc>
        <w:tc>
          <w:tcPr>
            <w:tcW w:w="1276" w:type="dxa"/>
            <w:tcBorders>
              <w:top w:val="nil"/>
              <w:left w:val="nil"/>
              <w:bottom w:val="single" w:sz="4" w:space="0" w:color="auto"/>
              <w:right w:val="single" w:sz="4" w:space="0" w:color="auto"/>
            </w:tcBorders>
            <w:shd w:val="clear" w:color="000000" w:fill="FFFFFF"/>
            <w:noWrap/>
            <w:hideMark/>
          </w:tcPr>
          <w:p w14:paraId="6719B222"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2 421</w:t>
            </w:r>
          </w:p>
        </w:tc>
        <w:tc>
          <w:tcPr>
            <w:tcW w:w="1134" w:type="dxa"/>
            <w:tcBorders>
              <w:top w:val="nil"/>
              <w:left w:val="nil"/>
              <w:bottom w:val="single" w:sz="4" w:space="0" w:color="auto"/>
              <w:right w:val="single" w:sz="4" w:space="0" w:color="auto"/>
            </w:tcBorders>
            <w:shd w:val="clear" w:color="000000" w:fill="FFFFFF"/>
            <w:noWrap/>
            <w:hideMark/>
          </w:tcPr>
          <w:p w14:paraId="5FD3AA0D"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8 665 631</w:t>
            </w:r>
          </w:p>
        </w:tc>
        <w:tc>
          <w:tcPr>
            <w:tcW w:w="992" w:type="dxa"/>
            <w:tcBorders>
              <w:top w:val="nil"/>
              <w:left w:val="nil"/>
              <w:bottom w:val="single" w:sz="4" w:space="0" w:color="auto"/>
              <w:right w:val="nil"/>
            </w:tcBorders>
            <w:shd w:val="clear" w:color="000000" w:fill="FFFFFF"/>
            <w:noWrap/>
            <w:hideMark/>
          </w:tcPr>
          <w:p w14:paraId="562F9D8C"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351,28</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7BBBE21E"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2 396</w:t>
            </w:r>
          </w:p>
        </w:tc>
        <w:tc>
          <w:tcPr>
            <w:tcW w:w="1233" w:type="dxa"/>
            <w:tcBorders>
              <w:top w:val="nil"/>
              <w:left w:val="nil"/>
              <w:bottom w:val="single" w:sz="4" w:space="0" w:color="auto"/>
              <w:right w:val="single" w:sz="4" w:space="0" w:color="auto"/>
            </w:tcBorders>
            <w:shd w:val="clear" w:color="000000" w:fill="FFFFFF"/>
            <w:noWrap/>
            <w:hideMark/>
          </w:tcPr>
          <w:p w14:paraId="71DE8611"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10 100 003</w:t>
            </w:r>
          </w:p>
        </w:tc>
      </w:tr>
      <w:tr w:rsidR="003160BE" w:rsidRPr="003160BE" w14:paraId="52043A38" w14:textId="77777777" w:rsidTr="0052209F">
        <w:trPr>
          <w:trHeight w:val="276"/>
        </w:trPr>
        <w:tc>
          <w:tcPr>
            <w:tcW w:w="4500" w:type="dxa"/>
            <w:tcBorders>
              <w:top w:val="nil"/>
              <w:left w:val="single" w:sz="4" w:space="0" w:color="auto"/>
              <w:bottom w:val="single" w:sz="4" w:space="0" w:color="auto"/>
              <w:right w:val="single" w:sz="4" w:space="0" w:color="auto"/>
            </w:tcBorders>
            <w:shd w:val="clear" w:color="000000" w:fill="FFFFFF"/>
            <w:hideMark/>
          </w:tcPr>
          <w:p w14:paraId="672EC401"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Valsts atbalsts ar celiakiju slimiem bērniem</w:t>
            </w:r>
          </w:p>
        </w:tc>
        <w:tc>
          <w:tcPr>
            <w:tcW w:w="880" w:type="dxa"/>
            <w:tcBorders>
              <w:top w:val="nil"/>
              <w:left w:val="nil"/>
              <w:bottom w:val="single" w:sz="4" w:space="0" w:color="auto"/>
              <w:right w:val="nil"/>
            </w:tcBorders>
            <w:shd w:val="clear" w:color="000000" w:fill="FFFFFF"/>
            <w:noWrap/>
            <w:hideMark/>
          </w:tcPr>
          <w:p w14:paraId="08223F5F"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161,33</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24E5D8C2"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486</w:t>
            </w:r>
          </w:p>
        </w:tc>
        <w:tc>
          <w:tcPr>
            <w:tcW w:w="1148" w:type="dxa"/>
            <w:tcBorders>
              <w:top w:val="nil"/>
              <w:left w:val="nil"/>
              <w:bottom w:val="single" w:sz="4" w:space="0" w:color="auto"/>
              <w:right w:val="single" w:sz="4" w:space="0" w:color="auto"/>
            </w:tcBorders>
            <w:shd w:val="clear" w:color="000000" w:fill="FFFFFF"/>
            <w:noWrap/>
            <w:hideMark/>
          </w:tcPr>
          <w:p w14:paraId="20B95BA0"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940 877</w:t>
            </w:r>
          </w:p>
        </w:tc>
        <w:tc>
          <w:tcPr>
            <w:tcW w:w="1134" w:type="dxa"/>
            <w:tcBorders>
              <w:top w:val="nil"/>
              <w:left w:val="nil"/>
              <w:bottom w:val="single" w:sz="4" w:space="0" w:color="auto"/>
              <w:right w:val="single" w:sz="4" w:space="0" w:color="auto"/>
            </w:tcBorders>
            <w:shd w:val="clear" w:color="000000" w:fill="FFFFFF"/>
            <w:noWrap/>
            <w:hideMark/>
          </w:tcPr>
          <w:p w14:paraId="01FCD81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161,33</w:t>
            </w:r>
          </w:p>
        </w:tc>
        <w:tc>
          <w:tcPr>
            <w:tcW w:w="1276" w:type="dxa"/>
            <w:tcBorders>
              <w:top w:val="nil"/>
              <w:left w:val="nil"/>
              <w:bottom w:val="single" w:sz="4" w:space="0" w:color="auto"/>
              <w:right w:val="single" w:sz="4" w:space="0" w:color="auto"/>
            </w:tcBorders>
            <w:shd w:val="clear" w:color="000000" w:fill="FFFFFF"/>
            <w:noWrap/>
            <w:hideMark/>
          </w:tcPr>
          <w:p w14:paraId="5BFB2227"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481</w:t>
            </w:r>
          </w:p>
        </w:tc>
        <w:tc>
          <w:tcPr>
            <w:tcW w:w="1134" w:type="dxa"/>
            <w:tcBorders>
              <w:top w:val="nil"/>
              <w:left w:val="nil"/>
              <w:bottom w:val="single" w:sz="4" w:space="0" w:color="auto"/>
              <w:right w:val="single" w:sz="4" w:space="0" w:color="auto"/>
            </w:tcBorders>
            <w:shd w:val="clear" w:color="000000" w:fill="FFFFFF"/>
            <w:noWrap/>
            <w:hideMark/>
          </w:tcPr>
          <w:p w14:paraId="4C5A21AA"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931 197</w:t>
            </w:r>
          </w:p>
        </w:tc>
        <w:tc>
          <w:tcPr>
            <w:tcW w:w="992" w:type="dxa"/>
            <w:tcBorders>
              <w:top w:val="nil"/>
              <w:left w:val="nil"/>
              <w:bottom w:val="single" w:sz="4" w:space="0" w:color="auto"/>
              <w:right w:val="nil"/>
            </w:tcBorders>
            <w:shd w:val="clear" w:color="000000" w:fill="FFFFFF"/>
            <w:noWrap/>
            <w:hideMark/>
          </w:tcPr>
          <w:p w14:paraId="38CA4C07"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161,33</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43D37725"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476</w:t>
            </w:r>
          </w:p>
        </w:tc>
        <w:tc>
          <w:tcPr>
            <w:tcW w:w="1233" w:type="dxa"/>
            <w:tcBorders>
              <w:top w:val="nil"/>
              <w:left w:val="nil"/>
              <w:bottom w:val="single" w:sz="4" w:space="0" w:color="auto"/>
              <w:right w:val="single" w:sz="4" w:space="0" w:color="auto"/>
            </w:tcBorders>
            <w:shd w:val="clear" w:color="000000" w:fill="FFFFFF"/>
            <w:noWrap/>
            <w:hideMark/>
          </w:tcPr>
          <w:p w14:paraId="228E8EAD"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921 517</w:t>
            </w:r>
          </w:p>
        </w:tc>
      </w:tr>
      <w:tr w:rsidR="003160BE" w:rsidRPr="003160BE" w14:paraId="1B76EA97" w14:textId="77777777" w:rsidTr="0052209F">
        <w:trPr>
          <w:trHeight w:val="276"/>
        </w:trPr>
        <w:tc>
          <w:tcPr>
            <w:tcW w:w="4500" w:type="dxa"/>
            <w:tcBorders>
              <w:top w:val="nil"/>
              <w:left w:val="single" w:sz="4" w:space="0" w:color="auto"/>
              <w:bottom w:val="nil"/>
              <w:right w:val="single" w:sz="4" w:space="0" w:color="auto"/>
            </w:tcBorders>
            <w:shd w:val="clear" w:color="000000" w:fill="FFFFFF"/>
            <w:hideMark/>
          </w:tcPr>
          <w:p w14:paraId="073A591A"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Atlīdzība par audžuģimenes pienākumu pildīšanu</w:t>
            </w:r>
          </w:p>
        </w:tc>
        <w:tc>
          <w:tcPr>
            <w:tcW w:w="880" w:type="dxa"/>
            <w:tcBorders>
              <w:top w:val="nil"/>
              <w:left w:val="nil"/>
              <w:bottom w:val="single" w:sz="4" w:space="0" w:color="auto"/>
              <w:right w:val="nil"/>
            </w:tcBorders>
            <w:shd w:val="clear" w:color="000000" w:fill="FFFFFF"/>
            <w:noWrap/>
            <w:hideMark/>
          </w:tcPr>
          <w:p w14:paraId="6478FD5B"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385,10</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109C6DC5"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487</w:t>
            </w:r>
          </w:p>
        </w:tc>
        <w:tc>
          <w:tcPr>
            <w:tcW w:w="1148" w:type="dxa"/>
            <w:tcBorders>
              <w:top w:val="nil"/>
              <w:left w:val="nil"/>
              <w:bottom w:val="single" w:sz="4" w:space="0" w:color="auto"/>
              <w:right w:val="single" w:sz="4" w:space="0" w:color="auto"/>
            </w:tcBorders>
            <w:shd w:val="clear" w:color="000000" w:fill="FFFFFF"/>
            <w:noWrap/>
            <w:hideMark/>
          </w:tcPr>
          <w:p w14:paraId="5C2BCCA5"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2 250 528</w:t>
            </w:r>
          </w:p>
        </w:tc>
        <w:tc>
          <w:tcPr>
            <w:tcW w:w="1134" w:type="dxa"/>
            <w:tcBorders>
              <w:top w:val="nil"/>
              <w:left w:val="nil"/>
              <w:bottom w:val="single" w:sz="4" w:space="0" w:color="auto"/>
              <w:right w:val="single" w:sz="4" w:space="0" w:color="auto"/>
            </w:tcBorders>
            <w:shd w:val="clear" w:color="000000" w:fill="FFFFFF"/>
            <w:noWrap/>
            <w:hideMark/>
          </w:tcPr>
          <w:p w14:paraId="1756CAF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384,21</w:t>
            </w:r>
          </w:p>
        </w:tc>
        <w:tc>
          <w:tcPr>
            <w:tcW w:w="1276" w:type="dxa"/>
            <w:tcBorders>
              <w:top w:val="nil"/>
              <w:left w:val="nil"/>
              <w:bottom w:val="single" w:sz="4" w:space="0" w:color="auto"/>
              <w:right w:val="single" w:sz="4" w:space="0" w:color="auto"/>
            </w:tcBorders>
            <w:shd w:val="clear" w:color="000000" w:fill="FFFFFF"/>
            <w:noWrap/>
            <w:hideMark/>
          </w:tcPr>
          <w:p w14:paraId="77B5CE61"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482</w:t>
            </w:r>
          </w:p>
        </w:tc>
        <w:tc>
          <w:tcPr>
            <w:tcW w:w="1134" w:type="dxa"/>
            <w:tcBorders>
              <w:top w:val="nil"/>
              <w:left w:val="nil"/>
              <w:bottom w:val="single" w:sz="4" w:space="0" w:color="auto"/>
              <w:right w:val="single" w:sz="4" w:space="0" w:color="auto"/>
            </w:tcBorders>
            <w:shd w:val="clear" w:color="000000" w:fill="FFFFFF"/>
            <w:noWrap/>
            <w:hideMark/>
          </w:tcPr>
          <w:p w14:paraId="14BB5F38"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2 222 280</w:t>
            </w:r>
          </w:p>
        </w:tc>
        <w:tc>
          <w:tcPr>
            <w:tcW w:w="992" w:type="dxa"/>
            <w:tcBorders>
              <w:top w:val="nil"/>
              <w:left w:val="nil"/>
              <w:bottom w:val="single" w:sz="4" w:space="0" w:color="auto"/>
              <w:right w:val="nil"/>
            </w:tcBorders>
            <w:shd w:val="clear" w:color="000000" w:fill="FFFFFF"/>
            <w:noWrap/>
            <w:hideMark/>
          </w:tcPr>
          <w:p w14:paraId="7340A41C"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454,61</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11E4ABED"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477</w:t>
            </w:r>
          </w:p>
        </w:tc>
        <w:tc>
          <w:tcPr>
            <w:tcW w:w="1233" w:type="dxa"/>
            <w:tcBorders>
              <w:top w:val="nil"/>
              <w:left w:val="nil"/>
              <w:bottom w:val="single" w:sz="4" w:space="0" w:color="auto"/>
              <w:right w:val="single" w:sz="4" w:space="0" w:color="auto"/>
            </w:tcBorders>
            <w:shd w:val="clear" w:color="000000" w:fill="FFFFFF"/>
            <w:noWrap/>
            <w:hideMark/>
          </w:tcPr>
          <w:p w14:paraId="0CA4705A"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2 602 176</w:t>
            </w:r>
          </w:p>
        </w:tc>
      </w:tr>
      <w:tr w:rsidR="003160BE" w:rsidRPr="003160BE" w14:paraId="2F3284AF" w14:textId="77777777" w:rsidTr="0052209F">
        <w:trPr>
          <w:trHeight w:val="276"/>
        </w:trPr>
        <w:tc>
          <w:tcPr>
            <w:tcW w:w="4500" w:type="dxa"/>
            <w:tcBorders>
              <w:top w:val="single" w:sz="4" w:space="0" w:color="auto"/>
              <w:left w:val="single" w:sz="4" w:space="0" w:color="auto"/>
              <w:bottom w:val="nil"/>
              <w:right w:val="single" w:sz="4" w:space="0" w:color="auto"/>
            </w:tcBorders>
            <w:shd w:val="clear" w:color="000000" w:fill="FFFFFF"/>
            <w:hideMark/>
          </w:tcPr>
          <w:p w14:paraId="3C1257AE"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Atlīdzība par adoptējamā bērna aprūpi</w:t>
            </w:r>
          </w:p>
        </w:tc>
        <w:tc>
          <w:tcPr>
            <w:tcW w:w="880" w:type="dxa"/>
            <w:tcBorders>
              <w:top w:val="nil"/>
              <w:left w:val="nil"/>
              <w:bottom w:val="single" w:sz="4" w:space="0" w:color="auto"/>
              <w:right w:val="nil"/>
            </w:tcBorders>
            <w:shd w:val="clear" w:color="000000" w:fill="FFFFFF"/>
            <w:noWrap/>
            <w:hideMark/>
          </w:tcPr>
          <w:p w14:paraId="26BA8A3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1 033,66</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5D5588A5"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13</w:t>
            </w:r>
          </w:p>
        </w:tc>
        <w:tc>
          <w:tcPr>
            <w:tcW w:w="1148" w:type="dxa"/>
            <w:tcBorders>
              <w:top w:val="nil"/>
              <w:left w:val="nil"/>
              <w:bottom w:val="single" w:sz="4" w:space="0" w:color="auto"/>
              <w:right w:val="single" w:sz="4" w:space="0" w:color="auto"/>
            </w:tcBorders>
            <w:shd w:val="clear" w:color="000000" w:fill="FFFFFF"/>
            <w:noWrap/>
            <w:hideMark/>
          </w:tcPr>
          <w:p w14:paraId="3567F6E9"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161 251</w:t>
            </w:r>
          </w:p>
        </w:tc>
        <w:tc>
          <w:tcPr>
            <w:tcW w:w="1134" w:type="dxa"/>
            <w:tcBorders>
              <w:top w:val="nil"/>
              <w:left w:val="nil"/>
              <w:bottom w:val="single" w:sz="4" w:space="0" w:color="auto"/>
              <w:right w:val="single" w:sz="4" w:space="0" w:color="auto"/>
            </w:tcBorders>
            <w:shd w:val="clear" w:color="000000" w:fill="FFFFFF"/>
            <w:noWrap/>
            <w:hideMark/>
          </w:tcPr>
          <w:p w14:paraId="707821B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1 117,83</w:t>
            </w:r>
          </w:p>
        </w:tc>
        <w:tc>
          <w:tcPr>
            <w:tcW w:w="1276" w:type="dxa"/>
            <w:tcBorders>
              <w:top w:val="nil"/>
              <w:left w:val="nil"/>
              <w:bottom w:val="single" w:sz="4" w:space="0" w:color="auto"/>
              <w:right w:val="single" w:sz="4" w:space="0" w:color="auto"/>
            </w:tcBorders>
            <w:shd w:val="clear" w:color="000000" w:fill="FFFFFF"/>
            <w:noWrap/>
            <w:hideMark/>
          </w:tcPr>
          <w:p w14:paraId="4BB3020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13</w:t>
            </w:r>
          </w:p>
        </w:tc>
        <w:tc>
          <w:tcPr>
            <w:tcW w:w="1134" w:type="dxa"/>
            <w:tcBorders>
              <w:top w:val="nil"/>
              <w:left w:val="nil"/>
              <w:bottom w:val="single" w:sz="4" w:space="0" w:color="auto"/>
              <w:right w:val="single" w:sz="4" w:space="0" w:color="auto"/>
            </w:tcBorders>
            <w:shd w:val="clear" w:color="000000" w:fill="FFFFFF"/>
            <w:noWrap/>
            <w:hideMark/>
          </w:tcPr>
          <w:p w14:paraId="2D610954"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174 381</w:t>
            </w:r>
          </w:p>
        </w:tc>
        <w:tc>
          <w:tcPr>
            <w:tcW w:w="992" w:type="dxa"/>
            <w:tcBorders>
              <w:top w:val="nil"/>
              <w:left w:val="nil"/>
              <w:bottom w:val="single" w:sz="4" w:space="0" w:color="auto"/>
              <w:right w:val="nil"/>
            </w:tcBorders>
            <w:shd w:val="clear" w:color="000000" w:fill="FFFFFF"/>
            <w:noWrap/>
            <w:hideMark/>
          </w:tcPr>
          <w:p w14:paraId="7EAFA5FE"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1 184,80</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337FF03E"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13</w:t>
            </w:r>
          </w:p>
        </w:tc>
        <w:tc>
          <w:tcPr>
            <w:tcW w:w="1233" w:type="dxa"/>
            <w:tcBorders>
              <w:top w:val="nil"/>
              <w:left w:val="nil"/>
              <w:bottom w:val="single" w:sz="4" w:space="0" w:color="auto"/>
              <w:right w:val="single" w:sz="4" w:space="0" w:color="auto"/>
            </w:tcBorders>
            <w:shd w:val="clear" w:color="000000" w:fill="FFFFFF"/>
            <w:noWrap/>
            <w:hideMark/>
          </w:tcPr>
          <w:p w14:paraId="4E3054D0"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184 829</w:t>
            </w:r>
          </w:p>
        </w:tc>
      </w:tr>
      <w:tr w:rsidR="003160BE" w:rsidRPr="003160BE" w14:paraId="679A1DEF" w14:textId="77777777" w:rsidTr="0052209F">
        <w:trPr>
          <w:trHeight w:val="285"/>
        </w:trPr>
        <w:tc>
          <w:tcPr>
            <w:tcW w:w="4500" w:type="dxa"/>
            <w:tcBorders>
              <w:top w:val="single" w:sz="4" w:space="0" w:color="auto"/>
              <w:left w:val="single" w:sz="4" w:space="0" w:color="auto"/>
              <w:bottom w:val="single" w:sz="4" w:space="0" w:color="auto"/>
              <w:right w:val="single" w:sz="4" w:space="0" w:color="auto"/>
            </w:tcBorders>
            <w:shd w:val="clear" w:color="000000" w:fill="FFFFFF"/>
            <w:hideMark/>
          </w:tcPr>
          <w:p w14:paraId="4018EE3D"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Bērna adopcijas pabalsts</w:t>
            </w:r>
          </w:p>
        </w:tc>
        <w:tc>
          <w:tcPr>
            <w:tcW w:w="880" w:type="dxa"/>
            <w:tcBorders>
              <w:top w:val="nil"/>
              <w:left w:val="nil"/>
              <w:bottom w:val="single" w:sz="4" w:space="0" w:color="auto"/>
              <w:right w:val="nil"/>
            </w:tcBorders>
            <w:shd w:val="clear" w:color="000000" w:fill="FFFFFF"/>
            <w:noWrap/>
            <w:hideMark/>
          </w:tcPr>
          <w:p w14:paraId="17786AA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224,26</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019FA5D7"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1 229</w:t>
            </w:r>
          </w:p>
        </w:tc>
        <w:tc>
          <w:tcPr>
            <w:tcW w:w="1148" w:type="dxa"/>
            <w:tcBorders>
              <w:top w:val="nil"/>
              <w:left w:val="nil"/>
              <w:bottom w:val="single" w:sz="4" w:space="0" w:color="auto"/>
              <w:right w:val="single" w:sz="4" w:space="0" w:color="auto"/>
            </w:tcBorders>
            <w:shd w:val="clear" w:color="000000" w:fill="FFFFFF"/>
            <w:noWrap/>
            <w:hideMark/>
          </w:tcPr>
          <w:p w14:paraId="64A9EC8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3 307 356</w:t>
            </w:r>
          </w:p>
        </w:tc>
        <w:tc>
          <w:tcPr>
            <w:tcW w:w="1134" w:type="dxa"/>
            <w:tcBorders>
              <w:top w:val="nil"/>
              <w:left w:val="nil"/>
              <w:bottom w:val="single" w:sz="4" w:space="0" w:color="auto"/>
              <w:right w:val="single" w:sz="4" w:space="0" w:color="auto"/>
            </w:tcBorders>
            <w:shd w:val="clear" w:color="000000" w:fill="FFFFFF"/>
            <w:noWrap/>
            <w:hideMark/>
          </w:tcPr>
          <w:p w14:paraId="65E45641"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235,93</w:t>
            </w:r>
          </w:p>
        </w:tc>
        <w:tc>
          <w:tcPr>
            <w:tcW w:w="1276" w:type="dxa"/>
            <w:tcBorders>
              <w:top w:val="nil"/>
              <w:left w:val="nil"/>
              <w:bottom w:val="single" w:sz="4" w:space="0" w:color="auto"/>
              <w:right w:val="single" w:sz="4" w:space="0" w:color="auto"/>
            </w:tcBorders>
            <w:shd w:val="clear" w:color="000000" w:fill="FFFFFF"/>
            <w:noWrap/>
            <w:hideMark/>
          </w:tcPr>
          <w:p w14:paraId="03CDE50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1 234</w:t>
            </w:r>
          </w:p>
        </w:tc>
        <w:tc>
          <w:tcPr>
            <w:tcW w:w="1134" w:type="dxa"/>
            <w:tcBorders>
              <w:top w:val="nil"/>
              <w:left w:val="nil"/>
              <w:bottom w:val="single" w:sz="4" w:space="0" w:color="auto"/>
              <w:right w:val="single" w:sz="4" w:space="0" w:color="auto"/>
            </w:tcBorders>
            <w:shd w:val="clear" w:color="000000" w:fill="FFFFFF"/>
            <w:noWrap/>
            <w:hideMark/>
          </w:tcPr>
          <w:p w14:paraId="0CD879E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3 493 692</w:t>
            </w:r>
          </w:p>
        </w:tc>
        <w:tc>
          <w:tcPr>
            <w:tcW w:w="992" w:type="dxa"/>
            <w:tcBorders>
              <w:top w:val="nil"/>
              <w:left w:val="nil"/>
              <w:bottom w:val="single" w:sz="4" w:space="0" w:color="auto"/>
              <w:right w:val="nil"/>
            </w:tcBorders>
            <w:shd w:val="clear" w:color="000000" w:fill="FFFFFF"/>
            <w:noWrap/>
            <w:hideMark/>
          </w:tcPr>
          <w:p w14:paraId="67C9D235"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247,24</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4492310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1 239</w:t>
            </w:r>
          </w:p>
        </w:tc>
        <w:tc>
          <w:tcPr>
            <w:tcW w:w="1233" w:type="dxa"/>
            <w:tcBorders>
              <w:top w:val="nil"/>
              <w:left w:val="nil"/>
              <w:bottom w:val="single" w:sz="4" w:space="0" w:color="auto"/>
              <w:right w:val="single" w:sz="4" w:space="0" w:color="auto"/>
            </w:tcBorders>
            <w:shd w:val="clear" w:color="000000" w:fill="FFFFFF"/>
            <w:noWrap/>
            <w:hideMark/>
          </w:tcPr>
          <w:p w14:paraId="37703B27"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3 675 984</w:t>
            </w:r>
          </w:p>
        </w:tc>
      </w:tr>
      <w:tr w:rsidR="003160BE" w:rsidRPr="003160BE" w14:paraId="09812BDA" w14:textId="77777777" w:rsidTr="0052209F">
        <w:trPr>
          <w:trHeight w:val="276"/>
        </w:trPr>
        <w:tc>
          <w:tcPr>
            <w:tcW w:w="4500" w:type="dxa"/>
            <w:tcBorders>
              <w:top w:val="nil"/>
              <w:left w:val="single" w:sz="4" w:space="0" w:color="auto"/>
              <w:bottom w:val="single" w:sz="4" w:space="0" w:color="auto"/>
              <w:right w:val="single" w:sz="4" w:space="0" w:color="auto"/>
            </w:tcBorders>
            <w:shd w:val="clear" w:color="000000" w:fill="FFFFFF"/>
            <w:hideMark/>
          </w:tcPr>
          <w:p w14:paraId="1E7B40B4"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Atlīdzība par bērna adopciju</w:t>
            </w:r>
          </w:p>
        </w:tc>
        <w:tc>
          <w:tcPr>
            <w:tcW w:w="880" w:type="dxa"/>
            <w:tcBorders>
              <w:top w:val="nil"/>
              <w:left w:val="nil"/>
              <w:bottom w:val="single" w:sz="4" w:space="0" w:color="auto"/>
              <w:right w:val="nil"/>
            </w:tcBorders>
            <w:shd w:val="clear" w:color="000000" w:fill="FFFFFF"/>
            <w:noWrap/>
            <w:hideMark/>
          </w:tcPr>
          <w:p w14:paraId="796DFBEC"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2 433,00</w:t>
            </w:r>
          </w:p>
        </w:tc>
        <w:tc>
          <w:tcPr>
            <w:tcW w:w="980" w:type="dxa"/>
            <w:tcBorders>
              <w:top w:val="nil"/>
              <w:left w:val="single" w:sz="4" w:space="0" w:color="auto"/>
              <w:bottom w:val="single" w:sz="4" w:space="0" w:color="auto"/>
              <w:right w:val="single" w:sz="4" w:space="0" w:color="auto"/>
            </w:tcBorders>
            <w:shd w:val="clear" w:color="000000" w:fill="FFFFFF"/>
            <w:noWrap/>
            <w:hideMark/>
          </w:tcPr>
          <w:p w14:paraId="0B669854"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7</w:t>
            </w:r>
          </w:p>
        </w:tc>
        <w:tc>
          <w:tcPr>
            <w:tcW w:w="1148" w:type="dxa"/>
            <w:tcBorders>
              <w:top w:val="nil"/>
              <w:left w:val="nil"/>
              <w:bottom w:val="single" w:sz="4" w:space="0" w:color="auto"/>
              <w:right w:val="single" w:sz="4" w:space="0" w:color="auto"/>
            </w:tcBorders>
            <w:shd w:val="clear" w:color="000000" w:fill="FFFFFF"/>
            <w:noWrap/>
            <w:hideMark/>
          </w:tcPr>
          <w:p w14:paraId="79EE9146"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204 372</w:t>
            </w:r>
          </w:p>
        </w:tc>
        <w:tc>
          <w:tcPr>
            <w:tcW w:w="1134" w:type="dxa"/>
            <w:tcBorders>
              <w:top w:val="nil"/>
              <w:left w:val="nil"/>
              <w:bottom w:val="single" w:sz="4" w:space="0" w:color="auto"/>
              <w:right w:val="single" w:sz="4" w:space="0" w:color="auto"/>
            </w:tcBorders>
            <w:shd w:val="clear" w:color="000000" w:fill="FFFFFF"/>
            <w:noWrap/>
            <w:hideMark/>
          </w:tcPr>
          <w:p w14:paraId="50482490"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2 433,00</w:t>
            </w:r>
          </w:p>
        </w:tc>
        <w:tc>
          <w:tcPr>
            <w:tcW w:w="1276" w:type="dxa"/>
            <w:tcBorders>
              <w:top w:val="nil"/>
              <w:left w:val="nil"/>
              <w:bottom w:val="single" w:sz="4" w:space="0" w:color="auto"/>
              <w:right w:val="single" w:sz="4" w:space="0" w:color="auto"/>
            </w:tcBorders>
            <w:shd w:val="clear" w:color="000000" w:fill="FFFFFF"/>
            <w:noWrap/>
            <w:hideMark/>
          </w:tcPr>
          <w:p w14:paraId="7AAF8525"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7</w:t>
            </w:r>
          </w:p>
        </w:tc>
        <w:tc>
          <w:tcPr>
            <w:tcW w:w="1134" w:type="dxa"/>
            <w:tcBorders>
              <w:top w:val="nil"/>
              <w:left w:val="nil"/>
              <w:bottom w:val="single" w:sz="4" w:space="0" w:color="auto"/>
              <w:right w:val="single" w:sz="4" w:space="0" w:color="auto"/>
            </w:tcBorders>
            <w:shd w:val="clear" w:color="000000" w:fill="FFFFFF"/>
            <w:noWrap/>
            <w:hideMark/>
          </w:tcPr>
          <w:p w14:paraId="3A93DEAB"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204 372</w:t>
            </w:r>
          </w:p>
        </w:tc>
        <w:tc>
          <w:tcPr>
            <w:tcW w:w="992" w:type="dxa"/>
            <w:tcBorders>
              <w:top w:val="nil"/>
              <w:left w:val="nil"/>
              <w:bottom w:val="single" w:sz="4" w:space="0" w:color="auto"/>
              <w:right w:val="nil"/>
            </w:tcBorders>
            <w:shd w:val="clear" w:color="000000" w:fill="FFFFFF"/>
            <w:noWrap/>
            <w:hideMark/>
          </w:tcPr>
          <w:p w14:paraId="55D21445"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2 433,00</w:t>
            </w:r>
          </w:p>
        </w:tc>
        <w:tc>
          <w:tcPr>
            <w:tcW w:w="966" w:type="dxa"/>
            <w:tcBorders>
              <w:top w:val="nil"/>
              <w:left w:val="single" w:sz="4" w:space="0" w:color="auto"/>
              <w:bottom w:val="single" w:sz="4" w:space="0" w:color="auto"/>
              <w:right w:val="single" w:sz="4" w:space="0" w:color="auto"/>
            </w:tcBorders>
            <w:shd w:val="clear" w:color="000000" w:fill="FFFFFF"/>
            <w:noWrap/>
            <w:hideMark/>
          </w:tcPr>
          <w:p w14:paraId="77608636"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7</w:t>
            </w:r>
          </w:p>
        </w:tc>
        <w:tc>
          <w:tcPr>
            <w:tcW w:w="1233" w:type="dxa"/>
            <w:tcBorders>
              <w:top w:val="nil"/>
              <w:left w:val="nil"/>
              <w:bottom w:val="single" w:sz="4" w:space="0" w:color="auto"/>
              <w:right w:val="single" w:sz="4" w:space="0" w:color="auto"/>
            </w:tcBorders>
            <w:shd w:val="clear" w:color="000000" w:fill="FFFFFF"/>
            <w:noWrap/>
            <w:hideMark/>
          </w:tcPr>
          <w:p w14:paraId="4D09BC14"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204 372</w:t>
            </w:r>
          </w:p>
        </w:tc>
      </w:tr>
      <w:tr w:rsidR="003160BE" w:rsidRPr="003160BE" w14:paraId="125457F7" w14:textId="77777777" w:rsidTr="0052209F">
        <w:trPr>
          <w:trHeight w:val="276"/>
        </w:trPr>
        <w:tc>
          <w:tcPr>
            <w:tcW w:w="4500" w:type="dxa"/>
            <w:tcBorders>
              <w:top w:val="nil"/>
              <w:left w:val="single" w:sz="4" w:space="0" w:color="auto"/>
              <w:bottom w:val="single" w:sz="4" w:space="0" w:color="auto"/>
              <w:right w:val="single" w:sz="4" w:space="0" w:color="auto"/>
            </w:tcBorders>
            <w:shd w:val="clear" w:color="000000" w:fill="FFFFFF"/>
            <w:noWrap/>
            <w:hideMark/>
          </w:tcPr>
          <w:p w14:paraId="3B7C02D7" w14:textId="77777777" w:rsidR="003160BE" w:rsidRPr="003160BE" w:rsidRDefault="003160BE" w:rsidP="003160BE">
            <w:pPr>
              <w:spacing w:after="0"/>
              <w:ind w:firstLine="0"/>
              <w:jc w:val="left"/>
              <w:rPr>
                <w:rFonts w:eastAsia="Times New Roman" w:cs="Times New Roman"/>
                <w:b/>
                <w:bCs/>
                <w:sz w:val="18"/>
                <w:szCs w:val="18"/>
                <w:highlight w:val="lightGray"/>
              </w:rPr>
            </w:pPr>
            <w:r w:rsidRPr="003160BE">
              <w:rPr>
                <w:rFonts w:eastAsia="Calibri" w:cs="Times New Roman"/>
                <w:sz w:val="18"/>
                <w:szCs w:val="18"/>
                <w:lang w:eastAsia="en-US"/>
              </w:rPr>
              <w:t>Bēgļu pabalsts</w:t>
            </w:r>
          </w:p>
        </w:tc>
        <w:tc>
          <w:tcPr>
            <w:tcW w:w="880" w:type="dxa"/>
            <w:tcBorders>
              <w:top w:val="nil"/>
              <w:left w:val="nil"/>
              <w:bottom w:val="nil"/>
              <w:right w:val="nil"/>
            </w:tcBorders>
            <w:shd w:val="clear" w:color="000000" w:fill="FFFFFF"/>
            <w:noWrap/>
            <w:hideMark/>
          </w:tcPr>
          <w:p w14:paraId="1F85D83C"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177,16</w:t>
            </w:r>
          </w:p>
        </w:tc>
        <w:tc>
          <w:tcPr>
            <w:tcW w:w="980" w:type="dxa"/>
            <w:tcBorders>
              <w:top w:val="nil"/>
              <w:left w:val="single" w:sz="4" w:space="0" w:color="auto"/>
              <w:bottom w:val="nil"/>
              <w:right w:val="single" w:sz="4" w:space="0" w:color="auto"/>
            </w:tcBorders>
            <w:shd w:val="clear" w:color="000000" w:fill="FFFFFF"/>
            <w:noWrap/>
            <w:hideMark/>
          </w:tcPr>
          <w:p w14:paraId="6CC53F60"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70</w:t>
            </w:r>
          </w:p>
        </w:tc>
        <w:tc>
          <w:tcPr>
            <w:tcW w:w="1148" w:type="dxa"/>
            <w:tcBorders>
              <w:top w:val="nil"/>
              <w:left w:val="nil"/>
              <w:bottom w:val="nil"/>
              <w:right w:val="single" w:sz="4" w:space="0" w:color="auto"/>
            </w:tcBorders>
            <w:shd w:val="clear" w:color="000000" w:fill="FFFFFF"/>
            <w:noWrap/>
            <w:hideMark/>
          </w:tcPr>
          <w:p w14:paraId="661D2DF3"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148 814</w:t>
            </w:r>
          </w:p>
        </w:tc>
        <w:tc>
          <w:tcPr>
            <w:tcW w:w="1134" w:type="dxa"/>
            <w:tcBorders>
              <w:top w:val="nil"/>
              <w:left w:val="nil"/>
              <w:bottom w:val="nil"/>
              <w:right w:val="single" w:sz="4" w:space="0" w:color="auto"/>
            </w:tcBorders>
            <w:shd w:val="clear" w:color="000000" w:fill="FFFFFF"/>
            <w:noWrap/>
            <w:hideMark/>
          </w:tcPr>
          <w:p w14:paraId="0878A8A9"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177,16</w:t>
            </w:r>
          </w:p>
        </w:tc>
        <w:tc>
          <w:tcPr>
            <w:tcW w:w="1276" w:type="dxa"/>
            <w:tcBorders>
              <w:top w:val="nil"/>
              <w:left w:val="nil"/>
              <w:bottom w:val="nil"/>
              <w:right w:val="single" w:sz="4" w:space="0" w:color="auto"/>
            </w:tcBorders>
            <w:shd w:val="clear" w:color="000000" w:fill="FFFFFF"/>
            <w:noWrap/>
            <w:hideMark/>
          </w:tcPr>
          <w:p w14:paraId="17EB05A8"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70</w:t>
            </w:r>
          </w:p>
        </w:tc>
        <w:tc>
          <w:tcPr>
            <w:tcW w:w="1134" w:type="dxa"/>
            <w:tcBorders>
              <w:top w:val="nil"/>
              <w:left w:val="nil"/>
              <w:bottom w:val="nil"/>
              <w:right w:val="single" w:sz="4" w:space="0" w:color="auto"/>
            </w:tcBorders>
            <w:shd w:val="clear" w:color="000000" w:fill="FFFFFF"/>
            <w:noWrap/>
            <w:hideMark/>
          </w:tcPr>
          <w:p w14:paraId="2E44C298"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148 814</w:t>
            </w:r>
          </w:p>
        </w:tc>
        <w:tc>
          <w:tcPr>
            <w:tcW w:w="992" w:type="dxa"/>
            <w:tcBorders>
              <w:top w:val="nil"/>
              <w:left w:val="nil"/>
              <w:bottom w:val="nil"/>
              <w:right w:val="single" w:sz="4" w:space="0" w:color="auto"/>
            </w:tcBorders>
            <w:shd w:val="clear" w:color="000000" w:fill="FFFFFF"/>
            <w:noWrap/>
            <w:hideMark/>
          </w:tcPr>
          <w:p w14:paraId="1EE9FC6A"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177,16</w:t>
            </w:r>
          </w:p>
        </w:tc>
        <w:tc>
          <w:tcPr>
            <w:tcW w:w="966" w:type="dxa"/>
            <w:tcBorders>
              <w:top w:val="nil"/>
              <w:left w:val="nil"/>
              <w:bottom w:val="nil"/>
              <w:right w:val="single" w:sz="4" w:space="0" w:color="auto"/>
            </w:tcBorders>
            <w:shd w:val="clear" w:color="000000" w:fill="FFFFFF"/>
            <w:noWrap/>
            <w:hideMark/>
          </w:tcPr>
          <w:p w14:paraId="11853505"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70</w:t>
            </w:r>
          </w:p>
        </w:tc>
        <w:tc>
          <w:tcPr>
            <w:tcW w:w="1233" w:type="dxa"/>
            <w:tcBorders>
              <w:top w:val="nil"/>
              <w:left w:val="nil"/>
              <w:bottom w:val="nil"/>
              <w:right w:val="single" w:sz="4" w:space="0" w:color="auto"/>
            </w:tcBorders>
            <w:shd w:val="clear" w:color="000000" w:fill="FFFFFF"/>
            <w:noWrap/>
            <w:hideMark/>
          </w:tcPr>
          <w:p w14:paraId="3E4FB15F"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148 814</w:t>
            </w:r>
          </w:p>
        </w:tc>
      </w:tr>
      <w:tr w:rsidR="003160BE" w:rsidRPr="003160BE" w14:paraId="5E235F06" w14:textId="77777777" w:rsidTr="0052209F">
        <w:trPr>
          <w:trHeight w:val="276"/>
        </w:trPr>
        <w:tc>
          <w:tcPr>
            <w:tcW w:w="4500" w:type="dxa"/>
            <w:tcBorders>
              <w:top w:val="nil"/>
              <w:left w:val="single" w:sz="4" w:space="0" w:color="auto"/>
              <w:bottom w:val="single" w:sz="4" w:space="0" w:color="auto"/>
              <w:right w:val="single" w:sz="4" w:space="0" w:color="auto"/>
            </w:tcBorders>
            <w:shd w:val="clear" w:color="000000" w:fill="FFFFFF"/>
            <w:noWrap/>
            <w:vAlign w:val="center"/>
            <w:hideMark/>
          </w:tcPr>
          <w:p w14:paraId="48BF5906"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KOPĀ</w:t>
            </w:r>
          </w:p>
        </w:tc>
        <w:tc>
          <w:tcPr>
            <w:tcW w:w="880" w:type="dxa"/>
            <w:tcBorders>
              <w:top w:val="single" w:sz="4" w:space="0" w:color="auto"/>
              <w:left w:val="nil"/>
              <w:bottom w:val="single" w:sz="4" w:space="0" w:color="auto"/>
              <w:right w:val="single" w:sz="4" w:space="0" w:color="auto"/>
            </w:tcBorders>
            <w:shd w:val="clear" w:color="000000" w:fill="FFFFFF"/>
            <w:noWrap/>
            <w:hideMark/>
          </w:tcPr>
          <w:p w14:paraId="6FC72128"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980" w:type="dxa"/>
            <w:tcBorders>
              <w:top w:val="single" w:sz="4" w:space="0" w:color="auto"/>
              <w:left w:val="nil"/>
              <w:bottom w:val="single" w:sz="4" w:space="0" w:color="auto"/>
              <w:right w:val="single" w:sz="4" w:space="0" w:color="auto"/>
            </w:tcBorders>
            <w:shd w:val="clear" w:color="000000" w:fill="FFFFFF"/>
            <w:noWrap/>
            <w:hideMark/>
          </w:tcPr>
          <w:p w14:paraId="454FDD8A"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1148" w:type="dxa"/>
            <w:tcBorders>
              <w:top w:val="single" w:sz="4" w:space="0" w:color="auto"/>
              <w:left w:val="nil"/>
              <w:bottom w:val="single" w:sz="4" w:space="0" w:color="auto"/>
              <w:right w:val="single" w:sz="4" w:space="0" w:color="auto"/>
            </w:tcBorders>
            <w:shd w:val="clear" w:color="000000" w:fill="FFFFFF"/>
            <w:noWrap/>
            <w:hideMark/>
          </w:tcPr>
          <w:p w14:paraId="23F2C117"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503 362 116</w:t>
            </w:r>
          </w:p>
        </w:tc>
        <w:tc>
          <w:tcPr>
            <w:tcW w:w="1134" w:type="dxa"/>
            <w:tcBorders>
              <w:top w:val="single" w:sz="4" w:space="0" w:color="auto"/>
              <w:left w:val="nil"/>
              <w:bottom w:val="single" w:sz="4" w:space="0" w:color="auto"/>
              <w:right w:val="single" w:sz="4" w:space="0" w:color="auto"/>
            </w:tcBorders>
            <w:shd w:val="clear" w:color="000000" w:fill="FFFFFF"/>
            <w:noWrap/>
            <w:hideMark/>
          </w:tcPr>
          <w:p w14:paraId="32E64D8C"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1276" w:type="dxa"/>
            <w:tcBorders>
              <w:top w:val="single" w:sz="4" w:space="0" w:color="auto"/>
              <w:left w:val="nil"/>
              <w:bottom w:val="single" w:sz="4" w:space="0" w:color="auto"/>
              <w:right w:val="single" w:sz="4" w:space="0" w:color="auto"/>
            </w:tcBorders>
            <w:shd w:val="clear" w:color="000000" w:fill="FFFFFF"/>
            <w:noWrap/>
            <w:hideMark/>
          </w:tcPr>
          <w:p w14:paraId="4839C48F"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1134" w:type="dxa"/>
            <w:tcBorders>
              <w:top w:val="single" w:sz="4" w:space="0" w:color="auto"/>
              <w:left w:val="nil"/>
              <w:bottom w:val="single" w:sz="4" w:space="0" w:color="auto"/>
              <w:right w:val="single" w:sz="4" w:space="0" w:color="auto"/>
            </w:tcBorders>
            <w:shd w:val="clear" w:color="000000" w:fill="FFFFFF"/>
            <w:noWrap/>
            <w:hideMark/>
          </w:tcPr>
          <w:p w14:paraId="6B366D7A"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518 804 789</w:t>
            </w:r>
          </w:p>
        </w:tc>
        <w:tc>
          <w:tcPr>
            <w:tcW w:w="992" w:type="dxa"/>
            <w:tcBorders>
              <w:top w:val="single" w:sz="4" w:space="0" w:color="auto"/>
              <w:left w:val="nil"/>
              <w:bottom w:val="single" w:sz="4" w:space="0" w:color="auto"/>
              <w:right w:val="single" w:sz="4" w:space="0" w:color="auto"/>
            </w:tcBorders>
            <w:shd w:val="clear" w:color="000000" w:fill="FFFFFF"/>
            <w:noWrap/>
            <w:hideMark/>
          </w:tcPr>
          <w:p w14:paraId="2212BEC2"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966" w:type="dxa"/>
            <w:tcBorders>
              <w:top w:val="single" w:sz="4" w:space="0" w:color="auto"/>
              <w:left w:val="nil"/>
              <w:bottom w:val="single" w:sz="4" w:space="0" w:color="auto"/>
              <w:right w:val="single" w:sz="4" w:space="0" w:color="auto"/>
            </w:tcBorders>
            <w:shd w:val="clear" w:color="000000" w:fill="FFFFFF"/>
            <w:noWrap/>
            <w:hideMark/>
          </w:tcPr>
          <w:p w14:paraId="442CDF6F"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1233" w:type="dxa"/>
            <w:tcBorders>
              <w:top w:val="single" w:sz="4" w:space="0" w:color="auto"/>
              <w:left w:val="nil"/>
              <w:bottom w:val="single" w:sz="4" w:space="0" w:color="auto"/>
              <w:right w:val="single" w:sz="4" w:space="0" w:color="auto"/>
            </w:tcBorders>
            <w:shd w:val="clear" w:color="000000" w:fill="FFFFFF"/>
            <w:noWrap/>
            <w:hideMark/>
          </w:tcPr>
          <w:p w14:paraId="08847FB1"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548 221 148</w:t>
            </w:r>
          </w:p>
        </w:tc>
      </w:tr>
    </w:tbl>
    <w:p w14:paraId="0E014C17" w14:textId="77777777" w:rsidR="003160BE" w:rsidRPr="003160BE" w:rsidRDefault="003160BE" w:rsidP="003160BE">
      <w:pPr>
        <w:widowControl w:val="0"/>
        <w:spacing w:before="120"/>
        <w:ind w:firstLine="0"/>
        <w:rPr>
          <w:rFonts w:eastAsia="Calibri" w:cs="Times New Roman"/>
          <w:i/>
          <w:sz w:val="18"/>
          <w:szCs w:val="18"/>
        </w:rPr>
      </w:pPr>
      <w:r w:rsidRPr="003160BE">
        <w:rPr>
          <w:rFonts w:eastAsia="Calibri" w:cs="Times New Roman"/>
          <w:i/>
          <w:sz w:val="18"/>
          <w:szCs w:val="18"/>
        </w:rPr>
        <w:t>Datu avots: FM</w:t>
      </w:r>
    </w:p>
    <w:p w14:paraId="62D0B8D7" w14:textId="77777777" w:rsidR="003160BE" w:rsidRPr="003160BE" w:rsidRDefault="003160BE" w:rsidP="003160BE">
      <w:pPr>
        <w:spacing w:after="160" w:line="259" w:lineRule="auto"/>
        <w:ind w:firstLine="0"/>
        <w:jc w:val="left"/>
        <w:rPr>
          <w:rFonts w:eastAsia="Times New Roman" w:cs="Times New Roman"/>
          <w:color w:val="000000"/>
          <w:sz w:val="18"/>
          <w:szCs w:val="18"/>
          <w:highlight w:val="lightGray"/>
        </w:rPr>
      </w:pPr>
      <w:r w:rsidRPr="003160BE">
        <w:rPr>
          <w:rFonts w:eastAsia="Times New Roman" w:cs="Times New Roman"/>
          <w:color w:val="000000"/>
          <w:sz w:val="18"/>
          <w:szCs w:val="18"/>
          <w:highlight w:val="lightGray"/>
        </w:rPr>
        <w:br w:type="page"/>
      </w:r>
    </w:p>
    <w:p w14:paraId="7C4FE991" w14:textId="77777777" w:rsidR="003160BE" w:rsidRPr="003160BE" w:rsidRDefault="003160BE" w:rsidP="003160BE">
      <w:pPr>
        <w:widowControl w:val="0"/>
        <w:ind w:right="111"/>
        <w:jc w:val="right"/>
        <w:rPr>
          <w:rFonts w:eastAsia="Times New Roman" w:cs="Times New Roman"/>
          <w:color w:val="000000"/>
        </w:rPr>
      </w:pPr>
      <w:r w:rsidRPr="003160BE">
        <w:rPr>
          <w:rFonts w:eastAsia="Times New Roman" w:cs="Times New Roman"/>
          <w:color w:val="000000"/>
        </w:rPr>
        <w:lastRenderedPageBreak/>
        <w:t>6. pielikums</w:t>
      </w:r>
    </w:p>
    <w:p w14:paraId="20C05B3C" w14:textId="77777777" w:rsidR="003160BE" w:rsidRPr="003160BE" w:rsidRDefault="003160BE" w:rsidP="003160BE">
      <w:pPr>
        <w:widowControl w:val="0"/>
        <w:spacing w:before="240" w:after="240"/>
        <w:ind w:right="-28"/>
        <w:jc w:val="right"/>
        <w:rPr>
          <w:rFonts w:eastAsia="Times New Roman" w:cs="Times New Roman"/>
          <w:b/>
          <w:color w:val="000000"/>
        </w:rPr>
      </w:pPr>
      <w:r w:rsidRPr="003160BE">
        <w:rPr>
          <w:rFonts w:eastAsia="Times New Roman" w:cs="Times New Roman"/>
          <w:b/>
          <w:color w:val="000000"/>
        </w:rPr>
        <w:t>Labklājības ministrijas pamatbudžeta apakšprogramma 20.02.00 "Izdienas pensijas"</w:t>
      </w:r>
    </w:p>
    <w:tbl>
      <w:tblPr>
        <w:tblW w:w="14576" w:type="dxa"/>
        <w:jc w:val="center"/>
        <w:tblLook w:val="04A0" w:firstRow="1" w:lastRow="0" w:firstColumn="1" w:lastColumn="0" w:noHBand="0" w:noVBand="1"/>
      </w:tblPr>
      <w:tblGrid>
        <w:gridCol w:w="4111"/>
        <w:gridCol w:w="1308"/>
        <w:gridCol w:w="1097"/>
        <w:gridCol w:w="1276"/>
        <w:gridCol w:w="1275"/>
        <w:gridCol w:w="976"/>
        <w:gridCol w:w="1123"/>
        <w:gridCol w:w="1188"/>
        <w:gridCol w:w="966"/>
        <w:gridCol w:w="1256"/>
      </w:tblGrid>
      <w:tr w:rsidR="003160BE" w:rsidRPr="003160BE" w14:paraId="41CDAE4A" w14:textId="77777777" w:rsidTr="0052209F">
        <w:trPr>
          <w:trHeight w:val="660"/>
          <w:jc w:val="center"/>
        </w:trPr>
        <w:tc>
          <w:tcPr>
            <w:tcW w:w="4111" w:type="dxa"/>
            <w:vMerge w:val="restart"/>
            <w:tcBorders>
              <w:top w:val="single" w:sz="4" w:space="0" w:color="auto"/>
              <w:left w:val="single" w:sz="4" w:space="0" w:color="auto"/>
              <w:right w:val="single" w:sz="4" w:space="0" w:color="auto"/>
            </w:tcBorders>
            <w:shd w:val="clear" w:color="auto" w:fill="9CC2E5"/>
            <w:noWrap/>
            <w:vAlign w:val="bottom"/>
            <w:hideMark/>
          </w:tcPr>
          <w:p w14:paraId="0E78D482"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 </w:t>
            </w:r>
          </w:p>
          <w:p w14:paraId="4C7D2C2F"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Pabalsta veids</w:t>
            </w:r>
          </w:p>
        </w:tc>
        <w:tc>
          <w:tcPr>
            <w:tcW w:w="3681"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7914E050"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2026. gada projekts</w:t>
            </w:r>
          </w:p>
        </w:tc>
        <w:tc>
          <w:tcPr>
            <w:tcW w:w="3374"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30EE43B7"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2027. gada prognoze</w:t>
            </w:r>
          </w:p>
        </w:tc>
        <w:tc>
          <w:tcPr>
            <w:tcW w:w="3410"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3FA897A0"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2028. gada prognoze</w:t>
            </w:r>
          </w:p>
        </w:tc>
      </w:tr>
      <w:tr w:rsidR="003160BE" w:rsidRPr="003160BE" w14:paraId="18E6264E" w14:textId="77777777" w:rsidTr="0052209F">
        <w:trPr>
          <w:trHeight w:val="450"/>
          <w:jc w:val="center"/>
        </w:trPr>
        <w:tc>
          <w:tcPr>
            <w:tcW w:w="4111" w:type="dxa"/>
            <w:vMerge/>
            <w:tcBorders>
              <w:left w:val="single" w:sz="4" w:space="0" w:color="auto"/>
              <w:right w:val="single" w:sz="4" w:space="0" w:color="auto"/>
            </w:tcBorders>
            <w:shd w:val="clear" w:color="auto" w:fill="9CC2E5"/>
            <w:noWrap/>
            <w:vAlign w:val="center"/>
            <w:hideMark/>
          </w:tcPr>
          <w:p w14:paraId="0AA42C92" w14:textId="77777777" w:rsidR="003160BE" w:rsidRPr="003160BE" w:rsidRDefault="003160BE" w:rsidP="003160BE">
            <w:pPr>
              <w:spacing w:after="0"/>
              <w:ind w:firstLine="0"/>
              <w:jc w:val="center"/>
              <w:rPr>
                <w:rFonts w:eastAsia="Times New Roman" w:cs="Times New Roman"/>
                <w:b/>
                <w:bCs/>
                <w:sz w:val="18"/>
                <w:szCs w:val="18"/>
              </w:rPr>
            </w:pPr>
          </w:p>
        </w:tc>
        <w:tc>
          <w:tcPr>
            <w:tcW w:w="1308" w:type="dxa"/>
            <w:vMerge w:val="restart"/>
            <w:tcBorders>
              <w:top w:val="nil"/>
              <w:left w:val="single" w:sz="4" w:space="0" w:color="auto"/>
              <w:bottom w:val="single" w:sz="4" w:space="0" w:color="000000"/>
              <w:right w:val="single" w:sz="4" w:space="0" w:color="auto"/>
            </w:tcBorders>
            <w:shd w:val="clear" w:color="auto" w:fill="DEEAF6"/>
            <w:vAlign w:val="center"/>
            <w:hideMark/>
          </w:tcPr>
          <w:p w14:paraId="574E8ECA"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Pabalsta apmērs vidēji mēnesī (</w:t>
            </w:r>
            <w:r w:rsidRPr="003160BE">
              <w:rPr>
                <w:rFonts w:eastAsia="Times New Roman" w:cs="Times New Roman"/>
                <w:i/>
                <w:sz w:val="18"/>
                <w:szCs w:val="18"/>
              </w:rPr>
              <w:t>euro</w:t>
            </w:r>
            <w:r w:rsidRPr="003160BE">
              <w:rPr>
                <w:rFonts w:eastAsia="Times New Roman" w:cs="Times New Roman"/>
                <w:sz w:val="18"/>
                <w:szCs w:val="18"/>
              </w:rPr>
              <w:t>)</w:t>
            </w:r>
          </w:p>
        </w:tc>
        <w:tc>
          <w:tcPr>
            <w:tcW w:w="1097" w:type="dxa"/>
            <w:vMerge w:val="restart"/>
            <w:tcBorders>
              <w:top w:val="nil"/>
              <w:left w:val="nil"/>
              <w:right w:val="single" w:sz="4" w:space="0" w:color="auto"/>
            </w:tcBorders>
            <w:shd w:val="clear" w:color="auto" w:fill="DEEAF6"/>
            <w:vAlign w:val="center"/>
            <w:hideMark/>
          </w:tcPr>
          <w:p w14:paraId="7BC8CC99"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w:t>
            </w:r>
            <w:r w:rsidRPr="003160BE">
              <w:rPr>
                <w:rFonts w:eastAsia="Times New Roman" w:cs="Times New Roman"/>
                <w:sz w:val="18"/>
                <w:szCs w:val="18"/>
              </w:rPr>
              <w:br/>
              <w:t xml:space="preserve"> skaits</w:t>
            </w:r>
          </w:p>
          <w:p w14:paraId="615DF507"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(vid.mēn.)</w:t>
            </w:r>
          </w:p>
        </w:tc>
        <w:tc>
          <w:tcPr>
            <w:tcW w:w="1276" w:type="dxa"/>
            <w:vMerge w:val="restart"/>
            <w:tcBorders>
              <w:top w:val="nil"/>
              <w:left w:val="nil"/>
              <w:right w:val="single" w:sz="4" w:space="0" w:color="auto"/>
            </w:tcBorders>
            <w:shd w:val="clear" w:color="auto" w:fill="DEEAF6"/>
            <w:vAlign w:val="center"/>
            <w:hideMark/>
          </w:tcPr>
          <w:p w14:paraId="6C8DF9A9"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w:t>
            </w:r>
          </w:p>
          <w:p w14:paraId="1DAFCCB8"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w:t>
            </w:r>
            <w:r w:rsidRPr="003160BE">
              <w:rPr>
                <w:rFonts w:eastAsia="Times New Roman" w:cs="Times New Roman"/>
                <w:i/>
                <w:sz w:val="18"/>
                <w:szCs w:val="18"/>
              </w:rPr>
              <w:t>euro</w:t>
            </w:r>
            <w:r w:rsidRPr="003160BE">
              <w:rPr>
                <w:rFonts w:eastAsia="Times New Roman" w:cs="Times New Roman"/>
                <w:sz w:val="18"/>
                <w:szCs w:val="18"/>
              </w:rPr>
              <w:t>)</w:t>
            </w:r>
          </w:p>
        </w:tc>
        <w:tc>
          <w:tcPr>
            <w:tcW w:w="1275" w:type="dxa"/>
            <w:vMerge w:val="restart"/>
            <w:tcBorders>
              <w:top w:val="nil"/>
              <w:left w:val="single" w:sz="4" w:space="0" w:color="auto"/>
              <w:bottom w:val="single" w:sz="4" w:space="0" w:color="000000"/>
              <w:right w:val="single" w:sz="4" w:space="0" w:color="auto"/>
            </w:tcBorders>
            <w:shd w:val="clear" w:color="auto" w:fill="DEEAF6"/>
            <w:vAlign w:val="center"/>
            <w:hideMark/>
          </w:tcPr>
          <w:p w14:paraId="7C4D804A"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Pabalsta apmērs vidēji mēnesī (</w:t>
            </w:r>
            <w:r w:rsidRPr="003160BE">
              <w:rPr>
                <w:rFonts w:eastAsia="Times New Roman" w:cs="Times New Roman"/>
                <w:i/>
                <w:sz w:val="18"/>
                <w:szCs w:val="18"/>
              </w:rPr>
              <w:t>euro</w:t>
            </w:r>
            <w:r w:rsidRPr="003160BE">
              <w:rPr>
                <w:rFonts w:eastAsia="Times New Roman" w:cs="Times New Roman"/>
                <w:sz w:val="18"/>
                <w:szCs w:val="18"/>
              </w:rPr>
              <w:t>)</w:t>
            </w:r>
          </w:p>
        </w:tc>
        <w:tc>
          <w:tcPr>
            <w:tcW w:w="976" w:type="dxa"/>
            <w:vMerge w:val="restart"/>
            <w:tcBorders>
              <w:top w:val="nil"/>
              <w:left w:val="nil"/>
              <w:right w:val="single" w:sz="4" w:space="0" w:color="auto"/>
            </w:tcBorders>
            <w:shd w:val="clear" w:color="auto" w:fill="DEEAF6"/>
            <w:vAlign w:val="center"/>
            <w:hideMark/>
          </w:tcPr>
          <w:p w14:paraId="443F81BB"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w:t>
            </w:r>
            <w:r w:rsidRPr="003160BE">
              <w:rPr>
                <w:rFonts w:eastAsia="Times New Roman" w:cs="Times New Roman"/>
                <w:sz w:val="18"/>
                <w:szCs w:val="18"/>
              </w:rPr>
              <w:br/>
              <w:t xml:space="preserve"> skaits</w:t>
            </w:r>
          </w:p>
          <w:p w14:paraId="5360BDAC"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(vid.mēn.)</w:t>
            </w:r>
          </w:p>
        </w:tc>
        <w:tc>
          <w:tcPr>
            <w:tcW w:w="1123" w:type="dxa"/>
            <w:vMerge w:val="restart"/>
            <w:tcBorders>
              <w:top w:val="nil"/>
              <w:left w:val="nil"/>
              <w:right w:val="single" w:sz="4" w:space="0" w:color="auto"/>
            </w:tcBorders>
            <w:shd w:val="clear" w:color="auto" w:fill="DEEAF6"/>
            <w:vAlign w:val="center"/>
            <w:hideMark/>
          </w:tcPr>
          <w:p w14:paraId="4159480D"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w:t>
            </w:r>
          </w:p>
          <w:p w14:paraId="192DE907"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w:t>
            </w:r>
            <w:r w:rsidRPr="003160BE">
              <w:rPr>
                <w:rFonts w:eastAsia="Times New Roman" w:cs="Times New Roman"/>
                <w:i/>
                <w:sz w:val="18"/>
                <w:szCs w:val="18"/>
              </w:rPr>
              <w:t>euro</w:t>
            </w:r>
            <w:r w:rsidRPr="003160BE">
              <w:rPr>
                <w:rFonts w:eastAsia="Times New Roman" w:cs="Times New Roman"/>
                <w:sz w:val="18"/>
                <w:szCs w:val="18"/>
              </w:rPr>
              <w:t>)</w:t>
            </w:r>
          </w:p>
        </w:tc>
        <w:tc>
          <w:tcPr>
            <w:tcW w:w="1188" w:type="dxa"/>
            <w:vMerge w:val="restart"/>
            <w:tcBorders>
              <w:top w:val="nil"/>
              <w:left w:val="single" w:sz="4" w:space="0" w:color="auto"/>
              <w:bottom w:val="single" w:sz="4" w:space="0" w:color="000000"/>
              <w:right w:val="single" w:sz="4" w:space="0" w:color="auto"/>
            </w:tcBorders>
            <w:shd w:val="clear" w:color="auto" w:fill="DEEAF6"/>
            <w:vAlign w:val="center"/>
            <w:hideMark/>
          </w:tcPr>
          <w:p w14:paraId="11515DE7"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Pabalsta apmērs vidēji mēnesī (</w:t>
            </w:r>
            <w:r w:rsidRPr="003160BE">
              <w:rPr>
                <w:rFonts w:eastAsia="Times New Roman" w:cs="Times New Roman"/>
                <w:i/>
                <w:sz w:val="18"/>
                <w:szCs w:val="18"/>
              </w:rPr>
              <w:t>euro</w:t>
            </w:r>
            <w:r w:rsidRPr="003160BE">
              <w:rPr>
                <w:rFonts w:eastAsia="Times New Roman" w:cs="Times New Roman"/>
                <w:sz w:val="18"/>
                <w:szCs w:val="18"/>
              </w:rPr>
              <w:t>)</w:t>
            </w:r>
          </w:p>
        </w:tc>
        <w:tc>
          <w:tcPr>
            <w:tcW w:w="966" w:type="dxa"/>
            <w:vMerge w:val="restart"/>
            <w:tcBorders>
              <w:top w:val="nil"/>
              <w:left w:val="nil"/>
              <w:right w:val="single" w:sz="4" w:space="0" w:color="auto"/>
            </w:tcBorders>
            <w:shd w:val="clear" w:color="auto" w:fill="DEEAF6"/>
            <w:vAlign w:val="center"/>
            <w:hideMark/>
          </w:tcPr>
          <w:p w14:paraId="798C2EC5"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w:t>
            </w:r>
            <w:r w:rsidRPr="003160BE">
              <w:rPr>
                <w:rFonts w:eastAsia="Times New Roman" w:cs="Times New Roman"/>
                <w:sz w:val="18"/>
                <w:szCs w:val="18"/>
              </w:rPr>
              <w:br/>
              <w:t xml:space="preserve"> skaits</w:t>
            </w:r>
          </w:p>
          <w:p w14:paraId="11EB4331"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(vid.mēn.)</w:t>
            </w:r>
          </w:p>
        </w:tc>
        <w:tc>
          <w:tcPr>
            <w:tcW w:w="1256" w:type="dxa"/>
            <w:vMerge w:val="restart"/>
            <w:tcBorders>
              <w:top w:val="nil"/>
              <w:left w:val="nil"/>
              <w:right w:val="single" w:sz="4" w:space="0" w:color="auto"/>
            </w:tcBorders>
            <w:shd w:val="clear" w:color="auto" w:fill="DEEAF6"/>
            <w:vAlign w:val="center"/>
            <w:hideMark/>
          </w:tcPr>
          <w:p w14:paraId="097D5997"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w:t>
            </w:r>
          </w:p>
          <w:p w14:paraId="28E29E78"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w:t>
            </w:r>
            <w:r w:rsidRPr="003160BE">
              <w:rPr>
                <w:rFonts w:eastAsia="Times New Roman" w:cs="Times New Roman"/>
                <w:i/>
                <w:sz w:val="18"/>
                <w:szCs w:val="18"/>
              </w:rPr>
              <w:t>euro</w:t>
            </w:r>
            <w:r w:rsidRPr="003160BE">
              <w:rPr>
                <w:rFonts w:eastAsia="Times New Roman" w:cs="Times New Roman"/>
                <w:sz w:val="18"/>
                <w:szCs w:val="18"/>
              </w:rPr>
              <w:t>)</w:t>
            </w:r>
          </w:p>
        </w:tc>
      </w:tr>
      <w:tr w:rsidR="003160BE" w:rsidRPr="003160BE" w14:paraId="0C8FA3ED" w14:textId="77777777" w:rsidTr="0052209F">
        <w:trPr>
          <w:trHeight w:val="765"/>
          <w:jc w:val="center"/>
        </w:trPr>
        <w:tc>
          <w:tcPr>
            <w:tcW w:w="4111" w:type="dxa"/>
            <w:tcBorders>
              <w:left w:val="single" w:sz="4" w:space="0" w:color="auto"/>
              <w:bottom w:val="single" w:sz="4" w:space="0" w:color="000000"/>
              <w:right w:val="single" w:sz="4" w:space="0" w:color="auto"/>
            </w:tcBorders>
            <w:shd w:val="clear" w:color="auto" w:fill="9CC2E5"/>
            <w:vAlign w:val="center"/>
            <w:hideMark/>
          </w:tcPr>
          <w:p w14:paraId="50584777" w14:textId="77777777" w:rsidR="003160BE" w:rsidRPr="003160BE" w:rsidRDefault="003160BE" w:rsidP="003160BE">
            <w:pPr>
              <w:spacing w:after="0"/>
              <w:ind w:firstLine="0"/>
              <w:jc w:val="left"/>
              <w:rPr>
                <w:rFonts w:eastAsia="Times New Roman" w:cs="Times New Roman"/>
                <w:b/>
                <w:bCs/>
                <w:sz w:val="18"/>
                <w:szCs w:val="18"/>
              </w:rPr>
            </w:pPr>
          </w:p>
        </w:tc>
        <w:tc>
          <w:tcPr>
            <w:tcW w:w="1308" w:type="dxa"/>
            <w:vMerge/>
            <w:tcBorders>
              <w:top w:val="nil"/>
              <w:left w:val="single" w:sz="4" w:space="0" w:color="auto"/>
              <w:bottom w:val="single" w:sz="4" w:space="0" w:color="000000"/>
              <w:right w:val="single" w:sz="4" w:space="0" w:color="auto"/>
            </w:tcBorders>
            <w:shd w:val="clear" w:color="auto" w:fill="DEEAF6"/>
            <w:vAlign w:val="center"/>
            <w:hideMark/>
          </w:tcPr>
          <w:p w14:paraId="65BA84DB" w14:textId="77777777" w:rsidR="003160BE" w:rsidRPr="003160BE" w:rsidRDefault="003160BE" w:rsidP="003160BE">
            <w:pPr>
              <w:spacing w:after="0"/>
              <w:ind w:firstLine="0"/>
              <w:jc w:val="center"/>
              <w:rPr>
                <w:rFonts w:eastAsia="Times New Roman" w:cs="Times New Roman"/>
                <w:sz w:val="18"/>
                <w:szCs w:val="18"/>
              </w:rPr>
            </w:pPr>
          </w:p>
        </w:tc>
        <w:tc>
          <w:tcPr>
            <w:tcW w:w="1097" w:type="dxa"/>
            <w:vMerge/>
            <w:tcBorders>
              <w:left w:val="nil"/>
              <w:bottom w:val="single" w:sz="4" w:space="0" w:color="auto"/>
              <w:right w:val="single" w:sz="4" w:space="0" w:color="auto"/>
            </w:tcBorders>
            <w:shd w:val="clear" w:color="auto" w:fill="DEEAF6"/>
            <w:noWrap/>
            <w:vAlign w:val="center"/>
            <w:hideMark/>
          </w:tcPr>
          <w:p w14:paraId="3F87C397" w14:textId="77777777" w:rsidR="003160BE" w:rsidRPr="003160BE" w:rsidRDefault="003160BE" w:rsidP="003160BE">
            <w:pPr>
              <w:spacing w:after="0"/>
              <w:ind w:firstLine="0"/>
              <w:jc w:val="center"/>
              <w:rPr>
                <w:rFonts w:eastAsia="Times New Roman" w:cs="Times New Roman"/>
                <w:sz w:val="18"/>
                <w:szCs w:val="18"/>
              </w:rPr>
            </w:pPr>
          </w:p>
        </w:tc>
        <w:tc>
          <w:tcPr>
            <w:tcW w:w="1276" w:type="dxa"/>
            <w:vMerge/>
            <w:tcBorders>
              <w:left w:val="nil"/>
              <w:bottom w:val="single" w:sz="4" w:space="0" w:color="auto"/>
              <w:right w:val="single" w:sz="4" w:space="0" w:color="auto"/>
            </w:tcBorders>
            <w:shd w:val="clear" w:color="auto" w:fill="DEEAF6"/>
            <w:noWrap/>
            <w:vAlign w:val="center"/>
            <w:hideMark/>
          </w:tcPr>
          <w:p w14:paraId="56673F43" w14:textId="77777777" w:rsidR="003160BE" w:rsidRPr="003160BE" w:rsidRDefault="003160BE" w:rsidP="003160BE">
            <w:pPr>
              <w:spacing w:after="0"/>
              <w:ind w:firstLine="0"/>
              <w:jc w:val="center"/>
              <w:rPr>
                <w:rFonts w:eastAsia="Times New Roman" w:cs="Times New Roman"/>
                <w:sz w:val="18"/>
                <w:szCs w:val="18"/>
              </w:rPr>
            </w:pPr>
          </w:p>
        </w:tc>
        <w:tc>
          <w:tcPr>
            <w:tcW w:w="1275" w:type="dxa"/>
            <w:vMerge/>
            <w:tcBorders>
              <w:top w:val="nil"/>
              <w:left w:val="single" w:sz="4" w:space="0" w:color="auto"/>
              <w:bottom w:val="single" w:sz="4" w:space="0" w:color="000000"/>
              <w:right w:val="single" w:sz="4" w:space="0" w:color="auto"/>
            </w:tcBorders>
            <w:shd w:val="clear" w:color="auto" w:fill="DEEAF6"/>
            <w:vAlign w:val="center"/>
            <w:hideMark/>
          </w:tcPr>
          <w:p w14:paraId="51F2CB26" w14:textId="77777777" w:rsidR="003160BE" w:rsidRPr="003160BE" w:rsidRDefault="003160BE" w:rsidP="003160BE">
            <w:pPr>
              <w:spacing w:after="0"/>
              <w:ind w:firstLine="0"/>
              <w:jc w:val="center"/>
              <w:rPr>
                <w:rFonts w:eastAsia="Times New Roman" w:cs="Times New Roman"/>
                <w:sz w:val="18"/>
                <w:szCs w:val="18"/>
              </w:rPr>
            </w:pPr>
          </w:p>
        </w:tc>
        <w:tc>
          <w:tcPr>
            <w:tcW w:w="976" w:type="dxa"/>
            <w:vMerge/>
            <w:tcBorders>
              <w:left w:val="nil"/>
              <w:bottom w:val="single" w:sz="4" w:space="0" w:color="auto"/>
              <w:right w:val="single" w:sz="4" w:space="0" w:color="auto"/>
            </w:tcBorders>
            <w:shd w:val="clear" w:color="auto" w:fill="DEEAF6"/>
            <w:noWrap/>
            <w:vAlign w:val="center"/>
            <w:hideMark/>
          </w:tcPr>
          <w:p w14:paraId="6A685A87" w14:textId="77777777" w:rsidR="003160BE" w:rsidRPr="003160BE" w:rsidRDefault="003160BE" w:rsidP="003160BE">
            <w:pPr>
              <w:spacing w:after="0"/>
              <w:ind w:firstLine="0"/>
              <w:jc w:val="center"/>
              <w:rPr>
                <w:rFonts w:eastAsia="Times New Roman" w:cs="Times New Roman"/>
                <w:sz w:val="18"/>
                <w:szCs w:val="18"/>
              </w:rPr>
            </w:pPr>
          </w:p>
        </w:tc>
        <w:tc>
          <w:tcPr>
            <w:tcW w:w="1123" w:type="dxa"/>
            <w:vMerge/>
            <w:tcBorders>
              <w:left w:val="nil"/>
              <w:bottom w:val="single" w:sz="4" w:space="0" w:color="auto"/>
              <w:right w:val="single" w:sz="4" w:space="0" w:color="auto"/>
            </w:tcBorders>
            <w:shd w:val="clear" w:color="auto" w:fill="DEEAF6"/>
            <w:noWrap/>
            <w:vAlign w:val="center"/>
            <w:hideMark/>
          </w:tcPr>
          <w:p w14:paraId="4065D232" w14:textId="77777777" w:rsidR="003160BE" w:rsidRPr="003160BE" w:rsidRDefault="003160BE" w:rsidP="003160BE">
            <w:pPr>
              <w:spacing w:after="0"/>
              <w:ind w:firstLine="0"/>
              <w:jc w:val="center"/>
              <w:rPr>
                <w:rFonts w:eastAsia="Times New Roman" w:cs="Times New Roman"/>
                <w:sz w:val="18"/>
                <w:szCs w:val="18"/>
              </w:rPr>
            </w:pPr>
          </w:p>
        </w:tc>
        <w:tc>
          <w:tcPr>
            <w:tcW w:w="1188" w:type="dxa"/>
            <w:vMerge/>
            <w:tcBorders>
              <w:top w:val="nil"/>
              <w:left w:val="single" w:sz="4" w:space="0" w:color="auto"/>
              <w:bottom w:val="single" w:sz="4" w:space="0" w:color="000000"/>
              <w:right w:val="single" w:sz="4" w:space="0" w:color="auto"/>
            </w:tcBorders>
            <w:shd w:val="clear" w:color="auto" w:fill="DEEAF6"/>
            <w:vAlign w:val="center"/>
            <w:hideMark/>
          </w:tcPr>
          <w:p w14:paraId="1D3DAA3F" w14:textId="77777777" w:rsidR="003160BE" w:rsidRPr="003160BE" w:rsidRDefault="003160BE" w:rsidP="003160BE">
            <w:pPr>
              <w:spacing w:after="0"/>
              <w:ind w:firstLine="0"/>
              <w:jc w:val="center"/>
              <w:rPr>
                <w:rFonts w:eastAsia="Times New Roman" w:cs="Times New Roman"/>
                <w:sz w:val="18"/>
                <w:szCs w:val="18"/>
              </w:rPr>
            </w:pPr>
          </w:p>
        </w:tc>
        <w:tc>
          <w:tcPr>
            <w:tcW w:w="966" w:type="dxa"/>
            <w:vMerge/>
            <w:tcBorders>
              <w:left w:val="nil"/>
              <w:bottom w:val="single" w:sz="4" w:space="0" w:color="auto"/>
              <w:right w:val="single" w:sz="4" w:space="0" w:color="auto"/>
            </w:tcBorders>
            <w:shd w:val="clear" w:color="auto" w:fill="DEEAF6"/>
            <w:noWrap/>
            <w:vAlign w:val="center"/>
            <w:hideMark/>
          </w:tcPr>
          <w:p w14:paraId="61B903CF" w14:textId="77777777" w:rsidR="003160BE" w:rsidRPr="003160BE" w:rsidRDefault="003160BE" w:rsidP="003160BE">
            <w:pPr>
              <w:spacing w:after="0"/>
              <w:ind w:firstLine="0"/>
              <w:jc w:val="center"/>
              <w:rPr>
                <w:rFonts w:eastAsia="Times New Roman" w:cs="Times New Roman"/>
                <w:sz w:val="18"/>
                <w:szCs w:val="18"/>
              </w:rPr>
            </w:pPr>
          </w:p>
        </w:tc>
        <w:tc>
          <w:tcPr>
            <w:tcW w:w="1256" w:type="dxa"/>
            <w:vMerge/>
            <w:tcBorders>
              <w:left w:val="nil"/>
              <w:bottom w:val="single" w:sz="4" w:space="0" w:color="auto"/>
              <w:right w:val="single" w:sz="4" w:space="0" w:color="auto"/>
            </w:tcBorders>
            <w:shd w:val="clear" w:color="auto" w:fill="DEEAF6"/>
            <w:noWrap/>
            <w:vAlign w:val="center"/>
            <w:hideMark/>
          </w:tcPr>
          <w:p w14:paraId="11D3FCA3" w14:textId="77777777" w:rsidR="003160BE" w:rsidRPr="003160BE" w:rsidRDefault="003160BE" w:rsidP="003160BE">
            <w:pPr>
              <w:spacing w:after="0"/>
              <w:ind w:firstLine="0"/>
              <w:jc w:val="center"/>
              <w:rPr>
                <w:rFonts w:eastAsia="Times New Roman" w:cs="Times New Roman"/>
                <w:sz w:val="18"/>
                <w:szCs w:val="18"/>
              </w:rPr>
            </w:pPr>
          </w:p>
        </w:tc>
      </w:tr>
      <w:tr w:rsidR="003160BE" w:rsidRPr="003160BE" w14:paraId="1D3FD1FF" w14:textId="77777777" w:rsidTr="0052209F">
        <w:trPr>
          <w:trHeight w:val="276"/>
          <w:jc w:val="center"/>
        </w:trPr>
        <w:tc>
          <w:tcPr>
            <w:tcW w:w="4111" w:type="dxa"/>
            <w:tcBorders>
              <w:top w:val="nil"/>
              <w:left w:val="single" w:sz="4" w:space="0" w:color="auto"/>
              <w:bottom w:val="single" w:sz="4" w:space="0" w:color="auto"/>
              <w:right w:val="single" w:sz="4" w:space="0" w:color="auto"/>
            </w:tcBorders>
            <w:shd w:val="clear" w:color="000000" w:fill="FFFFFF"/>
            <w:noWrap/>
            <w:vAlign w:val="center"/>
            <w:hideMark/>
          </w:tcPr>
          <w:p w14:paraId="7D90831A"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1</w:t>
            </w:r>
          </w:p>
        </w:tc>
        <w:tc>
          <w:tcPr>
            <w:tcW w:w="1308" w:type="dxa"/>
            <w:tcBorders>
              <w:top w:val="nil"/>
              <w:left w:val="nil"/>
              <w:bottom w:val="single" w:sz="4" w:space="0" w:color="auto"/>
              <w:right w:val="single" w:sz="4" w:space="0" w:color="auto"/>
            </w:tcBorders>
            <w:noWrap/>
            <w:vAlign w:val="center"/>
            <w:hideMark/>
          </w:tcPr>
          <w:p w14:paraId="2C026BA4"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2</w:t>
            </w:r>
          </w:p>
        </w:tc>
        <w:tc>
          <w:tcPr>
            <w:tcW w:w="1097" w:type="dxa"/>
            <w:tcBorders>
              <w:top w:val="nil"/>
              <w:left w:val="nil"/>
              <w:bottom w:val="single" w:sz="4" w:space="0" w:color="auto"/>
              <w:right w:val="single" w:sz="4" w:space="0" w:color="auto"/>
            </w:tcBorders>
            <w:noWrap/>
            <w:vAlign w:val="center"/>
            <w:hideMark/>
          </w:tcPr>
          <w:p w14:paraId="73E83B55"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3</w:t>
            </w:r>
          </w:p>
        </w:tc>
        <w:tc>
          <w:tcPr>
            <w:tcW w:w="1276" w:type="dxa"/>
            <w:tcBorders>
              <w:top w:val="nil"/>
              <w:left w:val="nil"/>
              <w:bottom w:val="single" w:sz="4" w:space="0" w:color="auto"/>
              <w:right w:val="single" w:sz="4" w:space="0" w:color="auto"/>
            </w:tcBorders>
            <w:noWrap/>
            <w:vAlign w:val="center"/>
            <w:hideMark/>
          </w:tcPr>
          <w:p w14:paraId="2F391408"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4</w:t>
            </w:r>
          </w:p>
        </w:tc>
        <w:tc>
          <w:tcPr>
            <w:tcW w:w="1275" w:type="dxa"/>
            <w:tcBorders>
              <w:top w:val="nil"/>
              <w:left w:val="nil"/>
              <w:bottom w:val="single" w:sz="4" w:space="0" w:color="auto"/>
              <w:right w:val="single" w:sz="4" w:space="0" w:color="auto"/>
            </w:tcBorders>
            <w:noWrap/>
            <w:vAlign w:val="center"/>
            <w:hideMark/>
          </w:tcPr>
          <w:p w14:paraId="3BC23CF7"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5</w:t>
            </w:r>
          </w:p>
        </w:tc>
        <w:tc>
          <w:tcPr>
            <w:tcW w:w="976" w:type="dxa"/>
            <w:tcBorders>
              <w:top w:val="nil"/>
              <w:left w:val="nil"/>
              <w:bottom w:val="single" w:sz="4" w:space="0" w:color="auto"/>
              <w:right w:val="single" w:sz="4" w:space="0" w:color="auto"/>
            </w:tcBorders>
            <w:noWrap/>
            <w:vAlign w:val="center"/>
            <w:hideMark/>
          </w:tcPr>
          <w:p w14:paraId="25A9A334"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6</w:t>
            </w:r>
          </w:p>
        </w:tc>
        <w:tc>
          <w:tcPr>
            <w:tcW w:w="1123" w:type="dxa"/>
            <w:tcBorders>
              <w:top w:val="nil"/>
              <w:left w:val="nil"/>
              <w:bottom w:val="single" w:sz="4" w:space="0" w:color="auto"/>
              <w:right w:val="single" w:sz="4" w:space="0" w:color="auto"/>
            </w:tcBorders>
            <w:noWrap/>
            <w:vAlign w:val="center"/>
            <w:hideMark/>
          </w:tcPr>
          <w:p w14:paraId="77E6C2B3"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7</w:t>
            </w:r>
          </w:p>
        </w:tc>
        <w:tc>
          <w:tcPr>
            <w:tcW w:w="1188" w:type="dxa"/>
            <w:tcBorders>
              <w:top w:val="nil"/>
              <w:left w:val="nil"/>
              <w:bottom w:val="single" w:sz="4" w:space="0" w:color="auto"/>
              <w:right w:val="single" w:sz="4" w:space="0" w:color="auto"/>
            </w:tcBorders>
            <w:noWrap/>
            <w:vAlign w:val="center"/>
            <w:hideMark/>
          </w:tcPr>
          <w:p w14:paraId="6AC851CC"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8</w:t>
            </w:r>
          </w:p>
        </w:tc>
        <w:tc>
          <w:tcPr>
            <w:tcW w:w="966" w:type="dxa"/>
            <w:tcBorders>
              <w:top w:val="nil"/>
              <w:left w:val="nil"/>
              <w:bottom w:val="single" w:sz="4" w:space="0" w:color="auto"/>
              <w:right w:val="single" w:sz="4" w:space="0" w:color="auto"/>
            </w:tcBorders>
            <w:noWrap/>
            <w:vAlign w:val="center"/>
            <w:hideMark/>
          </w:tcPr>
          <w:p w14:paraId="21F6FA38"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9</w:t>
            </w:r>
          </w:p>
        </w:tc>
        <w:tc>
          <w:tcPr>
            <w:tcW w:w="1256" w:type="dxa"/>
            <w:tcBorders>
              <w:top w:val="nil"/>
              <w:left w:val="nil"/>
              <w:bottom w:val="single" w:sz="4" w:space="0" w:color="auto"/>
              <w:right w:val="single" w:sz="4" w:space="0" w:color="auto"/>
            </w:tcBorders>
            <w:noWrap/>
            <w:vAlign w:val="center"/>
            <w:hideMark/>
          </w:tcPr>
          <w:p w14:paraId="1AE9FA9B"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10</w:t>
            </w:r>
          </w:p>
        </w:tc>
      </w:tr>
      <w:tr w:rsidR="003160BE" w:rsidRPr="003160BE" w14:paraId="125026B4" w14:textId="77777777" w:rsidTr="0052209F">
        <w:trPr>
          <w:trHeight w:val="276"/>
          <w:jc w:val="center"/>
        </w:trPr>
        <w:tc>
          <w:tcPr>
            <w:tcW w:w="4111" w:type="dxa"/>
            <w:tcBorders>
              <w:top w:val="single" w:sz="4" w:space="0" w:color="auto"/>
              <w:left w:val="single" w:sz="4" w:space="0" w:color="auto"/>
              <w:bottom w:val="single" w:sz="4" w:space="0" w:color="auto"/>
              <w:right w:val="single" w:sz="4" w:space="0" w:color="auto"/>
            </w:tcBorders>
            <w:shd w:val="clear" w:color="000000" w:fill="FFFFFF"/>
            <w:noWrap/>
            <w:hideMark/>
          </w:tcPr>
          <w:p w14:paraId="3467D444"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Izdienas pensijas</w:t>
            </w:r>
          </w:p>
        </w:tc>
        <w:tc>
          <w:tcPr>
            <w:tcW w:w="1308" w:type="dxa"/>
            <w:tcBorders>
              <w:top w:val="single" w:sz="4" w:space="0" w:color="auto"/>
              <w:left w:val="nil"/>
              <w:bottom w:val="single" w:sz="4" w:space="0" w:color="auto"/>
              <w:right w:val="single" w:sz="4" w:space="0" w:color="auto"/>
            </w:tcBorders>
            <w:shd w:val="clear" w:color="000000" w:fill="FFFFFF"/>
            <w:noWrap/>
            <w:hideMark/>
          </w:tcPr>
          <w:p w14:paraId="0E470A20"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884,02</w:t>
            </w:r>
          </w:p>
        </w:tc>
        <w:tc>
          <w:tcPr>
            <w:tcW w:w="1097" w:type="dxa"/>
            <w:tcBorders>
              <w:top w:val="single" w:sz="4" w:space="0" w:color="auto"/>
              <w:left w:val="nil"/>
              <w:bottom w:val="single" w:sz="4" w:space="0" w:color="auto"/>
              <w:right w:val="single" w:sz="4" w:space="0" w:color="auto"/>
            </w:tcBorders>
            <w:shd w:val="clear" w:color="000000" w:fill="FFFFFF"/>
            <w:noWrap/>
            <w:hideMark/>
          </w:tcPr>
          <w:p w14:paraId="565C23CC"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11 092</w:t>
            </w:r>
          </w:p>
        </w:tc>
        <w:tc>
          <w:tcPr>
            <w:tcW w:w="1276" w:type="dxa"/>
            <w:tcBorders>
              <w:top w:val="single" w:sz="4" w:space="0" w:color="auto"/>
              <w:left w:val="nil"/>
              <w:bottom w:val="single" w:sz="4" w:space="0" w:color="auto"/>
              <w:right w:val="single" w:sz="4" w:space="0" w:color="auto"/>
            </w:tcBorders>
            <w:shd w:val="clear" w:color="000000" w:fill="FFFFFF"/>
            <w:noWrap/>
            <w:hideMark/>
          </w:tcPr>
          <w:p w14:paraId="27D62F77"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117 666 575</w:t>
            </w:r>
          </w:p>
        </w:tc>
        <w:tc>
          <w:tcPr>
            <w:tcW w:w="1275" w:type="dxa"/>
            <w:tcBorders>
              <w:top w:val="single" w:sz="4" w:space="0" w:color="auto"/>
              <w:left w:val="nil"/>
              <w:bottom w:val="single" w:sz="4" w:space="0" w:color="auto"/>
              <w:right w:val="single" w:sz="4" w:space="0" w:color="auto"/>
            </w:tcBorders>
            <w:shd w:val="clear" w:color="000000" w:fill="FFFFFF"/>
            <w:noWrap/>
            <w:hideMark/>
          </w:tcPr>
          <w:p w14:paraId="5EE7A05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921,27</w:t>
            </w:r>
          </w:p>
        </w:tc>
        <w:tc>
          <w:tcPr>
            <w:tcW w:w="976" w:type="dxa"/>
            <w:tcBorders>
              <w:top w:val="single" w:sz="4" w:space="0" w:color="auto"/>
              <w:left w:val="nil"/>
              <w:bottom w:val="single" w:sz="4" w:space="0" w:color="auto"/>
              <w:right w:val="nil"/>
            </w:tcBorders>
            <w:shd w:val="clear" w:color="000000" w:fill="FFFFFF"/>
            <w:noWrap/>
            <w:hideMark/>
          </w:tcPr>
          <w:p w14:paraId="76FF7868"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11 495</w:t>
            </w:r>
          </w:p>
        </w:tc>
        <w:tc>
          <w:tcPr>
            <w:tcW w:w="1123" w:type="dxa"/>
            <w:tcBorders>
              <w:top w:val="single" w:sz="4" w:space="0" w:color="auto"/>
              <w:left w:val="single" w:sz="4" w:space="0" w:color="auto"/>
              <w:bottom w:val="single" w:sz="4" w:space="0" w:color="auto"/>
              <w:right w:val="single" w:sz="4" w:space="0" w:color="auto"/>
            </w:tcBorders>
            <w:shd w:val="clear" w:color="000000" w:fill="FFFFFF"/>
            <w:noWrap/>
            <w:hideMark/>
          </w:tcPr>
          <w:p w14:paraId="41BB1435"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127 080 213</w:t>
            </w:r>
          </w:p>
        </w:tc>
        <w:tc>
          <w:tcPr>
            <w:tcW w:w="1188" w:type="dxa"/>
            <w:tcBorders>
              <w:top w:val="single" w:sz="4" w:space="0" w:color="auto"/>
              <w:left w:val="nil"/>
              <w:bottom w:val="single" w:sz="4" w:space="0" w:color="auto"/>
              <w:right w:val="single" w:sz="4" w:space="0" w:color="auto"/>
            </w:tcBorders>
            <w:shd w:val="clear" w:color="000000" w:fill="FFFFFF"/>
            <w:noWrap/>
            <w:hideMark/>
          </w:tcPr>
          <w:p w14:paraId="41031AC8"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957,94</w:t>
            </w:r>
          </w:p>
        </w:tc>
        <w:tc>
          <w:tcPr>
            <w:tcW w:w="966" w:type="dxa"/>
            <w:tcBorders>
              <w:top w:val="single" w:sz="4" w:space="0" w:color="auto"/>
              <w:left w:val="nil"/>
              <w:bottom w:val="single" w:sz="4" w:space="0" w:color="auto"/>
              <w:right w:val="single" w:sz="4" w:space="0" w:color="auto"/>
            </w:tcBorders>
            <w:shd w:val="clear" w:color="000000" w:fill="FFFFFF"/>
            <w:noWrap/>
            <w:hideMark/>
          </w:tcPr>
          <w:p w14:paraId="2F274938"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11 903</w:t>
            </w:r>
          </w:p>
        </w:tc>
        <w:tc>
          <w:tcPr>
            <w:tcW w:w="1256" w:type="dxa"/>
            <w:tcBorders>
              <w:top w:val="single" w:sz="4" w:space="0" w:color="auto"/>
              <w:left w:val="nil"/>
              <w:bottom w:val="single" w:sz="4" w:space="0" w:color="auto"/>
              <w:right w:val="single" w:sz="4" w:space="0" w:color="auto"/>
            </w:tcBorders>
            <w:shd w:val="clear" w:color="000000" w:fill="FFFFFF"/>
            <w:noWrap/>
            <w:hideMark/>
          </w:tcPr>
          <w:p w14:paraId="1130A5A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136 827 723</w:t>
            </w:r>
          </w:p>
        </w:tc>
      </w:tr>
      <w:tr w:rsidR="003160BE" w:rsidRPr="003160BE" w14:paraId="00EF0AE1" w14:textId="77777777" w:rsidTr="0052209F">
        <w:trPr>
          <w:trHeight w:val="276"/>
          <w:jc w:val="center"/>
        </w:trPr>
        <w:tc>
          <w:tcPr>
            <w:tcW w:w="4111" w:type="dxa"/>
            <w:tcBorders>
              <w:top w:val="nil"/>
              <w:left w:val="single" w:sz="4" w:space="0" w:color="auto"/>
              <w:bottom w:val="single" w:sz="4" w:space="0" w:color="auto"/>
              <w:right w:val="nil"/>
            </w:tcBorders>
            <w:shd w:val="clear" w:color="000000" w:fill="FFFFFF"/>
            <w:hideMark/>
          </w:tcPr>
          <w:p w14:paraId="27E986DB"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Apbedīšanas pabalsts, ja miris izdienas pensijas saņēmējs</w:t>
            </w:r>
          </w:p>
        </w:tc>
        <w:tc>
          <w:tcPr>
            <w:tcW w:w="1308" w:type="dxa"/>
            <w:tcBorders>
              <w:top w:val="nil"/>
              <w:left w:val="single" w:sz="4" w:space="0" w:color="auto"/>
              <w:bottom w:val="single" w:sz="4" w:space="0" w:color="auto"/>
              <w:right w:val="single" w:sz="4" w:space="0" w:color="auto"/>
            </w:tcBorders>
            <w:shd w:val="clear" w:color="000000" w:fill="FFFFFF"/>
            <w:noWrap/>
            <w:hideMark/>
          </w:tcPr>
          <w:p w14:paraId="44E753A1"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1 289,67</w:t>
            </w:r>
          </w:p>
        </w:tc>
        <w:tc>
          <w:tcPr>
            <w:tcW w:w="1097" w:type="dxa"/>
            <w:tcBorders>
              <w:top w:val="nil"/>
              <w:left w:val="nil"/>
              <w:bottom w:val="single" w:sz="4" w:space="0" w:color="auto"/>
              <w:right w:val="single" w:sz="4" w:space="0" w:color="auto"/>
            </w:tcBorders>
            <w:shd w:val="clear" w:color="000000" w:fill="FFFFFF"/>
            <w:noWrap/>
            <w:hideMark/>
          </w:tcPr>
          <w:p w14:paraId="798019AE"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7</w:t>
            </w:r>
          </w:p>
        </w:tc>
        <w:tc>
          <w:tcPr>
            <w:tcW w:w="1276" w:type="dxa"/>
            <w:tcBorders>
              <w:top w:val="nil"/>
              <w:left w:val="nil"/>
              <w:bottom w:val="single" w:sz="4" w:space="0" w:color="auto"/>
              <w:right w:val="single" w:sz="4" w:space="0" w:color="auto"/>
            </w:tcBorders>
            <w:shd w:val="clear" w:color="000000" w:fill="FFFFFF"/>
            <w:noWrap/>
            <w:hideMark/>
          </w:tcPr>
          <w:p w14:paraId="42663261"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108 332</w:t>
            </w:r>
          </w:p>
        </w:tc>
        <w:tc>
          <w:tcPr>
            <w:tcW w:w="1275" w:type="dxa"/>
            <w:tcBorders>
              <w:top w:val="nil"/>
              <w:left w:val="nil"/>
              <w:bottom w:val="single" w:sz="4" w:space="0" w:color="auto"/>
              <w:right w:val="single" w:sz="4" w:space="0" w:color="auto"/>
            </w:tcBorders>
            <w:shd w:val="clear" w:color="000000" w:fill="FFFFFF"/>
            <w:noWrap/>
            <w:hideMark/>
          </w:tcPr>
          <w:p w14:paraId="65A78AF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1 293,10</w:t>
            </w:r>
          </w:p>
        </w:tc>
        <w:tc>
          <w:tcPr>
            <w:tcW w:w="976" w:type="dxa"/>
            <w:tcBorders>
              <w:top w:val="nil"/>
              <w:left w:val="nil"/>
              <w:bottom w:val="single" w:sz="4" w:space="0" w:color="auto"/>
              <w:right w:val="single" w:sz="4" w:space="0" w:color="auto"/>
            </w:tcBorders>
            <w:shd w:val="clear" w:color="000000" w:fill="FFFFFF"/>
            <w:noWrap/>
            <w:hideMark/>
          </w:tcPr>
          <w:p w14:paraId="678B8D8E"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7</w:t>
            </w:r>
          </w:p>
        </w:tc>
        <w:tc>
          <w:tcPr>
            <w:tcW w:w="1123" w:type="dxa"/>
            <w:tcBorders>
              <w:top w:val="nil"/>
              <w:left w:val="nil"/>
              <w:bottom w:val="single" w:sz="4" w:space="0" w:color="auto"/>
              <w:right w:val="single" w:sz="4" w:space="0" w:color="auto"/>
            </w:tcBorders>
            <w:shd w:val="clear" w:color="000000" w:fill="FFFFFF"/>
            <w:noWrap/>
            <w:hideMark/>
          </w:tcPr>
          <w:p w14:paraId="6FC280A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108 620</w:t>
            </w:r>
          </w:p>
        </w:tc>
        <w:tc>
          <w:tcPr>
            <w:tcW w:w="1188" w:type="dxa"/>
            <w:tcBorders>
              <w:top w:val="nil"/>
              <w:left w:val="nil"/>
              <w:bottom w:val="single" w:sz="4" w:space="0" w:color="auto"/>
              <w:right w:val="single" w:sz="4" w:space="0" w:color="auto"/>
            </w:tcBorders>
            <w:shd w:val="clear" w:color="000000" w:fill="FFFFFF"/>
            <w:noWrap/>
            <w:hideMark/>
          </w:tcPr>
          <w:p w14:paraId="13CDD751"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1 304,81</w:t>
            </w:r>
          </w:p>
        </w:tc>
        <w:tc>
          <w:tcPr>
            <w:tcW w:w="966" w:type="dxa"/>
            <w:tcBorders>
              <w:top w:val="nil"/>
              <w:left w:val="nil"/>
              <w:bottom w:val="single" w:sz="4" w:space="0" w:color="auto"/>
              <w:right w:val="single" w:sz="4" w:space="0" w:color="auto"/>
            </w:tcBorders>
            <w:shd w:val="clear" w:color="000000" w:fill="FFFFFF"/>
            <w:noWrap/>
            <w:hideMark/>
          </w:tcPr>
          <w:p w14:paraId="5AC9F9B1"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7</w:t>
            </w:r>
          </w:p>
        </w:tc>
        <w:tc>
          <w:tcPr>
            <w:tcW w:w="1256" w:type="dxa"/>
            <w:tcBorders>
              <w:top w:val="nil"/>
              <w:left w:val="nil"/>
              <w:bottom w:val="single" w:sz="4" w:space="0" w:color="auto"/>
              <w:right w:val="single" w:sz="4" w:space="0" w:color="auto"/>
            </w:tcBorders>
            <w:shd w:val="clear" w:color="000000" w:fill="FFFFFF"/>
            <w:noWrap/>
            <w:hideMark/>
          </w:tcPr>
          <w:p w14:paraId="117CEF25"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109 604</w:t>
            </w:r>
          </w:p>
        </w:tc>
      </w:tr>
      <w:tr w:rsidR="003160BE" w:rsidRPr="003160BE" w14:paraId="2D87F24F" w14:textId="77777777" w:rsidTr="0052209F">
        <w:trPr>
          <w:trHeight w:val="528"/>
          <w:jc w:val="center"/>
        </w:trPr>
        <w:tc>
          <w:tcPr>
            <w:tcW w:w="4111" w:type="dxa"/>
            <w:tcBorders>
              <w:top w:val="nil"/>
              <w:left w:val="single" w:sz="4" w:space="0" w:color="auto"/>
              <w:bottom w:val="single" w:sz="4" w:space="0" w:color="auto"/>
              <w:right w:val="nil"/>
            </w:tcBorders>
            <w:shd w:val="clear" w:color="000000" w:fill="FFFFFF"/>
            <w:hideMark/>
          </w:tcPr>
          <w:p w14:paraId="6D810232"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Pabalsts izdienas pensijas saņēmēja nāves gadījumā pārdzīvojušajam laulātajam</w:t>
            </w:r>
          </w:p>
        </w:tc>
        <w:tc>
          <w:tcPr>
            <w:tcW w:w="1308" w:type="dxa"/>
            <w:tcBorders>
              <w:top w:val="nil"/>
              <w:left w:val="single" w:sz="4" w:space="0" w:color="auto"/>
              <w:bottom w:val="single" w:sz="4" w:space="0" w:color="auto"/>
              <w:right w:val="single" w:sz="4" w:space="0" w:color="auto"/>
            </w:tcBorders>
            <w:shd w:val="clear" w:color="000000" w:fill="FFFFFF"/>
            <w:noWrap/>
            <w:hideMark/>
          </w:tcPr>
          <w:p w14:paraId="093E3BAB"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1 211,33</w:t>
            </w:r>
          </w:p>
        </w:tc>
        <w:tc>
          <w:tcPr>
            <w:tcW w:w="1097" w:type="dxa"/>
            <w:tcBorders>
              <w:top w:val="nil"/>
              <w:left w:val="nil"/>
              <w:bottom w:val="single" w:sz="4" w:space="0" w:color="auto"/>
              <w:right w:val="single" w:sz="4" w:space="0" w:color="auto"/>
            </w:tcBorders>
            <w:shd w:val="clear" w:color="000000" w:fill="FFFFFF"/>
            <w:noWrap/>
            <w:hideMark/>
          </w:tcPr>
          <w:p w14:paraId="3383C5BF"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w:t>
            </w:r>
          </w:p>
        </w:tc>
        <w:tc>
          <w:tcPr>
            <w:tcW w:w="1276" w:type="dxa"/>
            <w:tcBorders>
              <w:top w:val="nil"/>
              <w:left w:val="nil"/>
              <w:bottom w:val="single" w:sz="4" w:space="0" w:color="auto"/>
              <w:right w:val="single" w:sz="4" w:space="0" w:color="auto"/>
            </w:tcBorders>
            <w:shd w:val="clear" w:color="000000" w:fill="FFFFFF"/>
            <w:noWrap/>
            <w:hideMark/>
          </w:tcPr>
          <w:p w14:paraId="6145F3D2"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14 536</w:t>
            </w:r>
          </w:p>
        </w:tc>
        <w:tc>
          <w:tcPr>
            <w:tcW w:w="1275" w:type="dxa"/>
            <w:tcBorders>
              <w:top w:val="nil"/>
              <w:left w:val="nil"/>
              <w:bottom w:val="single" w:sz="4" w:space="0" w:color="auto"/>
              <w:right w:val="single" w:sz="4" w:space="0" w:color="auto"/>
            </w:tcBorders>
            <w:shd w:val="clear" w:color="000000" w:fill="FFFFFF"/>
            <w:noWrap/>
            <w:hideMark/>
          </w:tcPr>
          <w:p w14:paraId="53A7AB69"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1 257,00</w:t>
            </w:r>
          </w:p>
        </w:tc>
        <w:tc>
          <w:tcPr>
            <w:tcW w:w="976" w:type="dxa"/>
            <w:tcBorders>
              <w:top w:val="nil"/>
              <w:left w:val="nil"/>
              <w:bottom w:val="single" w:sz="4" w:space="0" w:color="auto"/>
              <w:right w:val="single" w:sz="4" w:space="0" w:color="auto"/>
            </w:tcBorders>
            <w:shd w:val="clear" w:color="000000" w:fill="FFFFFF"/>
            <w:noWrap/>
            <w:hideMark/>
          </w:tcPr>
          <w:p w14:paraId="6267B91A"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w:t>
            </w:r>
          </w:p>
        </w:tc>
        <w:tc>
          <w:tcPr>
            <w:tcW w:w="1123" w:type="dxa"/>
            <w:tcBorders>
              <w:top w:val="nil"/>
              <w:left w:val="nil"/>
              <w:bottom w:val="nil"/>
              <w:right w:val="single" w:sz="4" w:space="0" w:color="auto"/>
            </w:tcBorders>
            <w:shd w:val="clear" w:color="000000" w:fill="FFFFFF"/>
            <w:noWrap/>
            <w:hideMark/>
          </w:tcPr>
          <w:p w14:paraId="4035121B"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15 084</w:t>
            </w:r>
          </w:p>
        </w:tc>
        <w:tc>
          <w:tcPr>
            <w:tcW w:w="1188" w:type="dxa"/>
            <w:tcBorders>
              <w:top w:val="nil"/>
              <w:left w:val="nil"/>
              <w:bottom w:val="single" w:sz="4" w:space="0" w:color="auto"/>
              <w:right w:val="single" w:sz="4" w:space="0" w:color="auto"/>
            </w:tcBorders>
            <w:shd w:val="clear" w:color="000000" w:fill="FFFFFF"/>
            <w:noWrap/>
            <w:hideMark/>
          </w:tcPr>
          <w:p w14:paraId="4F0472B8"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1 304,92</w:t>
            </w:r>
          </w:p>
        </w:tc>
        <w:tc>
          <w:tcPr>
            <w:tcW w:w="966" w:type="dxa"/>
            <w:tcBorders>
              <w:top w:val="nil"/>
              <w:left w:val="nil"/>
              <w:bottom w:val="single" w:sz="4" w:space="0" w:color="auto"/>
              <w:right w:val="single" w:sz="4" w:space="0" w:color="auto"/>
            </w:tcBorders>
            <w:shd w:val="clear" w:color="000000" w:fill="FFFFFF"/>
            <w:noWrap/>
            <w:hideMark/>
          </w:tcPr>
          <w:p w14:paraId="78B1DFAC"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w:t>
            </w:r>
          </w:p>
        </w:tc>
        <w:tc>
          <w:tcPr>
            <w:tcW w:w="1256" w:type="dxa"/>
            <w:tcBorders>
              <w:top w:val="nil"/>
              <w:left w:val="nil"/>
              <w:bottom w:val="single" w:sz="4" w:space="0" w:color="auto"/>
              <w:right w:val="single" w:sz="4" w:space="0" w:color="auto"/>
            </w:tcBorders>
            <w:shd w:val="clear" w:color="000000" w:fill="FFFFFF"/>
            <w:noWrap/>
            <w:hideMark/>
          </w:tcPr>
          <w:p w14:paraId="5ADEB9BA"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15 659</w:t>
            </w:r>
          </w:p>
        </w:tc>
      </w:tr>
      <w:tr w:rsidR="003160BE" w:rsidRPr="003160BE" w14:paraId="23EF0807" w14:textId="77777777" w:rsidTr="0052209F">
        <w:trPr>
          <w:trHeight w:val="1010"/>
          <w:jc w:val="center"/>
        </w:trPr>
        <w:tc>
          <w:tcPr>
            <w:tcW w:w="4111" w:type="dxa"/>
            <w:tcBorders>
              <w:top w:val="nil"/>
              <w:left w:val="single" w:sz="4" w:space="0" w:color="auto"/>
              <w:bottom w:val="single" w:sz="4" w:space="0" w:color="auto"/>
              <w:right w:val="nil"/>
            </w:tcBorders>
            <w:shd w:val="clear" w:color="000000" w:fill="FFFFFF"/>
            <w:hideMark/>
          </w:tcPr>
          <w:p w14:paraId="53677D17" w14:textId="77777777" w:rsidR="003160BE" w:rsidRPr="003160BE" w:rsidRDefault="003160BE" w:rsidP="003160BE">
            <w:pPr>
              <w:spacing w:after="0"/>
              <w:ind w:firstLine="0"/>
              <w:jc w:val="left"/>
              <w:rPr>
                <w:rFonts w:eastAsia="Times New Roman" w:cs="Times New Roman"/>
                <w:sz w:val="18"/>
                <w:szCs w:val="18"/>
                <w:highlight w:val="lightGray"/>
              </w:rPr>
            </w:pPr>
            <w:r w:rsidRPr="003160BE">
              <w:rPr>
                <w:rFonts w:eastAsia="Calibri" w:cs="Times New Roman"/>
                <w:sz w:val="18"/>
                <w:szCs w:val="18"/>
                <w:lang w:eastAsia="en-US"/>
              </w:rPr>
              <w:t>Piemaksas pie vecuma pensijām, lai saglabātu piešķirto izdienas pensijas apmēru tām personām, kurām izdienas pensijas piešķirtas saskaņā ar nolikumu "Par iekšlietu iestāžu ierindas un komandējošā sastāva darbinieku pensijām (darba devēju pensijām)"</w:t>
            </w:r>
          </w:p>
        </w:tc>
        <w:tc>
          <w:tcPr>
            <w:tcW w:w="1308" w:type="dxa"/>
            <w:tcBorders>
              <w:top w:val="nil"/>
              <w:left w:val="single" w:sz="4" w:space="0" w:color="auto"/>
              <w:bottom w:val="single" w:sz="4" w:space="0" w:color="auto"/>
              <w:right w:val="single" w:sz="4" w:space="0" w:color="auto"/>
            </w:tcBorders>
            <w:shd w:val="clear" w:color="000000" w:fill="FFFFFF"/>
            <w:noWrap/>
            <w:hideMark/>
          </w:tcPr>
          <w:p w14:paraId="4436C4A1"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175,03</w:t>
            </w:r>
          </w:p>
        </w:tc>
        <w:tc>
          <w:tcPr>
            <w:tcW w:w="1097" w:type="dxa"/>
            <w:tcBorders>
              <w:top w:val="nil"/>
              <w:left w:val="nil"/>
              <w:bottom w:val="single" w:sz="4" w:space="0" w:color="auto"/>
              <w:right w:val="single" w:sz="4" w:space="0" w:color="auto"/>
            </w:tcBorders>
            <w:shd w:val="clear" w:color="000000" w:fill="FFFFFF"/>
            <w:noWrap/>
            <w:hideMark/>
          </w:tcPr>
          <w:p w14:paraId="04223633"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20</w:t>
            </w:r>
          </w:p>
        </w:tc>
        <w:tc>
          <w:tcPr>
            <w:tcW w:w="1276" w:type="dxa"/>
            <w:tcBorders>
              <w:top w:val="nil"/>
              <w:left w:val="nil"/>
              <w:bottom w:val="single" w:sz="4" w:space="0" w:color="auto"/>
              <w:right w:val="single" w:sz="4" w:space="0" w:color="auto"/>
            </w:tcBorders>
            <w:shd w:val="clear" w:color="000000" w:fill="FFFFFF"/>
            <w:noWrap/>
            <w:hideMark/>
          </w:tcPr>
          <w:p w14:paraId="2F85F09C"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42 006</w:t>
            </w:r>
          </w:p>
        </w:tc>
        <w:tc>
          <w:tcPr>
            <w:tcW w:w="1275" w:type="dxa"/>
            <w:tcBorders>
              <w:top w:val="nil"/>
              <w:left w:val="nil"/>
              <w:bottom w:val="single" w:sz="4" w:space="0" w:color="auto"/>
              <w:right w:val="single" w:sz="4" w:space="0" w:color="auto"/>
            </w:tcBorders>
            <w:shd w:val="clear" w:color="000000" w:fill="FFFFFF"/>
            <w:noWrap/>
            <w:hideMark/>
          </w:tcPr>
          <w:p w14:paraId="406C5F59"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182,00</w:t>
            </w:r>
          </w:p>
        </w:tc>
        <w:tc>
          <w:tcPr>
            <w:tcW w:w="976" w:type="dxa"/>
            <w:tcBorders>
              <w:top w:val="nil"/>
              <w:left w:val="nil"/>
              <w:bottom w:val="single" w:sz="4" w:space="0" w:color="auto"/>
              <w:right w:val="single" w:sz="4" w:space="0" w:color="auto"/>
            </w:tcBorders>
            <w:shd w:val="clear" w:color="000000" w:fill="FFFFFF"/>
            <w:noWrap/>
            <w:hideMark/>
          </w:tcPr>
          <w:p w14:paraId="1892A889"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20</w:t>
            </w:r>
          </w:p>
        </w:tc>
        <w:tc>
          <w:tcPr>
            <w:tcW w:w="1123" w:type="dxa"/>
            <w:tcBorders>
              <w:top w:val="single" w:sz="4" w:space="0" w:color="auto"/>
              <w:left w:val="nil"/>
              <w:bottom w:val="single" w:sz="4" w:space="0" w:color="auto"/>
              <w:right w:val="single" w:sz="4" w:space="0" w:color="auto"/>
            </w:tcBorders>
            <w:shd w:val="clear" w:color="000000" w:fill="FFFFFF"/>
            <w:noWrap/>
            <w:hideMark/>
          </w:tcPr>
          <w:p w14:paraId="4D584305"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43 681</w:t>
            </w:r>
          </w:p>
        </w:tc>
        <w:tc>
          <w:tcPr>
            <w:tcW w:w="1188" w:type="dxa"/>
            <w:tcBorders>
              <w:top w:val="nil"/>
              <w:left w:val="nil"/>
              <w:bottom w:val="nil"/>
              <w:right w:val="single" w:sz="4" w:space="0" w:color="auto"/>
            </w:tcBorders>
            <w:shd w:val="clear" w:color="000000" w:fill="FFFFFF"/>
            <w:noWrap/>
            <w:hideMark/>
          </w:tcPr>
          <w:p w14:paraId="4E0FF9F2"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188,99</w:t>
            </w:r>
          </w:p>
        </w:tc>
        <w:tc>
          <w:tcPr>
            <w:tcW w:w="966" w:type="dxa"/>
            <w:tcBorders>
              <w:top w:val="nil"/>
              <w:left w:val="nil"/>
              <w:bottom w:val="nil"/>
              <w:right w:val="single" w:sz="4" w:space="0" w:color="auto"/>
            </w:tcBorders>
            <w:shd w:val="clear" w:color="000000" w:fill="FFFFFF"/>
            <w:noWrap/>
            <w:hideMark/>
          </w:tcPr>
          <w:p w14:paraId="55F49EAA"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20</w:t>
            </w:r>
          </w:p>
        </w:tc>
        <w:tc>
          <w:tcPr>
            <w:tcW w:w="1256" w:type="dxa"/>
            <w:tcBorders>
              <w:top w:val="nil"/>
              <w:left w:val="nil"/>
              <w:bottom w:val="nil"/>
              <w:right w:val="single" w:sz="4" w:space="0" w:color="auto"/>
            </w:tcBorders>
            <w:shd w:val="clear" w:color="000000" w:fill="FFFFFF"/>
            <w:noWrap/>
            <w:hideMark/>
          </w:tcPr>
          <w:p w14:paraId="2477D339" w14:textId="77777777" w:rsidR="003160BE" w:rsidRPr="003160BE" w:rsidRDefault="003160BE" w:rsidP="003160BE">
            <w:pPr>
              <w:spacing w:after="0"/>
              <w:ind w:firstLine="0"/>
              <w:jc w:val="center"/>
              <w:rPr>
                <w:rFonts w:eastAsia="Times New Roman" w:cs="Times New Roman"/>
                <w:sz w:val="18"/>
                <w:szCs w:val="18"/>
                <w:highlight w:val="lightGray"/>
              </w:rPr>
            </w:pPr>
            <w:r w:rsidRPr="003160BE">
              <w:rPr>
                <w:rFonts w:eastAsia="Calibri" w:cs="Times New Roman"/>
                <w:sz w:val="18"/>
                <w:szCs w:val="18"/>
                <w:lang w:eastAsia="en-US"/>
              </w:rPr>
              <w:t>45 358</w:t>
            </w:r>
          </w:p>
        </w:tc>
      </w:tr>
      <w:tr w:rsidR="003160BE" w:rsidRPr="003160BE" w14:paraId="40D474AC" w14:textId="77777777" w:rsidTr="0052209F">
        <w:trPr>
          <w:trHeight w:val="276"/>
          <w:jc w:val="center"/>
        </w:trPr>
        <w:tc>
          <w:tcPr>
            <w:tcW w:w="4111" w:type="dxa"/>
            <w:tcBorders>
              <w:top w:val="single" w:sz="4" w:space="0" w:color="auto"/>
              <w:left w:val="single" w:sz="4" w:space="0" w:color="auto"/>
              <w:bottom w:val="single" w:sz="4" w:space="0" w:color="auto"/>
              <w:right w:val="single" w:sz="4" w:space="0" w:color="auto"/>
            </w:tcBorders>
            <w:shd w:val="clear" w:color="000000" w:fill="FFFFFF"/>
            <w:noWrap/>
            <w:hideMark/>
          </w:tcPr>
          <w:p w14:paraId="2413B19D"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KOPĀ</w:t>
            </w:r>
          </w:p>
        </w:tc>
        <w:tc>
          <w:tcPr>
            <w:tcW w:w="1308" w:type="dxa"/>
            <w:tcBorders>
              <w:top w:val="nil"/>
              <w:left w:val="nil"/>
              <w:bottom w:val="single" w:sz="4" w:space="0" w:color="auto"/>
              <w:right w:val="single" w:sz="4" w:space="0" w:color="auto"/>
            </w:tcBorders>
            <w:shd w:val="clear" w:color="000000" w:fill="FFFFFF"/>
            <w:noWrap/>
            <w:hideMark/>
          </w:tcPr>
          <w:p w14:paraId="229188F0"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1097" w:type="dxa"/>
            <w:tcBorders>
              <w:top w:val="nil"/>
              <w:left w:val="nil"/>
              <w:bottom w:val="single" w:sz="4" w:space="0" w:color="auto"/>
              <w:right w:val="single" w:sz="4" w:space="0" w:color="auto"/>
            </w:tcBorders>
            <w:shd w:val="clear" w:color="000000" w:fill="FFFFFF"/>
            <w:noWrap/>
            <w:hideMark/>
          </w:tcPr>
          <w:p w14:paraId="443F1BCE"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1276" w:type="dxa"/>
            <w:tcBorders>
              <w:top w:val="nil"/>
              <w:left w:val="nil"/>
              <w:bottom w:val="single" w:sz="4" w:space="0" w:color="auto"/>
              <w:right w:val="single" w:sz="4" w:space="0" w:color="auto"/>
            </w:tcBorders>
            <w:shd w:val="clear" w:color="000000" w:fill="FFFFFF"/>
            <w:noWrap/>
            <w:hideMark/>
          </w:tcPr>
          <w:p w14:paraId="441A85A7"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117 831 449</w:t>
            </w:r>
          </w:p>
        </w:tc>
        <w:tc>
          <w:tcPr>
            <w:tcW w:w="1275" w:type="dxa"/>
            <w:tcBorders>
              <w:top w:val="nil"/>
              <w:left w:val="nil"/>
              <w:bottom w:val="single" w:sz="4" w:space="0" w:color="auto"/>
              <w:right w:val="single" w:sz="4" w:space="0" w:color="auto"/>
            </w:tcBorders>
            <w:shd w:val="clear" w:color="000000" w:fill="FFFFFF"/>
            <w:noWrap/>
            <w:hideMark/>
          </w:tcPr>
          <w:p w14:paraId="48862D03"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976" w:type="dxa"/>
            <w:tcBorders>
              <w:top w:val="nil"/>
              <w:left w:val="nil"/>
              <w:bottom w:val="single" w:sz="4" w:space="0" w:color="auto"/>
              <w:right w:val="single" w:sz="4" w:space="0" w:color="auto"/>
            </w:tcBorders>
            <w:shd w:val="clear" w:color="000000" w:fill="FFFFFF"/>
            <w:noWrap/>
            <w:hideMark/>
          </w:tcPr>
          <w:p w14:paraId="5E79A1A8"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1123" w:type="dxa"/>
            <w:tcBorders>
              <w:top w:val="nil"/>
              <w:left w:val="nil"/>
              <w:bottom w:val="single" w:sz="4" w:space="0" w:color="auto"/>
              <w:right w:val="single" w:sz="4" w:space="0" w:color="auto"/>
            </w:tcBorders>
            <w:shd w:val="clear" w:color="000000" w:fill="FFFFFF"/>
            <w:noWrap/>
            <w:hideMark/>
          </w:tcPr>
          <w:p w14:paraId="7B3B9480"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127 247 598</w:t>
            </w:r>
          </w:p>
        </w:tc>
        <w:tc>
          <w:tcPr>
            <w:tcW w:w="1188" w:type="dxa"/>
            <w:tcBorders>
              <w:top w:val="single" w:sz="4" w:space="0" w:color="auto"/>
              <w:left w:val="nil"/>
              <w:bottom w:val="single" w:sz="4" w:space="0" w:color="auto"/>
              <w:right w:val="single" w:sz="4" w:space="0" w:color="auto"/>
            </w:tcBorders>
            <w:shd w:val="clear" w:color="000000" w:fill="FFFFFF"/>
            <w:noWrap/>
            <w:hideMark/>
          </w:tcPr>
          <w:p w14:paraId="37BCF6F9"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966" w:type="dxa"/>
            <w:tcBorders>
              <w:top w:val="single" w:sz="4" w:space="0" w:color="auto"/>
              <w:left w:val="nil"/>
              <w:bottom w:val="single" w:sz="4" w:space="0" w:color="auto"/>
              <w:right w:val="single" w:sz="4" w:space="0" w:color="auto"/>
            </w:tcBorders>
            <w:shd w:val="clear" w:color="000000" w:fill="FFFFFF"/>
            <w:noWrap/>
            <w:hideMark/>
          </w:tcPr>
          <w:p w14:paraId="675B8DB0"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x</w:t>
            </w:r>
          </w:p>
        </w:tc>
        <w:tc>
          <w:tcPr>
            <w:tcW w:w="1256" w:type="dxa"/>
            <w:tcBorders>
              <w:top w:val="single" w:sz="4" w:space="0" w:color="auto"/>
              <w:left w:val="nil"/>
              <w:bottom w:val="single" w:sz="4" w:space="0" w:color="auto"/>
              <w:right w:val="single" w:sz="4" w:space="0" w:color="auto"/>
            </w:tcBorders>
            <w:shd w:val="clear" w:color="000000" w:fill="FFFFFF"/>
            <w:noWrap/>
            <w:hideMark/>
          </w:tcPr>
          <w:p w14:paraId="3E5793F8" w14:textId="77777777" w:rsidR="003160BE" w:rsidRPr="003160BE" w:rsidRDefault="003160BE" w:rsidP="003160BE">
            <w:pPr>
              <w:spacing w:after="0"/>
              <w:ind w:firstLine="0"/>
              <w:jc w:val="center"/>
              <w:rPr>
                <w:rFonts w:eastAsia="Times New Roman" w:cs="Times New Roman"/>
                <w:b/>
                <w:bCs/>
                <w:sz w:val="18"/>
                <w:szCs w:val="18"/>
                <w:highlight w:val="lightGray"/>
              </w:rPr>
            </w:pPr>
            <w:r w:rsidRPr="003160BE">
              <w:rPr>
                <w:rFonts w:eastAsia="Calibri" w:cs="Times New Roman"/>
                <w:b/>
                <w:bCs/>
                <w:sz w:val="18"/>
                <w:szCs w:val="18"/>
                <w:lang w:eastAsia="en-US"/>
              </w:rPr>
              <w:t>136 998 344</w:t>
            </w:r>
          </w:p>
        </w:tc>
      </w:tr>
    </w:tbl>
    <w:p w14:paraId="318CD3AF" w14:textId="77777777" w:rsidR="003160BE" w:rsidRPr="003160BE" w:rsidRDefault="003160BE" w:rsidP="003160BE">
      <w:pPr>
        <w:widowControl w:val="0"/>
        <w:spacing w:before="120"/>
        <w:ind w:firstLine="0"/>
        <w:rPr>
          <w:rFonts w:eastAsia="Calibri" w:cs="Times New Roman"/>
          <w:i/>
          <w:sz w:val="20"/>
        </w:rPr>
      </w:pPr>
      <w:r w:rsidRPr="003160BE">
        <w:rPr>
          <w:rFonts w:eastAsia="Calibri" w:cs="Times New Roman"/>
          <w:i/>
          <w:sz w:val="20"/>
        </w:rPr>
        <w:t>Datu avots: FM</w:t>
      </w:r>
    </w:p>
    <w:p w14:paraId="02A1BB51" w14:textId="77777777" w:rsidR="003160BE" w:rsidRPr="003160BE" w:rsidRDefault="003160BE" w:rsidP="003160BE">
      <w:pPr>
        <w:widowControl w:val="0"/>
        <w:rPr>
          <w:rFonts w:eastAsia="Times New Roman" w:cs="Times New Roman"/>
          <w:b/>
          <w:color w:val="000000"/>
          <w:highlight w:val="lightGray"/>
        </w:rPr>
      </w:pPr>
    </w:p>
    <w:p w14:paraId="119BC4A2" w14:textId="77777777" w:rsidR="003160BE" w:rsidRPr="003160BE" w:rsidRDefault="003160BE" w:rsidP="003160BE">
      <w:pPr>
        <w:spacing w:after="160" w:line="259" w:lineRule="auto"/>
        <w:ind w:firstLine="0"/>
        <w:jc w:val="left"/>
        <w:rPr>
          <w:rFonts w:eastAsia="Times New Roman" w:cs="Times New Roman"/>
          <w:b/>
          <w:color w:val="000000"/>
          <w:highlight w:val="lightGray"/>
        </w:rPr>
      </w:pPr>
      <w:r w:rsidRPr="003160BE">
        <w:rPr>
          <w:rFonts w:eastAsia="Times New Roman" w:cs="Times New Roman"/>
          <w:b/>
          <w:color w:val="000000"/>
          <w:highlight w:val="lightGray"/>
        </w:rPr>
        <w:br w:type="page"/>
      </w:r>
    </w:p>
    <w:p w14:paraId="1FD322CB" w14:textId="77777777" w:rsidR="003160BE" w:rsidRPr="003160BE" w:rsidRDefault="003160BE" w:rsidP="003160BE">
      <w:pPr>
        <w:widowControl w:val="0"/>
        <w:jc w:val="right"/>
        <w:rPr>
          <w:rFonts w:eastAsia="Times New Roman" w:cs="Times New Roman"/>
          <w:color w:val="000000"/>
        </w:rPr>
      </w:pPr>
      <w:r w:rsidRPr="003160BE">
        <w:rPr>
          <w:rFonts w:eastAsia="Times New Roman" w:cs="Times New Roman"/>
          <w:color w:val="000000"/>
        </w:rPr>
        <w:lastRenderedPageBreak/>
        <w:t>7. pielikums</w:t>
      </w:r>
    </w:p>
    <w:p w14:paraId="01EA891C" w14:textId="62590CD6" w:rsidR="003160BE" w:rsidRPr="003160BE" w:rsidRDefault="003160BE" w:rsidP="003160BE">
      <w:pPr>
        <w:widowControl w:val="0"/>
        <w:spacing w:before="240" w:after="240"/>
        <w:jc w:val="center"/>
        <w:rPr>
          <w:rFonts w:eastAsia="Times New Roman" w:cs="Times New Roman"/>
          <w:b/>
          <w:color w:val="000000"/>
        </w:rPr>
      </w:pPr>
      <w:r w:rsidRPr="003160BE">
        <w:rPr>
          <w:rFonts w:eastAsia="Times New Roman" w:cs="Times New Roman"/>
          <w:b/>
          <w:color w:val="000000"/>
        </w:rPr>
        <w:t xml:space="preserve">Labklājības ministrijas pamatbudžeta apakšprogramma 20.03.00 </w:t>
      </w:r>
      <w:r w:rsidR="009579B2" w:rsidRPr="009579B2">
        <w:rPr>
          <w:rFonts w:eastAsia="Times New Roman" w:cs="Times New Roman"/>
          <w:b/>
          <w:color w:val="000000"/>
        </w:rPr>
        <w:t>"</w:t>
      </w:r>
      <w:r w:rsidRPr="003160BE">
        <w:rPr>
          <w:rFonts w:eastAsia="Times New Roman" w:cs="Times New Roman"/>
          <w:b/>
          <w:color w:val="000000"/>
        </w:rPr>
        <w:t>Piemaksas pie vecuma un invaliditātes pensijām</w:t>
      </w:r>
      <w:r w:rsidR="009579B2" w:rsidRPr="009579B2">
        <w:rPr>
          <w:rFonts w:eastAsia="Times New Roman" w:cs="Times New Roman"/>
          <w:b/>
          <w:color w:val="000000"/>
        </w:rPr>
        <w:t>"</w:t>
      </w:r>
    </w:p>
    <w:tbl>
      <w:tblPr>
        <w:tblW w:w="13714" w:type="dxa"/>
        <w:jc w:val="center"/>
        <w:tblLook w:val="04A0" w:firstRow="1" w:lastRow="0" w:firstColumn="1" w:lastColumn="0" w:noHBand="0" w:noVBand="1"/>
      </w:tblPr>
      <w:tblGrid>
        <w:gridCol w:w="3686"/>
        <w:gridCol w:w="1036"/>
        <w:gridCol w:w="966"/>
        <w:gridCol w:w="1239"/>
        <w:gridCol w:w="1102"/>
        <w:gridCol w:w="1239"/>
        <w:gridCol w:w="1196"/>
        <w:gridCol w:w="876"/>
        <w:gridCol w:w="1136"/>
        <w:gridCol w:w="1238"/>
      </w:tblGrid>
      <w:tr w:rsidR="003160BE" w:rsidRPr="003160BE" w14:paraId="26877DCF" w14:textId="77777777" w:rsidTr="003160BE">
        <w:trPr>
          <w:trHeight w:val="660"/>
          <w:jc w:val="center"/>
        </w:trPr>
        <w:tc>
          <w:tcPr>
            <w:tcW w:w="3686" w:type="dxa"/>
            <w:vMerge w:val="restart"/>
            <w:tcBorders>
              <w:top w:val="single" w:sz="4" w:space="0" w:color="auto"/>
              <w:left w:val="single" w:sz="4" w:space="0" w:color="auto"/>
              <w:right w:val="single" w:sz="4" w:space="0" w:color="auto"/>
            </w:tcBorders>
            <w:shd w:val="clear" w:color="auto" w:fill="9CC2E5"/>
            <w:noWrap/>
            <w:vAlign w:val="bottom"/>
            <w:hideMark/>
          </w:tcPr>
          <w:p w14:paraId="1D9AB5F7"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 </w:t>
            </w:r>
          </w:p>
          <w:p w14:paraId="53438073"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Pabalsta veids</w:t>
            </w:r>
          </w:p>
        </w:tc>
        <w:tc>
          <w:tcPr>
            <w:tcW w:w="3241"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5FA3A3B4"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2026. gada projekts</w:t>
            </w:r>
          </w:p>
        </w:tc>
        <w:tc>
          <w:tcPr>
            <w:tcW w:w="3537"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23CC07C2"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2027. gada prognoze</w:t>
            </w:r>
          </w:p>
        </w:tc>
        <w:tc>
          <w:tcPr>
            <w:tcW w:w="3250" w:type="dxa"/>
            <w:gridSpan w:val="3"/>
            <w:tcBorders>
              <w:top w:val="single" w:sz="4" w:space="0" w:color="auto"/>
              <w:left w:val="nil"/>
              <w:bottom w:val="single" w:sz="4" w:space="0" w:color="auto"/>
              <w:right w:val="single" w:sz="4" w:space="0" w:color="000000"/>
            </w:tcBorders>
            <w:shd w:val="clear" w:color="auto" w:fill="9CC2E5"/>
            <w:noWrap/>
            <w:vAlign w:val="center"/>
            <w:hideMark/>
          </w:tcPr>
          <w:p w14:paraId="65526F5F"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2028. gada prognoze</w:t>
            </w:r>
          </w:p>
        </w:tc>
      </w:tr>
      <w:tr w:rsidR="003160BE" w:rsidRPr="003160BE" w14:paraId="4E04C212" w14:textId="77777777" w:rsidTr="003160BE">
        <w:trPr>
          <w:trHeight w:val="480"/>
          <w:jc w:val="center"/>
        </w:trPr>
        <w:tc>
          <w:tcPr>
            <w:tcW w:w="3686" w:type="dxa"/>
            <w:vMerge/>
            <w:tcBorders>
              <w:left w:val="single" w:sz="4" w:space="0" w:color="auto"/>
              <w:right w:val="single" w:sz="4" w:space="0" w:color="auto"/>
            </w:tcBorders>
            <w:shd w:val="clear" w:color="auto" w:fill="9CC2E5"/>
            <w:noWrap/>
            <w:vAlign w:val="center"/>
            <w:hideMark/>
          </w:tcPr>
          <w:p w14:paraId="36F23010" w14:textId="77777777" w:rsidR="003160BE" w:rsidRPr="003160BE" w:rsidRDefault="003160BE" w:rsidP="003160BE">
            <w:pPr>
              <w:spacing w:after="0"/>
              <w:ind w:firstLine="0"/>
              <w:jc w:val="center"/>
              <w:rPr>
                <w:rFonts w:eastAsia="Times New Roman" w:cs="Times New Roman"/>
                <w:sz w:val="18"/>
                <w:szCs w:val="18"/>
              </w:rPr>
            </w:pPr>
          </w:p>
        </w:tc>
        <w:tc>
          <w:tcPr>
            <w:tcW w:w="1036" w:type="dxa"/>
            <w:vMerge w:val="restart"/>
            <w:tcBorders>
              <w:top w:val="single" w:sz="4" w:space="0" w:color="auto"/>
              <w:left w:val="single" w:sz="4" w:space="0" w:color="auto"/>
              <w:bottom w:val="single" w:sz="4" w:space="0" w:color="000000"/>
              <w:right w:val="single" w:sz="4" w:space="0" w:color="auto"/>
            </w:tcBorders>
            <w:shd w:val="clear" w:color="auto" w:fill="DEEAF6"/>
            <w:vAlign w:val="center"/>
            <w:hideMark/>
          </w:tcPr>
          <w:p w14:paraId="042AA2B1"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Pabalsta apmērs vidēji mēnesī (</w:t>
            </w:r>
            <w:r w:rsidRPr="003160BE">
              <w:rPr>
                <w:rFonts w:eastAsia="Times New Roman" w:cs="Times New Roman"/>
                <w:i/>
                <w:sz w:val="18"/>
                <w:szCs w:val="18"/>
              </w:rPr>
              <w:t>euro</w:t>
            </w:r>
            <w:r w:rsidRPr="003160BE">
              <w:rPr>
                <w:rFonts w:eastAsia="Times New Roman" w:cs="Times New Roman"/>
                <w:sz w:val="18"/>
                <w:szCs w:val="18"/>
              </w:rPr>
              <w:t>)</w:t>
            </w:r>
          </w:p>
        </w:tc>
        <w:tc>
          <w:tcPr>
            <w:tcW w:w="966" w:type="dxa"/>
            <w:tcBorders>
              <w:top w:val="single" w:sz="4" w:space="0" w:color="auto"/>
              <w:left w:val="nil"/>
              <w:bottom w:val="nil"/>
              <w:right w:val="single" w:sz="4" w:space="0" w:color="auto"/>
            </w:tcBorders>
            <w:shd w:val="clear" w:color="auto" w:fill="DEEAF6"/>
            <w:vAlign w:val="center"/>
            <w:hideMark/>
          </w:tcPr>
          <w:p w14:paraId="72B021B6" w14:textId="77777777" w:rsidR="003160BE" w:rsidRPr="003160BE" w:rsidRDefault="003160BE" w:rsidP="003160BE">
            <w:pPr>
              <w:spacing w:after="0"/>
              <w:ind w:firstLine="0"/>
              <w:jc w:val="center"/>
              <w:rPr>
                <w:rFonts w:eastAsia="Times New Roman" w:cs="Times New Roman"/>
                <w:sz w:val="18"/>
                <w:szCs w:val="18"/>
              </w:rPr>
            </w:pPr>
          </w:p>
          <w:p w14:paraId="6A0A32E8"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w:t>
            </w:r>
            <w:r w:rsidRPr="003160BE">
              <w:rPr>
                <w:rFonts w:eastAsia="Times New Roman" w:cs="Times New Roman"/>
                <w:sz w:val="18"/>
                <w:szCs w:val="18"/>
              </w:rPr>
              <w:br/>
              <w:t xml:space="preserve"> skaits</w:t>
            </w:r>
          </w:p>
        </w:tc>
        <w:tc>
          <w:tcPr>
            <w:tcW w:w="1239" w:type="dxa"/>
            <w:tcBorders>
              <w:top w:val="single" w:sz="4" w:space="0" w:color="auto"/>
              <w:left w:val="nil"/>
              <w:bottom w:val="nil"/>
              <w:right w:val="single" w:sz="4" w:space="0" w:color="auto"/>
            </w:tcBorders>
            <w:shd w:val="clear" w:color="auto" w:fill="DEEAF6"/>
            <w:vAlign w:val="center"/>
            <w:hideMark/>
          </w:tcPr>
          <w:p w14:paraId="244FEEC9" w14:textId="77777777" w:rsidR="003160BE" w:rsidRPr="003160BE" w:rsidRDefault="003160BE" w:rsidP="003160BE">
            <w:pPr>
              <w:spacing w:after="0"/>
              <w:ind w:firstLine="0"/>
              <w:jc w:val="center"/>
              <w:rPr>
                <w:rFonts w:eastAsia="Times New Roman" w:cs="Times New Roman"/>
                <w:sz w:val="18"/>
                <w:szCs w:val="18"/>
              </w:rPr>
            </w:pPr>
          </w:p>
          <w:p w14:paraId="29885C34"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w:t>
            </w:r>
          </w:p>
        </w:tc>
        <w:tc>
          <w:tcPr>
            <w:tcW w:w="1102" w:type="dxa"/>
            <w:vMerge w:val="restart"/>
            <w:tcBorders>
              <w:top w:val="single" w:sz="4" w:space="0" w:color="auto"/>
              <w:left w:val="single" w:sz="4" w:space="0" w:color="auto"/>
              <w:bottom w:val="single" w:sz="4" w:space="0" w:color="000000"/>
              <w:right w:val="single" w:sz="4" w:space="0" w:color="auto"/>
            </w:tcBorders>
            <w:shd w:val="clear" w:color="auto" w:fill="DEEAF6"/>
            <w:vAlign w:val="center"/>
            <w:hideMark/>
          </w:tcPr>
          <w:p w14:paraId="6F45FFCB"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Pabalsta apmērs vidēji mēnesī (</w:t>
            </w:r>
            <w:r w:rsidRPr="003160BE">
              <w:rPr>
                <w:rFonts w:eastAsia="Times New Roman" w:cs="Times New Roman"/>
                <w:i/>
                <w:sz w:val="18"/>
                <w:szCs w:val="18"/>
              </w:rPr>
              <w:t>euro</w:t>
            </w:r>
            <w:r w:rsidRPr="003160BE">
              <w:rPr>
                <w:rFonts w:eastAsia="Times New Roman" w:cs="Times New Roman"/>
                <w:sz w:val="18"/>
                <w:szCs w:val="18"/>
              </w:rPr>
              <w:t>)</w:t>
            </w:r>
          </w:p>
        </w:tc>
        <w:tc>
          <w:tcPr>
            <w:tcW w:w="1239" w:type="dxa"/>
            <w:tcBorders>
              <w:top w:val="single" w:sz="4" w:space="0" w:color="auto"/>
              <w:left w:val="nil"/>
              <w:bottom w:val="nil"/>
              <w:right w:val="single" w:sz="4" w:space="0" w:color="auto"/>
            </w:tcBorders>
            <w:shd w:val="clear" w:color="auto" w:fill="DEEAF6"/>
            <w:vAlign w:val="center"/>
            <w:hideMark/>
          </w:tcPr>
          <w:p w14:paraId="6B7304D5" w14:textId="77777777" w:rsidR="003160BE" w:rsidRPr="003160BE" w:rsidRDefault="003160BE" w:rsidP="003160BE">
            <w:pPr>
              <w:spacing w:after="0"/>
              <w:ind w:firstLine="0"/>
              <w:jc w:val="center"/>
              <w:rPr>
                <w:rFonts w:eastAsia="Times New Roman" w:cs="Times New Roman"/>
                <w:sz w:val="18"/>
                <w:szCs w:val="18"/>
              </w:rPr>
            </w:pPr>
          </w:p>
          <w:p w14:paraId="368D4369"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w:t>
            </w:r>
            <w:r w:rsidRPr="003160BE">
              <w:rPr>
                <w:rFonts w:eastAsia="Times New Roman" w:cs="Times New Roman"/>
                <w:sz w:val="18"/>
                <w:szCs w:val="18"/>
              </w:rPr>
              <w:br/>
              <w:t xml:space="preserve"> skaits</w:t>
            </w:r>
          </w:p>
        </w:tc>
        <w:tc>
          <w:tcPr>
            <w:tcW w:w="1196" w:type="dxa"/>
            <w:tcBorders>
              <w:top w:val="single" w:sz="4" w:space="0" w:color="auto"/>
              <w:left w:val="nil"/>
              <w:bottom w:val="nil"/>
              <w:right w:val="single" w:sz="4" w:space="0" w:color="auto"/>
            </w:tcBorders>
            <w:shd w:val="clear" w:color="auto" w:fill="DEEAF6"/>
            <w:vAlign w:val="center"/>
            <w:hideMark/>
          </w:tcPr>
          <w:p w14:paraId="645FD980" w14:textId="77777777" w:rsidR="003160BE" w:rsidRPr="003160BE" w:rsidRDefault="003160BE" w:rsidP="003160BE">
            <w:pPr>
              <w:spacing w:after="0"/>
              <w:ind w:firstLine="0"/>
              <w:jc w:val="center"/>
              <w:rPr>
                <w:rFonts w:eastAsia="Times New Roman" w:cs="Times New Roman"/>
                <w:sz w:val="18"/>
                <w:szCs w:val="18"/>
              </w:rPr>
            </w:pPr>
          </w:p>
          <w:p w14:paraId="4C27F2D8"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w:t>
            </w:r>
          </w:p>
        </w:tc>
        <w:tc>
          <w:tcPr>
            <w:tcW w:w="876" w:type="dxa"/>
            <w:vMerge w:val="restart"/>
            <w:tcBorders>
              <w:top w:val="single" w:sz="4" w:space="0" w:color="auto"/>
              <w:left w:val="single" w:sz="4" w:space="0" w:color="auto"/>
              <w:bottom w:val="single" w:sz="4" w:space="0" w:color="000000"/>
              <w:right w:val="single" w:sz="4" w:space="0" w:color="auto"/>
            </w:tcBorders>
            <w:shd w:val="clear" w:color="auto" w:fill="DEEAF6"/>
            <w:vAlign w:val="center"/>
            <w:hideMark/>
          </w:tcPr>
          <w:p w14:paraId="339C1F29"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Pabalsta apmērs vidēji mēnesī (</w:t>
            </w:r>
            <w:r w:rsidRPr="003160BE">
              <w:rPr>
                <w:rFonts w:eastAsia="Times New Roman" w:cs="Times New Roman"/>
                <w:i/>
                <w:sz w:val="18"/>
                <w:szCs w:val="18"/>
              </w:rPr>
              <w:t>euro</w:t>
            </w:r>
            <w:r w:rsidRPr="003160BE">
              <w:rPr>
                <w:rFonts w:eastAsia="Times New Roman" w:cs="Times New Roman"/>
                <w:sz w:val="18"/>
                <w:szCs w:val="18"/>
              </w:rPr>
              <w:t>)</w:t>
            </w:r>
          </w:p>
        </w:tc>
        <w:tc>
          <w:tcPr>
            <w:tcW w:w="1136" w:type="dxa"/>
            <w:tcBorders>
              <w:top w:val="single" w:sz="4" w:space="0" w:color="auto"/>
              <w:left w:val="nil"/>
              <w:bottom w:val="nil"/>
              <w:right w:val="single" w:sz="4" w:space="0" w:color="auto"/>
            </w:tcBorders>
            <w:shd w:val="clear" w:color="auto" w:fill="DEEAF6"/>
            <w:vAlign w:val="center"/>
            <w:hideMark/>
          </w:tcPr>
          <w:p w14:paraId="076447CE" w14:textId="77777777" w:rsidR="003160BE" w:rsidRPr="003160BE" w:rsidRDefault="003160BE" w:rsidP="003160BE">
            <w:pPr>
              <w:spacing w:after="0"/>
              <w:ind w:firstLine="0"/>
              <w:jc w:val="center"/>
              <w:rPr>
                <w:rFonts w:eastAsia="Times New Roman" w:cs="Times New Roman"/>
                <w:sz w:val="18"/>
                <w:szCs w:val="18"/>
              </w:rPr>
            </w:pPr>
          </w:p>
          <w:p w14:paraId="2D23707F"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w:t>
            </w:r>
            <w:r w:rsidRPr="003160BE">
              <w:rPr>
                <w:rFonts w:eastAsia="Times New Roman" w:cs="Times New Roman"/>
                <w:sz w:val="18"/>
                <w:szCs w:val="18"/>
              </w:rPr>
              <w:br/>
              <w:t xml:space="preserve"> skaits</w:t>
            </w:r>
          </w:p>
        </w:tc>
        <w:tc>
          <w:tcPr>
            <w:tcW w:w="1238" w:type="dxa"/>
            <w:tcBorders>
              <w:top w:val="single" w:sz="4" w:space="0" w:color="auto"/>
              <w:left w:val="nil"/>
              <w:bottom w:val="nil"/>
              <w:right w:val="single" w:sz="4" w:space="0" w:color="auto"/>
            </w:tcBorders>
            <w:shd w:val="clear" w:color="auto" w:fill="DEEAF6"/>
            <w:vAlign w:val="center"/>
            <w:hideMark/>
          </w:tcPr>
          <w:p w14:paraId="439F76A1" w14:textId="77777777" w:rsidR="003160BE" w:rsidRPr="003160BE" w:rsidRDefault="003160BE" w:rsidP="003160BE">
            <w:pPr>
              <w:spacing w:after="0"/>
              <w:ind w:firstLine="0"/>
              <w:jc w:val="center"/>
              <w:rPr>
                <w:rFonts w:eastAsia="Times New Roman" w:cs="Times New Roman"/>
                <w:sz w:val="18"/>
                <w:szCs w:val="18"/>
              </w:rPr>
            </w:pPr>
          </w:p>
          <w:p w14:paraId="5796C4B2"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w:t>
            </w:r>
          </w:p>
        </w:tc>
      </w:tr>
      <w:tr w:rsidR="003160BE" w:rsidRPr="003160BE" w14:paraId="53DBE2F2" w14:textId="77777777" w:rsidTr="0052209F">
        <w:trPr>
          <w:trHeight w:val="591"/>
          <w:jc w:val="center"/>
        </w:trPr>
        <w:tc>
          <w:tcPr>
            <w:tcW w:w="3686" w:type="dxa"/>
            <w:tcBorders>
              <w:left w:val="single" w:sz="4" w:space="0" w:color="auto"/>
              <w:bottom w:val="single" w:sz="4" w:space="0" w:color="000000"/>
              <w:right w:val="single" w:sz="4" w:space="0" w:color="auto"/>
            </w:tcBorders>
            <w:shd w:val="clear" w:color="auto" w:fill="9CC2E5"/>
            <w:vAlign w:val="center"/>
            <w:hideMark/>
          </w:tcPr>
          <w:p w14:paraId="27960B7A" w14:textId="77777777" w:rsidR="003160BE" w:rsidRPr="003160BE" w:rsidRDefault="003160BE" w:rsidP="003160BE">
            <w:pPr>
              <w:spacing w:after="0"/>
              <w:ind w:firstLine="0"/>
              <w:jc w:val="left"/>
              <w:rPr>
                <w:rFonts w:eastAsia="Times New Roman" w:cs="Times New Roman"/>
                <w:sz w:val="18"/>
                <w:szCs w:val="18"/>
              </w:rPr>
            </w:pPr>
          </w:p>
        </w:tc>
        <w:tc>
          <w:tcPr>
            <w:tcW w:w="1036" w:type="dxa"/>
            <w:vMerge/>
            <w:tcBorders>
              <w:top w:val="nil"/>
              <w:left w:val="single" w:sz="4" w:space="0" w:color="auto"/>
              <w:bottom w:val="single" w:sz="4" w:space="0" w:color="auto"/>
              <w:right w:val="single" w:sz="4" w:space="0" w:color="auto"/>
            </w:tcBorders>
            <w:shd w:val="clear" w:color="auto" w:fill="DEEAF6"/>
            <w:vAlign w:val="center"/>
            <w:hideMark/>
          </w:tcPr>
          <w:p w14:paraId="4243001E" w14:textId="77777777" w:rsidR="003160BE" w:rsidRPr="003160BE" w:rsidRDefault="003160BE" w:rsidP="003160BE">
            <w:pPr>
              <w:spacing w:after="0"/>
              <w:ind w:firstLine="0"/>
              <w:jc w:val="left"/>
              <w:rPr>
                <w:rFonts w:eastAsia="Times New Roman" w:cs="Times New Roman"/>
                <w:sz w:val="18"/>
                <w:szCs w:val="18"/>
              </w:rPr>
            </w:pPr>
          </w:p>
        </w:tc>
        <w:tc>
          <w:tcPr>
            <w:tcW w:w="966" w:type="dxa"/>
            <w:tcBorders>
              <w:top w:val="nil"/>
              <w:left w:val="nil"/>
              <w:bottom w:val="single" w:sz="4" w:space="0" w:color="auto"/>
              <w:right w:val="single" w:sz="4" w:space="0" w:color="auto"/>
            </w:tcBorders>
            <w:shd w:val="clear" w:color="auto" w:fill="DEEAF6"/>
            <w:noWrap/>
            <w:hideMark/>
          </w:tcPr>
          <w:p w14:paraId="1F684C9A"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(vid.mēn.)</w:t>
            </w:r>
          </w:p>
        </w:tc>
        <w:tc>
          <w:tcPr>
            <w:tcW w:w="1239" w:type="dxa"/>
            <w:tcBorders>
              <w:top w:val="nil"/>
              <w:left w:val="nil"/>
              <w:bottom w:val="single" w:sz="4" w:space="0" w:color="auto"/>
              <w:right w:val="single" w:sz="4" w:space="0" w:color="auto"/>
            </w:tcBorders>
            <w:shd w:val="clear" w:color="auto" w:fill="DEEAF6"/>
            <w:noWrap/>
            <w:hideMark/>
          </w:tcPr>
          <w:p w14:paraId="7F4F7147"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w:t>
            </w:r>
            <w:r w:rsidRPr="003160BE">
              <w:rPr>
                <w:rFonts w:eastAsia="Times New Roman" w:cs="Times New Roman"/>
                <w:i/>
                <w:sz w:val="18"/>
                <w:szCs w:val="18"/>
              </w:rPr>
              <w:t>euro</w:t>
            </w:r>
            <w:r w:rsidRPr="003160BE">
              <w:rPr>
                <w:rFonts w:eastAsia="Times New Roman" w:cs="Times New Roman"/>
                <w:sz w:val="18"/>
                <w:szCs w:val="18"/>
              </w:rPr>
              <w:t>)</w:t>
            </w:r>
          </w:p>
        </w:tc>
        <w:tc>
          <w:tcPr>
            <w:tcW w:w="1102" w:type="dxa"/>
            <w:vMerge/>
            <w:tcBorders>
              <w:top w:val="nil"/>
              <w:left w:val="single" w:sz="4" w:space="0" w:color="auto"/>
              <w:bottom w:val="single" w:sz="4" w:space="0" w:color="auto"/>
              <w:right w:val="single" w:sz="4" w:space="0" w:color="auto"/>
            </w:tcBorders>
            <w:shd w:val="clear" w:color="auto" w:fill="DEEAF6"/>
            <w:vAlign w:val="center"/>
            <w:hideMark/>
          </w:tcPr>
          <w:p w14:paraId="25B9BFFC" w14:textId="77777777" w:rsidR="003160BE" w:rsidRPr="003160BE" w:rsidRDefault="003160BE" w:rsidP="003160BE">
            <w:pPr>
              <w:spacing w:after="0"/>
              <w:ind w:firstLine="0"/>
              <w:jc w:val="left"/>
              <w:rPr>
                <w:rFonts w:eastAsia="Times New Roman" w:cs="Times New Roman"/>
                <w:sz w:val="18"/>
                <w:szCs w:val="18"/>
              </w:rPr>
            </w:pPr>
          </w:p>
        </w:tc>
        <w:tc>
          <w:tcPr>
            <w:tcW w:w="1239" w:type="dxa"/>
            <w:tcBorders>
              <w:top w:val="nil"/>
              <w:left w:val="nil"/>
              <w:bottom w:val="single" w:sz="4" w:space="0" w:color="auto"/>
              <w:right w:val="single" w:sz="4" w:space="0" w:color="auto"/>
            </w:tcBorders>
            <w:shd w:val="clear" w:color="auto" w:fill="DEEAF6"/>
            <w:noWrap/>
            <w:hideMark/>
          </w:tcPr>
          <w:p w14:paraId="6206DE84"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(vid.mēn.)</w:t>
            </w:r>
          </w:p>
        </w:tc>
        <w:tc>
          <w:tcPr>
            <w:tcW w:w="1196" w:type="dxa"/>
            <w:tcBorders>
              <w:top w:val="nil"/>
              <w:left w:val="nil"/>
              <w:bottom w:val="single" w:sz="4" w:space="0" w:color="auto"/>
              <w:right w:val="single" w:sz="4" w:space="0" w:color="auto"/>
            </w:tcBorders>
            <w:shd w:val="clear" w:color="auto" w:fill="DEEAF6"/>
            <w:noWrap/>
            <w:hideMark/>
          </w:tcPr>
          <w:p w14:paraId="3C936218"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w:t>
            </w:r>
            <w:r w:rsidRPr="003160BE">
              <w:rPr>
                <w:rFonts w:eastAsia="Times New Roman" w:cs="Times New Roman"/>
                <w:i/>
                <w:sz w:val="18"/>
                <w:szCs w:val="18"/>
              </w:rPr>
              <w:t>euro</w:t>
            </w:r>
            <w:r w:rsidRPr="003160BE">
              <w:rPr>
                <w:rFonts w:eastAsia="Times New Roman" w:cs="Times New Roman"/>
                <w:sz w:val="18"/>
                <w:szCs w:val="18"/>
              </w:rPr>
              <w:t>)</w:t>
            </w:r>
          </w:p>
        </w:tc>
        <w:tc>
          <w:tcPr>
            <w:tcW w:w="876" w:type="dxa"/>
            <w:vMerge/>
            <w:tcBorders>
              <w:top w:val="nil"/>
              <w:left w:val="single" w:sz="4" w:space="0" w:color="auto"/>
              <w:bottom w:val="single" w:sz="4" w:space="0" w:color="auto"/>
              <w:right w:val="single" w:sz="4" w:space="0" w:color="auto"/>
            </w:tcBorders>
            <w:shd w:val="clear" w:color="auto" w:fill="DEEAF6"/>
            <w:vAlign w:val="center"/>
            <w:hideMark/>
          </w:tcPr>
          <w:p w14:paraId="7D26FB05" w14:textId="77777777" w:rsidR="003160BE" w:rsidRPr="003160BE" w:rsidRDefault="003160BE" w:rsidP="003160BE">
            <w:pPr>
              <w:spacing w:after="0"/>
              <w:ind w:firstLine="0"/>
              <w:jc w:val="left"/>
              <w:rPr>
                <w:rFonts w:eastAsia="Times New Roman" w:cs="Times New Roman"/>
                <w:sz w:val="18"/>
                <w:szCs w:val="18"/>
              </w:rPr>
            </w:pPr>
          </w:p>
        </w:tc>
        <w:tc>
          <w:tcPr>
            <w:tcW w:w="1136" w:type="dxa"/>
            <w:tcBorders>
              <w:top w:val="nil"/>
              <w:left w:val="nil"/>
              <w:bottom w:val="single" w:sz="4" w:space="0" w:color="auto"/>
              <w:right w:val="single" w:sz="4" w:space="0" w:color="auto"/>
            </w:tcBorders>
            <w:shd w:val="clear" w:color="auto" w:fill="DEEAF6"/>
            <w:noWrap/>
            <w:hideMark/>
          </w:tcPr>
          <w:p w14:paraId="5B78F9E2"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(vid.mēn.)</w:t>
            </w:r>
          </w:p>
        </w:tc>
        <w:tc>
          <w:tcPr>
            <w:tcW w:w="1238" w:type="dxa"/>
            <w:tcBorders>
              <w:top w:val="nil"/>
              <w:left w:val="nil"/>
              <w:bottom w:val="single" w:sz="4" w:space="0" w:color="auto"/>
              <w:right w:val="single" w:sz="4" w:space="0" w:color="auto"/>
            </w:tcBorders>
            <w:shd w:val="clear" w:color="auto" w:fill="DEEAF6"/>
            <w:noWrap/>
            <w:hideMark/>
          </w:tcPr>
          <w:p w14:paraId="4B1731BC"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w:t>
            </w:r>
            <w:r w:rsidRPr="003160BE">
              <w:rPr>
                <w:rFonts w:eastAsia="Times New Roman" w:cs="Times New Roman"/>
                <w:i/>
                <w:sz w:val="18"/>
                <w:szCs w:val="18"/>
              </w:rPr>
              <w:t>euro</w:t>
            </w:r>
            <w:r w:rsidRPr="003160BE">
              <w:rPr>
                <w:rFonts w:eastAsia="Times New Roman" w:cs="Times New Roman"/>
                <w:sz w:val="18"/>
                <w:szCs w:val="18"/>
              </w:rPr>
              <w:t>)</w:t>
            </w:r>
          </w:p>
        </w:tc>
      </w:tr>
      <w:tr w:rsidR="003160BE" w:rsidRPr="003160BE" w14:paraId="7FFAD6A1" w14:textId="77777777" w:rsidTr="0052209F">
        <w:trPr>
          <w:trHeight w:val="276"/>
          <w:jc w:val="center"/>
        </w:trPr>
        <w:tc>
          <w:tcPr>
            <w:tcW w:w="3686" w:type="dxa"/>
            <w:tcBorders>
              <w:top w:val="nil"/>
              <w:left w:val="single" w:sz="4" w:space="0" w:color="auto"/>
              <w:bottom w:val="single" w:sz="4" w:space="0" w:color="auto"/>
              <w:right w:val="single" w:sz="4" w:space="0" w:color="auto"/>
            </w:tcBorders>
            <w:noWrap/>
            <w:vAlign w:val="center"/>
            <w:hideMark/>
          </w:tcPr>
          <w:p w14:paraId="359E3C1A"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1</w:t>
            </w:r>
          </w:p>
        </w:tc>
        <w:tc>
          <w:tcPr>
            <w:tcW w:w="1036" w:type="dxa"/>
            <w:tcBorders>
              <w:top w:val="single" w:sz="4" w:space="0" w:color="auto"/>
              <w:left w:val="nil"/>
              <w:bottom w:val="single" w:sz="4" w:space="0" w:color="auto"/>
              <w:right w:val="single" w:sz="4" w:space="0" w:color="auto"/>
            </w:tcBorders>
            <w:noWrap/>
            <w:vAlign w:val="center"/>
            <w:hideMark/>
          </w:tcPr>
          <w:p w14:paraId="1274714A"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2</w:t>
            </w:r>
          </w:p>
        </w:tc>
        <w:tc>
          <w:tcPr>
            <w:tcW w:w="966" w:type="dxa"/>
            <w:tcBorders>
              <w:top w:val="single" w:sz="4" w:space="0" w:color="auto"/>
              <w:left w:val="nil"/>
              <w:bottom w:val="single" w:sz="4" w:space="0" w:color="auto"/>
              <w:right w:val="single" w:sz="4" w:space="0" w:color="auto"/>
            </w:tcBorders>
            <w:noWrap/>
            <w:vAlign w:val="center"/>
            <w:hideMark/>
          </w:tcPr>
          <w:p w14:paraId="182ACE12"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3</w:t>
            </w:r>
          </w:p>
        </w:tc>
        <w:tc>
          <w:tcPr>
            <w:tcW w:w="1239" w:type="dxa"/>
            <w:tcBorders>
              <w:top w:val="single" w:sz="4" w:space="0" w:color="auto"/>
              <w:left w:val="nil"/>
              <w:bottom w:val="single" w:sz="4" w:space="0" w:color="auto"/>
              <w:right w:val="single" w:sz="4" w:space="0" w:color="auto"/>
            </w:tcBorders>
            <w:noWrap/>
            <w:vAlign w:val="center"/>
            <w:hideMark/>
          </w:tcPr>
          <w:p w14:paraId="3D304621"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4</w:t>
            </w:r>
          </w:p>
        </w:tc>
        <w:tc>
          <w:tcPr>
            <w:tcW w:w="1102" w:type="dxa"/>
            <w:tcBorders>
              <w:top w:val="single" w:sz="4" w:space="0" w:color="auto"/>
              <w:left w:val="nil"/>
              <w:bottom w:val="single" w:sz="4" w:space="0" w:color="auto"/>
              <w:right w:val="single" w:sz="4" w:space="0" w:color="auto"/>
            </w:tcBorders>
            <w:noWrap/>
            <w:vAlign w:val="center"/>
            <w:hideMark/>
          </w:tcPr>
          <w:p w14:paraId="7FFF45AA"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5</w:t>
            </w:r>
          </w:p>
        </w:tc>
        <w:tc>
          <w:tcPr>
            <w:tcW w:w="1239" w:type="dxa"/>
            <w:tcBorders>
              <w:top w:val="single" w:sz="4" w:space="0" w:color="auto"/>
              <w:left w:val="nil"/>
              <w:bottom w:val="single" w:sz="4" w:space="0" w:color="auto"/>
              <w:right w:val="single" w:sz="4" w:space="0" w:color="auto"/>
            </w:tcBorders>
            <w:noWrap/>
            <w:vAlign w:val="center"/>
            <w:hideMark/>
          </w:tcPr>
          <w:p w14:paraId="7F207740"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6</w:t>
            </w:r>
          </w:p>
        </w:tc>
        <w:tc>
          <w:tcPr>
            <w:tcW w:w="1196" w:type="dxa"/>
            <w:tcBorders>
              <w:top w:val="single" w:sz="4" w:space="0" w:color="auto"/>
              <w:left w:val="nil"/>
              <w:bottom w:val="single" w:sz="4" w:space="0" w:color="auto"/>
              <w:right w:val="single" w:sz="4" w:space="0" w:color="auto"/>
            </w:tcBorders>
            <w:noWrap/>
            <w:vAlign w:val="center"/>
            <w:hideMark/>
          </w:tcPr>
          <w:p w14:paraId="1B8BD30E"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7</w:t>
            </w:r>
          </w:p>
        </w:tc>
        <w:tc>
          <w:tcPr>
            <w:tcW w:w="876" w:type="dxa"/>
            <w:tcBorders>
              <w:top w:val="single" w:sz="4" w:space="0" w:color="auto"/>
              <w:left w:val="nil"/>
              <w:bottom w:val="single" w:sz="4" w:space="0" w:color="auto"/>
              <w:right w:val="single" w:sz="4" w:space="0" w:color="auto"/>
            </w:tcBorders>
            <w:noWrap/>
            <w:vAlign w:val="center"/>
            <w:hideMark/>
          </w:tcPr>
          <w:p w14:paraId="5E2C7CDA"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8</w:t>
            </w:r>
          </w:p>
        </w:tc>
        <w:tc>
          <w:tcPr>
            <w:tcW w:w="1136" w:type="dxa"/>
            <w:tcBorders>
              <w:top w:val="single" w:sz="4" w:space="0" w:color="auto"/>
              <w:left w:val="nil"/>
              <w:bottom w:val="single" w:sz="4" w:space="0" w:color="auto"/>
              <w:right w:val="single" w:sz="4" w:space="0" w:color="auto"/>
            </w:tcBorders>
            <w:noWrap/>
            <w:vAlign w:val="center"/>
            <w:hideMark/>
          </w:tcPr>
          <w:p w14:paraId="6BBE9CF2"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9</w:t>
            </w:r>
          </w:p>
        </w:tc>
        <w:tc>
          <w:tcPr>
            <w:tcW w:w="1238" w:type="dxa"/>
            <w:tcBorders>
              <w:top w:val="single" w:sz="4" w:space="0" w:color="auto"/>
              <w:left w:val="nil"/>
              <w:bottom w:val="single" w:sz="4" w:space="0" w:color="auto"/>
              <w:right w:val="single" w:sz="4" w:space="0" w:color="auto"/>
            </w:tcBorders>
            <w:noWrap/>
            <w:vAlign w:val="center"/>
            <w:hideMark/>
          </w:tcPr>
          <w:p w14:paraId="0A97E362"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10</w:t>
            </w:r>
          </w:p>
        </w:tc>
      </w:tr>
      <w:tr w:rsidR="003160BE" w:rsidRPr="003160BE" w14:paraId="596277A5" w14:textId="77777777" w:rsidTr="0052209F">
        <w:trPr>
          <w:trHeight w:val="276"/>
          <w:jc w:val="center"/>
        </w:trPr>
        <w:tc>
          <w:tcPr>
            <w:tcW w:w="3686" w:type="dxa"/>
            <w:tcBorders>
              <w:top w:val="single" w:sz="4" w:space="0" w:color="auto"/>
              <w:left w:val="single" w:sz="4" w:space="0" w:color="auto"/>
              <w:bottom w:val="single" w:sz="4" w:space="0" w:color="auto"/>
              <w:right w:val="single" w:sz="4" w:space="0" w:color="auto"/>
            </w:tcBorders>
            <w:shd w:val="clear" w:color="000000" w:fill="FFFFFF"/>
            <w:noWrap/>
            <w:hideMark/>
          </w:tcPr>
          <w:p w14:paraId="5508C8E3"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Piemaksas pie vecuma pensijām</w:t>
            </w:r>
          </w:p>
        </w:tc>
        <w:tc>
          <w:tcPr>
            <w:tcW w:w="1036" w:type="dxa"/>
            <w:tcBorders>
              <w:top w:val="single" w:sz="4" w:space="0" w:color="auto"/>
              <w:left w:val="nil"/>
              <w:bottom w:val="single" w:sz="4" w:space="0" w:color="auto"/>
              <w:right w:val="single" w:sz="4" w:space="0" w:color="auto"/>
            </w:tcBorders>
            <w:shd w:val="clear" w:color="000000" w:fill="FFFFFF"/>
            <w:noWrap/>
            <w:hideMark/>
          </w:tcPr>
          <w:p w14:paraId="4D0F839B"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50,88</w:t>
            </w:r>
          </w:p>
        </w:tc>
        <w:tc>
          <w:tcPr>
            <w:tcW w:w="966" w:type="dxa"/>
            <w:tcBorders>
              <w:top w:val="single" w:sz="4" w:space="0" w:color="auto"/>
              <w:left w:val="nil"/>
              <w:bottom w:val="single" w:sz="4" w:space="0" w:color="auto"/>
              <w:right w:val="single" w:sz="4" w:space="0" w:color="auto"/>
            </w:tcBorders>
            <w:shd w:val="clear" w:color="000000" w:fill="FFFFFF"/>
            <w:noWrap/>
            <w:hideMark/>
          </w:tcPr>
          <w:p w14:paraId="6738B4A9"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334 579</w:t>
            </w:r>
          </w:p>
        </w:tc>
        <w:tc>
          <w:tcPr>
            <w:tcW w:w="1239" w:type="dxa"/>
            <w:tcBorders>
              <w:top w:val="single" w:sz="4" w:space="0" w:color="auto"/>
              <w:left w:val="nil"/>
              <w:bottom w:val="single" w:sz="4" w:space="0" w:color="auto"/>
              <w:right w:val="single" w:sz="4" w:space="0" w:color="auto"/>
            </w:tcBorders>
            <w:shd w:val="clear" w:color="000000" w:fill="FFFFFF"/>
            <w:hideMark/>
          </w:tcPr>
          <w:p w14:paraId="0577B20E"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204 281 757</w:t>
            </w:r>
          </w:p>
        </w:tc>
        <w:tc>
          <w:tcPr>
            <w:tcW w:w="1102" w:type="dxa"/>
            <w:tcBorders>
              <w:top w:val="single" w:sz="4" w:space="0" w:color="auto"/>
              <w:left w:val="nil"/>
              <w:bottom w:val="single" w:sz="4" w:space="0" w:color="auto"/>
              <w:right w:val="single" w:sz="4" w:space="0" w:color="auto"/>
            </w:tcBorders>
            <w:shd w:val="clear" w:color="000000" w:fill="FFFFFF"/>
            <w:noWrap/>
            <w:hideMark/>
          </w:tcPr>
          <w:p w14:paraId="5BF683D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49,03</w:t>
            </w:r>
          </w:p>
        </w:tc>
        <w:tc>
          <w:tcPr>
            <w:tcW w:w="1239" w:type="dxa"/>
            <w:tcBorders>
              <w:top w:val="single" w:sz="4" w:space="0" w:color="auto"/>
              <w:left w:val="nil"/>
              <w:bottom w:val="single" w:sz="4" w:space="0" w:color="auto"/>
              <w:right w:val="single" w:sz="4" w:space="0" w:color="auto"/>
            </w:tcBorders>
            <w:shd w:val="clear" w:color="000000" w:fill="FFFFFF"/>
            <w:noWrap/>
            <w:hideMark/>
          </w:tcPr>
          <w:p w14:paraId="1B2C0D19"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372 676</w:t>
            </w:r>
          </w:p>
        </w:tc>
        <w:tc>
          <w:tcPr>
            <w:tcW w:w="1196" w:type="dxa"/>
            <w:tcBorders>
              <w:top w:val="single" w:sz="4" w:space="0" w:color="auto"/>
              <w:left w:val="nil"/>
              <w:bottom w:val="single" w:sz="4" w:space="0" w:color="auto"/>
              <w:right w:val="single" w:sz="4" w:space="0" w:color="auto"/>
            </w:tcBorders>
            <w:shd w:val="clear" w:color="000000" w:fill="FFFFFF"/>
            <w:hideMark/>
          </w:tcPr>
          <w:p w14:paraId="03FF2A96"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219 255 722</w:t>
            </w:r>
          </w:p>
        </w:tc>
        <w:tc>
          <w:tcPr>
            <w:tcW w:w="876" w:type="dxa"/>
            <w:tcBorders>
              <w:top w:val="single" w:sz="4" w:space="0" w:color="auto"/>
              <w:left w:val="nil"/>
              <w:bottom w:val="single" w:sz="4" w:space="0" w:color="auto"/>
              <w:right w:val="single" w:sz="4" w:space="0" w:color="auto"/>
            </w:tcBorders>
            <w:shd w:val="clear" w:color="000000" w:fill="FFFFFF"/>
            <w:noWrap/>
            <w:hideMark/>
          </w:tcPr>
          <w:p w14:paraId="6F11804D"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47,14</w:t>
            </w:r>
          </w:p>
        </w:tc>
        <w:tc>
          <w:tcPr>
            <w:tcW w:w="1136" w:type="dxa"/>
            <w:tcBorders>
              <w:top w:val="single" w:sz="4" w:space="0" w:color="auto"/>
              <w:left w:val="nil"/>
              <w:bottom w:val="single" w:sz="4" w:space="0" w:color="auto"/>
              <w:right w:val="single" w:sz="4" w:space="0" w:color="auto"/>
            </w:tcBorders>
            <w:shd w:val="clear" w:color="000000" w:fill="FFFFFF"/>
            <w:noWrap/>
            <w:hideMark/>
          </w:tcPr>
          <w:p w14:paraId="0D73F29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409 854</w:t>
            </w:r>
          </w:p>
        </w:tc>
        <w:tc>
          <w:tcPr>
            <w:tcW w:w="1238" w:type="dxa"/>
            <w:tcBorders>
              <w:top w:val="single" w:sz="4" w:space="0" w:color="auto"/>
              <w:left w:val="nil"/>
              <w:bottom w:val="single" w:sz="4" w:space="0" w:color="auto"/>
              <w:right w:val="single" w:sz="4" w:space="0" w:color="auto"/>
            </w:tcBorders>
            <w:shd w:val="clear" w:color="000000" w:fill="FFFFFF"/>
            <w:hideMark/>
          </w:tcPr>
          <w:p w14:paraId="342DBAC2"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231 849 066</w:t>
            </w:r>
          </w:p>
        </w:tc>
      </w:tr>
      <w:tr w:rsidR="003160BE" w:rsidRPr="003160BE" w14:paraId="2BE88578" w14:textId="77777777" w:rsidTr="0052209F">
        <w:trPr>
          <w:trHeight w:val="276"/>
          <w:jc w:val="center"/>
        </w:trPr>
        <w:tc>
          <w:tcPr>
            <w:tcW w:w="3686" w:type="dxa"/>
            <w:tcBorders>
              <w:top w:val="nil"/>
              <w:left w:val="single" w:sz="4" w:space="0" w:color="auto"/>
              <w:bottom w:val="single" w:sz="4" w:space="0" w:color="auto"/>
              <w:right w:val="single" w:sz="4" w:space="0" w:color="auto"/>
            </w:tcBorders>
            <w:shd w:val="clear" w:color="000000" w:fill="FFFFFF"/>
            <w:noWrap/>
            <w:hideMark/>
          </w:tcPr>
          <w:p w14:paraId="3194E69C"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Piemaksas pie invaliditātes pensijām</w:t>
            </w:r>
          </w:p>
        </w:tc>
        <w:tc>
          <w:tcPr>
            <w:tcW w:w="1036" w:type="dxa"/>
            <w:tcBorders>
              <w:top w:val="nil"/>
              <w:left w:val="nil"/>
              <w:bottom w:val="single" w:sz="4" w:space="0" w:color="auto"/>
              <w:right w:val="single" w:sz="4" w:space="0" w:color="auto"/>
            </w:tcBorders>
            <w:shd w:val="clear" w:color="000000" w:fill="FFFFFF"/>
            <w:noWrap/>
            <w:hideMark/>
          </w:tcPr>
          <w:p w14:paraId="385FB734"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15,33</w:t>
            </w:r>
          </w:p>
        </w:tc>
        <w:tc>
          <w:tcPr>
            <w:tcW w:w="966" w:type="dxa"/>
            <w:tcBorders>
              <w:top w:val="nil"/>
              <w:left w:val="nil"/>
              <w:bottom w:val="single" w:sz="4" w:space="0" w:color="auto"/>
              <w:right w:val="single" w:sz="4" w:space="0" w:color="auto"/>
            </w:tcBorders>
            <w:shd w:val="clear" w:color="000000" w:fill="FFFFFF"/>
            <w:noWrap/>
            <w:hideMark/>
          </w:tcPr>
          <w:p w14:paraId="4B041923"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32 533</w:t>
            </w:r>
          </w:p>
        </w:tc>
        <w:tc>
          <w:tcPr>
            <w:tcW w:w="1239" w:type="dxa"/>
            <w:tcBorders>
              <w:top w:val="nil"/>
              <w:left w:val="nil"/>
              <w:bottom w:val="single" w:sz="4" w:space="0" w:color="auto"/>
              <w:right w:val="single" w:sz="4" w:space="0" w:color="auto"/>
            </w:tcBorders>
            <w:shd w:val="clear" w:color="000000" w:fill="FFFFFF"/>
            <w:hideMark/>
          </w:tcPr>
          <w:p w14:paraId="774525FC"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5 983 171</w:t>
            </w:r>
          </w:p>
        </w:tc>
        <w:tc>
          <w:tcPr>
            <w:tcW w:w="1102" w:type="dxa"/>
            <w:tcBorders>
              <w:top w:val="nil"/>
              <w:left w:val="nil"/>
              <w:bottom w:val="single" w:sz="4" w:space="0" w:color="auto"/>
              <w:right w:val="single" w:sz="4" w:space="0" w:color="auto"/>
            </w:tcBorders>
            <w:shd w:val="clear" w:color="000000" w:fill="FFFFFF"/>
            <w:noWrap/>
            <w:hideMark/>
          </w:tcPr>
          <w:p w14:paraId="32CF1F52"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15,71</w:t>
            </w:r>
          </w:p>
        </w:tc>
        <w:tc>
          <w:tcPr>
            <w:tcW w:w="1239" w:type="dxa"/>
            <w:tcBorders>
              <w:top w:val="nil"/>
              <w:left w:val="nil"/>
              <w:bottom w:val="single" w:sz="4" w:space="0" w:color="auto"/>
              <w:right w:val="single" w:sz="4" w:space="0" w:color="auto"/>
            </w:tcBorders>
            <w:shd w:val="clear" w:color="000000" w:fill="FFFFFF"/>
            <w:noWrap/>
            <w:hideMark/>
          </w:tcPr>
          <w:p w14:paraId="4EF1607C"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38 499</w:t>
            </w:r>
          </w:p>
        </w:tc>
        <w:tc>
          <w:tcPr>
            <w:tcW w:w="1196" w:type="dxa"/>
            <w:tcBorders>
              <w:top w:val="nil"/>
              <w:left w:val="nil"/>
              <w:bottom w:val="single" w:sz="4" w:space="0" w:color="auto"/>
              <w:right w:val="single" w:sz="4" w:space="0" w:color="auto"/>
            </w:tcBorders>
            <w:shd w:val="clear" w:color="000000" w:fill="FFFFFF"/>
            <w:hideMark/>
          </w:tcPr>
          <w:p w14:paraId="1D0F4AC4"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7 257 182</w:t>
            </w:r>
          </w:p>
        </w:tc>
        <w:tc>
          <w:tcPr>
            <w:tcW w:w="876" w:type="dxa"/>
            <w:tcBorders>
              <w:top w:val="nil"/>
              <w:left w:val="nil"/>
              <w:bottom w:val="single" w:sz="4" w:space="0" w:color="auto"/>
              <w:right w:val="single" w:sz="4" w:space="0" w:color="auto"/>
            </w:tcBorders>
            <w:shd w:val="clear" w:color="000000" w:fill="FFFFFF"/>
            <w:noWrap/>
            <w:hideMark/>
          </w:tcPr>
          <w:p w14:paraId="6EB4133F"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16,21</w:t>
            </w:r>
          </w:p>
        </w:tc>
        <w:tc>
          <w:tcPr>
            <w:tcW w:w="1136" w:type="dxa"/>
            <w:tcBorders>
              <w:top w:val="nil"/>
              <w:left w:val="nil"/>
              <w:bottom w:val="single" w:sz="4" w:space="0" w:color="auto"/>
              <w:right w:val="single" w:sz="4" w:space="0" w:color="auto"/>
            </w:tcBorders>
            <w:shd w:val="clear" w:color="000000" w:fill="FFFFFF"/>
            <w:noWrap/>
            <w:hideMark/>
          </w:tcPr>
          <w:p w14:paraId="0D53541F"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45 922</w:t>
            </w:r>
          </w:p>
        </w:tc>
        <w:tc>
          <w:tcPr>
            <w:tcW w:w="1238" w:type="dxa"/>
            <w:tcBorders>
              <w:top w:val="nil"/>
              <w:left w:val="nil"/>
              <w:bottom w:val="single" w:sz="4" w:space="0" w:color="auto"/>
              <w:right w:val="single" w:sz="4" w:space="0" w:color="auto"/>
            </w:tcBorders>
            <w:shd w:val="clear" w:color="000000" w:fill="FFFFFF"/>
            <w:hideMark/>
          </w:tcPr>
          <w:p w14:paraId="50CEE308" w14:textId="77777777" w:rsidR="003160BE" w:rsidRPr="003160BE" w:rsidRDefault="003160BE" w:rsidP="003160BE">
            <w:pPr>
              <w:spacing w:after="0"/>
              <w:ind w:firstLine="0"/>
              <w:jc w:val="center"/>
              <w:rPr>
                <w:rFonts w:eastAsia="Times New Roman" w:cs="Times New Roman"/>
                <w:color w:val="000000"/>
                <w:sz w:val="18"/>
                <w:szCs w:val="18"/>
                <w:highlight w:val="lightGray"/>
              </w:rPr>
            </w:pPr>
            <w:r w:rsidRPr="003160BE">
              <w:rPr>
                <w:rFonts w:eastAsia="Calibri" w:cs="Times New Roman"/>
                <w:sz w:val="18"/>
                <w:szCs w:val="18"/>
                <w:lang w:eastAsia="en-US"/>
              </w:rPr>
              <w:t>8 931 045</w:t>
            </w:r>
          </w:p>
        </w:tc>
      </w:tr>
      <w:tr w:rsidR="003160BE" w:rsidRPr="003160BE" w14:paraId="1E572941" w14:textId="77777777" w:rsidTr="0052209F">
        <w:trPr>
          <w:trHeight w:val="276"/>
          <w:jc w:val="center"/>
        </w:trPr>
        <w:tc>
          <w:tcPr>
            <w:tcW w:w="3686" w:type="dxa"/>
            <w:tcBorders>
              <w:top w:val="nil"/>
              <w:left w:val="single" w:sz="4" w:space="0" w:color="auto"/>
              <w:bottom w:val="single" w:sz="4" w:space="0" w:color="auto"/>
              <w:right w:val="single" w:sz="4" w:space="0" w:color="auto"/>
            </w:tcBorders>
            <w:shd w:val="clear" w:color="000000" w:fill="FFFFFF"/>
            <w:noWrap/>
            <w:hideMark/>
          </w:tcPr>
          <w:p w14:paraId="12552516"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KOPĀ</w:t>
            </w:r>
          </w:p>
        </w:tc>
        <w:tc>
          <w:tcPr>
            <w:tcW w:w="1036" w:type="dxa"/>
            <w:tcBorders>
              <w:top w:val="nil"/>
              <w:left w:val="nil"/>
              <w:bottom w:val="single" w:sz="4" w:space="0" w:color="auto"/>
              <w:right w:val="single" w:sz="4" w:space="0" w:color="auto"/>
            </w:tcBorders>
            <w:shd w:val="clear" w:color="000000" w:fill="FFFFFF"/>
            <w:noWrap/>
            <w:hideMark/>
          </w:tcPr>
          <w:p w14:paraId="677C8452"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966" w:type="dxa"/>
            <w:tcBorders>
              <w:top w:val="nil"/>
              <w:left w:val="nil"/>
              <w:bottom w:val="single" w:sz="4" w:space="0" w:color="auto"/>
              <w:right w:val="single" w:sz="4" w:space="0" w:color="auto"/>
            </w:tcBorders>
            <w:shd w:val="clear" w:color="000000" w:fill="FFFFFF"/>
            <w:noWrap/>
            <w:hideMark/>
          </w:tcPr>
          <w:p w14:paraId="2EED3AFF"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1239" w:type="dxa"/>
            <w:tcBorders>
              <w:top w:val="nil"/>
              <w:left w:val="nil"/>
              <w:bottom w:val="single" w:sz="4" w:space="0" w:color="auto"/>
              <w:right w:val="single" w:sz="4" w:space="0" w:color="auto"/>
            </w:tcBorders>
            <w:shd w:val="clear" w:color="000000" w:fill="FFFFFF"/>
            <w:noWrap/>
            <w:hideMark/>
          </w:tcPr>
          <w:p w14:paraId="5DFD101E"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210 264 928</w:t>
            </w:r>
          </w:p>
        </w:tc>
        <w:tc>
          <w:tcPr>
            <w:tcW w:w="1102" w:type="dxa"/>
            <w:tcBorders>
              <w:top w:val="nil"/>
              <w:left w:val="nil"/>
              <w:bottom w:val="single" w:sz="4" w:space="0" w:color="auto"/>
              <w:right w:val="single" w:sz="4" w:space="0" w:color="auto"/>
            </w:tcBorders>
            <w:shd w:val="clear" w:color="000000" w:fill="FFFFFF"/>
            <w:noWrap/>
            <w:hideMark/>
          </w:tcPr>
          <w:p w14:paraId="506033AD"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1239" w:type="dxa"/>
            <w:tcBorders>
              <w:top w:val="nil"/>
              <w:left w:val="nil"/>
              <w:bottom w:val="single" w:sz="4" w:space="0" w:color="auto"/>
              <w:right w:val="single" w:sz="4" w:space="0" w:color="auto"/>
            </w:tcBorders>
            <w:shd w:val="clear" w:color="000000" w:fill="FFFFFF"/>
            <w:noWrap/>
            <w:hideMark/>
          </w:tcPr>
          <w:p w14:paraId="15AB5974"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1196" w:type="dxa"/>
            <w:tcBorders>
              <w:top w:val="nil"/>
              <w:left w:val="nil"/>
              <w:bottom w:val="single" w:sz="4" w:space="0" w:color="auto"/>
              <w:right w:val="single" w:sz="4" w:space="0" w:color="auto"/>
            </w:tcBorders>
            <w:shd w:val="clear" w:color="000000" w:fill="FFFFFF"/>
            <w:noWrap/>
            <w:hideMark/>
          </w:tcPr>
          <w:p w14:paraId="6993764E"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226 512 904</w:t>
            </w:r>
          </w:p>
        </w:tc>
        <w:tc>
          <w:tcPr>
            <w:tcW w:w="876" w:type="dxa"/>
            <w:tcBorders>
              <w:top w:val="nil"/>
              <w:left w:val="nil"/>
              <w:bottom w:val="single" w:sz="4" w:space="0" w:color="auto"/>
              <w:right w:val="single" w:sz="4" w:space="0" w:color="auto"/>
            </w:tcBorders>
            <w:shd w:val="clear" w:color="000000" w:fill="FFFFFF"/>
            <w:noWrap/>
            <w:hideMark/>
          </w:tcPr>
          <w:p w14:paraId="592E6CE5"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1136" w:type="dxa"/>
            <w:tcBorders>
              <w:top w:val="nil"/>
              <w:left w:val="nil"/>
              <w:bottom w:val="single" w:sz="4" w:space="0" w:color="auto"/>
              <w:right w:val="single" w:sz="4" w:space="0" w:color="auto"/>
            </w:tcBorders>
            <w:shd w:val="clear" w:color="000000" w:fill="FFFFFF"/>
            <w:noWrap/>
            <w:hideMark/>
          </w:tcPr>
          <w:p w14:paraId="65146FDF"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1238" w:type="dxa"/>
            <w:tcBorders>
              <w:top w:val="nil"/>
              <w:left w:val="nil"/>
              <w:bottom w:val="single" w:sz="4" w:space="0" w:color="auto"/>
              <w:right w:val="single" w:sz="4" w:space="0" w:color="auto"/>
            </w:tcBorders>
            <w:shd w:val="clear" w:color="000000" w:fill="FFFFFF"/>
            <w:noWrap/>
            <w:hideMark/>
          </w:tcPr>
          <w:p w14:paraId="5C14A051"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240 780 111</w:t>
            </w:r>
          </w:p>
        </w:tc>
      </w:tr>
    </w:tbl>
    <w:p w14:paraId="10D676B0" w14:textId="77777777" w:rsidR="003160BE" w:rsidRPr="003160BE" w:rsidRDefault="003160BE" w:rsidP="003160BE">
      <w:pPr>
        <w:widowControl w:val="0"/>
        <w:spacing w:before="120"/>
        <w:ind w:firstLine="0"/>
        <w:rPr>
          <w:rFonts w:eastAsia="Calibri" w:cs="Times New Roman"/>
          <w:i/>
          <w:sz w:val="20"/>
        </w:rPr>
      </w:pPr>
      <w:r w:rsidRPr="003160BE">
        <w:rPr>
          <w:rFonts w:eastAsia="Calibri" w:cs="Times New Roman"/>
          <w:i/>
          <w:sz w:val="20"/>
        </w:rPr>
        <w:t>Datu avots: FM</w:t>
      </w:r>
    </w:p>
    <w:p w14:paraId="0E93E9C6" w14:textId="77777777" w:rsidR="003160BE" w:rsidRPr="003160BE" w:rsidRDefault="003160BE" w:rsidP="003160BE">
      <w:pPr>
        <w:spacing w:after="160" w:line="259" w:lineRule="auto"/>
        <w:ind w:firstLine="0"/>
        <w:jc w:val="left"/>
        <w:rPr>
          <w:rFonts w:eastAsia="Times New Roman" w:cs="Times New Roman"/>
          <w:b/>
          <w:color w:val="000000"/>
          <w:highlight w:val="lightGray"/>
        </w:rPr>
      </w:pPr>
      <w:r w:rsidRPr="003160BE">
        <w:rPr>
          <w:rFonts w:eastAsia="Times New Roman" w:cs="Times New Roman"/>
          <w:b/>
          <w:color w:val="000000"/>
          <w:highlight w:val="lightGray"/>
        </w:rPr>
        <w:br w:type="page"/>
      </w:r>
    </w:p>
    <w:p w14:paraId="5B7C0E5F" w14:textId="77777777" w:rsidR="003160BE" w:rsidRPr="003160BE" w:rsidRDefault="003160BE" w:rsidP="003160BE">
      <w:pPr>
        <w:widowControl w:val="0"/>
        <w:ind w:right="111"/>
        <w:jc w:val="right"/>
        <w:rPr>
          <w:rFonts w:eastAsia="Times New Roman" w:cs="Times New Roman"/>
          <w:color w:val="000000"/>
        </w:rPr>
      </w:pPr>
      <w:r w:rsidRPr="003160BE">
        <w:rPr>
          <w:rFonts w:eastAsia="Times New Roman" w:cs="Times New Roman"/>
          <w:color w:val="000000"/>
        </w:rPr>
        <w:lastRenderedPageBreak/>
        <w:t>8. pielikums</w:t>
      </w:r>
    </w:p>
    <w:p w14:paraId="41402A41" w14:textId="77777777" w:rsidR="003160BE" w:rsidRPr="003160BE" w:rsidRDefault="003160BE" w:rsidP="003160BE">
      <w:pPr>
        <w:widowControl w:val="0"/>
        <w:jc w:val="right"/>
        <w:rPr>
          <w:rFonts w:eastAsia="Times New Roman" w:cs="Times New Roman"/>
          <w:b/>
          <w:color w:val="000000"/>
        </w:rPr>
      </w:pPr>
      <w:r w:rsidRPr="003160BE">
        <w:rPr>
          <w:rFonts w:eastAsia="Times New Roman" w:cs="Times New Roman"/>
          <w:b/>
          <w:color w:val="000000"/>
        </w:rPr>
        <w:t>Valsts sociālās apdrošināšanas speciālā budžeta programma 04.00.00 "Sociālā apdrošināšana"</w:t>
      </w:r>
    </w:p>
    <w:tbl>
      <w:tblPr>
        <w:tblW w:w="0" w:type="auto"/>
        <w:jc w:val="center"/>
        <w:tblLook w:val="04A0" w:firstRow="1" w:lastRow="0" w:firstColumn="1" w:lastColumn="0" w:noHBand="0" w:noVBand="1"/>
      </w:tblPr>
      <w:tblGrid>
        <w:gridCol w:w="4551"/>
        <w:gridCol w:w="944"/>
        <w:gridCol w:w="943"/>
        <w:gridCol w:w="1257"/>
        <w:gridCol w:w="944"/>
        <w:gridCol w:w="943"/>
        <w:gridCol w:w="1257"/>
        <w:gridCol w:w="944"/>
        <w:gridCol w:w="943"/>
        <w:gridCol w:w="1257"/>
      </w:tblGrid>
      <w:tr w:rsidR="003160BE" w:rsidRPr="003160BE" w14:paraId="7A53CAF1" w14:textId="77777777" w:rsidTr="003160BE">
        <w:trPr>
          <w:trHeight w:val="20"/>
          <w:tblHeader/>
          <w:jc w:val="center"/>
        </w:trPr>
        <w:tc>
          <w:tcPr>
            <w:tcW w:w="0" w:type="auto"/>
            <w:vMerge w:val="restart"/>
            <w:tcBorders>
              <w:top w:val="single" w:sz="8" w:space="0" w:color="auto"/>
              <w:left w:val="single" w:sz="8" w:space="0" w:color="auto"/>
              <w:bottom w:val="single" w:sz="4" w:space="0" w:color="000000"/>
              <w:right w:val="single" w:sz="8" w:space="0" w:color="auto"/>
            </w:tcBorders>
            <w:shd w:val="clear" w:color="auto" w:fill="9CC2E5"/>
            <w:noWrap/>
            <w:vAlign w:val="center"/>
            <w:hideMark/>
          </w:tcPr>
          <w:p w14:paraId="55A1CDFD"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Pabalsta veids</w:t>
            </w:r>
          </w:p>
        </w:tc>
        <w:tc>
          <w:tcPr>
            <w:tcW w:w="0" w:type="auto"/>
            <w:gridSpan w:val="3"/>
            <w:tcBorders>
              <w:top w:val="single" w:sz="8" w:space="0" w:color="auto"/>
              <w:left w:val="nil"/>
              <w:bottom w:val="single" w:sz="4" w:space="0" w:color="auto"/>
              <w:right w:val="single" w:sz="8" w:space="0" w:color="000000"/>
            </w:tcBorders>
            <w:shd w:val="clear" w:color="auto" w:fill="9CC2E5"/>
            <w:vAlign w:val="center"/>
            <w:hideMark/>
          </w:tcPr>
          <w:p w14:paraId="3B683C9A"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2026. gada projekts</w:t>
            </w:r>
          </w:p>
        </w:tc>
        <w:tc>
          <w:tcPr>
            <w:tcW w:w="0" w:type="auto"/>
            <w:gridSpan w:val="3"/>
            <w:tcBorders>
              <w:top w:val="single" w:sz="8" w:space="0" w:color="auto"/>
              <w:left w:val="nil"/>
              <w:bottom w:val="single" w:sz="4" w:space="0" w:color="auto"/>
              <w:right w:val="single" w:sz="8" w:space="0" w:color="000000"/>
            </w:tcBorders>
            <w:shd w:val="clear" w:color="auto" w:fill="9CC2E5"/>
            <w:vAlign w:val="center"/>
            <w:hideMark/>
          </w:tcPr>
          <w:p w14:paraId="28E9A3AF"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2027. gada prognoze</w:t>
            </w:r>
          </w:p>
        </w:tc>
        <w:tc>
          <w:tcPr>
            <w:tcW w:w="0" w:type="auto"/>
            <w:gridSpan w:val="3"/>
            <w:tcBorders>
              <w:top w:val="single" w:sz="8" w:space="0" w:color="auto"/>
              <w:left w:val="nil"/>
              <w:bottom w:val="single" w:sz="4" w:space="0" w:color="auto"/>
              <w:right w:val="single" w:sz="8" w:space="0" w:color="000000"/>
            </w:tcBorders>
            <w:shd w:val="clear" w:color="auto" w:fill="9CC2E5"/>
            <w:vAlign w:val="center"/>
            <w:hideMark/>
          </w:tcPr>
          <w:p w14:paraId="26392BD8"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Times New Roman" w:cs="Times New Roman"/>
                <w:b/>
                <w:bCs/>
                <w:sz w:val="18"/>
                <w:szCs w:val="18"/>
              </w:rPr>
              <w:t>2028. gada prognoze</w:t>
            </w:r>
          </w:p>
        </w:tc>
      </w:tr>
      <w:tr w:rsidR="003160BE" w:rsidRPr="003160BE" w14:paraId="3976E7B1" w14:textId="77777777" w:rsidTr="003160BE">
        <w:trPr>
          <w:trHeight w:val="20"/>
          <w:tblHeader/>
          <w:jc w:val="center"/>
        </w:trPr>
        <w:tc>
          <w:tcPr>
            <w:tcW w:w="0" w:type="auto"/>
            <w:vMerge/>
            <w:tcBorders>
              <w:top w:val="single" w:sz="8" w:space="0" w:color="auto"/>
              <w:left w:val="single" w:sz="8" w:space="0" w:color="auto"/>
              <w:bottom w:val="single" w:sz="4" w:space="0" w:color="000000"/>
              <w:right w:val="single" w:sz="8" w:space="0" w:color="auto"/>
            </w:tcBorders>
            <w:shd w:val="clear" w:color="auto" w:fill="9CC2E5"/>
            <w:vAlign w:val="center"/>
            <w:hideMark/>
          </w:tcPr>
          <w:p w14:paraId="7B9D78B5" w14:textId="77777777" w:rsidR="003160BE" w:rsidRPr="003160BE" w:rsidRDefault="003160BE" w:rsidP="003160BE">
            <w:pPr>
              <w:spacing w:after="0"/>
              <w:ind w:firstLine="0"/>
              <w:jc w:val="left"/>
              <w:rPr>
                <w:rFonts w:eastAsia="Times New Roman" w:cs="Times New Roman"/>
                <w:sz w:val="18"/>
                <w:szCs w:val="18"/>
              </w:rPr>
            </w:pPr>
          </w:p>
        </w:tc>
        <w:tc>
          <w:tcPr>
            <w:tcW w:w="0" w:type="auto"/>
            <w:tcBorders>
              <w:top w:val="nil"/>
              <w:left w:val="nil"/>
              <w:bottom w:val="single" w:sz="4" w:space="0" w:color="auto"/>
              <w:right w:val="nil"/>
            </w:tcBorders>
            <w:shd w:val="clear" w:color="auto" w:fill="DEEAF6"/>
            <w:vAlign w:val="center"/>
            <w:hideMark/>
          </w:tcPr>
          <w:p w14:paraId="632CAD04"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Pensijas/ pabalsta/ atlīdzības apmērs vidēji mēnesī (</w:t>
            </w:r>
            <w:r w:rsidRPr="003160BE">
              <w:rPr>
                <w:rFonts w:eastAsia="Times New Roman" w:cs="Times New Roman"/>
                <w:i/>
                <w:iCs/>
                <w:sz w:val="18"/>
                <w:szCs w:val="18"/>
              </w:rPr>
              <w:t>euro</w:t>
            </w:r>
            <w:r w:rsidRPr="003160BE">
              <w:rPr>
                <w:rFonts w:eastAsia="Times New Roman" w:cs="Times New Roman"/>
                <w:sz w:val="18"/>
                <w:szCs w:val="18"/>
              </w:rPr>
              <w:t>)</w:t>
            </w:r>
          </w:p>
        </w:tc>
        <w:tc>
          <w:tcPr>
            <w:tcW w:w="0" w:type="auto"/>
            <w:tcBorders>
              <w:top w:val="nil"/>
              <w:left w:val="single" w:sz="4" w:space="0" w:color="auto"/>
              <w:bottom w:val="single" w:sz="4" w:space="0" w:color="auto"/>
              <w:right w:val="single" w:sz="4" w:space="0" w:color="auto"/>
            </w:tcBorders>
            <w:shd w:val="clear" w:color="auto" w:fill="DEEAF6"/>
            <w:vAlign w:val="center"/>
            <w:hideMark/>
          </w:tcPr>
          <w:p w14:paraId="43F656A2"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 skaits (vidēji mēnesī)</w:t>
            </w:r>
          </w:p>
        </w:tc>
        <w:tc>
          <w:tcPr>
            <w:tcW w:w="0" w:type="auto"/>
            <w:tcBorders>
              <w:top w:val="nil"/>
              <w:left w:val="nil"/>
              <w:bottom w:val="single" w:sz="4" w:space="0" w:color="auto"/>
              <w:right w:val="single" w:sz="8" w:space="0" w:color="auto"/>
            </w:tcBorders>
            <w:shd w:val="clear" w:color="auto" w:fill="DEEAF6"/>
            <w:vAlign w:val="center"/>
            <w:hideMark/>
          </w:tcPr>
          <w:p w14:paraId="5C665912"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 (</w:t>
            </w:r>
            <w:r w:rsidRPr="003160BE">
              <w:rPr>
                <w:rFonts w:eastAsia="Times New Roman" w:cs="Times New Roman"/>
                <w:i/>
                <w:iCs/>
                <w:sz w:val="18"/>
                <w:szCs w:val="18"/>
              </w:rPr>
              <w:t>euro</w:t>
            </w:r>
            <w:r w:rsidRPr="003160BE">
              <w:rPr>
                <w:rFonts w:eastAsia="Times New Roman" w:cs="Times New Roman"/>
                <w:sz w:val="18"/>
                <w:szCs w:val="18"/>
              </w:rPr>
              <w:t>)</w:t>
            </w:r>
          </w:p>
        </w:tc>
        <w:tc>
          <w:tcPr>
            <w:tcW w:w="0" w:type="auto"/>
            <w:tcBorders>
              <w:top w:val="nil"/>
              <w:left w:val="nil"/>
              <w:bottom w:val="single" w:sz="4" w:space="0" w:color="auto"/>
              <w:right w:val="nil"/>
            </w:tcBorders>
            <w:shd w:val="clear" w:color="auto" w:fill="DEEAF6"/>
            <w:vAlign w:val="center"/>
            <w:hideMark/>
          </w:tcPr>
          <w:p w14:paraId="5D73E7AC"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Pensijas/ pabalsta/ atlīdzības apmērs vidēji mēnesī (</w:t>
            </w:r>
            <w:r w:rsidRPr="003160BE">
              <w:rPr>
                <w:rFonts w:eastAsia="Times New Roman" w:cs="Times New Roman"/>
                <w:i/>
                <w:iCs/>
                <w:sz w:val="18"/>
                <w:szCs w:val="18"/>
              </w:rPr>
              <w:t>euro</w:t>
            </w:r>
            <w:r w:rsidRPr="003160BE">
              <w:rPr>
                <w:rFonts w:eastAsia="Times New Roman" w:cs="Times New Roman"/>
                <w:sz w:val="18"/>
                <w:szCs w:val="18"/>
              </w:rPr>
              <w:t>)</w:t>
            </w:r>
          </w:p>
        </w:tc>
        <w:tc>
          <w:tcPr>
            <w:tcW w:w="0" w:type="auto"/>
            <w:tcBorders>
              <w:top w:val="nil"/>
              <w:left w:val="single" w:sz="4" w:space="0" w:color="auto"/>
              <w:bottom w:val="single" w:sz="4" w:space="0" w:color="auto"/>
              <w:right w:val="single" w:sz="4" w:space="0" w:color="auto"/>
            </w:tcBorders>
            <w:shd w:val="clear" w:color="auto" w:fill="DEEAF6"/>
            <w:vAlign w:val="center"/>
            <w:hideMark/>
          </w:tcPr>
          <w:p w14:paraId="428B8D0C"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 skaits (vidēji mēnesī)</w:t>
            </w:r>
          </w:p>
        </w:tc>
        <w:tc>
          <w:tcPr>
            <w:tcW w:w="0" w:type="auto"/>
            <w:tcBorders>
              <w:top w:val="nil"/>
              <w:left w:val="nil"/>
              <w:bottom w:val="single" w:sz="4" w:space="0" w:color="auto"/>
              <w:right w:val="single" w:sz="8" w:space="0" w:color="auto"/>
            </w:tcBorders>
            <w:shd w:val="clear" w:color="auto" w:fill="DEEAF6"/>
            <w:vAlign w:val="center"/>
            <w:hideMark/>
          </w:tcPr>
          <w:p w14:paraId="7EAEDDD9"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 (</w:t>
            </w:r>
            <w:r w:rsidRPr="003160BE">
              <w:rPr>
                <w:rFonts w:eastAsia="Times New Roman" w:cs="Times New Roman"/>
                <w:i/>
                <w:iCs/>
                <w:sz w:val="18"/>
                <w:szCs w:val="18"/>
              </w:rPr>
              <w:t>euro</w:t>
            </w:r>
            <w:r w:rsidRPr="003160BE">
              <w:rPr>
                <w:rFonts w:eastAsia="Times New Roman" w:cs="Times New Roman"/>
                <w:sz w:val="18"/>
                <w:szCs w:val="18"/>
              </w:rPr>
              <w:t>)</w:t>
            </w:r>
          </w:p>
        </w:tc>
        <w:tc>
          <w:tcPr>
            <w:tcW w:w="0" w:type="auto"/>
            <w:tcBorders>
              <w:top w:val="nil"/>
              <w:left w:val="nil"/>
              <w:bottom w:val="single" w:sz="4" w:space="0" w:color="auto"/>
              <w:right w:val="nil"/>
            </w:tcBorders>
            <w:shd w:val="clear" w:color="auto" w:fill="DEEAF6"/>
            <w:vAlign w:val="center"/>
            <w:hideMark/>
          </w:tcPr>
          <w:p w14:paraId="1581BB88"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Pensijas/ pabalsta/ atlīdzības apmērs vidēji mēnesī (</w:t>
            </w:r>
            <w:r w:rsidRPr="003160BE">
              <w:rPr>
                <w:rFonts w:eastAsia="Times New Roman" w:cs="Times New Roman"/>
                <w:i/>
                <w:iCs/>
                <w:sz w:val="18"/>
                <w:szCs w:val="18"/>
              </w:rPr>
              <w:t>euro</w:t>
            </w:r>
            <w:r w:rsidRPr="003160BE">
              <w:rPr>
                <w:rFonts w:eastAsia="Times New Roman" w:cs="Times New Roman"/>
                <w:sz w:val="18"/>
                <w:szCs w:val="18"/>
              </w:rPr>
              <w:t>)</w:t>
            </w:r>
          </w:p>
        </w:tc>
        <w:tc>
          <w:tcPr>
            <w:tcW w:w="0" w:type="auto"/>
            <w:tcBorders>
              <w:top w:val="nil"/>
              <w:left w:val="single" w:sz="4" w:space="0" w:color="auto"/>
              <w:bottom w:val="single" w:sz="4" w:space="0" w:color="auto"/>
              <w:right w:val="single" w:sz="4" w:space="0" w:color="auto"/>
            </w:tcBorders>
            <w:shd w:val="clear" w:color="auto" w:fill="DEEAF6"/>
            <w:vAlign w:val="center"/>
            <w:hideMark/>
          </w:tcPr>
          <w:p w14:paraId="2D0400E3"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Saņēmēju skaits (vidēji mēnesī)</w:t>
            </w:r>
          </w:p>
        </w:tc>
        <w:tc>
          <w:tcPr>
            <w:tcW w:w="0" w:type="auto"/>
            <w:tcBorders>
              <w:top w:val="nil"/>
              <w:left w:val="nil"/>
              <w:bottom w:val="single" w:sz="4" w:space="0" w:color="auto"/>
              <w:right w:val="single" w:sz="8" w:space="0" w:color="auto"/>
            </w:tcBorders>
            <w:shd w:val="clear" w:color="auto" w:fill="DEEAF6"/>
            <w:vAlign w:val="center"/>
            <w:hideMark/>
          </w:tcPr>
          <w:p w14:paraId="0DA2CBF3"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Izdevumi kopā (</w:t>
            </w:r>
            <w:r w:rsidRPr="003160BE">
              <w:rPr>
                <w:rFonts w:eastAsia="Times New Roman" w:cs="Times New Roman"/>
                <w:i/>
                <w:iCs/>
                <w:sz w:val="18"/>
                <w:szCs w:val="18"/>
              </w:rPr>
              <w:t>euro</w:t>
            </w:r>
            <w:r w:rsidRPr="003160BE">
              <w:rPr>
                <w:rFonts w:eastAsia="Times New Roman" w:cs="Times New Roman"/>
                <w:sz w:val="18"/>
                <w:szCs w:val="18"/>
              </w:rPr>
              <w:t>)</w:t>
            </w:r>
          </w:p>
        </w:tc>
      </w:tr>
      <w:tr w:rsidR="003160BE" w:rsidRPr="003160BE" w14:paraId="0CCDDE92" w14:textId="77777777" w:rsidTr="0052209F">
        <w:trPr>
          <w:trHeight w:val="20"/>
          <w:jc w:val="center"/>
        </w:trPr>
        <w:tc>
          <w:tcPr>
            <w:tcW w:w="0" w:type="auto"/>
            <w:tcBorders>
              <w:top w:val="nil"/>
              <w:left w:val="single" w:sz="8" w:space="0" w:color="auto"/>
              <w:bottom w:val="single" w:sz="4" w:space="0" w:color="auto"/>
              <w:right w:val="single" w:sz="8" w:space="0" w:color="auto"/>
            </w:tcBorders>
            <w:noWrap/>
            <w:vAlign w:val="bottom"/>
            <w:hideMark/>
          </w:tcPr>
          <w:p w14:paraId="21A356E8"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1</w:t>
            </w:r>
          </w:p>
        </w:tc>
        <w:tc>
          <w:tcPr>
            <w:tcW w:w="0" w:type="auto"/>
            <w:tcBorders>
              <w:top w:val="nil"/>
              <w:left w:val="nil"/>
              <w:bottom w:val="single" w:sz="4" w:space="0" w:color="auto"/>
              <w:right w:val="nil"/>
            </w:tcBorders>
            <w:noWrap/>
            <w:vAlign w:val="bottom"/>
            <w:hideMark/>
          </w:tcPr>
          <w:p w14:paraId="1249C173"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2</w:t>
            </w:r>
          </w:p>
        </w:tc>
        <w:tc>
          <w:tcPr>
            <w:tcW w:w="0" w:type="auto"/>
            <w:tcBorders>
              <w:top w:val="nil"/>
              <w:left w:val="single" w:sz="4" w:space="0" w:color="auto"/>
              <w:bottom w:val="single" w:sz="4" w:space="0" w:color="auto"/>
              <w:right w:val="single" w:sz="4" w:space="0" w:color="auto"/>
            </w:tcBorders>
            <w:noWrap/>
            <w:vAlign w:val="bottom"/>
            <w:hideMark/>
          </w:tcPr>
          <w:p w14:paraId="328F10FA"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3</w:t>
            </w:r>
          </w:p>
        </w:tc>
        <w:tc>
          <w:tcPr>
            <w:tcW w:w="0" w:type="auto"/>
            <w:tcBorders>
              <w:top w:val="nil"/>
              <w:left w:val="nil"/>
              <w:bottom w:val="single" w:sz="4" w:space="0" w:color="auto"/>
              <w:right w:val="single" w:sz="8" w:space="0" w:color="auto"/>
            </w:tcBorders>
            <w:noWrap/>
            <w:vAlign w:val="bottom"/>
            <w:hideMark/>
          </w:tcPr>
          <w:p w14:paraId="358B0323"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4</w:t>
            </w:r>
          </w:p>
        </w:tc>
        <w:tc>
          <w:tcPr>
            <w:tcW w:w="0" w:type="auto"/>
            <w:tcBorders>
              <w:top w:val="nil"/>
              <w:left w:val="nil"/>
              <w:bottom w:val="single" w:sz="4" w:space="0" w:color="auto"/>
              <w:right w:val="nil"/>
            </w:tcBorders>
            <w:noWrap/>
            <w:vAlign w:val="bottom"/>
            <w:hideMark/>
          </w:tcPr>
          <w:p w14:paraId="31043806"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5</w:t>
            </w:r>
          </w:p>
        </w:tc>
        <w:tc>
          <w:tcPr>
            <w:tcW w:w="0" w:type="auto"/>
            <w:tcBorders>
              <w:top w:val="nil"/>
              <w:left w:val="single" w:sz="4" w:space="0" w:color="auto"/>
              <w:bottom w:val="single" w:sz="4" w:space="0" w:color="auto"/>
              <w:right w:val="single" w:sz="4" w:space="0" w:color="auto"/>
            </w:tcBorders>
            <w:noWrap/>
            <w:vAlign w:val="bottom"/>
            <w:hideMark/>
          </w:tcPr>
          <w:p w14:paraId="09E5FDA6"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6</w:t>
            </w:r>
          </w:p>
        </w:tc>
        <w:tc>
          <w:tcPr>
            <w:tcW w:w="0" w:type="auto"/>
            <w:tcBorders>
              <w:top w:val="nil"/>
              <w:left w:val="nil"/>
              <w:bottom w:val="single" w:sz="4" w:space="0" w:color="auto"/>
              <w:right w:val="single" w:sz="8" w:space="0" w:color="auto"/>
            </w:tcBorders>
            <w:noWrap/>
            <w:vAlign w:val="bottom"/>
            <w:hideMark/>
          </w:tcPr>
          <w:p w14:paraId="57407703"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7</w:t>
            </w:r>
          </w:p>
        </w:tc>
        <w:tc>
          <w:tcPr>
            <w:tcW w:w="0" w:type="auto"/>
            <w:tcBorders>
              <w:top w:val="nil"/>
              <w:left w:val="nil"/>
              <w:bottom w:val="single" w:sz="4" w:space="0" w:color="auto"/>
              <w:right w:val="nil"/>
            </w:tcBorders>
            <w:noWrap/>
            <w:vAlign w:val="bottom"/>
            <w:hideMark/>
          </w:tcPr>
          <w:p w14:paraId="5F228049"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8</w:t>
            </w:r>
          </w:p>
        </w:tc>
        <w:tc>
          <w:tcPr>
            <w:tcW w:w="0" w:type="auto"/>
            <w:tcBorders>
              <w:top w:val="nil"/>
              <w:left w:val="single" w:sz="4" w:space="0" w:color="auto"/>
              <w:bottom w:val="single" w:sz="4" w:space="0" w:color="auto"/>
              <w:right w:val="single" w:sz="4" w:space="0" w:color="auto"/>
            </w:tcBorders>
            <w:noWrap/>
            <w:vAlign w:val="bottom"/>
            <w:hideMark/>
          </w:tcPr>
          <w:p w14:paraId="49A05453"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9</w:t>
            </w:r>
          </w:p>
        </w:tc>
        <w:tc>
          <w:tcPr>
            <w:tcW w:w="0" w:type="auto"/>
            <w:tcBorders>
              <w:top w:val="nil"/>
              <w:left w:val="nil"/>
              <w:bottom w:val="single" w:sz="4" w:space="0" w:color="auto"/>
              <w:right w:val="single" w:sz="8" w:space="0" w:color="auto"/>
            </w:tcBorders>
            <w:noWrap/>
            <w:vAlign w:val="bottom"/>
            <w:hideMark/>
          </w:tcPr>
          <w:p w14:paraId="26CFCBE5" w14:textId="77777777" w:rsidR="003160BE" w:rsidRPr="003160BE" w:rsidRDefault="003160BE" w:rsidP="003160BE">
            <w:pPr>
              <w:spacing w:after="0"/>
              <w:ind w:firstLine="0"/>
              <w:jc w:val="center"/>
              <w:rPr>
                <w:rFonts w:eastAsia="Times New Roman" w:cs="Times New Roman"/>
                <w:sz w:val="18"/>
                <w:szCs w:val="18"/>
              </w:rPr>
            </w:pPr>
            <w:r w:rsidRPr="003160BE">
              <w:rPr>
                <w:rFonts w:eastAsia="Times New Roman" w:cs="Times New Roman"/>
                <w:sz w:val="18"/>
                <w:szCs w:val="18"/>
              </w:rPr>
              <w:t>10</w:t>
            </w:r>
          </w:p>
        </w:tc>
      </w:tr>
      <w:tr w:rsidR="003160BE" w:rsidRPr="003160BE" w14:paraId="748BE79C"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50E03A5D" w14:textId="77777777" w:rsidR="003160BE" w:rsidRPr="003160BE" w:rsidRDefault="003160BE" w:rsidP="003160BE">
            <w:pPr>
              <w:spacing w:after="0"/>
              <w:ind w:firstLine="0"/>
              <w:jc w:val="left"/>
              <w:rPr>
                <w:rFonts w:eastAsia="Times New Roman" w:cs="Times New Roman"/>
                <w:b/>
                <w:bCs/>
                <w:sz w:val="18"/>
                <w:szCs w:val="18"/>
              </w:rPr>
            </w:pPr>
            <w:r w:rsidRPr="003160BE">
              <w:rPr>
                <w:rFonts w:eastAsia="Calibri" w:cs="Times New Roman"/>
                <w:b/>
                <w:bCs/>
                <w:sz w:val="18"/>
                <w:szCs w:val="18"/>
                <w:lang w:eastAsia="en-US"/>
              </w:rPr>
              <w:t>04.01.00 Valsts pensiju speciālais budžets</w:t>
            </w:r>
          </w:p>
        </w:tc>
        <w:tc>
          <w:tcPr>
            <w:tcW w:w="0" w:type="auto"/>
            <w:tcBorders>
              <w:top w:val="nil"/>
              <w:left w:val="nil"/>
              <w:bottom w:val="nil"/>
              <w:right w:val="nil"/>
            </w:tcBorders>
            <w:noWrap/>
            <w:hideMark/>
          </w:tcPr>
          <w:p w14:paraId="452BEBE2"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nil"/>
              <w:right w:val="single" w:sz="4" w:space="0" w:color="auto"/>
            </w:tcBorders>
            <w:noWrap/>
            <w:hideMark/>
          </w:tcPr>
          <w:p w14:paraId="41051EBC"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nil"/>
              <w:right w:val="single" w:sz="8" w:space="0" w:color="auto"/>
            </w:tcBorders>
            <w:noWrap/>
            <w:hideMark/>
          </w:tcPr>
          <w:p w14:paraId="7C78DFC5"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3 708 405 407</w:t>
            </w:r>
          </w:p>
        </w:tc>
        <w:tc>
          <w:tcPr>
            <w:tcW w:w="0" w:type="auto"/>
            <w:tcBorders>
              <w:top w:val="nil"/>
              <w:left w:val="nil"/>
              <w:bottom w:val="nil"/>
              <w:right w:val="nil"/>
            </w:tcBorders>
            <w:noWrap/>
            <w:hideMark/>
          </w:tcPr>
          <w:p w14:paraId="442D81BA"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nil"/>
              <w:right w:val="single" w:sz="4" w:space="0" w:color="auto"/>
            </w:tcBorders>
            <w:noWrap/>
            <w:hideMark/>
          </w:tcPr>
          <w:p w14:paraId="20D68B79"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nil"/>
              <w:right w:val="single" w:sz="8" w:space="0" w:color="auto"/>
            </w:tcBorders>
            <w:noWrap/>
            <w:hideMark/>
          </w:tcPr>
          <w:p w14:paraId="61B15EB2"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4 026 732 885</w:t>
            </w:r>
          </w:p>
        </w:tc>
        <w:tc>
          <w:tcPr>
            <w:tcW w:w="0" w:type="auto"/>
            <w:tcBorders>
              <w:top w:val="nil"/>
              <w:left w:val="nil"/>
              <w:bottom w:val="nil"/>
              <w:right w:val="nil"/>
            </w:tcBorders>
            <w:noWrap/>
            <w:hideMark/>
          </w:tcPr>
          <w:p w14:paraId="6C8AC647"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nil"/>
              <w:right w:val="single" w:sz="4" w:space="0" w:color="auto"/>
            </w:tcBorders>
            <w:noWrap/>
            <w:hideMark/>
          </w:tcPr>
          <w:p w14:paraId="22E5760D"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nil"/>
              <w:right w:val="single" w:sz="8" w:space="0" w:color="auto"/>
            </w:tcBorders>
            <w:noWrap/>
            <w:hideMark/>
          </w:tcPr>
          <w:p w14:paraId="57EE85B2"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4 301 104 859</w:t>
            </w:r>
          </w:p>
        </w:tc>
      </w:tr>
      <w:tr w:rsidR="003160BE" w:rsidRPr="003160BE" w14:paraId="62DD1A56"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364145BB"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Valsts pensijas – kopā</w:t>
            </w:r>
          </w:p>
        </w:tc>
        <w:tc>
          <w:tcPr>
            <w:tcW w:w="0" w:type="auto"/>
            <w:tcBorders>
              <w:top w:val="single" w:sz="4" w:space="0" w:color="auto"/>
              <w:left w:val="nil"/>
              <w:bottom w:val="nil"/>
              <w:right w:val="nil"/>
            </w:tcBorders>
            <w:noWrap/>
            <w:hideMark/>
          </w:tcPr>
          <w:p w14:paraId="011CECBB"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single" w:sz="4" w:space="0" w:color="auto"/>
              <w:left w:val="single" w:sz="4" w:space="0" w:color="auto"/>
              <w:bottom w:val="nil"/>
              <w:right w:val="single" w:sz="4" w:space="0" w:color="auto"/>
            </w:tcBorders>
            <w:noWrap/>
            <w:hideMark/>
          </w:tcPr>
          <w:p w14:paraId="4DB27496"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single" w:sz="4" w:space="0" w:color="auto"/>
              <w:left w:val="nil"/>
              <w:bottom w:val="nil"/>
              <w:right w:val="single" w:sz="8" w:space="0" w:color="auto"/>
            </w:tcBorders>
            <w:noWrap/>
            <w:hideMark/>
          </w:tcPr>
          <w:p w14:paraId="522F703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3 655 719 876</w:t>
            </w:r>
          </w:p>
        </w:tc>
        <w:tc>
          <w:tcPr>
            <w:tcW w:w="0" w:type="auto"/>
            <w:tcBorders>
              <w:top w:val="single" w:sz="4" w:space="0" w:color="auto"/>
              <w:left w:val="nil"/>
              <w:bottom w:val="nil"/>
              <w:right w:val="nil"/>
            </w:tcBorders>
            <w:noWrap/>
            <w:hideMark/>
          </w:tcPr>
          <w:p w14:paraId="00F1BFFC"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single" w:sz="4" w:space="0" w:color="auto"/>
              <w:left w:val="single" w:sz="4" w:space="0" w:color="auto"/>
              <w:bottom w:val="nil"/>
              <w:right w:val="single" w:sz="4" w:space="0" w:color="auto"/>
            </w:tcBorders>
            <w:noWrap/>
            <w:hideMark/>
          </w:tcPr>
          <w:p w14:paraId="555EE8A2"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single" w:sz="4" w:space="0" w:color="auto"/>
              <w:left w:val="nil"/>
              <w:bottom w:val="nil"/>
              <w:right w:val="single" w:sz="8" w:space="0" w:color="auto"/>
            </w:tcBorders>
            <w:noWrap/>
            <w:hideMark/>
          </w:tcPr>
          <w:p w14:paraId="350F70A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3 970 879 494</w:t>
            </w:r>
          </w:p>
        </w:tc>
        <w:tc>
          <w:tcPr>
            <w:tcW w:w="0" w:type="auto"/>
            <w:tcBorders>
              <w:top w:val="single" w:sz="4" w:space="0" w:color="auto"/>
              <w:left w:val="nil"/>
              <w:bottom w:val="nil"/>
              <w:right w:val="nil"/>
            </w:tcBorders>
            <w:noWrap/>
            <w:hideMark/>
          </w:tcPr>
          <w:p w14:paraId="2C60DDBB"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single" w:sz="4" w:space="0" w:color="auto"/>
              <w:left w:val="single" w:sz="4" w:space="0" w:color="auto"/>
              <w:bottom w:val="nil"/>
              <w:right w:val="single" w:sz="4" w:space="0" w:color="auto"/>
            </w:tcBorders>
            <w:noWrap/>
            <w:hideMark/>
          </w:tcPr>
          <w:p w14:paraId="1B271179"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single" w:sz="4" w:space="0" w:color="auto"/>
              <w:left w:val="nil"/>
              <w:bottom w:val="nil"/>
              <w:right w:val="single" w:sz="8" w:space="0" w:color="auto"/>
            </w:tcBorders>
            <w:noWrap/>
            <w:hideMark/>
          </w:tcPr>
          <w:p w14:paraId="44D60DD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4 242 086 536</w:t>
            </w:r>
          </w:p>
        </w:tc>
      </w:tr>
      <w:tr w:rsidR="003160BE" w:rsidRPr="003160BE" w14:paraId="67330D86"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57484868" w14:textId="77777777" w:rsidR="003160BE" w:rsidRPr="003160BE" w:rsidRDefault="003160BE" w:rsidP="003160BE">
            <w:pPr>
              <w:spacing w:after="0"/>
              <w:ind w:firstLineChars="100" w:firstLine="180"/>
              <w:jc w:val="left"/>
              <w:rPr>
                <w:rFonts w:eastAsia="Times New Roman" w:cs="Times New Roman"/>
                <w:i/>
                <w:iCs/>
                <w:sz w:val="18"/>
                <w:szCs w:val="18"/>
              </w:rPr>
            </w:pPr>
            <w:r w:rsidRPr="003160BE">
              <w:rPr>
                <w:rFonts w:eastAsia="Calibri" w:cs="Times New Roman"/>
                <w:i/>
                <w:iCs/>
                <w:sz w:val="18"/>
                <w:szCs w:val="18"/>
                <w:lang w:eastAsia="en-US"/>
              </w:rPr>
              <w:t>tajā skaitā:</w:t>
            </w:r>
          </w:p>
        </w:tc>
        <w:tc>
          <w:tcPr>
            <w:tcW w:w="0" w:type="auto"/>
            <w:tcBorders>
              <w:top w:val="single" w:sz="4" w:space="0" w:color="auto"/>
              <w:left w:val="nil"/>
              <w:bottom w:val="single" w:sz="4" w:space="0" w:color="auto"/>
              <w:right w:val="nil"/>
            </w:tcBorders>
            <w:noWrap/>
            <w:hideMark/>
          </w:tcPr>
          <w:p w14:paraId="0B0E9E9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4AE6D46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single" w:sz="8" w:space="0" w:color="auto"/>
            </w:tcBorders>
            <w:noWrap/>
            <w:hideMark/>
          </w:tcPr>
          <w:p w14:paraId="146F738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12B08C91"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1A0D4DD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single" w:sz="8" w:space="0" w:color="auto"/>
            </w:tcBorders>
            <w:noWrap/>
            <w:hideMark/>
          </w:tcPr>
          <w:p w14:paraId="0B6F6582"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4B95D52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4E1E804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single" w:sz="8" w:space="0" w:color="auto"/>
            </w:tcBorders>
            <w:noWrap/>
            <w:hideMark/>
          </w:tcPr>
          <w:p w14:paraId="032CC29F" w14:textId="77777777" w:rsidR="003160BE" w:rsidRPr="003160BE" w:rsidRDefault="003160BE" w:rsidP="003160BE">
            <w:pPr>
              <w:spacing w:after="0"/>
              <w:ind w:firstLine="0"/>
              <w:jc w:val="right"/>
              <w:rPr>
                <w:rFonts w:eastAsia="Times New Roman" w:cs="Times New Roman"/>
                <w:sz w:val="18"/>
                <w:szCs w:val="18"/>
              </w:rPr>
            </w:pPr>
          </w:p>
        </w:tc>
      </w:tr>
      <w:tr w:rsidR="003160BE" w:rsidRPr="003160BE" w14:paraId="2BCF0627"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2C9ABDA0"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Vecuma pensijas</w:t>
            </w:r>
          </w:p>
        </w:tc>
        <w:tc>
          <w:tcPr>
            <w:tcW w:w="0" w:type="auto"/>
            <w:tcBorders>
              <w:top w:val="nil"/>
              <w:left w:val="nil"/>
              <w:bottom w:val="single" w:sz="4" w:space="0" w:color="auto"/>
              <w:right w:val="nil"/>
            </w:tcBorders>
            <w:noWrap/>
            <w:hideMark/>
          </w:tcPr>
          <w:p w14:paraId="47697BD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688,44</w:t>
            </w:r>
          </w:p>
        </w:tc>
        <w:tc>
          <w:tcPr>
            <w:tcW w:w="0" w:type="auto"/>
            <w:tcBorders>
              <w:top w:val="nil"/>
              <w:left w:val="single" w:sz="4" w:space="0" w:color="auto"/>
              <w:bottom w:val="single" w:sz="4" w:space="0" w:color="auto"/>
              <w:right w:val="single" w:sz="4" w:space="0" w:color="auto"/>
            </w:tcBorders>
            <w:noWrap/>
            <w:hideMark/>
          </w:tcPr>
          <w:p w14:paraId="34C0C35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432 091</w:t>
            </w:r>
          </w:p>
        </w:tc>
        <w:tc>
          <w:tcPr>
            <w:tcW w:w="0" w:type="auto"/>
            <w:tcBorders>
              <w:top w:val="nil"/>
              <w:left w:val="nil"/>
              <w:bottom w:val="single" w:sz="4" w:space="0" w:color="auto"/>
              <w:right w:val="single" w:sz="8" w:space="0" w:color="auto"/>
            </w:tcBorders>
            <w:noWrap/>
            <w:hideMark/>
          </w:tcPr>
          <w:p w14:paraId="6212D17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3 569 604 943</w:t>
            </w:r>
          </w:p>
        </w:tc>
        <w:tc>
          <w:tcPr>
            <w:tcW w:w="0" w:type="auto"/>
            <w:tcBorders>
              <w:top w:val="nil"/>
              <w:left w:val="nil"/>
              <w:bottom w:val="single" w:sz="4" w:space="0" w:color="auto"/>
              <w:right w:val="nil"/>
            </w:tcBorders>
            <w:noWrap/>
            <w:hideMark/>
          </w:tcPr>
          <w:p w14:paraId="06F9F16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740,26</w:t>
            </w:r>
          </w:p>
        </w:tc>
        <w:tc>
          <w:tcPr>
            <w:tcW w:w="0" w:type="auto"/>
            <w:tcBorders>
              <w:top w:val="nil"/>
              <w:left w:val="single" w:sz="4" w:space="0" w:color="auto"/>
              <w:bottom w:val="single" w:sz="4" w:space="0" w:color="auto"/>
              <w:right w:val="single" w:sz="4" w:space="0" w:color="auto"/>
            </w:tcBorders>
            <w:noWrap/>
            <w:hideMark/>
          </w:tcPr>
          <w:p w14:paraId="3DAE16D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436 635</w:t>
            </w:r>
          </w:p>
        </w:tc>
        <w:tc>
          <w:tcPr>
            <w:tcW w:w="0" w:type="auto"/>
            <w:tcBorders>
              <w:top w:val="nil"/>
              <w:left w:val="nil"/>
              <w:bottom w:val="single" w:sz="4" w:space="0" w:color="auto"/>
              <w:right w:val="single" w:sz="8" w:space="0" w:color="auto"/>
            </w:tcBorders>
            <w:noWrap/>
            <w:hideMark/>
          </w:tcPr>
          <w:p w14:paraId="5AAE1E1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3 878 700 100</w:t>
            </w:r>
          </w:p>
        </w:tc>
        <w:tc>
          <w:tcPr>
            <w:tcW w:w="0" w:type="auto"/>
            <w:tcBorders>
              <w:top w:val="nil"/>
              <w:left w:val="nil"/>
              <w:bottom w:val="single" w:sz="4" w:space="0" w:color="auto"/>
              <w:right w:val="nil"/>
            </w:tcBorders>
            <w:noWrap/>
            <w:hideMark/>
          </w:tcPr>
          <w:p w14:paraId="64C4AA0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784,70</w:t>
            </w:r>
          </w:p>
        </w:tc>
        <w:tc>
          <w:tcPr>
            <w:tcW w:w="0" w:type="auto"/>
            <w:tcBorders>
              <w:top w:val="nil"/>
              <w:left w:val="single" w:sz="4" w:space="0" w:color="auto"/>
              <w:bottom w:val="single" w:sz="4" w:space="0" w:color="auto"/>
              <w:right w:val="single" w:sz="4" w:space="0" w:color="auto"/>
            </w:tcBorders>
            <w:noWrap/>
            <w:hideMark/>
          </w:tcPr>
          <w:p w14:paraId="67BC84D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440 017</w:t>
            </w:r>
          </w:p>
        </w:tc>
        <w:tc>
          <w:tcPr>
            <w:tcW w:w="0" w:type="auto"/>
            <w:tcBorders>
              <w:top w:val="nil"/>
              <w:left w:val="nil"/>
              <w:bottom w:val="single" w:sz="4" w:space="0" w:color="auto"/>
              <w:right w:val="single" w:sz="8" w:space="0" w:color="auto"/>
            </w:tcBorders>
            <w:noWrap/>
            <w:hideMark/>
          </w:tcPr>
          <w:p w14:paraId="46404CC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4 143 370 807</w:t>
            </w:r>
          </w:p>
        </w:tc>
      </w:tr>
      <w:tr w:rsidR="003160BE" w:rsidRPr="003160BE" w14:paraId="65AF32DB"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402BCA0E"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Pensijas apgādnieka zaudējuma gadījumā</w:t>
            </w:r>
          </w:p>
        </w:tc>
        <w:tc>
          <w:tcPr>
            <w:tcW w:w="0" w:type="auto"/>
            <w:tcBorders>
              <w:top w:val="nil"/>
              <w:left w:val="nil"/>
              <w:bottom w:val="single" w:sz="4" w:space="0" w:color="auto"/>
              <w:right w:val="nil"/>
            </w:tcBorders>
            <w:noWrap/>
            <w:hideMark/>
          </w:tcPr>
          <w:p w14:paraId="6AF3444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412,97</w:t>
            </w:r>
          </w:p>
        </w:tc>
        <w:tc>
          <w:tcPr>
            <w:tcW w:w="0" w:type="auto"/>
            <w:tcBorders>
              <w:top w:val="nil"/>
              <w:left w:val="single" w:sz="4" w:space="0" w:color="auto"/>
              <w:bottom w:val="single" w:sz="4" w:space="0" w:color="auto"/>
              <w:right w:val="single" w:sz="4" w:space="0" w:color="auto"/>
            </w:tcBorders>
            <w:noWrap/>
            <w:hideMark/>
          </w:tcPr>
          <w:p w14:paraId="118FB67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14 972</w:t>
            </w:r>
          </w:p>
        </w:tc>
        <w:tc>
          <w:tcPr>
            <w:tcW w:w="0" w:type="auto"/>
            <w:tcBorders>
              <w:top w:val="nil"/>
              <w:left w:val="nil"/>
              <w:bottom w:val="single" w:sz="4" w:space="0" w:color="auto"/>
              <w:right w:val="single" w:sz="8" w:space="0" w:color="auto"/>
            </w:tcBorders>
            <w:noWrap/>
            <w:hideMark/>
          </w:tcPr>
          <w:p w14:paraId="5158603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74 196 553</w:t>
            </w:r>
          </w:p>
        </w:tc>
        <w:tc>
          <w:tcPr>
            <w:tcW w:w="0" w:type="auto"/>
            <w:tcBorders>
              <w:top w:val="nil"/>
              <w:left w:val="nil"/>
              <w:bottom w:val="single" w:sz="4" w:space="0" w:color="auto"/>
              <w:right w:val="nil"/>
            </w:tcBorders>
            <w:noWrap/>
            <w:hideMark/>
          </w:tcPr>
          <w:p w14:paraId="46707F3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449,42</w:t>
            </w:r>
          </w:p>
        </w:tc>
        <w:tc>
          <w:tcPr>
            <w:tcW w:w="0" w:type="auto"/>
            <w:tcBorders>
              <w:top w:val="nil"/>
              <w:left w:val="single" w:sz="4" w:space="0" w:color="auto"/>
              <w:bottom w:val="single" w:sz="4" w:space="0" w:color="auto"/>
              <w:right w:val="single" w:sz="4" w:space="0" w:color="auto"/>
            </w:tcBorders>
            <w:noWrap/>
            <w:hideMark/>
          </w:tcPr>
          <w:p w14:paraId="64CD3B4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14 972</w:t>
            </w:r>
          </w:p>
        </w:tc>
        <w:tc>
          <w:tcPr>
            <w:tcW w:w="0" w:type="auto"/>
            <w:tcBorders>
              <w:top w:val="nil"/>
              <w:left w:val="nil"/>
              <w:bottom w:val="single" w:sz="4" w:space="0" w:color="auto"/>
              <w:right w:val="single" w:sz="8" w:space="0" w:color="auto"/>
            </w:tcBorders>
            <w:noWrap/>
            <w:hideMark/>
          </w:tcPr>
          <w:p w14:paraId="30679B3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80 745 303</w:t>
            </w:r>
          </w:p>
        </w:tc>
        <w:tc>
          <w:tcPr>
            <w:tcW w:w="0" w:type="auto"/>
            <w:tcBorders>
              <w:top w:val="nil"/>
              <w:left w:val="nil"/>
              <w:bottom w:val="single" w:sz="4" w:space="0" w:color="auto"/>
              <w:right w:val="nil"/>
            </w:tcBorders>
            <w:noWrap/>
            <w:hideMark/>
          </w:tcPr>
          <w:p w14:paraId="11B9411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488,46</w:t>
            </w:r>
          </w:p>
        </w:tc>
        <w:tc>
          <w:tcPr>
            <w:tcW w:w="0" w:type="auto"/>
            <w:tcBorders>
              <w:top w:val="nil"/>
              <w:left w:val="single" w:sz="4" w:space="0" w:color="auto"/>
              <w:bottom w:val="single" w:sz="4" w:space="0" w:color="auto"/>
              <w:right w:val="single" w:sz="4" w:space="0" w:color="auto"/>
            </w:tcBorders>
            <w:noWrap/>
            <w:hideMark/>
          </w:tcPr>
          <w:p w14:paraId="0B0352E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14 972</w:t>
            </w:r>
          </w:p>
        </w:tc>
        <w:tc>
          <w:tcPr>
            <w:tcW w:w="0" w:type="auto"/>
            <w:tcBorders>
              <w:top w:val="nil"/>
              <w:left w:val="nil"/>
              <w:bottom w:val="single" w:sz="4" w:space="0" w:color="auto"/>
              <w:right w:val="single" w:sz="8" w:space="0" w:color="auto"/>
            </w:tcBorders>
            <w:noWrap/>
            <w:hideMark/>
          </w:tcPr>
          <w:p w14:paraId="1990DE5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87 758 544</w:t>
            </w:r>
          </w:p>
        </w:tc>
      </w:tr>
      <w:tr w:rsidR="003160BE" w:rsidRPr="003160BE" w14:paraId="170D6761"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0D3EE7AF"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Augstākās padomes deputātu pensijas</w:t>
            </w:r>
          </w:p>
        </w:tc>
        <w:tc>
          <w:tcPr>
            <w:tcW w:w="0" w:type="auto"/>
            <w:tcBorders>
              <w:top w:val="nil"/>
              <w:left w:val="nil"/>
              <w:bottom w:val="single" w:sz="4" w:space="0" w:color="auto"/>
              <w:right w:val="nil"/>
            </w:tcBorders>
            <w:noWrap/>
            <w:hideMark/>
          </w:tcPr>
          <w:p w14:paraId="414ADC2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3 464,00</w:t>
            </w:r>
          </w:p>
        </w:tc>
        <w:tc>
          <w:tcPr>
            <w:tcW w:w="0" w:type="auto"/>
            <w:tcBorders>
              <w:top w:val="nil"/>
              <w:left w:val="single" w:sz="4" w:space="0" w:color="auto"/>
              <w:bottom w:val="single" w:sz="4" w:space="0" w:color="auto"/>
              <w:right w:val="single" w:sz="4" w:space="0" w:color="auto"/>
            </w:tcBorders>
            <w:noWrap/>
            <w:hideMark/>
          </w:tcPr>
          <w:p w14:paraId="6FED554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76</w:t>
            </w:r>
          </w:p>
        </w:tc>
        <w:tc>
          <w:tcPr>
            <w:tcW w:w="0" w:type="auto"/>
            <w:tcBorders>
              <w:top w:val="nil"/>
              <w:left w:val="nil"/>
              <w:bottom w:val="single" w:sz="4" w:space="0" w:color="auto"/>
              <w:right w:val="single" w:sz="8" w:space="0" w:color="auto"/>
            </w:tcBorders>
            <w:noWrap/>
            <w:hideMark/>
          </w:tcPr>
          <w:p w14:paraId="7EED881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3 159 168</w:t>
            </w:r>
          </w:p>
        </w:tc>
        <w:tc>
          <w:tcPr>
            <w:tcW w:w="0" w:type="auto"/>
            <w:tcBorders>
              <w:top w:val="nil"/>
              <w:left w:val="nil"/>
              <w:bottom w:val="single" w:sz="4" w:space="0" w:color="auto"/>
              <w:right w:val="nil"/>
            </w:tcBorders>
            <w:noWrap/>
            <w:hideMark/>
          </w:tcPr>
          <w:p w14:paraId="7989D70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3 464,00</w:t>
            </w:r>
          </w:p>
        </w:tc>
        <w:tc>
          <w:tcPr>
            <w:tcW w:w="0" w:type="auto"/>
            <w:tcBorders>
              <w:top w:val="nil"/>
              <w:left w:val="single" w:sz="4" w:space="0" w:color="auto"/>
              <w:bottom w:val="single" w:sz="4" w:space="0" w:color="auto"/>
              <w:right w:val="single" w:sz="4" w:space="0" w:color="auto"/>
            </w:tcBorders>
            <w:noWrap/>
            <w:hideMark/>
          </w:tcPr>
          <w:p w14:paraId="380A31A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76</w:t>
            </w:r>
          </w:p>
        </w:tc>
        <w:tc>
          <w:tcPr>
            <w:tcW w:w="0" w:type="auto"/>
            <w:tcBorders>
              <w:top w:val="nil"/>
              <w:left w:val="nil"/>
              <w:bottom w:val="single" w:sz="4" w:space="0" w:color="auto"/>
              <w:right w:val="single" w:sz="8" w:space="0" w:color="auto"/>
            </w:tcBorders>
            <w:noWrap/>
            <w:hideMark/>
          </w:tcPr>
          <w:p w14:paraId="7A20C4D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3 159 168</w:t>
            </w:r>
          </w:p>
        </w:tc>
        <w:tc>
          <w:tcPr>
            <w:tcW w:w="0" w:type="auto"/>
            <w:tcBorders>
              <w:top w:val="nil"/>
              <w:left w:val="nil"/>
              <w:bottom w:val="single" w:sz="4" w:space="0" w:color="auto"/>
              <w:right w:val="nil"/>
            </w:tcBorders>
            <w:noWrap/>
            <w:hideMark/>
          </w:tcPr>
          <w:p w14:paraId="562C43C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3 464,00</w:t>
            </w:r>
          </w:p>
        </w:tc>
        <w:tc>
          <w:tcPr>
            <w:tcW w:w="0" w:type="auto"/>
            <w:tcBorders>
              <w:top w:val="nil"/>
              <w:left w:val="single" w:sz="4" w:space="0" w:color="auto"/>
              <w:bottom w:val="single" w:sz="4" w:space="0" w:color="auto"/>
              <w:right w:val="single" w:sz="4" w:space="0" w:color="auto"/>
            </w:tcBorders>
            <w:noWrap/>
            <w:hideMark/>
          </w:tcPr>
          <w:p w14:paraId="7B30CA7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76</w:t>
            </w:r>
          </w:p>
        </w:tc>
        <w:tc>
          <w:tcPr>
            <w:tcW w:w="0" w:type="auto"/>
            <w:tcBorders>
              <w:top w:val="nil"/>
              <w:left w:val="nil"/>
              <w:bottom w:val="single" w:sz="4" w:space="0" w:color="auto"/>
              <w:right w:val="single" w:sz="8" w:space="0" w:color="auto"/>
            </w:tcBorders>
            <w:noWrap/>
            <w:hideMark/>
          </w:tcPr>
          <w:p w14:paraId="19D4E2C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3 159 168</w:t>
            </w:r>
          </w:p>
        </w:tc>
      </w:tr>
      <w:tr w:rsidR="003160BE" w:rsidRPr="003160BE" w14:paraId="19C253D8"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7843C1B6"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 xml:space="preserve">Izdienas pensijas </w:t>
            </w:r>
          </w:p>
        </w:tc>
        <w:tc>
          <w:tcPr>
            <w:tcW w:w="0" w:type="auto"/>
            <w:tcBorders>
              <w:top w:val="nil"/>
              <w:left w:val="nil"/>
              <w:bottom w:val="single" w:sz="4" w:space="0" w:color="auto"/>
              <w:right w:val="nil"/>
            </w:tcBorders>
            <w:noWrap/>
            <w:hideMark/>
          </w:tcPr>
          <w:p w14:paraId="5A6B5C4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772,42</w:t>
            </w:r>
          </w:p>
        </w:tc>
        <w:tc>
          <w:tcPr>
            <w:tcW w:w="0" w:type="auto"/>
            <w:tcBorders>
              <w:top w:val="nil"/>
              <w:left w:val="single" w:sz="4" w:space="0" w:color="auto"/>
              <w:bottom w:val="single" w:sz="4" w:space="0" w:color="auto"/>
              <w:right w:val="single" w:sz="4" w:space="0" w:color="auto"/>
            </w:tcBorders>
            <w:noWrap/>
            <w:hideMark/>
          </w:tcPr>
          <w:p w14:paraId="63BFDEB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945</w:t>
            </w:r>
          </w:p>
        </w:tc>
        <w:tc>
          <w:tcPr>
            <w:tcW w:w="0" w:type="auto"/>
            <w:tcBorders>
              <w:top w:val="nil"/>
              <w:left w:val="nil"/>
              <w:bottom w:val="single" w:sz="4" w:space="0" w:color="auto"/>
              <w:right w:val="single" w:sz="8" w:space="0" w:color="auto"/>
            </w:tcBorders>
            <w:noWrap/>
            <w:hideMark/>
          </w:tcPr>
          <w:p w14:paraId="52CF106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8 759 212</w:t>
            </w:r>
          </w:p>
        </w:tc>
        <w:tc>
          <w:tcPr>
            <w:tcW w:w="0" w:type="auto"/>
            <w:tcBorders>
              <w:top w:val="nil"/>
              <w:left w:val="nil"/>
              <w:bottom w:val="single" w:sz="4" w:space="0" w:color="auto"/>
              <w:right w:val="nil"/>
            </w:tcBorders>
            <w:noWrap/>
            <w:hideMark/>
          </w:tcPr>
          <w:p w14:paraId="6CB5330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815,10</w:t>
            </w:r>
          </w:p>
        </w:tc>
        <w:tc>
          <w:tcPr>
            <w:tcW w:w="0" w:type="auto"/>
            <w:tcBorders>
              <w:top w:val="nil"/>
              <w:left w:val="single" w:sz="4" w:space="0" w:color="auto"/>
              <w:bottom w:val="single" w:sz="4" w:space="0" w:color="auto"/>
              <w:right w:val="single" w:sz="4" w:space="0" w:color="auto"/>
            </w:tcBorders>
            <w:noWrap/>
            <w:hideMark/>
          </w:tcPr>
          <w:p w14:paraId="7E739E2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846</w:t>
            </w:r>
          </w:p>
        </w:tc>
        <w:tc>
          <w:tcPr>
            <w:tcW w:w="0" w:type="auto"/>
            <w:tcBorders>
              <w:top w:val="nil"/>
              <w:left w:val="nil"/>
              <w:bottom w:val="single" w:sz="4" w:space="0" w:color="auto"/>
              <w:right w:val="single" w:sz="8" w:space="0" w:color="auto"/>
            </w:tcBorders>
            <w:noWrap/>
            <w:hideMark/>
          </w:tcPr>
          <w:p w14:paraId="3487663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8 274 923</w:t>
            </w:r>
          </w:p>
        </w:tc>
        <w:tc>
          <w:tcPr>
            <w:tcW w:w="0" w:type="auto"/>
            <w:tcBorders>
              <w:top w:val="nil"/>
              <w:left w:val="nil"/>
              <w:bottom w:val="single" w:sz="4" w:space="0" w:color="auto"/>
              <w:right w:val="nil"/>
            </w:tcBorders>
            <w:noWrap/>
            <w:hideMark/>
          </w:tcPr>
          <w:p w14:paraId="4969CF7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858,43</w:t>
            </w:r>
          </w:p>
        </w:tc>
        <w:tc>
          <w:tcPr>
            <w:tcW w:w="0" w:type="auto"/>
            <w:tcBorders>
              <w:top w:val="nil"/>
              <w:left w:val="single" w:sz="4" w:space="0" w:color="auto"/>
              <w:bottom w:val="single" w:sz="4" w:space="0" w:color="auto"/>
              <w:right w:val="single" w:sz="4" w:space="0" w:color="auto"/>
            </w:tcBorders>
            <w:noWrap/>
            <w:hideMark/>
          </w:tcPr>
          <w:p w14:paraId="7B48962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757</w:t>
            </w:r>
          </w:p>
        </w:tc>
        <w:tc>
          <w:tcPr>
            <w:tcW w:w="0" w:type="auto"/>
            <w:tcBorders>
              <w:top w:val="nil"/>
              <w:left w:val="nil"/>
              <w:bottom w:val="single" w:sz="4" w:space="0" w:color="auto"/>
              <w:right w:val="single" w:sz="8" w:space="0" w:color="auto"/>
            </w:tcBorders>
            <w:noWrap/>
            <w:hideMark/>
          </w:tcPr>
          <w:p w14:paraId="2AB5C13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7 798 017</w:t>
            </w:r>
          </w:p>
        </w:tc>
      </w:tr>
      <w:tr w:rsidR="003160BE" w:rsidRPr="003160BE" w14:paraId="137FED0E"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4F17386B"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Valsts sociālās apdrošināšanas pabalsti naudā – kopā</w:t>
            </w:r>
          </w:p>
        </w:tc>
        <w:tc>
          <w:tcPr>
            <w:tcW w:w="0" w:type="auto"/>
            <w:tcBorders>
              <w:top w:val="nil"/>
              <w:left w:val="nil"/>
              <w:bottom w:val="nil"/>
              <w:right w:val="nil"/>
            </w:tcBorders>
            <w:noWrap/>
            <w:hideMark/>
          </w:tcPr>
          <w:p w14:paraId="48DC4E7E"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46BC07A6"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367E36E9"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51 402 291</w:t>
            </w:r>
          </w:p>
        </w:tc>
        <w:tc>
          <w:tcPr>
            <w:tcW w:w="0" w:type="auto"/>
            <w:tcBorders>
              <w:top w:val="nil"/>
              <w:left w:val="nil"/>
              <w:bottom w:val="nil"/>
              <w:right w:val="nil"/>
            </w:tcBorders>
            <w:noWrap/>
            <w:hideMark/>
          </w:tcPr>
          <w:p w14:paraId="230D46B0"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4F5D90B3"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5384F6C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54 565 550</w:t>
            </w:r>
          </w:p>
        </w:tc>
        <w:tc>
          <w:tcPr>
            <w:tcW w:w="0" w:type="auto"/>
            <w:tcBorders>
              <w:top w:val="nil"/>
              <w:left w:val="nil"/>
              <w:bottom w:val="nil"/>
              <w:right w:val="nil"/>
            </w:tcBorders>
            <w:noWrap/>
            <w:hideMark/>
          </w:tcPr>
          <w:p w14:paraId="2EFCCCCC"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33497C09"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25283B8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57 728 663</w:t>
            </w:r>
          </w:p>
        </w:tc>
      </w:tr>
      <w:tr w:rsidR="003160BE" w:rsidRPr="003160BE" w14:paraId="4DA75DD0"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2DB5EB1C" w14:textId="77777777" w:rsidR="003160BE" w:rsidRPr="003160BE" w:rsidRDefault="003160BE" w:rsidP="003160BE">
            <w:pPr>
              <w:spacing w:after="0"/>
              <w:ind w:firstLineChars="100" w:firstLine="180"/>
              <w:jc w:val="left"/>
              <w:rPr>
                <w:rFonts w:eastAsia="Times New Roman" w:cs="Times New Roman"/>
                <w:i/>
                <w:iCs/>
                <w:sz w:val="18"/>
                <w:szCs w:val="18"/>
              </w:rPr>
            </w:pPr>
            <w:r w:rsidRPr="003160BE">
              <w:rPr>
                <w:rFonts w:eastAsia="Calibri" w:cs="Times New Roman"/>
                <w:i/>
                <w:iCs/>
                <w:sz w:val="18"/>
                <w:szCs w:val="18"/>
                <w:lang w:eastAsia="en-US"/>
              </w:rPr>
              <w:t>tajā skaitā:</w:t>
            </w:r>
          </w:p>
        </w:tc>
        <w:tc>
          <w:tcPr>
            <w:tcW w:w="0" w:type="auto"/>
            <w:tcBorders>
              <w:top w:val="single" w:sz="4" w:space="0" w:color="auto"/>
              <w:left w:val="nil"/>
              <w:bottom w:val="single" w:sz="4" w:space="0" w:color="auto"/>
              <w:right w:val="nil"/>
            </w:tcBorders>
            <w:noWrap/>
            <w:hideMark/>
          </w:tcPr>
          <w:p w14:paraId="37094D6A"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7AEBB6D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3FD2666B"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05AFEAB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48CC522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6177D284"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4CD40EEF"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7E4DBFC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07C28CFC" w14:textId="77777777" w:rsidR="003160BE" w:rsidRPr="003160BE" w:rsidRDefault="003160BE" w:rsidP="003160BE">
            <w:pPr>
              <w:spacing w:after="0"/>
              <w:ind w:firstLine="0"/>
              <w:jc w:val="right"/>
              <w:rPr>
                <w:rFonts w:eastAsia="Times New Roman" w:cs="Times New Roman"/>
                <w:sz w:val="18"/>
                <w:szCs w:val="18"/>
              </w:rPr>
            </w:pPr>
          </w:p>
        </w:tc>
      </w:tr>
      <w:tr w:rsidR="003160BE" w:rsidRPr="003160BE" w14:paraId="0970A2E8"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28C6CC3B"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Apbedīšanas pabalsts</w:t>
            </w:r>
          </w:p>
        </w:tc>
        <w:tc>
          <w:tcPr>
            <w:tcW w:w="0" w:type="auto"/>
            <w:tcBorders>
              <w:top w:val="nil"/>
              <w:left w:val="nil"/>
              <w:bottom w:val="single" w:sz="4" w:space="0" w:color="auto"/>
              <w:right w:val="nil"/>
            </w:tcBorders>
            <w:noWrap/>
            <w:hideMark/>
          </w:tcPr>
          <w:p w14:paraId="6D95BAD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1 158,04</w:t>
            </w:r>
          </w:p>
        </w:tc>
        <w:tc>
          <w:tcPr>
            <w:tcW w:w="0" w:type="auto"/>
            <w:tcBorders>
              <w:top w:val="nil"/>
              <w:left w:val="single" w:sz="4" w:space="0" w:color="auto"/>
              <w:bottom w:val="single" w:sz="4" w:space="0" w:color="auto"/>
              <w:right w:val="single" w:sz="4" w:space="0" w:color="auto"/>
            </w:tcBorders>
            <w:noWrap/>
            <w:hideMark/>
          </w:tcPr>
          <w:p w14:paraId="242DA7E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2 000</w:t>
            </w:r>
          </w:p>
        </w:tc>
        <w:tc>
          <w:tcPr>
            <w:tcW w:w="0" w:type="auto"/>
            <w:tcBorders>
              <w:top w:val="nil"/>
              <w:left w:val="nil"/>
              <w:bottom w:val="single" w:sz="4" w:space="0" w:color="auto"/>
              <w:right w:val="single" w:sz="8" w:space="0" w:color="auto"/>
            </w:tcBorders>
            <w:noWrap/>
            <w:hideMark/>
          </w:tcPr>
          <w:p w14:paraId="068FA5B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27 792 975</w:t>
            </w:r>
          </w:p>
        </w:tc>
        <w:tc>
          <w:tcPr>
            <w:tcW w:w="0" w:type="auto"/>
            <w:tcBorders>
              <w:top w:val="nil"/>
              <w:left w:val="nil"/>
              <w:bottom w:val="single" w:sz="4" w:space="0" w:color="auto"/>
              <w:right w:val="nil"/>
            </w:tcBorders>
            <w:noWrap/>
            <w:hideMark/>
          </w:tcPr>
          <w:p w14:paraId="4FD5DC1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1 224,92</w:t>
            </w:r>
          </w:p>
        </w:tc>
        <w:tc>
          <w:tcPr>
            <w:tcW w:w="0" w:type="auto"/>
            <w:tcBorders>
              <w:top w:val="nil"/>
              <w:left w:val="single" w:sz="4" w:space="0" w:color="auto"/>
              <w:bottom w:val="single" w:sz="4" w:space="0" w:color="auto"/>
              <w:right w:val="single" w:sz="4" w:space="0" w:color="auto"/>
            </w:tcBorders>
            <w:noWrap/>
            <w:hideMark/>
          </w:tcPr>
          <w:p w14:paraId="5A691A1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2 000</w:t>
            </w:r>
          </w:p>
        </w:tc>
        <w:tc>
          <w:tcPr>
            <w:tcW w:w="0" w:type="auto"/>
            <w:tcBorders>
              <w:top w:val="nil"/>
              <w:left w:val="nil"/>
              <w:bottom w:val="single" w:sz="4" w:space="0" w:color="auto"/>
              <w:right w:val="single" w:sz="8" w:space="0" w:color="auto"/>
            </w:tcBorders>
            <w:noWrap/>
            <w:hideMark/>
          </w:tcPr>
          <w:p w14:paraId="0D1A1BD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29 397 967</w:t>
            </w:r>
          </w:p>
        </w:tc>
        <w:tc>
          <w:tcPr>
            <w:tcW w:w="0" w:type="auto"/>
            <w:tcBorders>
              <w:top w:val="nil"/>
              <w:left w:val="nil"/>
              <w:bottom w:val="single" w:sz="4" w:space="0" w:color="auto"/>
              <w:right w:val="nil"/>
            </w:tcBorders>
            <w:noWrap/>
            <w:hideMark/>
          </w:tcPr>
          <w:p w14:paraId="3DAA4E1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1 292,95</w:t>
            </w:r>
          </w:p>
        </w:tc>
        <w:tc>
          <w:tcPr>
            <w:tcW w:w="0" w:type="auto"/>
            <w:tcBorders>
              <w:top w:val="nil"/>
              <w:left w:val="single" w:sz="4" w:space="0" w:color="auto"/>
              <w:bottom w:val="single" w:sz="4" w:space="0" w:color="auto"/>
              <w:right w:val="single" w:sz="4" w:space="0" w:color="auto"/>
            </w:tcBorders>
            <w:noWrap/>
            <w:hideMark/>
          </w:tcPr>
          <w:p w14:paraId="4982731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2 000</w:t>
            </w:r>
          </w:p>
        </w:tc>
        <w:tc>
          <w:tcPr>
            <w:tcW w:w="0" w:type="auto"/>
            <w:tcBorders>
              <w:top w:val="nil"/>
              <w:left w:val="nil"/>
              <w:bottom w:val="single" w:sz="4" w:space="0" w:color="auto"/>
              <w:right w:val="single" w:sz="8" w:space="0" w:color="auto"/>
            </w:tcBorders>
            <w:noWrap/>
            <w:hideMark/>
          </w:tcPr>
          <w:p w14:paraId="2C851B2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31 030 714</w:t>
            </w:r>
          </w:p>
        </w:tc>
      </w:tr>
      <w:tr w:rsidR="003160BE" w:rsidRPr="003160BE" w14:paraId="762C6425" w14:textId="77777777" w:rsidTr="0052209F">
        <w:trPr>
          <w:trHeight w:val="20"/>
          <w:jc w:val="center"/>
        </w:trPr>
        <w:tc>
          <w:tcPr>
            <w:tcW w:w="0" w:type="auto"/>
            <w:tcBorders>
              <w:top w:val="nil"/>
              <w:left w:val="single" w:sz="8" w:space="0" w:color="auto"/>
              <w:bottom w:val="single" w:sz="4" w:space="0" w:color="auto"/>
              <w:right w:val="single" w:sz="8" w:space="0" w:color="auto"/>
            </w:tcBorders>
            <w:hideMark/>
          </w:tcPr>
          <w:p w14:paraId="41266709"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Kaitējuma atlīdzība Černobiļas AES avārijas seku likvidēšanas dalībnieka, kuram ir noteikta invaliditāte, nāves gadījumā – viņa apgādībā bijušajiem darbnespējīgajiem ģimenes locekļiem</w:t>
            </w:r>
          </w:p>
        </w:tc>
        <w:tc>
          <w:tcPr>
            <w:tcW w:w="0" w:type="auto"/>
            <w:tcBorders>
              <w:top w:val="nil"/>
              <w:left w:val="nil"/>
              <w:bottom w:val="single" w:sz="4" w:space="0" w:color="auto"/>
              <w:right w:val="nil"/>
            </w:tcBorders>
            <w:noWrap/>
            <w:hideMark/>
          </w:tcPr>
          <w:p w14:paraId="794BAC6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601,51</w:t>
            </w:r>
          </w:p>
        </w:tc>
        <w:tc>
          <w:tcPr>
            <w:tcW w:w="0" w:type="auto"/>
            <w:tcBorders>
              <w:top w:val="nil"/>
              <w:left w:val="single" w:sz="4" w:space="0" w:color="auto"/>
              <w:bottom w:val="single" w:sz="4" w:space="0" w:color="auto"/>
              <w:right w:val="single" w:sz="4" w:space="0" w:color="auto"/>
            </w:tcBorders>
            <w:noWrap/>
            <w:hideMark/>
          </w:tcPr>
          <w:p w14:paraId="6722712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18</w:t>
            </w:r>
          </w:p>
        </w:tc>
        <w:tc>
          <w:tcPr>
            <w:tcW w:w="0" w:type="auto"/>
            <w:tcBorders>
              <w:top w:val="nil"/>
              <w:left w:val="nil"/>
              <w:bottom w:val="single" w:sz="4" w:space="0" w:color="auto"/>
              <w:right w:val="single" w:sz="8" w:space="0" w:color="auto"/>
            </w:tcBorders>
            <w:noWrap/>
            <w:hideMark/>
          </w:tcPr>
          <w:p w14:paraId="2F5B5E0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129 926</w:t>
            </w:r>
          </w:p>
        </w:tc>
        <w:tc>
          <w:tcPr>
            <w:tcW w:w="0" w:type="auto"/>
            <w:tcBorders>
              <w:top w:val="nil"/>
              <w:left w:val="nil"/>
              <w:bottom w:val="single" w:sz="4" w:space="0" w:color="auto"/>
              <w:right w:val="nil"/>
            </w:tcBorders>
            <w:noWrap/>
            <w:hideMark/>
          </w:tcPr>
          <w:p w14:paraId="5F33E8B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641,02</w:t>
            </w:r>
          </w:p>
        </w:tc>
        <w:tc>
          <w:tcPr>
            <w:tcW w:w="0" w:type="auto"/>
            <w:tcBorders>
              <w:top w:val="nil"/>
              <w:left w:val="single" w:sz="4" w:space="0" w:color="auto"/>
              <w:bottom w:val="single" w:sz="4" w:space="0" w:color="auto"/>
              <w:right w:val="single" w:sz="4" w:space="0" w:color="auto"/>
            </w:tcBorders>
            <w:noWrap/>
            <w:hideMark/>
          </w:tcPr>
          <w:p w14:paraId="6574C0E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18</w:t>
            </w:r>
          </w:p>
        </w:tc>
        <w:tc>
          <w:tcPr>
            <w:tcW w:w="0" w:type="auto"/>
            <w:tcBorders>
              <w:top w:val="nil"/>
              <w:left w:val="nil"/>
              <w:bottom w:val="single" w:sz="4" w:space="0" w:color="auto"/>
              <w:right w:val="single" w:sz="8" w:space="0" w:color="auto"/>
            </w:tcBorders>
            <w:noWrap/>
            <w:hideMark/>
          </w:tcPr>
          <w:p w14:paraId="4B1A204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138 460</w:t>
            </w:r>
          </w:p>
        </w:tc>
        <w:tc>
          <w:tcPr>
            <w:tcW w:w="0" w:type="auto"/>
            <w:tcBorders>
              <w:top w:val="nil"/>
              <w:left w:val="nil"/>
              <w:bottom w:val="single" w:sz="4" w:space="0" w:color="auto"/>
              <w:right w:val="nil"/>
            </w:tcBorders>
            <w:noWrap/>
            <w:hideMark/>
          </w:tcPr>
          <w:p w14:paraId="44546DD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678,27</w:t>
            </w:r>
          </w:p>
        </w:tc>
        <w:tc>
          <w:tcPr>
            <w:tcW w:w="0" w:type="auto"/>
            <w:tcBorders>
              <w:top w:val="nil"/>
              <w:left w:val="single" w:sz="4" w:space="0" w:color="auto"/>
              <w:bottom w:val="single" w:sz="4" w:space="0" w:color="auto"/>
              <w:right w:val="single" w:sz="4" w:space="0" w:color="auto"/>
            </w:tcBorders>
            <w:noWrap/>
            <w:hideMark/>
          </w:tcPr>
          <w:p w14:paraId="760710E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18</w:t>
            </w:r>
          </w:p>
        </w:tc>
        <w:tc>
          <w:tcPr>
            <w:tcW w:w="0" w:type="auto"/>
            <w:tcBorders>
              <w:top w:val="nil"/>
              <w:left w:val="nil"/>
              <w:bottom w:val="single" w:sz="4" w:space="0" w:color="auto"/>
              <w:right w:val="single" w:sz="8" w:space="0" w:color="auto"/>
            </w:tcBorders>
            <w:noWrap/>
            <w:hideMark/>
          </w:tcPr>
          <w:p w14:paraId="0821079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146 506</w:t>
            </w:r>
          </w:p>
        </w:tc>
      </w:tr>
      <w:tr w:rsidR="003160BE" w:rsidRPr="003160BE" w14:paraId="23F6A041" w14:textId="77777777" w:rsidTr="0052209F">
        <w:trPr>
          <w:trHeight w:val="20"/>
          <w:jc w:val="center"/>
        </w:trPr>
        <w:tc>
          <w:tcPr>
            <w:tcW w:w="0" w:type="auto"/>
            <w:tcBorders>
              <w:top w:val="nil"/>
              <w:left w:val="single" w:sz="8" w:space="0" w:color="auto"/>
              <w:bottom w:val="single" w:sz="4" w:space="0" w:color="auto"/>
              <w:right w:val="single" w:sz="8" w:space="0" w:color="auto"/>
            </w:tcBorders>
            <w:hideMark/>
          </w:tcPr>
          <w:p w14:paraId="200AE62A"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Pabalsts pensijas saņēmēja nāves gadījumā pārdzīvojušam laulātajam</w:t>
            </w:r>
          </w:p>
        </w:tc>
        <w:tc>
          <w:tcPr>
            <w:tcW w:w="0" w:type="auto"/>
            <w:tcBorders>
              <w:top w:val="nil"/>
              <w:left w:val="nil"/>
              <w:bottom w:val="single" w:sz="4" w:space="0" w:color="auto"/>
              <w:right w:val="nil"/>
            </w:tcBorders>
            <w:noWrap/>
            <w:hideMark/>
          </w:tcPr>
          <w:p w14:paraId="5D2CA38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326,10</w:t>
            </w:r>
          </w:p>
        </w:tc>
        <w:tc>
          <w:tcPr>
            <w:tcW w:w="0" w:type="auto"/>
            <w:tcBorders>
              <w:top w:val="nil"/>
              <w:left w:val="single" w:sz="4" w:space="0" w:color="auto"/>
              <w:bottom w:val="single" w:sz="4" w:space="0" w:color="auto"/>
              <w:right w:val="single" w:sz="4" w:space="0" w:color="auto"/>
            </w:tcBorders>
            <w:noWrap/>
            <w:hideMark/>
          </w:tcPr>
          <w:p w14:paraId="1489B2A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6 000</w:t>
            </w:r>
          </w:p>
        </w:tc>
        <w:tc>
          <w:tcPr>
            <w:tcW w:w="0" w:type="auto"/>
            <w:tcBorders>
              <w:top w:val="nil"/>
              <w:left w:val="nil"/>
              <w:bottom w:val="single" w:sz="4" w:space="0" w:color="auto"/>
              <w:right w:val="single" w:sz="8" w:space="0" w:color="auto"/>
            </w:tcBorders>
            <w:noWrap/>
            <w:hideMark/>
          </w:tcPr>
          <w:p w14:paraId="0197974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23 479 390</w:t>
            </w:r>
          </w:p>
        </w:tc>
        <w:tc>
          <w:tcPr>
            <w:tcW w:w="0" w:type="auto"/>
            <w:tcBorders>
              <w:top w:val="nil"/>
              <w:left w:val="nil"/>
              <w:bottom w:val="single" w:sz="4" w:space="0" w:color="auto"/>
              <w:right w:val="nil"/>
            </w:tcBorders>
            <w:noWrap/>
            <w:hideMark/>
          </w:tcPr>
          <w:p w14:paraId="2F9218E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347,63</w:t>
            </w:r>
          </w:p>
        </w:tc>
        <w:tc>
          <w:tcPr>
            <w:tcW w:w="0" w:type="auto"/>
            <w:tcBorders>
              <w:top w:val="nil"/>
              <w:left w:val="single" w:sz="4" w:space="0" w:color="auto"/>
              <w:bottom w:val="single" w:sz="4" w:space="0" w:color="auto"/>
              <w:right w:val="single" w:sz="4" w:space="0" w:color="auto"/>
            </w:tcBorders>
            <w:noWrap/>
            <w:hideMark/>
          </w:tcPr>
          <w:p w14:paraId="12D2985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6 000</w:t>
            </w:r>
          </w:p>
        </w:tc>
        <w:tc>
          <w:tcPr>
            <w:tcW w:w="0" w:type="auto"/>
            <w:tcBorders>
              <w:top w:val="nil"/>
              <w:left w:val="nil"/>
              <w:bottom w:val="single" w:sz="4" w:space="0" w:color="auto"/>
              <w:right w:val="single" w:sz="8" w:space="0" w:color="auto"/>
            </w:tcBorders>
            <w:noWrap/>
            <w:hideMark/>
          </w:tcPr>
          <w:p w14:paraId="342BCE1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25 029 123</w:t>
            </w:r>
          </w:p>
        </w:tc>
        <w:tc>
          <w:tcPr>
            <w:tcW w:w="0" w:type="auto"/>
            <w:tcBorders>
              <w:top w:val="nil"/>
              <w:left w:val="nil"/>
              <w:bottom w:val="single" w:sz="4" w:space="0" w:color="auto"/>
              <w:right w:val="nil"/>
            </w:tcBorders>
            <w:noWrap/>
            <w:hideMark/>
          </w:tcPr>
          <w:p w14:paraId="0F8EF1B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368,77</w:t>
            </w:r>
          </w:p>
        </w:tc>
        <w:tc>
          <w:tcPr>
            <w:tcW w:w="0" w:type="auto"/>
            <w:tcBorders>
              <w:top w:val="nil"/>
              <w:left w:val="single" w:sz="4" w:space="0" w:color="auto"/>
              <w:bottom w:val="single" w:sz="4" w:space="0" w:color="auto"/>
              <w:right w:val="single" w:sz="4" w:space="0" w:color="auto"/>
            </w:tcBorders>
            <w:noWrap/>
            <w:hideMark/>
          </w:tcPr>
          <w:p w14:paraId="79DB93A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6 000</w:t>
            </w:r>
          </w:p>
        </w:tc>
        <w:tc>
          <w:tcPr>
            <w:tcW w:w="0" w:type="auto"/>
            <w:tcBorders>
              <w:top w:val="nil"/>
              <w:left w:val="nil"/>
              <w:bottom w:val="single" w:sz="4" w:space="0" w:color="auto"/>
              <w:right w:val="single" w:sz="8" w:space="0" w:color="auto"/>
            </w:tcBorders>
            <w:noWrap/>
            <w:hideMark/>
          </w:tcPr>
          <w:p w14:paraId="77BCE05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26 551 443</w:t>
            </w:r>
          </w:p>
        </w:tc>
      </w:tr>
      <w:tr w:rsidR="003160BE" w:rsidRPr="003160BE" w14:paraId="458D8973" w14:textId="77777777" w:rsidTr="0052209F">
        <w:trPr>
          <w:trHeight w:val="20"/>
          <w:jc w:val="center"/>
        </w:trPr>
        <w:tc>
          <w:tcPr>
            <w:tcW w:w="0" w:type="auto"/>
            <w:tcBorders>
              <w:top w:val="nil"/>
              <w:left w:val="single" w:sz="8" w:space="0" w:color="auto"/>
              <w:bottom w:val="single" w:sz="4" w:space="0" w:color="auto"/>
              <w:right w:val="single" w:sz="8" w:space="0" w:color="auto"/>
            </w:tcBorders>
            <w:hideMark/>
          </w:tcPr>
          <w:p w14:paraId="476E97D5"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Valsts budžeta maksājumi - kopā</w:t>
            </w:r>
          </w:p>
        </w:tc>
        <w:tc>
          <w:tcPr>
            <w:tcW w:w="0" w:type="auto"/>
            <w:tcBorders>
              <w:top w:val="nil"/>
              <w:left w:val="nil"/>
              <w:bottom w:val="nil"/>
              <w:right w:val="nil"/>
            </w:tcBorders>
            <w:noWrap/>
            <w:hideMark/>
          </w:tcPr>
          <w:p w14:paraId="78C3A563"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04ACAD19"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6F793B5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1 283 240</w:t>
            </w:r>
          </w:p>
        </w:tc>
        <w:tc>
          <w:tcPr>
            <w:tcW w:w="0" w:type="auto"/>
            <w:tcBorders>
              <w:top w:val="nil"/>
              <w:left w:val="nil"/>
              <w:bottom w:val="nil"/>
              <w:right w:val="nil"/>
            </w:tcBorders>
            <w:noWrap/>
            <w:hideMark/>
          </w:tcPr>
          <w:p w14:paraId="18E79A8F"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08211AEC"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7912815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1 287 841</w:t>
            </w:r>
          </w:p>
        </w:tc>
        <w:tc>
          <w:tcPr>
            <w:tcW w:w="0" w:type="auto"/>
            <w:tcBorders>
              <w:top w:val="nil"/>
              <w:left w:val="nil"/>
              <w:bottom w:val="nil"/>
              <w:right w:val="nil"/>
            </w:tcBorders>
            <w:noWrap/>
            <w:hideMark/>
          </w:tcPr>
          <w:p w14:paraId="55F8A385"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3EA61915"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051D067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1 289 660</w:t>
            </w:r>
          </w:p>
        </w:tc>
      </w:tr>
      <w:tr w:rsidR="003160BE" w:rsidRPr="003160BE" w14:paraId="53FE04B1"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61DEDD89" w14:textId="77777777" w:rsidR="003160BE" w:rsidRPr="003160BE" w:rsidRDefault="003160BE" w:rsidP="003160BE">
            <w:pPr>
              <w:spacing w:after="0"/>
              <w:ind w:firstLineChars="100" w:firstLine="180"/>
              <w:jc w:val="left"/>
              <w:rPr>
                <w:rFonts w:eastAsia="Times New Roman" w:cs="Times New Roman"/>
                <w:i/>
                <w:iCs/>
                <w:sz w:val="18"/>
                <w:szCs w:val="18"/>
              </w:rPr>
            </w:pPr>
            <w:r w:rsidRPr="003160BE">
              <w:rPr>
                <w:rFonts w:eastAsia="Calibri" w:cs="Times New Roman"/>
                <w:i/>
                <w:iCs/>
                <w:sz w:val="18"/>
                <w:szCs w:val="18"/>
                <w:lang w:eastAsia="en-US"/>
              </w:rPr>
              <w:t>tajā skaitā:</w:t>
            </w:r>
          </w:p>
        </w:tc>
        <w:tc>
          <w:tcPr>
            <w:tcW w:w="0" w:type="auto"/>
            <w:tcBorders>
              <w:top w:val="single" w:sz="4" w:space="0" w:color="auto"/>
              <w:left w:val="nil"/>
              <w:bottom w:val="single" w:sz="4" w:space="0" w:color="auto"/>
              <w:right w:val="nil"/>
            </w:tcBorders>
            <w:noWrap/>
            <w:hideMark/>
          </w:tcPr>
          <w:p w14:paraId="3DE5CC0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33D0FAAA"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732D289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267B2B15"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5E3092C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087BC772"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0F9F0A2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6355344F"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56C4B91A" w14:textId="77777777" w:rsidR="003160BE" w:rsidRPr="003160BE" w:rsidRDefault="003160BE" w:rsidP="003160BE">
            <w:pPr>
              <w:spacing w:after="0"/>
              <w:ind w:firstLine="0"/>
              <w:jc w:val="right"/>
              <w:rPr>
                <w:rFonts w:eastAsia="Times New Roman" w:cs="Times New Roman"/>
                <w:sz w:val="18"/>
                <w:szCs w:val="18"/>
              </w:rPr>
            </w:pPr>
          </w:p>
        </w:tc>
      </w:tr>
      <w:tr w:rsidR="003160BE" w:rsidRPr="003160BE" w14:paraId="7582CDB0"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5306E9DE" w14:textId="77777777" w:rsidR="003160BE" w:rsidRPr="003160BE" w:rsidRDefault="003160BE" w:rsidP="003160BE">
            <w:pPr>
              <w:spacing w:after="0"/>
              <w:ind w:firstLineChars="100" w:firstLine="180"/>
              <w:jc w:val="left"/>
              <w:rPr>
                <w:rFonts w:eastAsia="Times New Roman" w:cs="Times New Roman"/>
                <w:sz w:val="18"/>
                <w:szCs w:val="18"/>
              </w:rPr>
            </w:pPr>
            <w:r w:rsidRPr="003160BE">
              <w:rPr>
                <w:rFonts w:eastAsia="Calibri" w:cs="Times New Roman"/>
                <w:sz w:val="18"/>
                <w:szCs w:val="18"/>
                <w:lang w:eastAsia="en-US"/>
              </w:rPr>
              <w:t xml:space="preserve">   Pārmaksāto sociālās apdrošināšanas iemaksu atmaksa</w:t>
            </w:r>
          </w:p>
        </w:tc>
        <w:tc>
          <w:tcPr>
            <w:tcW w:w="0" w:type="auto"/>
            <w:tcBorders>
              <w:top w:val="nil"/>
              <w:left w:val="nil"/>
              <w:bottom w:val="single" w:sz="4" w:space="0" w:color="auto"/>
              <w:right w:val="nil"/>
            </w:tcBorders>
            <w:noWrap/>
            <w:hideMark/>
          </w:tcPr>
          <w:p w14:paraId="4B46D53F"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776FA56E"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hideMark/>
          </w:tcPr>
          <w:p w14:paraId="112A5B1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732 000</w:t>
            </w:r>
          </w:p>
        </w:tc>
        <w:tc>
          <w:tcPr>
            <w:tcW w:w="0" w:type="auto"/>
            <w:tcBorders>
              <w:top w:val="nil"/>
              <w:left w:val="nil"/>
              <w:bottom w:val="single" w:sz="4" w:space="0" w:color="auto"/>
              <w:right w:val="nil"/>
            </w:tcBorders>
            <w:noWrap/>
            <w:hideMark/>
          </w:tcPr>
          <w:p w14:paraId="20F5F540"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16CE54F2"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049D805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736 300</w:t>
            </w:r>
          </w:p>
        </w:tc>
        <w:tc>
          <w:tcPr>
            <w:tcW w:w="0" w:type="auto"/>
            <w:tcBorders>
              <w:top w:val="nil"/>
              <w:left w:val="nil"/>
              <w:bottom w:val="single" w:sz="4" w:space="0" w:color="auto"/>
              <w:right w:val="nil"/>
            </w:tcBorders>
            <w:noWrap/>
            <w:hideMark/>
          </w:tcPr>
          <w:p w14:paraId="2951347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2B568F2D"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32BF71F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738 000</w:t>
            </w:r>
          </w:p>
        </w:tc>
      </w:tr>
      <w:tr w:rsidR="003160BE" w:rsidRPr="003160BE" w14:paraId="1A2F4033" w14:textId="77777777" w:rsidTr="0052209F">
        <w:trPr>
          <w:trHeight w:val="20"/>
          <w:jc w:val="center"/>
        </w:trPr>
        <w:tc>
          <w:tcPr>
            <w:tcW w:w="0" w:type="auto"/>
            <w:tcBorders>
              <w:top w:val="nil"/>
              <w:left w:val="single" w:sz="8" w:space="0" w:color="auto"/>
              <w:bottom w:val="single" w:sz="4" w:space="0" w:color="auto"/>
              <w:right w:val="single" w:sz="8" w:space="0" w:color="auto"/>
            </w:tcBorders>
            <w:hideMark/>
          </w:tcPr>
          <w:p w14:paraId="3619E069"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 xml:space="preserve">       ES pensiju shēmai pārskaitītais pensijas kapitāls un obligāto iemaksu nodošana citai dalībvalstij</w:t>
            </w:r>
          </w:p>
        </w:tc>
        <w:tc>
          <w:tcPr>
            <w:tcW w:w="0" w:type="auto"/>
            <w:tcBorders>
              <w:top w:val="nil"/>
              <w:left w:val="nil"/>
              <w:bottom w:val="single" w:sz="4" w:space="0" w:color="auto"/>
              <w:right w:val="nil"/>
            </w:tcBorders>
            <w:hideMark/>
          </w:tcPr>
          <w:p w14:paraId="19C2DF35"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hideMark/>
          </w:tcPr>
          <w:p w14:paraId="63F9BD8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hideMark/>
          </w:tcPr>
          <w:p w14:paraId="7EE8FCF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551 240</w:t>
            </w:r>
          </w:p>
        </w:tc>
        <w:tc>
          <w:tcPr>
            <w:tcW w:w="0" w:type="auto"/>
            <w:tcBorders>
              <w:top w:val="nil"/>
              <w:left w:val="nil"/>
              <w:bottom w:val="single" w:sz="4" w:space="0" w:color="auto"/>
              <w:right w:val="nil"/>
            </w:tcBorders>
            <w:hideMark/>
          </w:tcPr>
          <w:p w14:paraId="4B3DABE1"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hideMark/>
          </w:tcPr>
          <w:p w14:paraId="17F7C54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hideMark/>
          </w:tcPr>
          <w:p w14:paraId="17574BB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551 541</w:t>
            </w:r>
          </w:p>
        </w:tc>
        <w:tc>
          <w:tcPr>
            <w:tcW w:w="0" w:type="auto"/>
            <w:tcBorders>
              <w:top w:val="nil"/>
              <w:left w:val="nil"/>
              <w:bottom w:val="single" w:sz="4" w:space="0" w:color="auto"/>
              <w:right w:val="nil"/>
            </w:tcBorders>
            <w:hideMark/>
          </w:tcPr>
          <w:p w14:paraId="0B019EE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hideMark/>
          </w:tcPr>
          <w:p w14:paraId="5839C674"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hideMark/>
          </w:tcPr>
          <w:p w14:paraId="3B7F355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551 660</w:t>
            </w:r>
          </w:p>
        </w:tc>
      </w:tr>
      <w:tr w:rsidR="003160BE" w:rsidRPr="003160BE" w14:paraId="577C1A52"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21BEB155" w14:textId="77777777" w:rsidR="003160BE" w:rsidRPr="003160BE" w:rsidRDefault="003160BE" w:rsidP="003160BE">
            <w:pPr>
              <w:spacing w:after="0"/>
              <w:ind w:firstLine="0"/>
              <w:jc w:val="left"/>
              <w:rPr>
                <w:rFonts w:eastAsia="Times New Roman" w:cs="Times New Roman"/>
                <w:b/>
                <w:bCs/>
                <w:sz w:val="18"/>
                <w:szCs w:val="18"/>
              </w:rPr>
            </w:pPr>
            <w:r w:rsidRPr="003160BE">
              <w:rPr>
                <w:rFonts w:eastAsia="Calibri" w:cs="Times New Roman"/>
                <w:b/>
                <w:bCs/>
                <w:sz w:val="18"/>
                <w:szCs w:val="18"/>
                <w:lang w:eastAsia="en-US"/>
              </w:rPr>
              <w:t>04.02.00 Nodarbinātības speciālais budžets</w:t>
            </w:r>
          </w:p>
        </w:tc>
        <w:tc>
          <w:tcPr>
            <w:tcW w:w="0" w:type="auto"/>
            <w:tcBorders>
              <w:top w:val="nil"/>
              <w:left w:val="nil"/>
              <w:bottom w:val="single" w:sz="4" w:space="0" w:color="auto"/>
              <w:right w:val="nil"/>
            </w:tcBorders>
            <w:noWrap/>
            <w:hideMark/>
          </w:tcPr>
          <w:p w14:paraId="2BA5C453"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single" w:sz="4" w:space="0" w:color="auto"/>
              <w:right w:val="single" w:sz="4" w:space="0" w:color="auto"/>
            </w:tcBorders>
            <w:noWrap/>
            <w:hideMark/>
          </w:tcPr>
          <w:p w14:paraId="116971B5"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single" w:sz="4" w:space="0" w:color="auto"/>
              <w:right w:val="single" w:sz="8" w:space="0" w:color="auto"/>
            </w:tcBorders>
            <w:noWrap/>
            <w:hideMark/>
          </w:tcPr>
          <w:p w14:paraId="153BE028"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207 179 034</w:t>
            </w:r>
          </w:p>
        </w:tc>
        <w:tc>
          <w:tcPr>
            <w:tcW w:w="0" w:type="auto"/>
            <w:tcBorders>
              <w:top w:val="nil"/>
              <w:left w:val="nil"/>
              <w:bottom w:val="single" w:sz="4" w:space="0" w:color="auto"/>
              <w:right w:val="nil"/>
            </w:tcBorders>
            <w:noWrap/>
            <w:hideMark/>
          </w:tcPr>
          <w:p w14:paraId="3513293C"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single" w:sz="4" w:space="0" w:color="auto"/>
              <w:right w:val="single" w:sz="4" w:space="0" w:color="auto"/>
            </w:tcBorders>
            <w:noWrap/>
            <w:hideMark/>
          </w:tcPr>
          <w:p w14:paraId="3B21C04F"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single" w:sz="4" w:space="0" w:color="auto"/>
              <w:right w:val="single" w:sz="8" w:space="0" w:color="auto"/>
            </w:tcBorders>
            <w:noWrap/>
            <w:hideMark/>
          </w:tcPr>
          <w:p w14:paraId="18DB648D"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210 764 679</w:t>
            </w:r>
          </w:p>
        </w:tc>
        <w:tc>
          <w:tcPr>
            <w:tcW w:w="0" w:type="auto"/>
            <w:tcBorders>
              <w:top w:val="nil"/>
              <w:left w:val="nil"/>
              <w:bottom w:val="single" w:sz="4" w:space="0" w:color="auto"/>
              <w:right w:val="nil"/>
            </w:tcBorders>
            <w:noWrap/>
            <w:hideMark/>
          </w:tcPr>
          <w:p w14:paraId="33AD447F"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single" w:sz="4" w:space="0" w:color="auto"/>
              <w:right w:val="single" w:sz="4" w:space="0" w:color="auto"/>
            </w:tcBorders>
            <w:noWrap/>
            <w:hideMark/>
          </w:tcPr>
          <w:p w14:paraId="19299CB9"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single" w:sz="4" w:space="0" w:color="auto"/>
              <w:right w:val="single" w:sz="8" w:space="0" w:color="auto"/>
            </w:tcBorders>
            <w:noWrap/>
            <w:hideMark/>
          </w:tcPr>
          <w:p w14:paraId="6C6E1DDA"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213 525 209</w:t>
            </w:r>
          </w:p>
        </w:tc>
      </w:tr>
      <w:tr w:rsidR="003160BE" w:rsidRPr="003160BE" w14:paraId="15FC4690"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4F0AABCE"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Valsts sociālās apdrošināšanas pabalsti naudā – kopā</w:t>
            </w:r>
          </w:p>
        </w:tc>
        <w:tc>
          <w:tcPr>
            <w:tcW w:w="0" w:type="auto"/>
            <w:tcBorders>
              <w:top w:val="nil"/>
              <w:left w:val="nil"/>
              <w:bottom w:val="nil"/>
              <w:right w:val="nil"/>
            </w:tcBorders>
            <w:noWrap/>
            <w:hideMark/>
          </w:tcPr>
          <w:p w14:paraId="676DECE1"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7F2554EB"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5637ABC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80 784</w:t>
            </w:r>
          </w:p>
        </w:tc>
        <w:tc>
          <w:tcPr>
            <w:tcW w:w="0" w:type="auto"/>
            <w:tcBorders>
              <w:top w:val="nil"/>
              <w:left w:val="nil"/>
              <w:bottom w:val="nil"/>
              <w:right w:val="nil"/>
            </w:tcBorders>
            <w:noWrap/>
            <w:hideMark/>
          </w:tcPr>
          <w:p w14:paraId="30C5435D"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1AB6135D"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5611A2B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88 560</w:t>
            </w:r>
          </w:p>
        </w:tc>
        <w:tc>
          <w:tcPr>
            <w:tcW w:w="0" w:type="auto"/>
            <w:tcBorders>
              <w:top w:val="nil"/>
              <w:left w:val="nil"/>
              <w:bottom w:val="nil"/>
              <w:right w:val="nil"/>
            </w:tcBorders>
            <w:noWrap/>
            <w:hideMark/>
          </w:tcPr>
          <w:p w14:paraId="7D9B13D9"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41556AD6"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04F0691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95 472</w:t>
            </w:r>
          </w:p>
        </w:tc>
      </w:tr>
      <w:tr w:rsidR="003160BE" w:rsidRPr="003160BE" w14:paraId="1907DB7E"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0A2BC66D" w14:textId="77777777" w:rsidR="003160BE" w:rsidRPr="003160BE" w:rsidRDefault="003160BE" w:rsidP="003160BE">
            <w:pPr>
              <w:spacing w:after="0"/>
              <w:ind w:firstLineChars="100" w:firstLine="180"/>
              <w:jc w:val="left"/>
              <w:rPr>
                <w:rFonts w:eastAsia="Times New Roman" w:cs="Times New Roman"/>
                <w:i/>
                <w:iCs/>
                <w:sz w:val="18"/>
                <w:szCs w:val="18"/>
              </w:rPr>
            </w:pPr>
            <w:r w:rsidRPr="003160BE">
              <w:rPr>
                <w:rFonts w:eastAsia="Calibri" w:cs="Times New Roman"/>
                <w:i/>
                <w:iCs/>
                <w:sz w:val="18"/>
                <w:szCs w:val="18"/>
                <w:lang w:eastAsia="en-US"/>
              </w:rPr>
              <w:t>tajā skaitā:</w:t>
            </w:r>
          </w:p>
        </w:tc>
        <w:tc>
          <w:tcPr>
            <w:tcW w:w="0" w:type="auto"/>
            <w:tcBorders>
              <w:top w:val="single" w:sz="4" w:space="0" w:color="auto"/>
              <w:left w:val="nil"/>
              <w:bottom w:val="single" w:sz="4" w:space="0" w:color="auto"/>
              <w:right w:val="nil"/>
            </w:tcBorders>
            <w:noWrap/>
            <w:hideMark/>
          </w:tcPr>
          <w:p w14:paraId="4C67FB5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4C223E34"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58B9258F"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51E2C28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034D9E3F"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53BC8B4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033761E9"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7EB3E695"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56A1D226" w14:textId="77777777" w:rsidR="003160BE" w:rsidRPr="003160BE" w:rsidRDefault="003160BE" w:rsidP="003160BE">
            <w:pPr>
              <w:spacing w:after="0"/>
              <w:ind w:firstLine="0"/>
              <w:jc w:val="right"/>
              <w:rPr>
                <w:rFonts w:eastAsia="Times New Roman" w:cs="Times New Roman"/>
                <w:sz w:val="18"/>
                <w:szCs w:val="18"/>
              </w:rPr>
            </w:pPr>
          </w:p>
        </w:tc>
      </w:tr>
      <w:tr w:rsidR="003160BE" w:rsidRPr="003160BE" w14:paraId="681A3229"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5D7C2286"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Apbedīšanas pabalsts, ja miris bezdarbnieks</w:t>
            </w:r>
          </w:p>
        </w:tc>
        <w:tc>
          <w:tcPr>
            <w:tcW w:w="0" w:type="auto"/>
            <w:tcBorders>
              <w:top w:val="nil"/>
              <w:left w:val="nil"/>
              <w:bottom w:val="single" w:sz="4" w:space="0" w:color="auto"/>
              <w:right w:val="nil"/>
            </w:tcBorders>
            <w:noWrap/>
            <w:hideMark/>
          </w:tcPr>
          <w:p w14:paraId="7E455FE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561,00</w:t>
            </w:r>
          </w:p>
        </w:tc>
        <w:tc>
          <w:tcPr>
            <w:tcW w:w="0" w:type="auto"/>
            <w:tcBorders>
              <w:top w:val="nil"/>
              <w:left w:val="single" w:sz="4" w:space="0" w:color="auto"/>
              <w:bottom w:val="single" w:sz="4" w:space="0" w:color="auto"/>
              <w:right w:val="single" w:sz="4" w:space="0" w:color="auto"/>
            </w:tcBorders>
            <w:noWrap/>
            <w:hideMark/>
          </w:tcPr>
          <w:p w14:paraId="467CBFA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12</w:t>
            </w:r>
          </w:p>
        </w:tc>
        <w:tc>
          <w:tcPr>
            <w:tcW w:w="0" w:type="auto"/>
            <w:tcBorders>
              <w:top w:val="nil"/>
              <w:left w:val="nil"/>
              <w:bottom w:val="single" w:sz="4" w:space="0" w:color="auto"/>
              <w:right w:val="single" w:sz="8" w:space="0" w:color="auto"/>
            </w:tcBorders>
            <w:noWrap/>
            <w:hideMark/>
          </w:tcPr>
          <w:p w14:paraId="3AD0BC5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80 784</w:t>
            </w:r>
          </w:p>
        </w:tc>
        <w:tc>
          <w:tcPr>
            <w:tcW w:w="0" w:type="auto"/>
            <w:tcBorders>
              <w:top w:val="nil"/>
              <w:left w:val="nil"/>
              <w:bottom w:val="single" w:sz="4" w:space="0" w:color="auto"/>
              <w:right w:val="nil"/>
            </w:tcBorders>
            <w:noWrap/>
            <w:hideMark/>
          </w:tcPr>
          <w:p w14:paraId="74D60D3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615,00</w:t>
            </w:r>
          </w:p>
        </w:tc>
        <w:tc>
          <w:tcPr>
            <w:tcW w:w="0" w:type="auto"/>
            <w:tcBorders>
              <w:top w:val="nil"/>
              <w:left w:val="single" w:sz="4" w:space="0" w:color="auto"/>
              <w:bottom w:val="single" w:sz="4" w:space="0" w:color="auto"/>
              <w:right w:val="single" w:sz="4" w:space="0" w:color="auto"/>
            </w:tcBorders>
            <w:noWrap/>
            <w:hideMark/>
          </w:tcPr>
          <w:p w14:paraId="52C5553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12</w:t>
            </w:r>
          </w:p>
        </w:tc>
        <w:tc>
          <w:tcPr>
            <w:tcW w:w="0" w:type="auto"/>
            <w:tcBorders>
              <w:top w:val="nil"/>
              <w:left w:val="nil"/>
              <w:bottom w:val="single" w:sz="4" w:space="0" w:color="auto"/>
              <w:right w:val="single" w:sz="8" w:space="0" w:color="auto"/>
            </w:tcBorders>
            <w:noWrap/>
            <w:hideMark/>
          </w:tcPr>
          <w:p w14:paraId="7761EF6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88 560</w:t>
            </w:r>
          </w:p>
        </w:tc>
        <w:tc>
          <w:tcPr>
            <w:tcW w:w="0" w:type="auto"/>
            <w:tcBorders>
              <w:top w:val="nil"/>
              <w:left w:val="nil"/>
              <w:bottom w:val="single" w:sz="4" w:space="0" w:color="auto"/>
              <w:right w:val="nil"/>
            </w:tcBorders>
            <w:noWrap/>
            <w:hideMark/>
          </w:tcPr>
          <w:p w14:paraId="032AEC0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663,00</w:t>
            </w:r>
          </w:p>
        </w:tc>
        <w:tc>
          <w:tcPr>
            <w:tcW w:w="0" w:type="auto"/>
            <w:tcBorders>
              <w:top w:val="nil"/>
              <w:left w:val="single" w:sz="4" w:space="0" w:color="auto"/>
              <w:bottom w:val="single" w:sz="4" w:space="0" w:color="auto"/>
              <w:right w:val="single" w:sz="4" w:space="0" w:color="auto"/>
            </w:tcBorders>
            <w:noWrap/>
            <w:hideMark/>
          </w:tcPr>
          <w:p w14:paraId="20ADDB0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12</w:t>
            </w:r>
          </w:p>
        </w:tc>
        <w:tc>
          <w:tcPr>
            <w:tcW w:w="0" w:type="auto"/>
            <w:tcBorders>
              <w:top w:val="nil"/>
              <w:left w:val="nil"/>
              <w:bottom w:val="single" w:sz="4" w:space="0" w:color="auto"/>
              <w:right w:val="single" w:sz="8" w:space="0" w:color="auto"/>
            </w:tcBorders>
            <w:noWrap/>
            <w:hideMark/>
          </w:tcPr>
          <w:p w14:paraId="48B8798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95 472</w:t>
            </w:r>
          </w:p>
        </w:tc>
      </w:tr>
      <w:tr w:rsidR="003160BE" w:rsidRPr="003160BE" w14:paraId="75215556"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5003491A"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Valsts nodarbinātības pabalsti naudā – kopā</w:t>
            </w:r>
          </w:p>
        </w:tc>
        <w:tc>
          <w:tcPr>
            <w:tcW w:w="0" w:type="auto"/>
            <w:tcBorders>
              <w:top w:val="nil"/>
              <w:left w:val="nil"/>
              <w:bottom w:val="nil"/>
              <w:right w:val="nil"/>
            </w:tcBorders>
            <w:noWrap/>
            <w:hideMark/>
          </w:tcPr>
          <w:p w14:paraId="29184E1A"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24790540"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51CB3ED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206 125 365</w:t>
            </w:r>
          </w:p>
        </w:tc>
        <w:tc>
          <w:tcPr>
            <w:tcW w:w="0" w:type="auto"/>
            <w:tcBorders>
              <w:top w:val="nil"/>
              <w:left w:val="nil"/>
              <w:bottom w:val="nil"/>
              <w:right w:val="nil"/>
            </w:tcBorders>
            <w:noWrap/>
            <w:hideMark/>
          </w:tcPr>
          <w:p w14:paraId="7D37A396"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5A8BA2A2"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39EB057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209 705 695</w:t>
            </w:r>
          </w:p>
        </w:tc>
        <w:tc>
          <w:tcPr>
            <w:tcW w:w="0" w:type="auto"/>
            <w:tcBorders>
              <w:top w:val="nil"/>
              <w:left w:val="nil"/>
              <w:bottom w:val="nil"/>
              <w:right w:val="nil"/>
            </w:tcBorders>
            <w:noWrap/>
            <w:hideMark/>
          </w:tcPr>
          <w:p w14:paraId="083E175A"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51129F1A"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526E864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212 461 346</w:t>
            </w:r>
          </w:p>
        </w:tc>
      </w:tr>
      <w:tr w:rsidR="003160BE" w:rsidRPr="003160BE" w14:paraId="02F62955"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1AD3A966"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Bezdarbnieka pabalsts</w:t>
            </w:r>
          </w:p>
        </w:tc>
        <w:tc>
          <w:tcPr>
            <w:tcW w:w="0" w:type="auto"/>
            <w:tcBorders>
              <w:top w:val="single" w:sz="4" w:space="0" w:color="auto"/>
              <w:left w:val="nil"/>
              <w:bottom w:val="single" w:sz="4" w:space="0" w:color="auto"/>
              <w:right w:val="nil"/>
            </w:tcBorders>
            <w:noWrap/>
            <w:hideMark/>
          </w:tcPr>
          <w:p w14:paraId="451669E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544,67</w:t>
            </w:r>
          </w:p>
        </w:tc>
        <w:tc>
          <w:tcPr>
            <w:tcW w:w="0" w:type="auto"/>
            <w:tcBorders>
              <w:top w:val="single" w:sz="4" w:space="0" w:color="auto"/>
              <w:left w:val="single" w:sz="4" w:space="0" w:color="auto"/>
              <w:bottom w:val="single" w:sz="4" w:space="0" w:color="auto"/>
              <w:right w:val="single" w:sz="4" w:space="0" w:color="auto"/>
            </w:tcBorders>
            <w:noWrap/>
            <w:hideMark/>
          </w:tcPr>
          <w:p w14:paraId="07EA6199"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31 537</w:t>
            </w:r>
          </w:p>
        </w:tc>
        <w:tc>
          <w:tcPr>
            <w:tcW w:w="0" w:type="auto"/>
            <w:tcBorders>
              <w:top w:val="nil"/>
              <w:left w:val="nil"/>
              <w:bottom w:val="single" w:sz="4" w:space="0" w:color="auto"/>
              <w:right w:val="single" w:sz="8" w:space="0" w:color="auto"/>
            </w:tcBorders>
            <w:noWrap/>
            <w:hideMark/>
          </w:tcPr>
          <w:p w14:paraId="45AEDC69"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206 125 365</w:t>
            </w:r>
          </w:p>
        </w:tc>
        <w:tc>
          <w:tcPr>
            <w:tcW w:w="0" w:type="auto"/>
            <w:tcBorders>
              <w:top w:val="single" w:sz="4" w:space="0" w:color="auto"/>
              <w:left w:val="nil"/>
              <w:bottom w:val="single" w:sz="4" w:space="0" w:color="auto"/>
              <w:right w:val="nil"/>
            </w:tcBorders>
            <w:noWrap/>
            <w:hideMark/>
          </w:tcPr>
          <w:p w14:paraId="604A79F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576,75</w:t>
            </w:r>
          </w:p>
        </w:tc>
        <w:tc>
          <w:tcPr>
            <w:tcW w:w="0" w:type="auto"/>
            <w:tcBorders>
              <w:top w:val="single" w:sz="4" w:space="0" w:color="auto"/>
              <w:left w:val="single" w:sz="4" w:space="0" w:color="auto"/>
              <w:bottom w:val="single" w:sz="4" w:space="0" w:color="auto"/>
              <w:right w:val="single" w:sz="4" w:space="0" w:color="auto"/>
            </w:tcBorders>
            <w:noWrap/>
            <w:hideMark/>
          </w:tcPr>
          <w:p w14:paraId="2435E00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30 300</w:t>
            </w:r>
          </w:p>
        </w:tc>
        <w:tc>
          <w:tcPr>
            <w:tcW w:w="0" w:type="auto"/>
            <w:tcBorders>
              <w:top w:val="nil"/>
              <w:left w:val="nil"/>
              <w:bottom w:val="single" w:sz="4" w:space="0" w:color="auto"/>
              <w:right w:val="single" w:sz="8" w:space="0" w:color="auto"/>
            </w:tcBorders>
            <w:noWrap/>
            <w:hideMark/>
          </w:tcPr>
          <w:p w14:paraId="41E1656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209 705 695</w:t>
            </w:r>
          </w:p>
        </w:tc>
        <w:tc>
          <w:tcPr>
            <w:tcW w:w="0" w:type="auto"/>
            <w:tcBorders>
              <w:top w:val="single" w:sz="4" w:space="0" w:color="auto"/>
              <w:left w:val="nil"/>
              <w:bottom w:val="single" w:sz="4" w:space="0" w:color="auto"/>
              <w:right w:val="nil"/>
            </w:tcBorders>
            <w:noWrap/>
            <w:hideMark/>
          </w:tcPr>
          <w:p w14:paraId="7EFD1FD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609,20</w:t>
            </w:r>
          </w:p>
        </w:tc>
        <w:tc>
          <w:tcPr>
            <w:tcW w:w="0" w:type="auto"/>
            <w:tcBorders>
              <w:top w:val="single" w:sz="4" w:space="0" w:color="auto"/>
              <w:left w:val="single" w:sz="4" w:space="0" w:color="auto"/>
              <w:bottom w:val="single" w:sz="4" w:space="0" w:color="auto"/>
              <w:right w:val="single" w:sz="4" w:space="0" w:color="auto"/>
            </w:tcBorders>
            <w:noWrap/>
            <w:hideMark/>
          </w:tcPr>
          <w:p w14:paraId="4FBACCF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29 063</w:t>
            </w:r>
          </w:p>
        </w:tc>
        <w:tc>
          <w:tcPr>
            <w:tcW w:w="0" w:type="auto"/>
            <w:tcBorders>
              <w:top w:val="nil"/>
              <w:left w:val="nil"/>
              <w:bottom w:val="single" w:sz="4" w:space="0" w:color="auto"/>
              <w:right w:val="single" w:sz="8" w:space="0" w:color="auto"/>
            </w:tcBorders>
            <w:noWrap/>
            <w:hideMark/>
          </w:tcPr>
          <w:p w14:paraId="4C55645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212 461 346</w:t>
            </w:r>
          </w:p>
        </w:tc>
      </w:tr>
      <w:tr w:rsidR="003160BE" w:rsidRPr="003160BE" w14:paraId="38CDB014"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389C544E"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Bezdarbnieka stipendija</w:t>
            </w:r>
          </w:p>
        </w:tc>
        <w:tc>
          <w:tcPr>
            <w:tcW w:w="0" w:type="auto"/>
            <w:tcBorders>
              <w:top w:val="nil"/>
              <w:left w:val="nil"/>
              <w:bottom w:val="single" w:sz="4" w:space="0" w:color="auto"/>
              <w:right w:val="nil"/>
            </w:tcBorders>
            <w:noWrap/>
            <w:hideMark/>
          </w:tcPr>
          <w:p w14:paraId="605B178B"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21A30CD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073113D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nil"/>
            </w:tcBorders>
            <w:noWrap/>
            <w:hideMark/>
          </w:tcPr>
          <w:p w14:paraId="00D2D04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328C53D0"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4C781241"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nil"/>
            </w:tcBorders>
            <w:noWrap/>
            <w:hideMark/>
          </w:tcPr>
          <w:p w14:paraId="356115BA"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688B5516"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444C2900" w14:textId="77777777" w:rsidR="003160BE" w:rsidRPr="003160BE" w:rsidRDefault="003160BE" w:rsidP="003160BE">
            <w:pPr>
              <w:spacing w:after="0"/>
              <w:ind w:firstLine="0"/>
              <w:jc w:val="right"/>
              <w:rPr>
                <w:rFonts w:eastAsia="Times New Roman" w:cs="Times New Roman"/>
                <w:sz w:val="18"/>
                <w:szCs w:val="18"/>
              </w:rPr>
            </w:pPr>
          </w:p>
        </w:tc>
      </w:tr>
      <w:tr w:rsidR="003160BE" w:rsidRPr="003160BE" w14:paraId="037119ED" w14:textId="77777777" w:rsidTr="0052209F">
        <w:trPr>
          <w:trHeight w:val="20"/>
          <w:jc w:val="center"/>
        </w:trPr>
        <w:tc>
          <w:tcPr>
            <w:tcW w:w="0" w:type="auto"/>
            <w:tcBorders>
              <w:top w:val="single" w:sz="4" w:space="0" w:color="auto"/>
              <w:left w:val="single" w:sz="8" w:space="0" w:color="auto"/>
              <w:bottom w:val="single" w:sz="4" w:space="0" w:color="auto"/>
              <w:right w:val="single" w:sz="8" w:space="0" w:color="auto"/>
            </w:tcBorders>
            <w:hideMark/>
          </w:tcPr>
          <w:p w14:paraId="45E8C941"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Valsts budžeta maksājumi - kopā</w:t>
            </w:r>
          </w:p>
        </w:tc>
        <w:tc>
          <w:tcPr>
            <w:tcW w:w="0" w:type="auto"/>
            <w:tcBorders>
              <w:top w:val="single" w:sz="4" w:space="0" w:color="auto"/>
              <w:left w:val="single" w:sz="8" w:space="0" w:color="auto"/>
              <w:bottom w:val="single" w:sz="4" w:space="0" w:color="auto"/>
              <w:right w:val="single" w:sz="4" w:space="0" w:color="auto"/>
            </w:tcBorders>
            <w:noWrap/>
            <w:hideMark/>
          </w:tcPr>
          <w:p w14:paraId="0E7DA23A"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single" w:sz="4" w:space="0" w:color="auto"/>
              <w:left w:val="single" w:sz="4" w:space="0" w:color="auto"/>
              <w:bottom w:val="single" w:sz="4" w:space="0" w:color="auto"/>
              <w:right w:val="single" w:sz="4" w:space="0" w:color="auto"/>
            </w:tcBorders>
            <w:noWrap/>
            <w:hideMark/>
          </w:tcPr>
          <w:p w14:paraId="04C535DC"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single" w:sz="4" w:space="0" w:color="auto"/>
              <w:left w:val="single" w:sz="4" w:space="0" w:color="auto"/>
              <w:bottom w:val="single" w:sz="4" w:space="0" w:color="auto"/>
              <w:right w:val="single" w:sz="8" w:space="0" w:color="auto"/>
            </w:tcBorders>
            <w:noWrap/>
            <w:hideMark/>
          </w:tcPr>
          <w:p w14:paraId="1CAFE189"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972 885</w:t>
            </w:r>
          </w:p>
        </w:tc>
        <w:tc>
          <w:tcPr>
            <w:tcW w:w="0" w:type="auto"/>
            <w:tcBorders>
              <w:top w:val="single" w:sz="4" w:space="0" w:color="auto"/>
              <w:left w:val="single" w:sz="8" w:space="0" w:color="auto"/>
              <w:bottom w:val="single" w:sz="4" w:space="0" w:color="auto"/>
              <w:right w:val="nil"/>
            </w:tcBorders>
            <w:noWrap/>
            <w:hideMark/>
          </w:tcPr>
          <w:p w14:paraId="226C097B"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single" w:sz="4" w:space="0" w:color="auto"/>
              <w:left w:val="single" w:sz="4" w:space="0" w:color="auto"/>
              <w:bottom w:val="single" w:sz="4" w:space="0" w:color="auto"/>
              <w:right w:val="single" w:sz="4" w:space="0" w:color="auto"/>
            </w:tcBorders>
            <w:noWrap/>
            <w:hideMark/>
          </w:tcPr>
          <w:p w14:paraId="25B47CD1"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single" w:sz="4" w:space="0" w:color="auto"/>
              <w:left w:val="single" w:sz="4" w:space="0" w:color="auto"/>
              <w:bottom w:val="single" w:sz="4" w:space="0" w:color="auto"/>
              <w:right w:val="single" w:sz="8" w:space="0" w:color="auto"/>
            </w:tcBorders>
            <w:noWrap/>
            <w:hideMark/>
          </w:tcPr>
          <w:p w14:paraId="18251C3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970 424</w:t>
            </w:r>
          </w:p>
        </w:tc>
        <w:tc>
          <w:tcPr>
            <w:tcW w:w="0" w:type="auto"/>
            <w:tcBorders>
              <w:top w:val="single" w:sz="4" w:space="0" w:color="auto"/>
              <w:left w:val="single" w:sz="8" w:space="0" w:color="auto"/>
              <w:bottom w:val="single" w:sz="4" w:space="0" w:color="auto"/>
              <w:right w:val="nil"/>
            </w:tcBorders>
            <w:noWrap/>
            <w:hideMark/>
          </w:tcPr>
          <w:p w14:paraId="62B75B77"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single" w:sz="4" w:space="0" w:color="auto"/>
              <w:left w:val="single" w:sz="4" w:space="0" w:color="auto"/>
              <w:bottom w:val="single" w:sz="4" w:space="0" w:color="auto"/>
              <w:right w:val="single" w:sz="4" w:space="0" w:color="auto"/>
            </w:tcBorders>
            <w:noWrap/>
            <w:hideMark/>
          </w:tcPr>
          <w:p w14:paraId="2F3CD200"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4B5127C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968 391</w:t>
            </w:r>
          </w:p>
        </w:tc>
      </w:tr>
      <w:tr w:rsidR="003160BE" w:rsidRPr="003160BE" w14:paraId="305FBC0F"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24FC57E4" w14:textId="77777777" w:rsidR="003160BE" w:rsidRPr="003160BE" w:rsidRDefault="003160BE" w:rsidP="003160BE">
            <w:pPr>
              <w:spacing w:after="0"/>
              <w:ind w:firstLineChars="100" w:firstLine="180"/>
              <w:jc w:val="left"/>
              <w:rPr>
                <w:rFonts w:eastAsia="Times New Roman" w:cs="Times New Roman"/>
                <w:i/>
                <w:iCs/>
                <w:sz w:val="18"/>
                <w:szCs w:val="18"/>
              </w:rPr>
            </w:pPr>
            <w:r w:rsidRPr="003160BE">
              <w:rPr>
                <w:rFonts w:eastAsia="Calibri" w:cs="Times New Roman"/>
                <w:i/>
                <w:iCs/>
                <w:sz w:val="18"/>
                <w:szCs w:val="18"/>
                <w:lang w:eastAsia="en-US"/>
              </w:rPr>
              <w:t>tajā skaitā:</w:t>
            </w:r>
          </w:p>
        </w:tc>
        <w:tc>
          <w:tcPr>
            <w:tcW w:w="0" w:type="auto"/>
            <w:tcBorders>
              <w:top w:val="single" w:sz="4" w:space="0" w:color="auto"/>
              <w:left w:val="nil"/>
              <w:bottom w:val="single" w:sz="4" w:space="0" w:color="auto"/>
              <w:right w:val="nil"/>
            </w:tcBorders>
            <w:noWrap/>
            <w:hideMark/>
          </w:tcPr>
          <w:p w14:paraId="7FC4818B"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30AAA8C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single" w:sz="8" w:space="0" w:color="auto"/>
            </w:tcBorders>
            <w:noWrap/>
            <w:hideMark/>
          </w:tcPr>
          <w:p w14:paraId="1E19E11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61DD006D"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766643F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single" w:sz="8" w:space="0" w:color="auto"/>
            </w:tcBorders>
            <w:noWrap/>
            <w:hideMark/>
          </w:tcPr>
          <w:p w14:paraId="4C4A49E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5902D1DA"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5C39805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24FD9C3E" w14:textId="77777777" w:rsidR="003160BE" w:rsidRPr="003160BE" w:rsidRDefault="003160BE" w:rsidP="003160BE">
            <w:pPr>
              <w:spacing w:after="0"/>
              <w:ind w:firstLine="0"/>
              <w:jc w:val="right"/>
              <w:rPr>
                <w:rFonts w:eastAsia="Times New Roman" w:cs="Times New Roman"/>
                <w:sz w:val="18"/>
                <w:szCs w:val="18"/>
              </w:rPr>
            </w:pPr>
          </w:p>
        </w:tc>
      </w:tr>
      <w:tr w:rsidR="003160BE" w:rsidRPr="003160BE" w14:paraId="3E9B6EF6"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63BE5481" w14:textId="77777777" w:rsidR="003160BE" w:rsidRPr="003160BE" w:rsidRDefault="003160BE" w:rsidP="003160BE">
            <w:pPr>
              <w:spacing w:after="0"/>
              <w:ind w:firstLineChars="100" w:firstLine="180"/>
              <w:jc w:val="left"/>
              <w:rPr>
                <w:rFonts w:eastAsia="Times New Roman" w:cs="Times New Roman"/>
                <w:sz w:val="18"/>
                <w:szCs w:val="18"/>
              </w:rPr>
            </w:pPr>
            <w:r w:rsidRPr="003160BE">
              <w:rPr>
                <w:rFonts w:eastAsia="Calibri" w:cs="Times New Roman"/>
                <w:sz w:val="18"/>
                <w:szCs w:val="18"/>
                <w:lang w:eastAsia="en-US"/>
              </w:rPr>
              <w:lastRenderedPageBreak/>
              <w:t xml:space="preserve">    Pārmaksāto sociālās apdrošināšanas iemaksu atmaksa</w:t>
            </w:r>
          </w:p>
        </w:tc>
        <w:tc>
          <w:tcPr>
            <w:tcW w:w="0" w:type="auto"/>
            <w:tcBorders>
              <w:top w:val="nil"/>
              <w:left w:val="nil"/>
              <w:bottom w:val="single" w:sz="4" w:space="0" w:color="auto"/>
              <w:right w:val="nil"/>
            </w:tcBorders>
            <w:noWrap/>
            <w:hideMark/>
          </w:tcPr>
          <w:p w14:paraId="17BCB68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3DB30E7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193ED8A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43 900</w:t>
            </w:r>
          </w:p>
        </w:tc>
        <w:tc>
          <w:tcPr>
            <w:tcW w:w="0" w:type="auto"/>
            <w:tcBorders>
              <w:top w:val="nil"/>
              <w:left w:val="nil"/>
              <w:bottom w:val="single" w:sz="4" w:space="0" w:color="auto"/>
              <w:right w:val="nil"/>
            </w:tcBorders>
            <w:noWrap/>
            <w:hideMark/>
          </w:tcPr>
          <w:p w14:paraId="1B095376"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4FD3877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0100E9E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41 600</w:t>
            </w:r>
          </w:p>
        </w:tc>
        <w:tc>
          <w:tcPr>
            <w:tcW w:w="0" w:type="auto"/>
            <w:tcBorders>
              <w:top w:val="nil"/>
              <w:left w:val="nil"/>
              <w:bottom w:val="single" w:sz="4" w:space="0" w:color="auto"/>
              <w:right w:val="nil"/>
            </w:tcBorders>
            <w:noWrap/>
            <w:hideMark/>
          </w:tcPr>
          <w:p w14:paraId="1B1903B4"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29AFD541"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5994DAD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39 700</w:t>
            </w:r>
          </w:p>
        </w:tc>
      </w:tr>
      <w:tr w:rsidR="003160BE" w:rsidRPr="003160BE" w14:paraId="1D4F4847" w14:textId="77777777" w:rsidTr="0052209F">
        <w:trPr>
          <w:trHeight w:val="20"/>
          <w:jc w:val="center"/>
        </w:trPr>
        <w:tc>
          <w:tcPr>
            <w:tcW w:w="0" w:type="auto"/>
            <w:tcBorders>
              <w:top w:val="nil"/>
              <w:left w:val="single" w:sz="8" w:space="0" w:color="auto"/>
              <w:bottom w:val="single" w:sz="4" w:space="0" w:color="auto"/>
              <w:right w:val="single" w:sz="8" w:space="0" w:color="auto"/>
            </w:tcBorders>
            <w:hideMark/>
          </w:tcPr>
          <w:p w14:paraId="6BFCAC3B"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 xml:space="preserve">       ES pensiju shēmai pārskaitītais pensijas kapitāls un obligāto iemaksu nodošana citai dalībvalstij</w:t>
            </w:r>
          </w:p>
        </w:tc>
        <w:tc>
          <w:tcPr>
            <w:tcW w:w="0" w:type="auto"/>
            <w:tcBorders>
              <w:top w:val="nil"/>
              <w:left w:val="nil"/>
              <w:bottom w:val="single" w:sz="4" w:space="0" w:color="auto"/>
              <w:right w:val="nil"/>
            </w:tcBorders>
            <w:noWrap/>
            <w:hideMark/>
          </w:tcPr>
          <w:p w14:paraId="57683D9B"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55104BF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6D3FD2D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3 073</w:t>
            </w:r>
          </w:p>
        </w:tc>
        <w:tc>
          <w:tcPr>
            <w:tcW w:w="0" w:type="auto"/>
            <w:tcBorders>
              <w:top w:val="nil"/>
              <w:left w:val="nil"/>
              <w:bottom w:val="single" w:sz="4" w:space="0" w:color="auto"/>
              <w:right w:val="nil"/>
            </w:tcBorders>
            <w:noWrap/>
            <w:hideMark/>
          </w:tcPr>
          <w:p w14:paraId="44898410"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6A9C2590"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0359F7A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2 912</w:t>
            </w:r>
          </w:p>
        </w:tc>
        <w:tc>
          <w:tcPr>
            <w:tcW w:w="0" w:type="auto"/>
            <w:tcBorders>
              <w:top w:val="nil"/>
              <w:left w:val="nil"/>
              <w:bottom w:val="single" w:sz="4" w:space="0" w:color="auto"/>
              <w:right w:val="nil"/>
            </w:tcBorders>
            <w:noWrap/>
            <w:hideMark/>
          </w:tcPr>
          <w:p w14:paraId="2D7EA28D"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single" w:sz="4" w:space="0" w:color="auto"/>
              <w:bottom w:val="single" w:sz="4" w:space="0" w:color="auto"/>
              <w:right w:val="single" w:sz="4" w:space="0" w:color="auto"/>
            </w:tcBorders>
            <w:noWrap/>
            <w:hideMark/>
          </w:tcPr>
          <w:p w14:paraId="6E2ECFBD"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14E481A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2 779</w:t>
            </w:r>
          </w:p>
        </w:tc>
      </w:tr>
      <w:tr w:rsidR="003160BE" w:rsidRPr="003160BE" w14:paraId="0B6004B9" w14:textId="77777777" w:rsidTr="0052209F">
        <w:trPr>
          <w:trHeight w:val="20"/>
          <w:jc w:val="center"/>
        </w:trPr>
        <w:tc>
          <w:tcPr>
            <w:tcW w:w="0" w:type="auto"/>
            <w:tcBorders>
              <w:top w:val="nil"/>
              <w:left w:val="single" w:sz="8" w:space="0" w:color="auto"/>
              <w:bottom w:val="single" w:sz="4" w:space="0" w:color="auto"/>
              <w:right w:val="single" w:sz="8" w:space="0" w:color="auto"/>
            </w:tcBorders>
            <w:hideMark/>
          </w:tcPr>
          <w:p w14:paraId="05948664"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 xml:space="preserve">Pārējie klasifikācijā neminētie no valsts un pašvaldību budžeta veiktie maksājumi iedzīvotājiem naudā  </w:t>
            </w:r>
          </w:p>
        </w:tc>
        <w:tc>
          <w:tcPr>
            <w:tcW w:w="0" w:type="auto"/>
            <w:tcBorders>
              <w:top w:val="nil"/>
              <w:left w:val="nil"/>
              <w:bottom w:val="single" w:sz="4" w:space="0" w:color="auto"/>
              <w:right w:val="nil"/>
            </w:tcBorders>
            <w:noWrap/>
            <w:hideMark/>
          </w:tcPr>
          <w:p w14:paraId="2DF45F7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154,32</w:t>
            </w:r>
          </w:p>
        </w:tc>
        <w:tc>
          <w:tcPr>
            <w:tcW w:w="0" w:type="auto"/>
            <w:tcBorders>
              <w:top w:val="nil"/>
              <w:left w:val="single" w:sz="4" w:space="0" w:color="auto"/>
              <w:bottom w:val="single" w:sz="4" w:space="0" w:color="auto"/>
              <w:right w:val="single" w:sz="4" w:space="0" w:color="auto"/>
            </w:tcBorders>
            <w:noWrap/>
            <w:hideMark/>
          </w:tcPr>
          <w:p w14:paraId="12FEB6A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500</w:t>
            </w:r>
          </w:p>
        </w:tc>
        <w:tc>
          <w:tcPr>
            <w:tcW w:w="0" w:type="auto"/>
            <w:tcBorders>
              <w:top w:val="nil"/>
              <w:left w:val="nil"/>
              <w:bottom w:val="single" w:sz="4" w:space="0" w:color="auto"/>
              <w:right w:val="single" w:sz="8" w:space="0" w:color="auto"/>
            </w:tcBorders>
            <w:noWrap/>
            <w:hideMark/>
          </w:tcPr>
          <w:p w14:paraId="50B2633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925 912</w:t>
            </w:r>
          </w:p>
        </w:tc>
        <w:tc>
          <w:tcPr>
            <w:tcW w:w="0" w:type="auto"/>
            <w:tcBorders>
              <w:top w:val="nil"/>
              <w:left w:val="nil"/>
              <w:bottom w:val="single" w:sz="4" w:space="0" w:color="auto"/>
              <w:right w:val="nil"/>
            </w:tcBorders>
            <w:noWrap/>
            <w:hideMark/>
          </w:tcPr>
          <w:p w14:paraId="6694E51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154,32</w:t>
            </w:r>
          </w:p>
        </w:tc>
        <w:tc>
          <w:tcPr>
            <w:tcW w:w="0" w:type="auto"/>
            <w:tcBorders>
              <w:top w:val="nil"/>
              <w:left w:val="single" w:sz="4" w:space="0" w:color="auto"/>
              <w:bottom w:val="single" w:sz="4" w:space="0" w:color="auto"/>
              <w:right w:val="single" w:sz="4" w:space="0" w:color="auto"/>
            </w:tcBorders>
            <w:noWrap/>
            <w:hideMark/>
          </w:tcPr>
          <w:p w14:paraId="792547F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500</w:t>
            </w:r>
          </w:p>
        </w:tc>
        <w:tc>
          <w:tcPr>
            <w:tcW w:w="0" w:type="auto"/>
            <w:tcBorders>
              <w:top w:val="nil"/>
              <w:left w:val="nil"/>
              <w:bottom w:val="single" w:sz="4" w:space="0" w:color="auto"/>
              <w:right w:val="single" w:sz="8" w:space="0" w:color="auto"/>
            </w:tcBorders>
            <w:noWrap/>
            <w:hideMark/>
          </w:tcPr>
          <w:p w14:paraId="2647D4A9"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925 912</w:t>
            </w:r>
          </w:p>
        </w:tc>
        <w:tc>
          <w:tcPr>
            <w:tcW w:w="0" w:type="auto"/>
            <w:tcBorders>
              <w:top w:val="nil"/>
              <w:left w:val="nil"/>
              <w:bottom w:val="single" w:sz="4" w:space="0" w:color="auto"/>
              <w:right w:val="nil"/>
            </w:tcBorders>
            <w:noWrap/>
            <w:hideMark/>
          </w:tcPr>
          <w:p w14:paraId="2CB614C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154,32</w:t>
            </w:r>
          </w:p>
        </w:tc>
        <w:tc>
          <w:tcPr>
            <w:tcW w:w="0" w:type="auto"/>
            <w:tcBorders>
              <w:top w:val="nil"/>
              <w:left w:val="single" w:sz="4" w:space="0" w:color="auto"/>
              <w:bottom w:val="single" w:sz="4" w:space="0" w:color="auto"/>
              <w:right w:val="single" w:sz="4" w:space="0" w:color="auto"/>
            </w:tcBorders>
            <w:noWrap/>
            <w:hideMark/>
          </w:tcPr>
          <w:p w14:paraId="60474D9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500</w:t>
            </w:r>
          </w:p>
        </w:tc>
        <w:tc>
          <w:tcPr>
            <w:tcW w:w="0" w:type="auto"/>
            <w:tcBorders>
              <w:top w:val="nil"/>
              <w:left w:val="nil"/>
              <w:bottom w:val="single" w:sz="4" w:space="0" w:color="auto"/>
              <w:right w:val="single" w:sz="8" w:space="0" w:color="auto"/>
            </w:tcBorders>
            <w:noWrap/>
            <w:hideMark/>
          </w:tcPr>
          <w:p w14:paraId="2A79528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925 912</w:t>
            </w:r>
          </w:p>
        </w:tc>
      </w:tr>
      <w:tr w:rsidR="003160BE" w:rsidRPr="003160BE" w14:paraId="2AE704B4"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7DA1F476" w14:textId="77777777" w:rsidR="003160BE" w:rsidRPr="003160BE" w:rsidRDefault="003160BE" w:rsidP="003160BE">
            <w:pPr>
              <w:spacing w:after="0"/>
              <w:ind w:firstLine="0"/>
              <w:jc w:val="left"/>
              <w:rPr>
                <w:rFonts w:eastAsia="Times New Roman" w:cs="Times New Roman"/>
                <w:b/>
                <w:bCs/>
                <w:sz w:val="18"/>
                <w:szCs w:val="18"/>
              </w:rPr>
            </w:pPr>
            <w:r w:rsidRPr="003160BE">
              <w:rPr>
                <w:rFonts w:eastAsia="Calibri" w:cs="Times New Roman"/>
                <w:b/>
                <w:bCs/>
                <w:sz w:val="18"/>
                <w:szCs w:val="18"/>
                <w:lang w:eastAsia="en-US"/>
              </w:rPr>
              <w:t>04.03.00 Darba negadījumu speciālais budžets</w:t>
            </w:r>
          </w:p>
        </w:tc>
        <w:tc>
          <w:tcPr>
            <w:tcW w:w="0" w:type="auto"/>
            <w:tcBorders>
              <w:top w:val="nil"/>
              <w:left w:val="nil"/>
              <w:bottom w:val="single" w:sz="4" w:space="0" w:color="auto"/>
              <w:right w:val="nil"/>
            </w:tcBorders>
            <w:noWrap/>
            <w:hideMark/>
          </w:tcPr>
          <w:p w14:paraId="492C491B"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single" w:sz="4" w:space="0" w:color="auto"/>
              <w:right w:val="single" w:sz="4" w:space="0" w:color="auto"/>
            </w:tcBorders>
            <w:noWrap/>
            <w:hideMark/>
          </w:tcPr>
          <w:p w14:paraId="42FD5C90"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single" w:sz="4" w:space="0" w:color="auto"/>
              <w:right w:val="single" w:sz="8" w:space="0" w:color="auto"/>
            </w:tcBorders>
            <w:noWrap/>
            <w:hideMark/>
          </w:tcPr>
          <w:p w14:paraId="0CD4CC4B"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121 631 779</w:t>
            </w:r>
          </w:p>
        </w:tc>
        <w:tc>
          <w:tcPr>
            <w:tcW w:w="0" w:type="auto"/>
            <w:tcBorders>
              <w:top w:val="nil"/>
              <w:left w:val="nil"/>
              <w:bottom w:val="single" w:sz="4" w:space="0" w:color="auto"/>
              <w:right w:val="nil"/>
            </w:tcBorders>
            <w:noWrap/>
            <w:hideMark/>
          </w:tcPr>
          <w:p w14:paraId="5AAE13C4"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single" w:sz="4" w:space="0" w:color="auto"/>
              <w:right w:val="single" w:sz="4" w:space="0" w:color="auto"/>
            </w:tcBorders>
            <w:noWrap/>
            <w:hideMark/>
          </w:tcPr>
          <w:p w14:paraId="63391AB8"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single" w:sz="4" w:space="0" w:color="auto"/>
              <w:right w:val="single" w:sz="8" w:space="0" w:color="auto"/>
            </w:tcBorders>
            <w:noWrap/>
            <w:hideMark/>
          </w:tcPr>
          <w:p w14:paraId="20C300DA"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135 520 125</w:t>
            </w:r>
          </w:p>
        </w:tc>
        <w:tc>
          <w:tcPr>
            <w:tcW w:w="0" w:type="auto"/>
            <w:tcBorders>
              <w:top w:val="nil"/>
              <w:left w:val="nil"/>
              <w:bottom w:val="single" w:sz="4" w:space="0" w:color="auto"/>
              <w:right w:val="nil"/>
            </w:tcBorders>
            <w:noWrap/>
            <w:hideMark/>
          </w:tcPr>
          <w:p w14:paraId="74047645"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single" w:sz="4" w:space="0" w:color="auto"/>
              <w:right w:val="single" w:sz="4" w:space="0" w:color="auto"/>
            </w:tcBorders>
            <w:noWrap/>
            <w:hideMark/>
          </w:tcPr>
          <w:p w14:paraId="6A3A356B"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single" w:sz="4" w:space="0" w:color="auto"/>
              <w:right w:val="single" w:sz="8" w:space="0" w:color="auto"/>
            </w:tcBorders>
            <w:noWrap/>
            <w:hideMark/>
          </w:tcPr>
          <w:p w14:paraId="5620298E"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150 581 477</w:t>
            </w:r>
          </w:p>
        </w:tc>
      </w:tr>
      <w:tr w:rsidR="003160BE" w:rsidRPr="003160BE" w14:paraId="268DC568"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7BAC383E"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Valsts sociālās apdrošināšanas pabalsti naudā – kopā</w:t>
            </w:r>
          </w:p>
        </w:tc>
        <w:tc>
          <w:tcPr>
            <w:tcW w:w="0" w:type="auto"/>
            <w:tcBorders>
              <w:top w:val="nil"/>
              <w:left w:val="nil"/>
              <w:bottom w:val="nil"/>
              <w:right w:val="nil"/>
            </w:tcBorders>
            <w:noWrap/>
            <w:hideMark/>
          </w:tcPr>
          <w:p w14:paraId="18F68DF9"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45B14F37"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3E38CEF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121 607 704</w:t>
            </w:r>
          </w:p>
        </w:tc>
        <w:tc>
          <w:tcPr>
            <w:tcW w:w="0" w:type="auto"/>
            <w:tcBorders>
              <w:top w:val="nil"/>
              <w:left w:val="nil"/>
              <w:bottom w:val="nil"/>
              <w:right w:val="nil"/>
            </w:tcBorders>
            <w:noWrap/>
            <w:hideMark/>
          </w:tcPr>
          <w:p w14:paraId="2467C4DA"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3BF795BE"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24387CD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135 495 194</w:t>
            </w:r>
          </w:p>
        </w:tc>
        <w:tc>
          <w:tcPr>
            <w:tcW w:w="0" w:type="auto"/>
            <w:tcBorders>
              <w:top w:val="nil"/>
              <w:left w:val="nil"/>
              <w:bottom w:val="nil"/>
              <w:right w:val="nil"/>
            </w:tcBorders>
            <w:noWrap/>
            <w:hideMark/>
          </w:tcPr>
          <w:p w14:paraId="261AA771"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67965145"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0CB8BF4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150 555 369</w:t>
            </w:r>
          </w:p>
        </w:tc>
      </w:tr>
      <w:tr w:rsidR="003160BE" w:rsidRPr="003160BE" w14:paraId="43D17D7E"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27DAE161" w14:textId="77777777" w:rsidR="003160BE" w:rsidRPr="003160BE" w:rsidRDefault="003160BE" w:rsidP="003160BE">
            <w:pPr>
              <w:spacing w:after="0"/>
              <w:ind w:firstLineChars="100" w:firstLine="180"/>
              <w:jc w:val="left"/>
              <w:rPr>
                <w:rFonts w:eastAsia="Times New Roman" w:cs="Times New Roman"/>
                <w:i/>
                <w:iCs/>
                <w:sz w:val="18"/>
                <w:szCs w:val="18"/>
              </w:rPr>
            </w:pPr>
            <w:r w:rsidRPr="003160BE">
              <w:rPr>
                <w:rFonts w:eastAsia="Calibri" w:cs="Times New Roman"/>
                <w:i/>
                <w:iCs/>
                <w:sz w:val="18"/>
                <w:szCs w:val="18"/>
                <w:lang w:eastAsia="en-US"/>
              </w:rPr>
              <w:t>tajā skaitā:</w:t>
            </w:r>
          </w:p>
        </w:tc>
        <w:tc>
          <w:tcPr>
            <w:tcW w:w="0" w:type="auto"/>
            <w:tcBorders>
              <w:top w:val="single" w:sz="4" w:space="0" w:color="auto"/>
              <w:left w:val="nil"/>
              <w:bottom w:val="single" w:sz="4" w:space="0" w:color="auto"/>
              <w:right w:val="nil"/>
            </w:tcBorders>
            <w:noWrap/>
            <w:hideMark/>
          </w:tcPr>
          <w:p w14:paraId="1304FB5E"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412BF04F"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4DAED22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46C0F8A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740F503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0A85475E"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360F9E84"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1040FEBB"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2878F811" w14:textId="77777777" w:rsidR="003160BE" w:rsidRPr="003160BE" w:rsidRDefault="003160BE" w:rsidP="003160BE">
            <w:pPr>
              <w:spacing w:after="0"/>
              <w:ind w:firstLine="0"/>
              <w:jc w:val="right"/>
              <w:rPr>
                <w:rFonts w:eastAsia="Times New Roman" w:cs="Times New Roman"/>
                <w:sz w:val="18"/>
                <w:szCs w:val="18"/>
              </w:rPr>
            </w:pPr>
          </w:p>
        </w:tc>
      </w:tr>
      <w:tr w:rsidR="003160BE" w:rsidRPr="003160BE" w14:paraId="6DF7FC93"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56C81207"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Slimības pabalsts</w:t>
            </w:r>
          </w:p>
        </w:tc>
        <w:tc>
          <w:tcPr>
            <w:tcW w:w="0" w:type="auto"/>
            <w:tcBorders>
              <w:top w:val="nil"/>
              <w:left w:val="nil"/>
              <w:bottom w:val="single" w:sz="4" w:space="0" w:color="auto"/>
              <w:right w:val="nil"/>
            </w:tcBorders>
            <w:noWrap/>
            <w:hideMark/>
          </w:tcPr>
          <w:p w14:paraId="54688CC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2 454,37</w:t>
            </w:r>
          </w:p>
        </w:tc>
        <w:tc>
          <w:tcPr>
            <w:tcW w:w="0" w:type="auto"/>
            <w:tcBorders>
              <w:top w:val="nil"/>
              <w:left w:val="single" w:sz="4" w:space="0" w:color="auto"/>
              <w:bottom w:val="single" w:sz="4" w:space="0" w:color="auto"/>
              <w:right w:val="single" w:sz="4" w:space="0" w:color="auto"/>
            </w:tcBorders>
            <w:noWrap/>
            <w:hideMark/>
          </w:tcPr>
          <w:p w14:paraId="49EDA04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652</w:t>
            </w:r>
          </w:p>
        </w:tc>
        <w:tc>
          <w:tcPr>
            <w:tcW w:w="0" w:type="auto"/>
            <w:tcBorders>
              <w:top w:val="nil"/>
              <w:left w:val="nil"/>
              <w:bottom w:val="single" w:sz="4" w:space="0" w:color="auto"/>
              <w:right w:val="single" w:sz="8" w:space="0" w:color="auto"/>
            </w:tcBorders>
            <w:noWrap/>
            <w:hideMark/>
          </w:tcPr>
          <w:p w14:paraId="3C29E86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19 202 991</w:t>
            </w:r>
          </w:p>
        </w:tc>
        <w:tc>
          <w:tcPr>
            <w:tcW w:w="0" w:type="auto"/>
            <w:tcBorders>
              <w:top w:val="nil"/>
              <w:left w:val="nil"/>
              <w:bottom w:val="single" w:sz="4" w:space="0" w:color="auto"/>
              <w:right w:val="nil"/>
            </w:tcBorders>
            <w:noWrap/>
            <w:hideMark/>
          </w:tcPr>
          <w:p w14:paraId="2EC4BA5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2 598,92</w:t>
            </w:r>
          </w:p>
        </w:tc>
        <w:tc>
          <w:tcPr>
            <w:tcW w:w="0" w:type="auto"/>
            <w:tcBorders>
              <w:top w:val="nil"/>
              <w:left w:val="single" w:sz="4" w:space="0" w:color="auto"/>
              <w:bottom w:val="single" w:sz="4" w:space="0" w:color="auto"/>
              <w:right w:val="single" w:sz="4" w:space="0" w:color="auto"/>
            </w:tcBorders>
            <w:noWrap/>
            <w:hideMark/>
          </w:tcPr>
          <w:p w14:paraId="4C2E558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686</w:t>
            </w:r>
          </w:p>
        </w:tc>
        <w:tc>
          <w:tcPr>
            <w:tcW w:w="0" w:type="auto"/>
            <w:tcBorders>
              <w:top w:val="nil"/>
              <w:left w:val="nil"/>
              <w:bottom w:val="single" w:sz="4" w:space="0" w:color="auto"/>
              <w:right w:val="single" w:sz="8" w:space="0" w:color="auto"/>
            </w:tcBorders>
            <w:noWrap/>
            <w:hideMark/>
          </w:tcPr>
          <w:p w14:paraId="2895054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21 394 309</w:t>
            </w:r>
          </w:p>
        </w:tc>
        <w:tc>
          <w:tcPr>
            <w:tcW w:w="0" w:type="auto"/>
            <w:tcBorders>
              <w:top w:val="nil"/>
              <w:left w:val="nil"/>
              <w:bottom w:val="single" w:sz="4" w:space="0" w:color="auto"/>
              <w:right w:val="nil"/>
            </w:tcBorders>
            <w:noWrap/>
            <w:hideMark/>
          </w:tcPr>
          <w:p w14:paraId="77F81C5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2 745,11</w:t>
            </w:r>
          </w:p>
        </w:tc>
        <w:tc>
          <w:tcPr>
            <w:tcW w:w="0" w:type="auto"/>
            <w:tcBorders>
              <w:top w:val="nil"/>
              <w:left w:val="single" w:sz="4" w:space="0" w:color="auto"/>
              <w:bottom w:val="single" w:sz="4" w:space="0" w:color="auto"/>
              <w:right w:val="single" w:sz="4" w:space="0" w:color="auto"/>
            </w:tcBorders>
            <w:noWrap/>
            <w:hideMark/>
          </w:tcPr>
          <w:p w14:paraId="0464A54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722</w:t>
            </w:r>
          </w:p>
        </w:tc>
        <w:tc>
          <w:tcPr>
            <w:tcW w:w="0" w:type="auto"/>
            <w:tcBorders>
              <w:top w:val="nil"/>
              <w:left w:val="nil"/>
              <w:bottom w:val="single" w:sz="4" w:space="0" w:color="auto"/>
              <w:right w:val="single" w:sz="8" w:space="0" w:color="auto"/>
            </w:tcBorders>
            <w:noWrap/>
            <w:hideMark/>
          </w:tcPr>
          <w:p w14:paraId="2426578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23 783 633</w:t>
            </w:r>
          </w:p>
        </w:tc>
      </w:tr>
      <w:tr w:rsidR="003160BE" w:rsidRPr="003160BE" w14:paraId="416E8DC0"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5DA19840"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Atlīdzība par darbspēju zaudējumu</w:t>
            </w:r>
          </w:p>
        </w:tc>
        <w:tc>
          <w:tcPr>
            <w:tcW w:w="0" w:type="auto"/>
            <w:tcBorders>
              <w:top w:val="nil"/>
              <w:left w:val="nil"/>
              <w:bottom w:val="single" w:sz="4" w:space="0" w:color="auto"/>
              <w:right w:val="nil"/>
            </w:tcBorders>
            <w:noWrap/>
            <w:hideMark/>
          </w:tcPr>
          <w:p w14:paraId="1B5AAB0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571,68</w:t>
            </w:r>
          </w:p>
        </w:tc>
        <w:tc>
          <w:tcPr>
            <w:tcW w:w="0" w:type="auto"/>
            <w:tcBorders>
              <w:top w:val="nil"/>
              <w:left w:val="single" w:sz="4" w:space="0" w:color="auto"/>
              <w:bottom w:val="single" w:sz="4" w:space="0" w:color="auto"/>
              <w:right w:val="single" w:sz="4" w:space="0" w:color="auto"/>
            </w:tcBorders>
            <w:noWrap/>
            <w:hideMark/>
          </w:tcPr>
          <w:p w14:paraId="006065A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14 580</w:t>
            </w:r>
          </w:p>
        </w:tc>
        <w:tc>
          <w:tcPr>
            <w:tcW w:w="0" w:type="auto"/>
            <w:tcBorders>
              <w:top w:val="nil"/>
              <w:left w:val="nil"/>
              <w:bottom w:val="single" w:sz="4" w:space="0" w:color="auto"/>
              <w:right w:val="single" w:sz="8" w:space="0" w:color="auto"/>
            </w:tcBorders>
            <w:noWrap/>
            <w:hideMark/>
          </w:tcPr>
          <w:p w14:paraId="0D290C1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100 020 383</w:t>
            </w:r>
          </w:p>
        </w:tc>
        <w:tc>
          <w:tcPr>
            <w:tcW w:w="0" w:type="auto"/>
            <w:tcBorders>
              <w:top w:val="nil"/>
              <w:left w:val="nil"/>
              <w:bottom w:val="single" w:sz="4" w:space="0" w:color="auto"/>
              <w:right w:val="nil"/>
            </w:tcBorders>
            <w:noWrap/>
            <w:hideMark/>
          </w:tcPr>
          <w:p w14:paraId="7AC1A65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603,94</w:t>
            </w:r>
          </w:p>
        </w:tc>
        <w:tc>
          <w:tcPr>
            <w:tcW w:w="0" w:type="auto"/>
            <w:tcBorders>
              <w:top w:val="nil"/>
              <w:left w:val="single" w:sz="4" w:space="0" w:color="auto"/>
              <w:bottom w:val="single" w:sz="4" w:space="0" w:color="auto"/>
              <w:right w:val="single" w:sz="4" w:space="0" w:color="auto"/>
            </w:tcBorders>
            <w:noWrap/>
            <w:hideMark/>
          </w:tcPr>
          <w:p w14:paraId="7216897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15 382</w:t>
            </w:r>
          </w:p>
        </w:tc>
        <w:tc>
          <w:tcPr>
            <w:tcW w:w="0" w:type="auto"/>
            <w:tcBorders>
              <w:top w:val="nil"/>
              <w:left w:val="nil"/>
              <w:bottom w:val="single" w:sz="4" w:space="0" w:color="auto"/>
              <w:right w:val="single" w:sz="8" w:space="0" w:color="auto"/>
            </w:tcBorders>
            <w:noWrap/>
            <w:hideMark/>
          </w:tcPr>
          <w:p w14:paraId="65A3BA1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111 477 831</w:t>
            </w:r>
          </w:p>
        </w:tc>
        <w:tc>
          <w:tcPr>
            <w:tcW w:w="0" w:type="auto"/>
            <w:tcBorders>
              <w:top w:val="nil"/>
              <w:left w:val="nil"/>
              <w:bottom w:val="single" w:sz="4" w:space="0" w:color="auto"/>
              <w:right w:val="nil"/>
            </w:tcBorders>
            <w:noWrap/>
            <w:hideMark/>
          </w:tcPr>
          <w:p w14:paraId="5527294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636,17</w:t>
            </w:r>
          </w:p>
        </w:tc>
        <w:tc>
          <w:tcPr>
            <w:tcW w:w="0" w:type="auto"/>
            <w:tcBorders>
              <w:top w:val="nil"/>
              <w:left w:val="single" w:sz="4" w:space="0" w:color="auto"/>
              <w:bottom w:val="single" w:sz="4" w:space="0" w:color="auto"/>
              <w:right w:val="single" w:sz="4" w:space="0" w:color="auto"/>
            </w:tcBorders>
            <w:noWrap/>
            <w:hideMark/>
          </w:tcPr>
          <w:p w14:paraId="5A67344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16 228</w:t>
            </w:r>
          </w:p>
        </w:tc>
        <w:tc>
          <w:tcPr>
            <w:tcW w:w="0" w:type="auto"/>
            <w:tcBorders>
              <w:top w:val="nil"/>
              <w:left w:val="nil"/>
              <w:bottom w:val="single" w:sz="4" w:space="0" w:color="auto"/>
              <w:right w:val="single" w:sz="8" w:space="0" w:color="auto"/>
            </w:tcBorders>
            <w:noWrap/>
            <w:hideMark/>
          </w:tcPr>
          <w:p w14:paraId="444C629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123 884 693</w:t>
            </w:r>
          </w:p>
        </w:tc>
      </w:tr>
      <w:tr w:rsidR="003160BE" w:rsidRPr="003160BE" w14:paraId="3EC792AD"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4940CB40"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Atlīdzība par apgādnieka zaudējumu</w:t>
            </w:r>
          </w:p>
        </w:tc>
        <w:tc>
          <w:tcPr>
            <w:tcW w:w="0" w:type="auto"/>
            <w:tcBorders>
              <w:top w:val="nil"/>
              <w:left w:val="nil"/>
              <w:bottom w:val="single" w:sz="4" w:space="0" w:color="auto"/>
              <w:right w:val="nil"/>
            </w:tcBorders>
            <w:noWrap/>
            <w:hideMark/>
          </w:tcPr>
          <w:p w14:paraId="55C2418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625,85</w:t>
            </w:r>
          </w:p>
        </w:tc>
        <w:tc>
          <w:tcPr>
            <w:tcW w:w="0" w:type="auto"/>
            <w:tcBorders>
              <w:top w:val="nil"/>
              <w:left w:val="single" w:sz="4" w:space="0" w:color="auto"/>
              <w:bottom w:val="single" w:sz="4" w:space="0" w:color="auto"/>
              <w:right w:val="single" w:sz="4" w:space="0" w:color="auto"/>
            </w:tcBorders>
            <w:noWrap/>
            <w:hideMark/>
          </w:tcPr>
          <w:p w14:paraId="185975E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51</w:t>
            </w:r>
          </w:p>
        </w:tc>
        <w:tc>
          <w:tcPr>
            <w:tcW w:w="0" w:type="auto"/>
            <w:tcBorders>
              <w:top w:val="nil"/>
              <w:left w:val="nil"/>
              <w:bottom w:val="single" w:sz="4" w:space="0" w:color="auto"/>
              <w:right w:val="single" w:sz="8" w:space="0" w:color="auto"/>
            </w:tcBorders>
            <w:noWrap/>
            <w:hideMark/>
          </w:tcPr>
          <w:p w14:paraId="3B0CAA7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383 022</w:t>
            </w:r>
          </w:p>
        </w:tc>
        <w:tc>
          <w:tcPr>
            <w:tcW w:w="0" w:type="auto"/>
            <w:tcBorders>
              <w:top w:val="nil"/>
              <w:left w:val="nil"/>
              <w:bottom w:val="single" w:sz="4" w:space="0" w:color="auto"/>
              <w:right w:val="nil"/>
            </w:tcBorders>
            <w:noWrap/>
            <w:hideMark/>
          </w:tcPr>
          <w:p w14:paraId="6FF4234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666,31</w:t>
            </w:r>
          </w:p>
        </w:tc>
        <w:tc>
          <w:tcPr>
            <w:tcW w:w="0" w:type="auto"/>
            <w:tcBorders>
              <w:top w:val="nil"/>
              <w:left w:val="single" w:sz="4" w:space="0" w:color="auto"/>
              <w:bottom w:val="single" w:sz="4" w:space="0" w:color="auto"/>
              <w:right w:val="single" w:sz="4" w:space="0" w:color="auto"/>
            </w:tcBorders>
            <w:noWrap/>
            <w:hideMark/>
          </w:tcPr>
          <w:p w14:paraId="03FAD77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53</w:t>
            </w:r>
          </w:p>
        </w:tc>
        <w:tc>
          <w:tcPr>
            <w:tcW w:w="0" w:type="auto"/>
            <w:tcBorders>
              <w:top w:val="nil"/>
              <w:left w:val="nil"/>
              <w:bottom w:val="single" w:sz="4" w:space="0" w:color="auto"/>
              <w:right w:val="single" w:sz="8" w:space="0" w:color="auto"/>
            </w:tcBorders>
            <w:noWrap/>
            <w:hideMark/>
          </w:tcPr>
          <w:p w14:paraId="4928438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423 770</w:t>
            </w:r>
          </w:p>
        </w:tc>
        <w:tc>
          <w:tcPr>
            <w:tcW w:w="0" w:type="auto"/>
            <w:tcBorders>
              <w:top w:val="nil"/>
              <w:left w:val="nil"/>
              <w:bottom w:val="single" w:sz="4" w:space="0" w:color="auto"/>
              <w:right w:val="nil"/>
            </w:tcBorders>
            <w:noWrap/>
            <w:hideMark/>
          </w:tcPr>
          <w:p w14:paraId="28B24E7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708,85</w:t>
            </w:r>
          </w:p>
        </w:tc>
        <w:tc>
          <w:tcPr>
            <w:tcW w:w="0" w:type="auto"/>
            <w:tcBorders>
              <w:top w:val="nil"/>
              <w:left w:val="single" w:sz="4" w:space="0" w:color="auto"/>
              <w:bottom w:val="single" w:sz="4" w:space="0" w:color="auto"/>
              <w:right w:val="single" w:sz="4" w:space="0" w:color="auto"/>
            </w:tcBorders>
            <w:noWrap/>
            <w:hideMark/>
          </w:tcPr>
          <w:p w14:paraId="5B799B6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55</w:t>
            </w:r>
          </w:p>
        </w:tc>
        <w:tc>
          <w:tcPr>
            <w:tcW w:w="0" w:type="auto"/>
            <w:tcBorders>
              <w:top w:val="nil"/>
              <w:left w:val="nil"/>
              <w:bottom w:val="single" w:sz="4" w:space="0" w:color="auto"/>
              <w:right w:val="single" w:sz="8" w:space="0" w:color="auto"/>
            </w:tcBorders>
            <w:noWrap/>
            <w:hideMark/>
          </w:tcPr>
          <w:p w14:paraId="634A91C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467 839</w:t>
            </w:r>
          </w:p>
        </w:tc>
      </w:tr>
      <w:tr w:rsidR="003160BE" w:rsidRPr="003160BE" w14:paraId="06AE0EEE"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0952DBB4"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Apbedīšanas pabalsts</w:t>
            </w:r>
          </w:p>
        </w:tc>
        <w:tc>
          <w:tcPr>
            <w:tcW w:w="0" w:type="auto"/>
            <w:tcBorders>
              <w:top w:val="nil"/>
              <w:left w:val="nil"/>
              <w:bottom w:val="single" w:sz="4" w:space="0" w:color="auto"/>
              <w:right w:val="nil"/>
            </w:tcBorders>
            <w:noWrap/>
            <w:hideMark/>
          </w:tcPr>
          <w:p w14:paraId="4AC34E99"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1 986,00</w:t>
            </w:r>
          </w:p>
        </w:tc>
        <w:tc>
          <w:tcPr>
            <w:tcW w:w="0" w:type="auto"/>
            <w:tcBorders>
              <w:top w:val="nil"/>
              <w:left w:val="single" w:sz="4" w:space="0" w:color="auto"/>
              <w:bottom w:val="single" w:sz="4" w:space="0" w:color="auto"/>
              <w:right w:val="single" w:sz="4" w:space="0" w:color="auto"/>
            </w:tcBorders>
            <w:noWrap/>
            <w:hideMark/>
          </w:tcPr>
          <w:p w14:paraId="41AB24F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w:t>
            </w:r>
          </w:p>
        </w:tc>
        <w:tc>
          <w:tcPr>
            <w:tcW w:w="0" w:type="auto"/>
            <w:tcBorders>
              <w:top w:val="nil"/>
              <w:left w:val="nil"/>
              <w:bottom w:val="single" w:sz="4" w:space="0" w:color="auto"/>
              <w:right w:val="single" w:sz="8" w:space="0" w:color="auto"/>
            </w:tcBorders>
            <w:noWrap/>
            <w:hideMark/>
          </w:tcPr>
          <w:p w14:paraId="5DB6DCD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142 992</w:t>
            </w:r>
          </w:p>
        </w:tc>
        <w:tc>
          <w:tcPr>
            <w:tcW w:w="0" w:type="auto"/>
            <w:tcBorders>
              <w:top w:val="nil"/>
              <w:left w:val="nil"/>
              <w:bottom w:val="single" w:sz="4" w:space="0" w:color="auto"/>
              <w:right w:val="nil"/>
            </w:tcBorders>
            <w:noWrap/>
            <w:hideMark/>
          </w:tcPr>
          <w:p w14:paraId="4B4329A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2 235,35</w:t>
            </w:r>
          </w:p>
        </w:tc>
        <w:tc>
          <w:tcPr>
            <w:tcW w:w="0" w:type="auto"/>
            <w:tcBorders>
              <w:top w:val="nil"/>
              <w:left w:val="single" w:sz="4" w:space="0" w:color="auto"/>
              <w:bottom w:val="single" w:sz="4" w:space="0" w:color="auto"/>
              <w:right w:val="single" w:sz="4" w:space="0" w:color="auto"/>
            </w:tcBorders>
            <w:noWrap/>
            <w:hideMark/>
          </w:tcPr>
          <w:p w14:paraId="6AA0D33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w:t>
            </w:r>
          </w:p>
        </w:tc>
        <w:tc>
          <w:tcPr>
            <w:tcW w:w="0" w:type="auto"/>
            <w:tcBorders>
              <w:top w:val="nil"/>
              <w:left w:val="nil"/>
              <w:bottom w:val="single" w:sz="4" w:space="0" w:color="auto"/>
              <w:right w:val="single" w:sz="8" w:space="0" w:color="auto"/>
            </w:tcBorders>
            <w:noWrap/>
            <w:hideMark/>
          </w:tcPr>
          <w:p w14:paraId="36D2C02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160 945</w:t>
            </w:r>
          </w:p>
        </w:tc>
        <w:tc>
          <w:tcPr>
            <w:tcW w:w="0" w:type="auto"/>
            <w:tcBorders>
              <w:top w:val="nil"/>
              <w:left w:val="nil"/>
              <w:bottom w:val="single" w:sz="4" w:space="0" w:color="auto"/>
              <w:right w:val="nil"/>
            </w:tcBorders>
            <w:noWrap/>
            <w:hideMark/>
          </w:tcPr>
          <w:p w14:paraId="4E21E78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2 517,32</w:t>
            </w:r>
          </w:p>
        </w:tc>
        <w:tc>
          <w:tcPr>
            <w:tcW w:w="0" w:type="auto"/>
            <w:tcBorders>
              <w:top w:val="nil"/>
              <w:left w:val="single" w:sz="4" w:space="0" w:color="auto"/>
              <w:bottom w:val="single" w:sz="4" w:space="0" w:color="auto"/>
              <w:right w:val="single" w:sz="4" w:space="0" w:color="auto"/>
            </w:tcBorders>
            <w:noWrap/>
            <w:hideMark/>
          </w:tcPr>
          <w:p w14:paraId="05BC776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w:t>
            </w:r>
          </w:p>
        </w:tc>
        <w:tc>
          <w:tcPr>
            <w:tcW w:w="0" w:type="auto"/>
            <w:tcBorders>
              <w:top w:val="nil"/>
              <w:left w:val="nil"/>
              <w:bottom w:val="single" w:sz="4" w:space="0" w:color="auto"/>
              <w:right w:val="single" w:sz="8" w:space="0" w:color="auto"/>
            </w:tcBorders>
            <w:noWrap/>
            <w:hideMark/>
          </w:tcPr>
          <w:p w14:paraId="2A3D248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181 247</w:t>
            </w:r>
          </w:p>
        </w:tc>
      </w:tr>
      <w:tr w:rsidR="003160BE" w:rsidRPr="003160BE" w14:paraId="708B5522"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5E7F7E6D"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Pārējie pabalsti</w:t>
            </w:r>
          </w:p>
        </w:tc>
        <w:tc>
          <w:tcPr>
            <w:tcW w:w="0" w:type="auto"/>
            <w:tcBorders>
              <w:top w:val="nil"/>
              <w:left w:val="nil"/>
              <w:bottom w:val="single" w:sz="4" w:space="0" w:color="auto"/>
              <w:right w:val="nil"/>
            </w:tcBorders>
            <w:noWrap/>
            <w:hideMark/>
          </w:tcPr>
          <w:p w14:paraId="5C21FDC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310,34</w:t>
            </w:r>
          </w:p>
        </w:tc>
        <w:tc>
          <w:tcPr>
            <w:tcW w:w="0" w:type="auto"/>
            <w:tcBorders>
              <w:top w:val="nil"/>
              <w:left w:val="single" w:sz="4" w:space="0" w:color="auto"/>
              <w:bottom w:val="single" w:sz="4" w:space="0" w:color="auto"/>
              <w:right w:val="single" w:sz="4" w:space="0" w:color="auto"/>
            </w:tcBorders>
            <w:noWrap/>
            <w:hideMark/>
          </w:tcPr>
          <w:p w14:paraId="1F10AD0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499</w:t>
            </w:r>
          </w:p>
        </w:tc>
        <w:tc>
          <w:tcPr>
            <w:tcW w:w="0" w:type="auto"/>
            <w:tcBorders>
              <w:top w:val="nil"/>
              <w:left w:val="nil"/>
              <w:bottom w:val="single" w:sz="4" w:space="0" w:color="auto"/>
              <w:right w:val="single" w:sz="8" w:space="0" w:color="auto"/>
            </w:tcBorders>
            <w:noWrap/>
            <w:hideMark/>
          </w:tcPr>
          <w:p w14:paraId="5DC9DBA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1 858 316</w:t>
            </w:r>
          </w:p>
        </w:tc>
        <w:tc>
          <w:tcPr>
            <w:tcW w:w="0" w:type="auto"/>
            <w:tcBorders>
              <w:top w:val="nil"/>
              <w:left w:val="nil"/>
              <w:bottom w:val="single" w:sz="4" w:space="0" w:color="auto"/>
              <w:right w:val="nil"/>
            </w:tcBorders>
            <w:noWrap/>
            <w:hideMark/>
          </w:tcPr>
          <w:p w14:paraId="23FD4D4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330,47</w:t>
            </w:r>
          </w:p>
        </w:tc>
        <w:tc>
          <w:tcPr>
            <w:tcW w:w="0" w:type="auto"/>
            <w:tcBorders>
              <w:top w:val="nil"/>
              <w:left w:val="single" w:sz="4" w:space="0" w:color="auto"/>
              <w:bottom w:val="single" w:sz="4" w:space="0" w:color="auto"/>
              <w:right w:val="single" w:sz="4" w:space="0" w:color="auto"/>
            </w:tcBorders>
            <w:noWrap/>
            <w:hideMark/>
          </w:tcPr>
          <w:p w14:paraId="478B211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514</w:t>
            </w:r>
          </w:p>
        </w:tc>
        <w:tc>
          <w:tcPr>
            <w:tcW w:w="0" w:type="auto"/>
            <w:tcBorders>
              <w:top w:val="nil"/>
              <w:left w:val="nil"/>
              <w:bottom w:val="single" w:sz="4" w:space="0" w:color="auto"/>
              <w:right w:val="single" w:sz="8" w:space="0" w:color="auto"/>
            </w:tcBorders>
            <w:noWrap/>
            <w:hideMark/>
          </w:tcPr>
          <w:p w14:paraId="3F81704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2 038 339</w:t>
            </w:r>
          </w:p>
        </w:tc>
        <w:tc>
          <w:tcPr>
            <w:tcW w:w="0" w:type="auto"/>
            <w:tcBorders>
              <w:top w:val="nil"/>
              <w:left w:val="nil"/>
              <w:bottom w:val="single" w:sz="4" w:space="0" w:color="auto"/>
              <w:right w:val="nil"/>
            </w:tcBorders>
            <w:noWrap/>
            <w:hideMark/>
          </w:tcPr>
          <w:p w14:paraId="63BE515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351,88</w:t>
            </w:r>
          </w:p>
        </w:tc>
        <w:tc>
          <w:tcPr>
            <w:tcW w:w="0" w:type="auto"/>
            <w:tcBorders>
              <w:top w:val="nil"/>
              <w:left w:val="single" w:sz="4" w:space="0" w:color="auto"/>
              <w:bottom w:val="single" w:sz="4" w:space="0" w:color="auto"/>
              <w:right w:val="single" w:sz="4" w:space="0" w:color="auto"/>
            </w:tcBorders>
            <w:noWrap/>
            <w:hideMark/>
          </w:tcPr>
          <w:p w14:paraId="1742DA1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530</w:t>
            </w:r>
          </w:p>
        </w:tc>
        <w:tc>
          <w:tcPr>
            <w:tcW w:w="0" w:type="auto"/>
            <w:tcBorders>
              <w:top w:val="nil"/>
              <w:left w:val="nil"/>
              <w:bottom w:val="single" w:sz="4" w:space="0" w:color="auto"/>
              <w:right w:val="single" w:sz="8" w:space="0" w:color="auto"/>
            </w:tcBorders>
            <w:noWrap/>
            <w:hideMark/>
          </w:tcPr>
          <w:p w14:paraId="7AB4436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2 237 957</w:t>
            </w:r>
          </w:p>
        </w:tc>
      </w:tr>
      <w:tr w:rsidR="003160BE" w:rsidRPr="003160BE" w14:paraId="19A83443" w14:textId="77777777" w:rsidTr="0052209F">
        <w:trPr>
          <w:trHeight w:val="20"/>
          <w:jc w:val="center"/>
        </w:trPr>
        <w:tc>
          <w:tcPr>
            <w:tcW w:w="0" w:type="auto"/>
            <w:tcBorders>
              <w:top w:val="nil"/>
              <w:left w:val="single" w:sz="8" w:space="0" w:color="auto"/>
              <w:bottom w:val="single" w:sz="4" w:space="0" w:color="auto"/>
              <w:right w:val="single" w:sz="8" w:space="0" w:color="auto"/>
            </w:tcBorders>
            <w:hideMark/>
          </w:tcPr>
          <w:p w14:paraId="2C4DDD88"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Valsts budžeta maksājumi - kopā</w:t>
            </w:r>
          </w:p>
        </w:tc>
        <w:tc>
          <w:tcPr>
            <w:tcW w:w="0" w:type="auto"/>
            <w:tcBorders>
              <w:top w:val="nil"/>
              <w:left w:val="nil"/>
              <w:bottom w:val="nil"/>
              <w:right w:val="nil"/>
            </w:tcBorders>
            <w:noWrap/>
            <w:hideMark/>
          </w:tcPr>
          <w:p w14:paraId="42387EB3"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0C618022"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137D496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24 075</w:t>
            </w:r>
          </w:p>
        </w:tc>
        <w:tc>
          <w:tcPr>
            <w:tcW w:w="0" w:type="auto"/>
            <w:tcBorders>
              <w:top w:val="nil"/>
              <w:left w:val="nil"/>
              <w:bottom w:val="nil"/>
              <w:right w:val="nil"/>
            </w:tcBorders>
            <w:noWrap/>
            <w:hideMark/>
          </w:tcPr>
          <w:p w14:paraId="4876D9D3"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128F5DD4"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210F504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24 931</w:t>
            </w:r>
          </w:p>
        </w:tc>
        <w:tc>
          <w:tcPr>
            <w:tcW w:w="0" w:type="auto"/>
            <w:tcBorders>
              <w:top w:val="nil"/>
              <w:left w:val="nil"/>
              <w:bottom w:val="nil"/>
              <w:right w:val="nil"/>
            </w:tcBorders>
            <w:noWrap/>
            <w:hideMark/>
          </w:tcPr>
          <w:p w14:paraId="638696F7"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3D5A7B44"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5337AB0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26 108</w:t>
            </w:r>
          </w:p>
        </w:tc>
      </w:tr>
      <w:tr w:rsidR="003160BE" w:rsidRPr="003160BE" w14:paraId="4FF2314C"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64E99B38" w14:textId="77777777" w:rsidR="003160BE" w:rsidRPr="003160BE" w:rsidRDefault="003160BE" w:rsidP="003160BE">
            <w:pPr>
              <w:spacing w:after="0"/>
              <w:ind w:firstLineChars="100" w:firstLine="180"/>
              <w:jc w:val="left"/>
              <w:rPr>
                <w:rFonts w:eastAsia="Times New Roman" w:cs="Times New Roman"/>
                <w:i/>
                <w:iCs/>
                <w:sz w:val="18"/>
                <w:szCs w:val="18"/>
              </w:rPr>
            </w:pPr>
            <w:r w:rsidRPr="003160BE">
              <w:rPr>
                <w:rFonts w:eastAsia="Calibri" w:cs="Times New Roman"/>
                <w:i/>
                <w:iCs/>
                <w:sz w:val="18"/>
                <w:szCs w:val="18"/>
                <w:lang w:eastAsia="en-US"/>
              </w:rPr>
              <w:t>tajā skaitā:</w:t>
            </w:r>
          </w:p>
        </w:tc>
        <w:tc>
          <w:tcPr>
            <w:tcW w:w="0" w:type="auto"/>
            <w:tcBorders>
              <w:top w:val="single" w:sz="4" w:space="0" w:color="auto"/>
              <w:left w:val="nil"/>
              <w:bottom w:val="single" w:sz="4" w:space="0" w:color="auto"/>
              <w:right w:val="nil"/>
            </w:tcBorders>
            <w:noWrap/>
            <w:hideMark/>
          </w:tcPr>
          <w:p w14:paraId="70F4ABFA"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7576809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5E301AEA"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768558C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74AC897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1A235229"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5813A8F6"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0545DCCF"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643492D7" w14:textId="77777777" w:rsidR="003160BE" w:rsidRPr="003160BE" w:rsidRDefault="003160BE" w:rsidP="003160BE">
            <w:pPr>
              <w:spacing w:after="0"/>
              <w:ind w:firstLine="0"/>
              <w:jc w:val="right"/>
              <w:rPr>
                <w:rFonts w:eastAsia="Times New Roman" w:cs="Times New Roman"/>
                <w:sz w:val="18"/>
                <w:szCs w:val="18"/>
              </w:rPr>
            </w:pPr>
          </w:p>
        </w:tc>
      </w:tr>
      <w:tr w:rsidR="003160BE" w:rsidRPr="003160BE" w14:paraId="20BB7AE7"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195A1FBB" w14:textId="77777777" w:rsidR="003160BE" w:rsidRPr="003160BE" w:rsidRDefault="003160BE" w:rsidP="003160BE">
            <w:pPr>
              <w:spacing w:after="0"/>
              <w:ind w:firstLineChars="100" w:firstLine="180"/>
              <w:jc w:val="left"/>
              <w:rPr>
                <w:rFonts w:eastAsia="Times New Roman" w:cs="Times New Roman"/>
                <w:sz w:val="18"/>
                <w:szCs w:val="18"/>
              </w:rPr>
            </w:pPr>
            <w:r w:rsidRPr="003160BE">
              <w:rPr>
                <w:rFonts w:eastAsia="Calibri" w:cs="Times New Roman"/>
                <w:sz w:val="18"/>
                <w:szCs w:val="18"/>
                <w:lang w:eastAsia="en-US"/>
              </w:rPr>
              <w:t xml:space="preserve">   Pārmaksāto sociālās apdrošināšanas iemaksu atmaksa</w:t>
            </w:r>
          </w:p>
        </w:tc>
        <w:tc>
          <w:tcPr>
            <w:tcW w:w="0" w:type="auto"/>
            <w:tcBorders>
              <w:top w:val="nil"/>
              <w:left w:val="nil"/>
              <w:bottom w:val="nil"/>
              <w:right w:val="nil"/>
            </w:tcBorders>
            <w:hideMark/>
          </w:tcPr>
          <w:p w14:paraId="31800AB9" w14:textId="77777777" w:rsidR="003160BE" w:rsidRPr="003160BE" w:rsidRDefault="003160BE" w:rsidP="003160BE">
            <w:pPr>
              <w:spacing w:after="0"/>
              <w:ind w:firstLine="0"/>
              <w:jc w:val="left"/>
              <w:rPr>
                <w:rFonts w:eastAsia="Times New Roman" w:cs="Times New Roman"/>
                <w:sz w:val="18"/>
                <w:szCs w:val="18"/>
              </w:rPr>
            </w:pPr>
          </w:p>
        </w:tc>
        <w:tc>
          <w:tcPr>
            <w:tcW w:w="0" w:type="auto"/>
            <w:tcBorders>
              <w:top w:val="nil"/>
              <w:left w:val="single" w:sz="4" w:space="0" w:color="auto"/>
              <w:bottom w:val="nil"/>
              <w:right w:val="single" w:sz="4" w:space="0" w:color="auto"/>
            </w:tcBorders>
            <w:hideMark/>
          </w:tcPr>
          <w:p w14:paraId="1828211E" w14:textId="77777777" w:rsidR="003160BE" w:rsidRPr="003160BE" w:rsidRDefault="003160BE" w:rsidP="003160BE">
            <w:pPr>
              <w:spacing w:after="0"/>
              <w:ind w:firstLine="0"/>
              <w:jc w:val="lef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568B416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22 500</w:t>
            </w:r>
          </w:p>
        </w:tc>
        <w:tc>
          <w:tcPr>
            <w:tcW w:w="0" w:type="auto"/>
            <w:tcBorders>
              <w:top w:val="nil"/>
              <w:left w:val="nil"/>
              <w:bottom w:val="nil"/>
              <w:right w:val="nil"/>
            </w:tcBorders>
            <w:hideMark/>
          </w:tcPr>
          <w:p w14:paraId="375A0861" w14:textId="77777777" w:rsidR="003160BE" w:rsidRPr="003160BE" w:rsidRDefault="003160BE" w:rsidP="003160BE">
            <w:pPr>
              <w:spacing w:after="0"/>
              <w:ind w:firstLine="0"/>
              <w:jc w:val="left"/>
              <w:rPr>
                <w:rFonts w:eastAsia="Times New Roman" w:cs="Times New Roman"/>
                <w:sz w:val="18"/>
                <w:szCs w:val="18"/>
              </w:rPr>
            </w:pPr>
          </w:p>
        </w:tc>
        <w:tc>
          <w:tcPr>
            <w:tcW w:w="0" w:type="auto"/>
            <w:tcBorders>
              <w:top w:val="nil"/>
              <w:left w:val="single" w:sz="4" w:space="0" w:color="auto"/>
              <w:bottom w:val="nil"/>
              <w:right w:val="single" w:sz="4" w:space="0" w:color="auto"/>
            </w:tcBorders>
            <w:hideMark/>
          </w:tcPr>
          <w:p w14:paraId="14004EE7" w14:textId="77777777" w:rsidR="003160BE" w:rsidRPr="003160BE" w:rsidRDefault="003160BE" w:rsidP="003160BE">
            <w:pPr>
              <w:spacing w:after="0"/>
              <w:ind w:firstLine="0"/>
              <w:jc w:val="left"/>
              <w:rPr>
                <w:rFonts w:eastAsia="Times New Roman" w:cs="Times New Roman"/>
                <w:sz w:val="18"/>
                <w:szCs w:val="18"/>
              </w:rPr>
            </w:pPr>
          </w:p>
        </w:tc>
        <w:tc>
          <w:tcPr>
            <w:tcW w:w="0" w:type="auto"/>
            <w:tcBorders>
              <w:top w:val="nil"/>
              <w:left w:val="nil"/>
              <w:bottom w:val="nil"/>
              <w:right w:val="single" w:sz="8" w:space="0" w:color="auto"/>
            </w:tcBorders>
            <w:hideMark/>
          </w:tcPr>
          <w:p w14:paraId="6ADFA95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23 300</w:t>
            </w:r>
          </w:p>
        </w:tc>
        <w:tc>
          <w:tcPr>
            <w:tcW w:w="0" w:type="auto"/>
            <w:tcBorders>
              <w:top w:val="nil"/>
              <w:left w:val="nil"/>
              <w:bottom w:val="nil"/>
              <w:right w:val="nil"/>
            </w:tcBorders>
            <w:hideMark/>
          </w:tcPr>
          <w:p w14:paraId="21705C01" w14:textId="77777777" w:rsidR="003160BE" w:rsidRPr="003160BE" w:rsidRDefault="003160BE" w:rsidP="003160BE">
            <w:pPr>
              <w:spacing w:after="0"/>
              <w:ind w:firstLine="0"/>
              <w:jc w:val="left"/>
              <w:rPr>
                <w:rFonts w:eastAsia="Times New Roman" w:cs="Times New Roman"/>
                <w:sz w:val="18"/>
                <w:szCs w:val="18"/>
              </w:rPr>
            </w:pPr>
          </w:p>
        </w:tc>
        <w:tc>
          <w:tcPr>
            <w:tcW w:w="0" w:type="auto"/>
            <w:tcBorders>
              <w:top w:val="nil"/>
              <w:left w:val="single" w:sz="4" w:space="0" w:color="auto"/>
              <w:bottom w:val="nil"/>
              <w:right w:val="single" w:sz="4" w:space="0" w:color="auto"/>
            </w:tcBorders>
            <w:hideMark/>
          </w:tcPr>
          <w:p w14:paraId="6E864D54" w14:textId="77777777" w:rsidR="003160BE" w:rsidRPr="003160BE" w:rsidRDefault="003160BE" w:rsidP="003160BE">
            <w:pPr>
              <w:spacing w:after="0"/>
              <w:ind w:firstLine="0"/>
              <w:jc w:val="left"/>
              <w:rPr>
                <w:rFonts w:eastAsia="Times New Roman" w:cs="Times New Roman"/>
                <w:sz w:val="18"/>
                <w:szCs w:val="18"/>
              </w:rPr>
            </w:pPr>
          </w:p>
        </w:tc>
        <w:tc>
          <w:tcPr>
            <w:tcW w:w="0" w:type="auto"/>
            <w:tcBorders>
              <w:top w:val="nil"/>
              <w:left w:val="nil"/>
              <w:bottom w:val="nil"/>
              <w:right w:val="single" w:sz="8" w:space="0" w:color="auto"/>
            </w:tcBorders>
            <w:hideMark/>
          </w:tcPr>
          <w:p w14:paraId="31518DD9"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24 400</w:t>
            </w:r>
          </w:p>
        </w:tc>
      </w:tr>
      <w:tr w:rsidR="003160BE" w:rsidRPr="003160BE" w14:paraId="1E9CC962" w14:textId="77777777" w:rsidTr="0052209F">
        <w:trPr>
          <w:trHeight w:val="20"/>
          <w:jc w:val="center"/>
        </w:trPr>
        <w:tc>
          <w:tcPr>
            <w:tcW w:w="0" w:type="auto"/>
            <w:tcBorders>
              <w:top w:val="nil"/>
              <w:left w:val="single" w:sz="8" w:space="0" w:color="auto"/>
              <w:bottom w:val="single" w:sz="4" w:space="0" w:color="auto"/>
              <w:right w:val="single" w:sz="8" w:space="0" w:color="auto"/>
            </w:tcBorders>
            <w:hideMark/>
          </w:tcPr>
          <w:p w14:paraId="5366A4D1"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 xml:space="preserve">       ES pensiju shēmai pārskaitītais pensijas kapitāls un obligāto iemaksu nodošana citai dalībvalstij</w:t>
            </w:r>
          </w:p>
        </w:tc>
        <w:tc>
          <w:tcPr>
            <w:tcW w:w="0" w:type="auto"/>
            <w:tcBorders>
              <w:top w:val="single" w:sz="4" w:space="0" w:color="auto"/>
              <w:left w:val="nil"/>
              <w:bottom w:val="single" w:sz="4" w:space="0" w:color="auto"/>
              <w:right w:val="nil"/>
            </w:tcBorders>
            <w:noWrap/>
            <w:hideMark/>
          </w:tcPr>
          <w:p w14:paraId="23CDC8E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28A14419"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4DBE486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1 575</w:t>
            </w:r>
          </w:p>
        </w:tc>
        <w:tc>
          <w:tcPr>
            <w:tcW w:w="0" w:type="auto"/>
            <w:tcBorders>
              <w:top w:val="single" w:sz="4" w:space="0" w:color="auto"/>
              <w:left w:val="nil"/>
              <w:bottom w:val="single" w:sz="4" w:space="0" w:color="auto"/>
              <w:right w:val="nil"/>
            </w:tcBorders>
            <w:noWrap/>
            <w:hideMark/>
          </w:tcPr>
          <w:p w14:paraId="17ED532B"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069C5CB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single" w:sz="8" w:space="0" w:color="auto"/>
            </w:tcBorders>
            <w:noWrap/>
            <w:hideMark/>
          </w:tcPr>
          <w:p w14:paraId="379E500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1 631</w:t>
            </w:r>
          </w:p>
        </w:tc>
        <w:tc>
          <w:tcPr>
            <w:tcW w:w="0" w:type="auto"/>
            <w:tcBorders>
              <w:top w:val="single" w:sz="4" w:space="0" w:color="auto"/>
              <w:left w:val="nil"/>
              <w:bottom w:val="single" w:sz="4" w:space="0" w:color="auto"/>
              <w:right w:val="nil"/>
            </w:tcBorders>
            <w:noWrap/>
            <w:hideMark/>
          </w:tcPr>
          <w:p w14:paraId="4F71953B"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5376CD1A"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single" w:sz="8" w:space="0" w:color="auto"/>
            </w:tcBorders>
            <w:noWrap/>
            <w:hideMark/>
          </w:tcPr>
          <w:p w14:paraId="0FA7420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1 708</w:t>
            </w:r>
          </w:p>
        </w:tc>
      </w:tr>
      <w:tr w:rsidR="003160BE" w:rsidRPr="003160BE" w14:paraId="25F0EEB6" w14:textId="77777777" w:rsidTr="0052209F">
        <w:trPr>
          <w:trHeight w:val="20"/>
          <w:jc w:val="center"/>
        </w:trPr>
        <w:tc>
          <w:tcPr>
            <w:tcW w:w="0" w:type="auto"/>
            <w:tcBorders>
              <w:top w:val="nil"/>
              <w:left w:val="single" w:sz="8" w:space="0" w:color="auto"/>
              <w:bottom w:val="single" w:sz="4" w:space="0" w:color="auto"/>
              <w:right w:val="single" w:sz="8" w:space="0" w:color="auto"/>
            </w:tcBorders>
            <w:hideMark/>
          </w:tcPr>
          <w:p w14:paraId="7FE668F9" w14:textId="77777777" w:rsidR="003160BE" w:rsidRPr="003160BE" w:rsidRDefault="003160BE" w:rsidP="003160BE">
            <w:pPr>
              <w:spacing w:after="0"/>
              <w:ind w:firstLine="0"/>
              <w:jc w:val="left"/>
              <w:rPr>
                <w:rFonts w:eastAsia="Times New Roman" w:cs="Times New Roman"/>
                <w:b/>
                <w:bCs/>
                <w:sz w:val="18"/>
                <w:szCs w:val="18"/>
              </w:rPr>
            </w:pPr>
            <w:r w:rsidRPr="003160BE">
              <w:rPr>
                <w:rFonts w:eastAsia="Calibri" w:cs="Times New Roman"/>
                <w:b/>
                <w:bCs/>
                <w:sz w:val="18"/>
                <w:szCs w:val="18"/>
                <w:lang w:eastAsia="en-US"/>
              </w:rPr>
              <w:t>04.04.00 Invaliditātes, maternitātes un slimības speciālais budžets</w:t>
            </w:r>
          </w:p>
        </w:tc>
        <w:tc>
          <w:tcPr>
            <w:tcW w:w="0" w:type="auto"/>
            <w:tcBorders>
              <w:top w:val="nil"/>
              <w:left w:val="nil"/>
              <w:bottom w:val="single" w:sz="4" w:space="0" w:color="auto"/>
              <w:right w:val="nil"/>
            </w:tcBorders>
            <w:noWrap/>
            <w:hideMark/>
          </w:tcPr>
          <w:p w14:paraId="45561763"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single" w:sz="4" w:space="0" w:color="auto"/>
              <w:right w:val="single" w:sz="4" w:space="0" w:color="auto"/>
            </w:tcBorders>
            <w:noWrap/>
            <w:hideMark/>
          </w:tcPr>
          <w:p w14:paraId="12CBFF6B"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single" w:sz="4" w:space="0" w:color="auto"/>
              <w:right w:val="single" w:sz="8" w:space="0" w:color="auto"/>
            </w:tcBorders>
            <w:noWrap/>
            <w:hideMark/>
          </w:tcPr>
          <w:p w14:paraId="3712662B"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997 319 127</w:t>
            </w:r>
          </w:p>
        </w:tc>
        <w:tc>
          <w:tcPr>
            <w:tcW w:w="0" w:type="auto"/>
            <w:tcBorders>
              <w:top w:val="nil"/>
              <w:left w:val="nil"/>
              <w:bottom w:val="single" w:sz="4" w:space="0" w:color="auto"/>
              <w:right w:val="nil"/>
            </w:tcBorders>
            <w:noWrap/>
            <w:hideMark/>
          </w:tcPr>
          <w:p w14:paraId="57E63F3C"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single" w:sz="4" w:space="0" w:color="auto"/>
              <w:right w:val="single" w:sz="4" w:space="0" w:color="auto"/>
            </w:tcBorders>
            <w:noWrap/>
            <w:hideMark/>
          </w:tcPr>
          <w:p w14:paraId="3714C2CE"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single" w:sz="4" w:space="0" w:color="auto"/>
              <w:right w:val="single" w:sz="8" w:space="0" w:color="auto"/>
            </w:tcBorders>
            <w:noWrap/>
            <w:hideMark/>
          </w:tcPr>
          <w:p w14:paraId="328222CB"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1 043 618 311</w:t>
            </w:r>
          </w:p>
        </w:tc>
        <w:tc>
          <w:tcPr>
            <w:tcW w:w="0" w:type="auto"/>
            <w:tcBorders>
              <w:top w:val="nil"/>
              <w:left w:val="nil"/>
              <w:bottom w:val="single" w:sz="4" w:space="0" w:color="auto"/>
              <w:right w:val="nil"/>
            </w:tcBorders>
            <w:noWrap/>
            <w:hideMark/>
          </w:tcPr>
          <w:p w14:paraId="457D83F0"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single" w:sz="4" w:space="0" w:color="auto"/>
              <w:bottom w:val="single" w:sz="4" w:space="0" w:color="auto"/>
              <w:right w:val="single" w:sz="4" w:space="0" w:color="auto"/>
            </w:tcBorders>
            <w:noWrap/>
            <w:hideMark/>
          </w:tcPr>
          <w:p w14:paraId="7B3B5EE2" w14:textId="77777777" w:rsidR="003160BE" w:rsidRPr="003160BE" w:rsidRDefault="003160BE" w:rsidP="003160BE">
            <w:pPr>
              <w:spacing w:after="0"/>
              <w:ind w:firstLine="0"/>
              <w:jc w:val="right"/>
              <w:rPr>
                <w:rFonts w:eastAsia="Times New Roman" w:cs="Times New Roman"/>
                <w:b/>
                <w:bCs/>
                <w:sz w:val="18"/>
                <w:szCs w:val="18"/>
              </w:rPr>
            </w:pPr>
          </w:p>
        </w:tc>
        <w:tc>
          <w:tcPr>
            <w:tcW w:w="0" w:type="auto"/>
            <w:tcBorders>
              <w:top w:val="nil"/>
              <w:left w:val="nil"/>
              <w:bottom w:val="single" w:sz="4" w:space="0" w:color="auto"/>
              <w:right w:val="single" w:sz="8" w:space="0" w:color="auto"/>
            </w:tcBorders>
            <w:noWrap/>
            <w:hideMark/>
          </w:tcPr>
          <w:p w14:paraId="2FB3F5FE"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1 116 369 537</w:t>
            </w:r>
          </w:p>
        </w:tc>
      </w:tr>
      <w:tr w:rsidR="003160BE" w:rsidRPr="003160BE" w14:paraId="57288AFD"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27028300"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Valsts pensijas – kopā</w:t>
            </w:r>
          </w:p>
        </w:tc>
        <w:tc>
          <w:tcPr>
            <w:tcW w:w="0" w:type="auto"/>
            <w:tcBorders>
              <w:top w:val="nil"/>
              <w:left w:val="nil"/>
              <w:bottom w:val="nil"/>
              <w:right w:val="nil"/>
            </w:tcBorders>
            <w:noWrap/>
            <w:hideMark/>
          </w:tcPr>
          <w:p w14:paraId="26686A66"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0EC684E7"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70E54E1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329 905 967</w:t>
            </w:r>
          </w:p>
        </w:tc>
        <w:tc>
          <w:tcPr>
            <w:tcW w:w="0" w:type="auto"/>
            <w:tcBorders>
              <w:top w:val="nil"/>
              <w:left w:val="nil"/>
              <w:bottom w:val="nil"/>
              <w:right w:val="nil"/>
            </w:tcBorders>
            <w:noWrap/>
            <w:hideMark/>
          </w:tcPr>
          <w:p w14:paraId="27F1765D"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755695A3"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15B795D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359 929 407</w:t>
            </w:r>
          </w:p>
        </w:tc>
        <w:tc>
          <w:tcPr>
            <w:tcW w:w="0" w:type="auto"/>
            <w:tcBorders>
              <w:top w:val="nil"/>
              <w:left w:val="nil"/>
              <w:bottom w:val="nil"/>
              <w:right w:val="nil"/>
            </w:tcBorders>
            <w:noWrap/>
            <w:hideMark/>
          </w:tcPr>
          <w:p w14:paraId="3EFC03E4"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652E10CD"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3347738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392 074 481</w:t>
            </w:r>
          </w:p>
        </w:tc>
      </w:tr>
      <w:tr w:rsidR="003160BE" w:rsidRPr="003160BE" w14:paraId="109FBADC"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4968F08A" w14:textId="77777777" w:rsidR="003160BE" w:rsidRPr="003160BE" w:rsidRDefault="003160BE" w:rsidP="003160BE">
            <w:pPr>
              <w:spacing w:after="0"/>
              <w:ind w:firstLineChars="100" w:firstLine="180"/>
              <w:jc w:val="left"/>
              <w:rPr>
                <w:rFonts w:eastAsia="Times New Roman" w:cs="Times New Roman"/>
                <w:i/>
                <w:iCs/>
                <w:sz w:val="18"/>
                <w:szCs w:val="18"/>
              </w:rPr>
            </w:pPr>
            <w:r w:rsidRPr="003160BE">
              <w:rPr>
                <w:rFonts w:eastAsia="Calibri" w:cs="Times New Roman"/>
                <w:i/>
                <w:iCs/>
                <w:sz w:val="18"/>
                <w:szCs w:val="18"/>
                <w:lang w:eastAsia="en-US"/>
              </w:rPr>
              <w:t>tajā skaitā:</w:t>
            </w:r>
          </w:p>
        </w:tc>
        <w:tc>
          <w:tcPr>
            <w:tcW w:w="0" w:type="auto"/>
            <w:tcBorders>
              <w:top w:val="single" w:sz="4" w:space="0" w:color="auto"/>
              <w:left w:val="nil"/>
              <w:bottom w:val="single" w:sz="4" w:space="0" w:color="auto"/>
              <w:right w:val="nil"/>
            </w:tcBorders>
            <w:noWrap/>
            <w:hideMark/>
          </w:tcPr>
          <w:p w14:paraId="59E0B5C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1CAB40E2"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70E4D58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15E14596"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7E374A5B"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2A2C6E1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0588F521"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72309501"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4CD13309" w14:textId="77777777" w:rsidR="003160BE" w:rsidRPr="003160BE" w:rsidRDefault="003160BE" w:rsidP="003160BE">
            <w:pPr>
              <w:spacing w:after="0"/>
              <w:ind w:firstLine="0"/>
              <w:jc w:val="right"/>
              <w:rPr>
                <w:rFonts w:eastAsia="Times New Roman" w:cs="Times New Roman"/>
                <w:sz w:val="18"/>
                <w:szCs w:val="18"/>
              </w:rPr>
            </w:pPr>
          </w:p>
        </w:tc>
      </w:tr>
      <w:tr w:rsidR="003160BE" w:rsidRPr="003160BE" w14:paraId="590C65B8"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5AD0548D"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Invaliditātes pensijas</w:t>
            </w:r>
          </w:p>
        </w:tc>
        <w:tc>
          <w:tcPr>
            <w:tcW w:w="0" w:type="auto"/>
            <w:tcBorders>
              <w:top w:val="nil"/>
              <w:left w:val="nil"/>
              <w:bottom w:val="single" w:sz="4" w:space="0" w:color="auto"/>
              <w:right w:val="nil"/>
            </w:tcBorders>
            <w:noWrap/>
            <w:hideMark/>
          </w:tcPr>
          <w:p w14:paraId="05487BC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357,88</w:t>
            </w:r>
          </w:p>
        </w:tc>
        <w:tc>
          <w:tcPr>
            <w:tcW w:w="0" w:type="auto"/>
            <w:tcBorders>
              <w:top w:val="nil"/>
              <w:left w:val="single" w:sz="4" w:space="0" w:color="auto"/>
              <w:bottom w:val="single" w:sz="4" w:space="0" w:color="auto"/>
              <w:right w:val="single" w:sz="4" w:space="0" w:color="auto"/>
            </w:tcBorders>
            <w:noWrap/>
            <w:hideMark/>
          </w:tcPr>
          <w:p w14:paraId="48C0E02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76 725</w:t>
            </w:r>
          </w:p>
        </w:tc>
        <w:tc>
          <w:tcPr>
            <w:tcW w:w="0" w:type="auto"/>
            <w:tcBorders>
              <w:top w:val="nil"/>
              <w:left w:val="nil"/>
              <w:bottom w:val="single" w:sz="4" w:space="0" w:color="auto"/>
              <w:right w:val="single" w:sz="8" w:space="0" w:color="auto"/>
            </w:tcBorders>
            <w:noWrap/>
            <w:hideMark/>
          </w:tcPr>
          <w:p w14:paraId="2A64ED4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329 499 341</w:t>
            </w:r>
          </w:p>
        </w:tc>
        <w:tc>
          <w:tcPr>
            <w:tcW w:w="0" w:type="auto"/>
            <w:tcBorders>
              <w:top w:val="nil"/>
              <w:left w:val="nil"/>
              <w:bottom w:val="single" w:sz="4" w:space="0" w:color="auto"/>
              <w:right w:val="nil"/>
            </w:tcBorders>
            <w:noWrap/>
            <w:hideMark/>
          </w:tcPr>
          <w:p w14:paraId="7CEE6DF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388,59</w:t>
            </w:r>
          </w:p>
        </w:tc>
        <w:tc>
          <w:tcPr>
            <w:tcW w:w="0" w:type="auto"/>
            <w:tcBorders>
              <w:top w:val="nil"/>
              <w:left w:val="single" w:sz="4" w:space="0" w:color="auto"/>
              <w:bottom w:val="single" w:sz="4" w:space="0" w:color="auto"/>
              <w:right w:val="single" w:sz="4" w:space="0" w:color="auto"/>
            </w:tcBorders>
            <w:noWrap/>
            <w:hideMark/>
          </w:tcPr>
          <w:p w14:paraId="61FE768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77 110</w:t>
            </w:r>
          </w:p>
        </w:tc>
        <w:tc>
          <w:tcPr>
            <w:tcW w:w="0" w:type="auto"/>
            <w:tcBorders>
              <w:top w:val="nil"/>
              <w:left w:val="nil"/>
              <w:bottom w:val="single" w:sz="4" w:space="0" w:color="auto"/>
              <w:right w:val="single" w:sz="8" w:space="0" w:color="auto"/>
            </w:tcBorders>
            <w:noWrap/>
            <w:hideMark/>
          </w:tcPr>
          <w:p w14:paraId="7A15D70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359 573 168</w:t>
            </w:r>
          </w:p>
        </w:tc>
        <w:tc>
          <w:tcPr>
            <w:tcW w:w="0" w:type="auto"/>
            <w:tcBorders>
              <w:top w:val="nil"/>
              <w:left w:val="nil"/>
              <w:bottom w:val="single" w:sz="4" w:space="0" w:color="auto"/>
              <w:right w:val="nil"/>
            </w:tcBorders>
            <w:noWrap/>
            <w:hideMark/>
          </w:tcPr>
          <w:p w14:paraId="32E649E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421,27</w:t>
            </w:r>
          </w:p>
        </w:tc>
        <w:tc>
          <w:tcPr>
            <w:tcW w:w="0" w:type="auto"/>
            <w:tcBorders>
              <w:top w:val="nil"/>
              <w:left w:val="single" w:sz="4" w:space="0" w:color="auto"/>
              <w:bottom w:val="single" w:sz="4" w:space="0" w:color="auto"/>
              <w:right w:val="single" w:sz="4" w:space="0" w:color="auto"/>
            </w:tcBorders>
            <w:noWrap/>
            <w:hideMark/>
          </w:tcPr>
          <w:p w14:paraId="47AD3B2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77 496</w:t>
            </w:r>
          </w:p>
        </w:tc>
        <w:tc>
          <w:tcPr>
            <w:tcW w:w="0" w:type="auto"/>
            <w:tcBorders>
              <w:top w:val="nil"/>
              <w:left w:val="nil"/>
              <w:bottom w:val="single" w:sz="4" w:space="0" w:color="auto"/>
              <w:right w:val="single" w:sz="8" w:space="0" w:color="auto"/>
            </w:tcBorders>
            <w:noWrap/>
            <w:hideMark/>
          </w:tcPr>
          <w:p w14:paraId="5BC2BE5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391 763 875</w:t>
            </w:r>
          </w:p>
        </w:tc>
      </w:tr>
      <w:tr w:rsidR="003160BE" w:rsidRPr="003160BE" w14:paraId="08CCFB13"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4BA72F71"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Pensijas saskaņā ar speciāliem lēmumiem</w:t>
            </w:r>
          </w:p>
        </w:tc>
        <w:tc>
          <w:tcPr>
            <w:tcW w:w="0" w:type="auto"/>
            <w:tcBorders>
              <w:top w:val="nil"/>
              <w:left w:val="nil"/>
              <w:bottom w:val="single" w:sz="4" w:space="0" w:color="auto"/>
              <w:right w:val="nil"/>
            </w:tcBorders>
            <w:noWrap/>
            <w:hideMark/>
          </w:tcPr>
          <w:p w14:paraId="67D3D59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68,18</w:t>
            </w:r>
          </w:p>
        </w:tc>
        <w:tc>
          <w:tcPr>
            <w:tcW w:w="0" w:type="auto"/>
            <w:tcBorders>
              <w:top w:val="nil"/>
              <w:left w:val="single" w:sz="4" w:space="0" w:color="auto"/>
              <w:bottom w:val="single" w:sz="4" w:space="0" w:color="auto"/>
              <w:right w:val="single" w:sz="4" w:space="0" w:color="auto"/>
            </w:tcBorders>
            <w:noWrap/>
            <w:hideMark/>
          </w:tcPr>
          <w:p w14:paraId="44B6165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497</w:t>
            </w:r>
          </w:p>
        </w:tc>
        <w:tc>
          <w:tcPr>
            <w:tcW w:w="0" w:type="auto"/>
            <w:tcBorders>
              <w:top w:val="nil"/>
              <w:left w:val="nil"/>
              <w:bottom w:val="single" w:sz="4" w:space="0" w:color="auto"/>
              <w:right w:val="single" w:sz="8" w:space="0" w:color="auto"/>
            </w:tcBorders>
            <w:noWrap/>
            <w:hideMark/>
          </w:tcPr>
          <w:p w14:paraId="1884C81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406 626</w:t>
            </w:r>
          </w:p>
        </w:tc>
        <w:tc>
          <w:tcPr>
            <w:tcW w:w="0" w:type="auto"/>
            <w:tcBorders>
              <w:top w:val="nil"/>
              <w:left w:val="nil"/>
              <w:bottom w:val="single" w:sz="4" w:space="0" w:color="auto"/>
              <w:right w:val="nil"/>
            </w:tcBorders>
            <w:noWrap/>
            <w:hideMark/>
          </w:tcPr>
          <w:p w14:paraId="38FC560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71,02</w:t>
            </w:r>
          </w:p>
        </w:tc>
        <w:tc>
          <w:tcPr>
            <w:tcW w:w="0" w:type="auto"/>
            <w:tcBorders>
              <w:top w:val="nil"/>
              <w:left w:val="single" w:sz="4" w:space="0" w:color="auto"/>
              <w:bottom w:val="single" w:sz="4" w:space="0" w:color="auto"/>
              <w:right w:val="single" w:sz="4" w:space="0" w:color="auto"/>
            </w:tcBorders>
            <w:noWrap/>
            <w:hideMark/>
          </w:tcPr>
          <w:p w14:paraId="437CE4D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418</w:t>
            </w:r>
          </w:p>
        </w:tc>
        <w:tc>
          <w:tcPr>
            <w:tcW w:w="0" w:type="auto"/>
            <w:tcBorders>
              <w:top w:val="nil"/>
              <w:left w:val="nil"/>
              <w:bottom w:val="single" w:sz="4" w:space="0" w:color="auto"/>
              <w:right w:val="single" w:sz="8" w:space="0" w:color="auto"/>
            </w:tcBorders>
            <w:noWrap/>
            <w:hideMark/>
          </w:tcPr>
          <w:p w14:paraId="296402F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356 239</w:t>
            </w:r>
          </w:p>
        </w:tc>
        <w:tc>
          <w:tcPr>
            <w:tcW w:w="0" w:type="auto"/>
            <w:tcBorders>
              <w:top w:val="nil"/>
              <w:left w:val="nil"/>
              <w:bottom w:val="single" w:sz="4" w:space="0" w:color="auto"/>
              <w:right w:val="nil"/>
            </w:tcBorders>
            <w:noWrap/>
            <w:hideMark/>
          </w:tcPr>
          <w:p w14:paraId="7CD1B489"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73,74</w:t>
            </w:r>
          </w:p>
        </w:tc>
        <w:tc>
          <w:tcPr>
            <w:tcW w:w="0" w:type="auto"/>
            <w:tcBorders>
              <w:top w:val="nil"/>
              <w:left w:val="single" w:sz="4" w:space="0" w:color="auto"/>
              <w:bottom w:val="single" w:sz="4" w:space="0" w:color="auto"/>
              <w:right w:val="single" w:sz="4" w:space="0" w:color="auto"/>
            </w:tcBorders>
            <w:noWrap/>
            <w:hideMark/>
          </w:tcPr>
          <w:p w14:paraId="1407D59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351</w:t>
            </w:r>
          </w:p>
        </w:tc>
        <w:tc>
          <w:tcPr>
            <w:tcW w:w="0" w:type="auto"/>
            <w:tcBorders>
              <w:top w:val="nil"/>
              <w:left w:val="nil"/>
              <w:bottom w:val="single" w:sz="4" w:space="0" w:color="auto"/>
              <w:right w:val="single" w:sz="8" w:space="0" w:color="auto"/>
            </w:tcBorders>
            <w:noWrap/>
            <w:hideMark/>
          </w:tcPr>
          <w:p w14:paraId="0B9907C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310 606</w:t>
            </w:r>
          </w:p>
        </w:tc>
      </w:tr>
      <w:tr w:rsidR="003160BE" w:rsidRPr="003160BE" w14:paraId="29DBE620"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3AC8B2D6"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Valsts sociālās apdrošināšanas pabalsti naudā – kopā</w:t>
            </w:r>
          </w:p>
        </w:tc>
        <w:tc>
          <w:tcPr>
            <w:tcW w:w="0" w:type="auto"/>
            <w:tcBorders>
              <w:top w:val="nil"/>
              <w:left w:val="nil"/>
              <w:bottom w:val="nil"/>
              <w:right w:val="nil"/>
            </w:tcBorders>
            <w:noWrap/>
            <w:hideMark/>
          </w:tcPr>
          <w:p w14:paraId="408198A7"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46CA2180"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5373F56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667 197 448</w:t>
            </w:r>
          </w:p>
        </w:tc>
        <w:tc>
          <w:tcPr>
            <w:tcW w:w="0" w:type="auto"/>
            <w:tcBorders>
              <w:top w:val="nil"/>
              <w:left w:val="nil"/>
              <w:bottom w:val="nil"/>
              <w:right w:val="nil"/>
            </w:tcBorders>
            <w:noWrap/>
            <w:hideMark/>
          </w:tcPr>
          <w:p w14:paraId="229967D3"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7230DE78"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57D3931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683 476 188</w:t>
            </w:r>
          </w:p>
        </w:tc>
        <w:tc>
          <w:tcPr>
            <w:tcW w:w="0" w:type="auto"/>
            <w:tcBorders>
              <w:top w:val="nil"/>
              <w:left w:val="nil"/>
              <w:bottom w:val="nil"/>
              <w:right w:val="nil"/>
            </w:tcBorders>
            <w:noWrap/>
            <w:hideMark/>
          </w:tcPr>
          <w:p w14:paraId="6ABF7A34"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4EBFFF59"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single" w:sz="4" w:space="0" w:color="auto"/>
              <w:right w:val="single" w:sz="8" w:space="0" w:color="auto"/>
            </w:tcBorders>
            <w:noWrap/>
            <w:hideMark/>
          </w:tcPr>
          <w:p w14:paraId="36B3C6B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724 083 303</w:t>
            </w:r>
          </w:p>
        </w:tc>
      </w:tr>
      <w:tr w:rsidR="003160BE" w:rsidRPr="003160BE" w14:paraId="0D502D82"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74182C91" w14:textId="77777777" w:rsidR="003160BE" w:rsidRPr="003160BE" w:rsidRDefault="003160BE" w:rsidP="003160BE">
            <w:pPr>
              <w:spacing w:after="0"/>
              <w:ind w:firstLineChars="100" w:firstLine="180"/>
              <w:jc w:val="left"/>
              <w:rPr>
                <w:rFonts w:eastAsia="Times New Roman" w:cs="Times New Roman"/>
                <w:i/>
                <w:iCs/>
                <w:sz w:val="18"/>
                <w:szCs w:val="18"/>
              </w:rPr>
            </w:pPr>
            <w:r w:rsidRPr="003160BE">
              <w:rPr>
                <w:rFonts w:eastAsia="Calibri" w:cs="Times New Roman"/>
                <w:i/>
                <w:iCs/>
                <w:sz w:val="18"/>
                <w:szCs w:val="18"/>
                <w:lang w:eastAsia="en-US"/>
              </w:rPr>
              <w:t>tajā skaitā:</w:t>
            </w:r>
          </w:p>
        </w:tc>
        <w:tc>
          <w:tcPr>
            <w:tcW w:w="0" w:type="auto"/>
            <w:tcBorders>
              <w:top w:val="single" w:sz="4" w:space="0" w:color="auto"/>
              <w:left w:val="nil"/>
              <w:bottom w:val="single" w:sz="4" w:space="0" w:color="auto"/>
              <w:right w:val="nil"/>
            </w:tcBorders>
            <w:noWrap/>
            <w:hideMark/>
          </w:tcPr>
          <w:p w14:paraId="5E72B9C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724EC28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5289220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71EAA1D5"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514F52ED"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6B2D335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nil"/>
            </w:tcBorders>
            <w:noWrap/>
            <w:hideMark/>
          </w:tcPr>
          <w:p w14:paraId="4016E034"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single" w:sz="4" w:space="0" w:color="auto"/>
              <w:right w:val="single" w:sz="4" w:space="0" w:color="auto"/>
            </w:tcBorders>
            <w:noWrap/>
            <w:hideMark/>
          </w:tcPr>
          <w:p w14:paraId="48A3F7D7"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nil"/>
              <w:left w:val="nil"/>
              <w:bottom w:val="single" w:sz="4" w:space="0" w:color="auto"/>
              <w:right w:val="single" w:sz="8" w:space="0" w:color="auto"/>
            </w:tcBorders>
            <w:noWrap/>
            <w:hideMark/>
          </w:tcPr>
          <w:p w14:paraId="5567E1D9" w14:textId="77777777" w:rsidR="003160BE" w:rsidRPr="003160BE" w:rsidRDefault="003160BE" w:rsidP="003160BE">
            <w:pPr>
              <w:spacing w:after="0"/>
              <w:ind w:firstLine="0"/>
              <w:jc w:val="right"/>
              <w:rPr>
                <w:rFonts w:eastAsia="Times New Roman" w:cs="Times New Roman"/>
                <w:sz w:val="18"/>
                <w:szCs w:val="18"/>
              </w:rPr>
            </w:pPr>
          </w:p>
        </w:tc>
      </w:tr>
      <w:tr w:rsidR="003160BE" w:rsidRPr="003160BE" w14:paraId="0E164A92"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57EE8860"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Slimības pabalsts</w:t>
            </w:r>
          </w:p>
        </w:tc>
        <w:tc>
          <w:tcPr>
            <w:tcW w:w="0" w:type="auto"/>
            <w:tcBorders>
              <w:top w:val="nil"/>
              <w:left w:val="nil"/>
              <w:bottom w:val="single" w:sz="4" w:space="0" w:color="auto"/>
              <w:right w:val="nil"/>
            </w:tcBorders>
            <w:noWrap/>
            <w:hideMark/>
          </w:tcPr>
          <w:p w14:paraId="74F2B4E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1 802,04</w:t>
            </w:r>
          </w:p>
        </w:tc>
        <w:tc>
          <w:tcPr>
            <w:tcW w:w="0" w:type="auto"/>
            <w:tcBorders>
              <w:top w:val="nil"/>
              <w:left w:val="single" w:sz="4" w:space="0" w:color="auto"/>
              <w:bottom w:val="single" w:sz="4" w:space="0" w:color="auto"/>
              <w:right w:val="single" w:sz="4" w:space="0" w:color="auto"/>
            </w:tcBorders>
            <w:noWrap/>
            <w:hideMark/>
          </w:tcPr>
          <w:p w14:paraId="1E12B63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19 768</w:t>
            </w:r>
          </w:p>
        </w:tc>
        <w:tc>
          <w:tcPr>
            <w:tcW w:w="0" w:type="auto"/>
            <w:tcBorders>
              <w:top w:val="nil"/>
              <w:left w:val="nil"/>
              <w:bottom w:val="single" w:sz="4" w:space="0" w:color="auto"/>
              <w:right w:val="single" w:sz="8" w:space="0" w:color="auto"/>
            </w:tcBorders>
            <w:noWrap/>
            <w:hideMark/>
          </w:tcPr>
          <w:p w14:paraId="4EE5541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427 472 651</w:t>
            </w:r>
          </w:p>
        </w:tc>
        <w:tc>
          <w:tcPr>
            <w:tcW w:w="0" w:type="auto"/>
            <w:tcBorders>
              <w:top w:val="nil"/>
              <w:left w:val="nil"/>
              <w:bottom w:val="single" w:sz="4" w:space="0" w:color="auto"/>
              <w:right w:val="nil"/>
            </w:tcBorders>
            <w:noWrap/>
            <w:hideMark/>
          </w:tcPr>
          <w:p w14:paraId="4ED7D6B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1 837,91</w:t>
            </w:r>
          </w:p>
        </w:tc>
        <w:tc>
          <w:tcPr>
            <w:tcW w:w="0" w:type="auto"/>
            <w:tcBorders>
              <w:top w:val="nil"/>
              <w:left w:val="single" w:sz="4" w:space="0" w:color="auto"/>
              <w:bottom w:val="single" w:sz="4" w:space="0" w:color="auto"/>
              <w:right w:val="single" w:sz="4" w:space="0" w:color="auto"/>
            </w:tcBorders>
            <w:noWrap/>
            <w:hideMark/>
          </w:tcPr>
          <w:p w14:paraId="4954F49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19 768</w:t>
            </w:r>
          </w:p>
        </w:tc>
        <w:tc>
          <w:tcPr>
            <w:tcW w:w="0" w:type="auto"/>
            <w:tcBorders>
              <w:top w:val="nil"/>
              <w:left w:val="nil"/>
              <w:bottom w:val="single" w:sz="4" w:space="0" w:color="auto"/>
              <w:right w:val="single" w:sz="8" w:space="0" w:color="auto"/>
            </w:tcBorders>
            <w:noWrap/>
            <w:hideMark/>
          </w:tcPr>
          <w:p w14:paraId="5B37EA9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435 980 791</w:t>
            </w:r>
          </w:p>
        </w:tc>
        <w:tc>
          <w:tcPr>
            <w:tcW w:w="0" w:type="auto"/>
            <w:tcBorders>
              <w:top w:val="nil"/>
              <w:left w:val="nil"/>
              <w:bottom w:val="single" w:sz="4" w:space="0" w:color="auto"/>
              <w:right w:val="nil"/>
            </w:tcBorders>
            <w:noWrap/>
            <w:hideMark/>
          </w:tcPr>
          <w:p w14:paraId="0B309E39"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1 944,29</w:t>
            </w:r>
          </w:p>
        </w:tc>
        <w:tc>
          <w:tcPr>
            <w:tcW w:w="0" w:type="auto"/>
            <w:tcBorders>
              <w:top w:val="nil"/>
              <w:left w:val="single" w:sz="4" w:space="0" w:color="auto"/>
              <w:bottom w:val="single" w:sz="4" w:space="0" w:color="auto"/>
              <w:right w:val="single" w:sz="4" w:space="0" w:color="auto"/>
            </w:tcBorders>
            <w:noWrap/>
            <w:hideMark/>
          </w:tcPr>
          <w:p w14:paraId="6332969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19 768</w:t>
            </w:r>
          </w:p>
        </w:tc>
        <w:tc>
          <w:tcPr>
            <w:tcW w:w="0" w:type="auto"/>
            <w:tcBorders>
              <w:top w:val="nil"/>
              <w:left w:val="nil"/>
              <w:bottom w:val="single" w:sz="4" w:space="0" w:color="auto"/>
              <w:right w:val="single" w:sz="8" w:space="0" w:color="auto"/>
            </w:tcBorders>
            <w:noWrap/>
            <w:hideMark/>
          </w:tcPr>
          <w:p w14:paraId="26C9282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461 217 649</w:t>
            </w:r>
          </w:p>
        </w:tc>
      </w:tr>
      <w:tr w:rsidR="003160BE" w:rsidRPr="003160BE" w14:paraId="180C8EA1"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083773D2"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Maternitātes pabalsts</w:t>
            </w:r>
          </w:p>
        </w:tc>
        <w:tc>
          <w:tcPr>
            <w:tcW w:w="0" w:type="auto"/>
            <w:tcBorders>
              <w:top w:val="nil"/>
              <w:left w:val="nil"/>
              <w:bottom w:val="single" w:sz="4" w:space="0" w:color="auto"/>
              <w:right w:val="nil"/>
            </w:tcBorders>
            <w:noWrap/>
            <w:hideMark/>
          </w:tcPr>
          <w:p w14:paraId="5262FC4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5 631,53</w:t>
            </w:r>
          </w:p>
        </w:tc>
        <w:tc>
          <w:tcPr>
            <w:tcW w:w="0" w:type="auto"/>
            <w:tcBorders>
              <w:top w:val="nil"/>
              <w:left w:val="single" w:sz="4" w:space="0" w:color="auto"/>
              <w:bottom w:val="single" w:sz="4" w:space="0" w:color="auto"/>
              <w:right w:val="single" w:sz="4" w:space="0" w:color="auto"/>
            </w:tcBorders>
            <w:noWrap/>
            <w:hideMark/>
          </w:tcPr>
          <w:p w14:paraId="3A752A7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892</w:t>
            </w:r>
          </w:p>
        </w:tc>
        <w:tc>
          <w:tcPr>
            <w:tcW w:w="0" w:type="auto"/>
            <w:tcBorders>
              <w:top w:val="nil"/>
              <w:left w:val="nil"/>
              <w:bottom w:val="single" w:sz="4" w:space="0" w:color="auto"/>
              <w:right w:val="single" w:sz="8" w:space="0" w:color="auto"/>
            </w:tcBorders>
            <w:noWrap/>
            <w:hideMark/>
          </w:tcPr>
          <w:p w14:paraId="3BEA64E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60 279 897</w:t>
            </w:r>
          </w:p>
        </w:tc>
        <w:tc>
          <w:tcPr>
            <w:tcW w:w="0" w:type="auto"/>
            <w:tcBorders>
              <w:top w:val="nil"/>
              <w:left w:val="nil"/>
              <w:bottom w:val="single" w:sz="4" w:space="0" w:color="auto"/>
              <w:right w:val="nil"/>
            </w:tcBorders>
            <w:noWrap/>
            <w:hideMark/>
          </w:tcPr>
          <w:p w14:paraId="2A2CE32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5 963,21</w:t>
            </w:r>
          </w:p>
        </w:tc>
        <w:tc>
          <w:tcPr>
            <w:tcW w:w="0" w:type="auto"/>
            <w:tcBorders>
              <w:top w:val="nil"/>
              <w:left w:val="single" w:sz="4" w:space="0" w:color="auto"/>
              <w:bottom w:val="single" w:sz="4" w:space="0" w:color="auto"/>
              <w:right w:val="single" w:sz="4" w:space="0" w:color="auto"/>
            </w:tcBorders>
            <w:noWrap/>
            <w:hideMark/>
          </w:tcPr>
          <w:p w14:paraId="1714349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892</w:t>
            </w:r>
          </w:p>
        </w:tc>
        <w:tc>
          <w:tcPr>
            <w:tcW w:w="0" w:type="auto"/>
            <w:tcBorders>
              <w:top w:val="nil"/>
              <w:left w:val="nil"/>
              <w:bottom w:val="single" w:sz="4" w:space="0" w:color="auto"/>
              <w:right w:val="single" w:sz="8" w:space="0" w:color="auto"/>
            </w:tcBorders>
            <w:noWrap/>
            <w:hideMark/>
          </w:tcPr>
          <w:p w14:paraId="7D31D59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63 830 200</w:t>
            </w:r>
          </w:p>
        </w:tc>
        <w:tc>
          <w:tcPr>
            <w:tcW w:w="0" w:type="auto"/>
            <w:tcBorders>
              <w:top w:val="nil"/>
              <w:left w:val="nil"/>
              <w:bottom w:val="single" w:sz="4" w:space="0" w:color="auto"/>
              <w:right w:val="nil"/>
            </w:tcBorders>
            <w:noWrap/>
            <w:hideMark/>
          </w:tcPr>
          <w:p w14:paraId="7BDB510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6 298,64</w:t>
            </w:r>
          </w:p>
        </w:tc>
        <w:tc>
          <w:tcPr>
            <w:tcW w:w="0" w:type="auto"/>
            <w:tcBorders>
              <w:top w:val="nil"/>
              <w:left w:val="single" w:sz="4" w:space="0" w:color="auto"/>
              <w:bottom w:val="single" w:sz="4" w:space="0" w:color="auto"/>
              <w:right w:val="single" w:sz="4" w:space="0" w:color="auto"/>
            </w:tcBorders>
            <w:noWrap/>
            <w:hideMark/>
          </w:tcPr>
          <w:p w14:paraId="27BF5CB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892</w:t>
            </w:r>
          </w:p>
        </w:tc>
        <w:tc>
          <w:tcPr>
            <w:tcW w:w="0" w:type="auto"/>
            <w:tcBorders>
              <w:top w:val="nil"/>
              <w:left w:val="nil"/>
              <w:bottom w:val="single" w:sz="4" w:space="0" w:color="auto"/>
              <w:right w:val="single" w:sz="8" w:space="0" w:color="auto"/>
            </w:tcBorders>
            <w:noWrap/>
            <w:hideMark/>
          </w:tcPr>
          <w:p w14:paraId="7354D21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67 420 643</w:t>
            </w:r>
          </w:p>
        </w:tc>
      </w:tr>
      <w:tr w:rsidR="003160BE" w:rsidRPr="003160BE" w14:paraId="24D25B6B"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34C87B0C"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Apbedīšanas pabalsts</w:t>
            </w:r>
          </w:p>
        </w:tc>
        <w:tc>
          <w:tcPr>
            <w:tcW w:w="0" w:type="auto"/>
            <w:tcBorders>
              <w:top w:val="nil"/>
              <w:left w:val="nil"/>
              <w:bottom w:val="single" w:sz="4" w:space="0" w:color="auto"/>
              <w:right w:val="nil"/>
            </w:tcBorders>
            <w:noWrap/>
            <w:hideMark/>
          </w:tcPr>
          <w:p w14:paraId="0A255CE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2 486,04</w:t>
            </w:r>
          </w:p>
        </w:tc>
        <w:tc>
          <w:tcPr>
            <w:tcW w:w="0" w:type="auto"/>
            <w:tcBorders>
              <w:top w:val="nil"/>
              <w:left w:val="single" w:sz="4" w:space="0" w:color="auto"/>
              <w:bottom w:val="single" w:sz="4" w:space="0" w:color="auto"/>
              <w:right w:val="single" w:sz="4" w:space="0" w:color="auto"/>
            </w:tcBorders>
            <w:noWrap/>
            <w:hideMark/>
          </w:tcPr>
          <w:p w14:paraId="566A69E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220</w:t>
            </w:r>
          </w:p>
        </w:tc>
        <w:tc>
          <w:tcPr>
            <w:tcW w:w="0" w:type="auto"/>
            <w:tcBorders>
              <w:top w:val="nil"/>
              <w:left w:val="nil"/>
              <w:bottom w:val="single" w:sz="4" w:space="0" w:color="auto"/>
              <w:right w:val="single" w:sz="8" w:space="0" w:color="auto"/>
            </w:tcBorders>
            <w:noWrap/>
            <w:hideMark/>
          </w:tcPr>
          <w:p w14:paraId="4B6CB3A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6 563 146</w:t>
            </w:r>
          </w:p>
        </w:tc>
        <w:tc>
          <w:tcPr>
            <w:tcW w:w="0" w:type="auto"/>
            <w:tcBorders>
              <w:top w:val="nil"/>
              <w:left w:val="nil"/>
              <w:bottom w:val="single" w:sz="4" w:space="0" w:color="auto"/>
              <w:right w:val="nil"/>
            </w:tcBorders>
            <w:noWrap/>
            <w:hideMark/>
          </w:tcPr>
          <w:p w14:paraId="2435027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2 616,19</w:t>
            </w:r>
          </w:p>
        </w:tc>
        <w:tc>
          <w:tcPr>
            <w:tcW w:w="0" w:type="auto"/>
            <w:tcBorders>
              <w:top w:val="nil"/>
              <w:left w:val="single" w:sz="4" w:space="0" w:color="auto"/>
              <w:bottom w:val="single" w:sz="4" w:space="0" w:color="auto"/>
              <w:right w:val="single" w:sz="4" w:space="0" w:color="auto"/>
            </w:tcBorders>
            <w:noWrap/>
            <w:hideMark/>
          </w:tcPr>
          <w:p w14:paraId="20AD095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230</w:t>
            </w:r>
          </w:p>
        </w:tc>
        <w:tc>
          <w:tcPr>
            <w:tcW w:w="0" w:type="auto"/>
            <w:tcBorders>
              <w:top w:val="nil"/>
              <w:left w:val="nil"/>
              <w:bottom w:val="single" w:sz="4" w:space="0" w:color="auto"/>
              <w:right w:val="single" w:sz="8" w:space="0" w:color="auto"/>
            </w:tcBorders>
            <w:noWrap/>
            <w:hideMark/>
          </w:tcPr>
          <w:p w14:paraId="294C349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7 220 684</w:t>
            </w:r>
          </w:p>
        </w:tc>
        <w:tc>
          <w:tcPr>
            <w:tcW w:w="0" w:type="auto"/>
            <w:tcBorders>
              <w:top w:val="nil"/>
              <w:left w:val="nil"/>
              <w:bottom w:val="single" w:sz="4" w:space="0" w:color="auto"/>
              <w:right w:val="nil"/>
            </w:tcBorders>
            <w:noWrap/>
            <w:hideMark/>
          </w:tcPr>
          <w:p w14:paraId="6B8A1A2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2 752,23</w:t>
            </w:r>
          </w:p>
        </w:tc>
        <w:tc>
          <w:tcPr>
            <w:tcW w:w="0" w:type="auto"/>
            <w:tcBorders>
              <w:top w:val="nil"/>
              <w:left w:val="single" w:sz="4" w:space="0" w:color="auto"/>
              <w:bottom w:val="single" w:sz="4" w:space="0" w:color="auto"/>
              <w:right w:val="single" w:sz="4" w:space="0" w:color="auto"/>
            </w:tcBorders>
            <w:noWrap/>
            <w:hideMark/>
          </w:tcPr>
          <w:p w14:paraId="2C197AA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240</w:t>
            </w:r>
          </w:p>
        </w:tc>
        <w:tc>
          <w:tcPr>
            <w:tcW w:w="0" w:type="auto"/>
            <w:tcBorders>
              <w:top w:val="nil"/>
              <w:left w:val="nil"/>
              <w:bottom w:val="single" w:sz="4" w:space="0" w:color="auto"/>
              <w:right w:val="single" w:sz="8" w:space="0" w:color="auto"/>
            </w:tcBorders>
            <w:noWrap/>
            <w:hideMark/>
          </w:tcPr>
          <w:p w14:paraId="6883D6B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7 926 422</w:t>
            </w:r>
          </w:p>
        </w:tc>
      </w:tr>
      <w:tr w:rsidR="003160BE" w:rsidRPr="003160BE" w14:paraId="00DFA8FA" w14:textId="77777777" w:rsidTr="0052209F">
        <w:trPr>
          <w:trHeight w:val="20"/>
          <w:jc w:val="center"/>
        </w:trPr>
        <w:tc>
          <w:tcPr>
            <w:tcW w:w="0" w:type="auto"/>
            <w:tcBorders>
              <w:top w:val="nil"/>
              <w:left w:val="single" w:sz="8" w:space="0" w:color="auto"/>
              <w:bottom w:val="single" w:sz="4" w:space="0" w:color="auto"/>
              <w:right w:val="single" w:sz="8" w:space="0" w:color="auto"/>
            </w:tcBorders>
            <w:hideMark/>
          </w:tcPr>
          <w:p w14:paraId="3509DF47"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Kaitējuma atlīdzība Černobiļas AES avārijas seku likvidēšanas dalībniekam, kuram ir noteikta invaliditāte</w:t>
            </w:r>
          </w:p>
        </w:tc>
        <w:tc>
          <w:tcPr>
            <w:tcW w:w="0" w:type="auto"/>
            <w:tcBorders>
              <w:top w:val="nil"/>
              <w:left w:val="nil"/>
              <w:bottom w:val="single" w:sz="4" w:space="0" w:color="auto"/>
              <w:right w:val="nil"/>
            </w:tcBorders>
            <w:noWrap/>
            <w:hideMark/>
          </w:tcPr>
          <w:p w14:paraId="56C7849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471,31</w:t>
            </w:r>
          </w:p>
        </w:tc>
        <w:tc>
          <w:tcPr>
            <w:tcW w:w="0" w:type="auto"/>
            <w:tcBorders>
              <w:top w:val="nil"/>
              <w:left w:val="single" w:sz="4" w:space="0" w:color="auto"/>
              <w:bottom w:val="single" w:sz="4" w:space="0" w:color="auto"/>
              <w:right w:val="single" w:sz="4" w:space="0" w:color="auto"/>
            </w:tcBorders>
            <w:noWrap/>
            <w:hideMark/>
          </w:tcPr>
          <w:p w14:paraId="3F36F1A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2 054</w:t>
            </w:r>
          </w:p>
        </w:tc>
        <w:tc>
          <w:tcPr>
            <w:tcW w:w="0" w:type="auto"/>
            <w:tcBorders>
              <w:top w:val="nil"/>
              <w:left w:val="nil"/>
              <w:bottom w:val="single" w:sz="4" w:space="0" w:color="auto"/>
              <w:right w:val="single" w:sz="8" w:space="0" w:color="auto"/>
            </w:tcBorders>
            <w:noWrap/>
            <w:hideMark/>
          </w:tcPr>
          <w:p w14:paraId="39E2124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11 616 849</w:t>
            </w:r>
          </w:p>
        </w:tc>
        <w:tc>
          <w:tcPr>
            <w:tcW w:w="0" w:type="auto"/>
            <w:tcBorders>
              <w:top w:val="nil"/>
              <w:left w:val="nil"/>
              <w:bottom w:val="single" w:sz="4" w:space="0" w:color="auto"/>
              <w:right w:val="nil"/>
            </w:tcBorders>
            <w:noWrap/>
            <w:hideMark/>
          </w:tcPr>
          <w:p w14:paraId="30E3E98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499,12</w:t>
            </w:r>
          </w:p>
        </w:tc>
        <w:tc>
          <w:tcPr>
            <w:tcW w:w="0" w:type="auto"/>
            <w:tcBorders>
              <w:top w:val="nil"/>
              <w:left w:val="single" w:sz="4" w:space="0" w:color="auto"/>
              <w:bottom w:val="single" w:sz="4" w:space="0" w:color="auto"/>
              <w:right w:val="single" w:sz="4" w:space="0" w:color="auto"/>
            </w:tcBorders>
            <w:noWrap/>
            <w:hideMark/>
          </w:tcPr>
          <w:p w14:paraId="32821783"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2 074</w:t>
            </w:r>
          </w:p>
        </w:tc>
        <w:tc>
          <w:tcPr>
            <w:tcW w:w="0" w:type="auto"/>
            <w:tcBorders>
              <w:top w:val="nil"/>
              <w:left w:val="nil"/>
              <w:bottom w:val="single" w:sz="4" w:space="0" w:color="auto"/>
              <w:right w:val="single" w:sz="8" w:space="0" w:color="auto"/>
            </w:tcBorders>
            <w:noWrap/>
            <w:hideMark/>
          </w:tcPr>
          <w:p w14:paraId="43CCDD0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12 422 099</w:t>
            </w:r>
          </w:p>
        </w:tc>
        <w:tc>
          <w:tcPr>
            <w:tcW w:w="0" w:type="auto"/>
            <w:tcBorders>
              <w:top w:val="nil"/>
              <w:left w:val="nil"/>
              <w:bottom w:val="single" w:sz="4" w:space="0" w:color="auto"/>
              <w:right w:val="nil"/>
            </w:tcBorders>
            <w:noWrap/>
            <w:hideMark/>
          </w:tcPr>
          <w:p w14:paraId="2548004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526,70</w:t>
            </w:r>
          </w:p>
        </w:tc>
        <w:tc>
          <w:tcPr>
            <w:tcW w:w="0" w:type="auto"/>
            <w:tcBorders>
              <w:top w:val="nil"/>
              <w:left w:val="single" w:sz="4" w:space="0" w:color="auto"/>
              <w:bottom w:val="single" w:sz="4" w:space="0" w:color="auto"/>
              <w:right w:val="single" w:sz="4" w:space="0" w:color="auto"/>
            </w:tcBorders>
            <w:noWrap/>
            <w:hideMark/>
          </w:tcPr>
          <w:p w14:paraId="563E859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2 095</w:t>
            </w:r>
          </w:p>
        </w:tc>
        <w:tc>
          <w:tcPr>
            <w:tcW w:w="0" w:type="auto"/>
            <w:tcBorders>
              <w:top w:val="nil"/>
              <w:left w:val="nil"/>
              <w:bottom w:val="single" w:sz="4" w:space="0" w:color="auto"/>
              <w:right w:val="single" w:sz="8" w:space="0" w:color="auto"/>
            </w:tcBorders>
            <w:noWrap/>
            <w:hideMark/>
          </w:tcPr>
          <w:p w14:paraId="3798ED9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13 241 238</w:t>
            </w:r>
          </w:p>
        </w:tc>
      </w:tr>
      <w:tr w:rsidR="003160BE" w:rsidRPr="003160BE" w14:paraId="3B55A23A" w14:textId="77777777" w:rsidTr="0052209F">
        <w:trPr>
          <w:trHeight w:val="20"/>
          <w:jc w:val="center"/>
        </w:trPr>
        <w:tc>
          <w:tcPr>
            <w:tcW w:w="0" w:type="auto"/>
            <w:tcBorders>
              <w:top w:val="nil"/>
              <w:left w:val="single" w:sz="8" w:space="0" w:color="auto"/>
              <w:bottom w:val="single" w:sz="4" w:space="0" w:color="auto"/>
              <w:right w:val="single" w:sz="8" w:space="0" w:color="auto"/>
            </w:tcBorders>
            <w:hideMark/>
          </w:tcPr>
          <w:p w14:paraId="1F62409C"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Paternitātes pabalsts</w:t>
            </w:r>
          </w:p>
        </w:tc>
        <w:tc>
          <w:tcPr>
            <w:tcW w:w="0" w:type="auto"/>
            <w:tcBorders>
              <w:top w:val="nil"/>
              <w:left w:val="nil"/>
              <w:bottom w:val="single" w:sz="4" w:space="0" w:color="auto"/>
              <w:right w:val="nil"/>
            </w:tcBorders>
            <w:noWrap/>
            <w:hideMark/>
          </w:tcPr>
          <w:p w14:paraId="1755669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951,64</w:t>
            </w:r>
          </w:p>
        </w:tc>
        <w:tc>
          <w:tcPr>
            <w:tcW w:w="0" w:type="auto"/>
            <w:tcBorders>
              <w:top w:val="nil"/>
              <w:left w:val="single" w:sz="4" w:space="0" w:color="auto"/>
              <w:bottom w:val="single" w:sz="4" w:space="0" w:color="auto"/>
              <w:right w:val="single" w:sz="4" w:space="0" w:color="auto"/>
            </w:tcBorders>
            <w:noWrap/>
            <w:hideMark/>
          </w:tcPr>
          <w:p w14:paraId="424D332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710</w:t>
            </w:r>
          </w:p>
        </w:tc>
        <w:tc>
          <w:tcPr>
            <w:tcW w:w="0" w:type="auto"/>
            <w:tcBorders>
              <w:top w:val="nil"/>
              <w:left w:val="nil"/>
              <w:bottom w:val="single" w:sz="4" w:space="0" w:color="auto"/>
              <w:right w:val="single" w:sz="8" w:space="0" w:color="auto"/>
            </w:tcBorders>
            <w:noWrap/>
            <w:hideMark/>
          </w:tcPr>
          <w:p w14:paraId="26B0A9F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8 107 973</w:t>
            </w:r>
          </w:p>
        </w:tc>
        <w:tc>
          <w:tcPr>
            <w:tcW w:w="0" w:type="auto"/>
            <w:tcBorders>
              <w:top w:val="nil"/>
              <w:left w:val="nil"/>
              <w:bottom w:val="single" w:sz="4" w:space="0" w:color="auto"/>
              <w:right w:val="nil"/>
            </w:tcBorders>
            <w:noWrap/>
            <w:hideMark/>
          </w:tcPr>
          <w:p w14:paraId="6275207A"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1 007,68</w:t>
            </w:r>
          </w:p>
        </w:tc>
        <w:tc>
          <w:tcPr>
            <w:tcW w:w="0" w:type="auto"/>
            <w:tcBorders>
              <w:top w:val="nil"/>
              <w:left w:val="single" w:sz="4" w:space="0" w:color="auto"/>
              <w:bottom w:val="single" w:sz="4" w:space="0" w:color="auto"/>
              <w:right w:val="single" w:sz="4" w:space="0" w:color="auto"/>
            </w:tcBorders>
            <w:noWrap/>
            <w:hideMark/>
          </w:tcPr>
          <w:p w14:paraId="426BC78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710</w:t>
            </w:r>
          </w:p>
        </w:tc>
        <w:tc>
          <w:tcPr>
            <w:tcW w:w="0" w:type="auto"/>
            <w:tcBorders>
              <w:top w:val="nil"/>
              <w:left w:val="nil"/>
              <w:bottom w:val="single" w:sz="4" w:space="0" w:color="auto"/>
              <w:right w:val="single" w:sz="8" w:space="0" w:color="auto"/>
            </w:tcBorders>
            <w:noWrap/>
            <w:hideMark/>
          </w:tcPr>
          <w:p w14:paraId="3BD3674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8 585 434</w:t>
            </w:r>
          </w:p>
        </w:tc>
        <w:tc>
          <w:tcPr>
            <w:tcW w:w="0" w:type="auto"/>
            <w:tcBorders>
              <w:top w:val="nil"/>
              <w:left w:val="nil"/>
              <w:bottom w:val="single" w:sz="4" w:space="0" w:color="auto"/>
              <w:right w:val="nil"/>
            </w:tcBorders>
            <w:noWrap/>
            <w:hideMark/>
          </w:tcPr>
          <w:p w14:paraId="382D0C3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1 064,37</w:t>
            </w:r>
          </w:p>
        </w:tc>
        <w:tc>
          <w:tcPr>
            <w:tcW w:w="0" w:type="auto"/>
            <w:tcBorders>
              <w:top w:val="nil"/>
              <w:left w:val="single" w:sz="4" w:space="0" w:color="auto"/>
              <w:bottom w:val="single" w:sz="4" w:space="0" w:color="auto"/>
              <w:right w:val="single" w:sz="4" w:space="0" w:color="auto"/>
            </w:tcBorders>
            <w:noWrap/>
            <w:hideMark/>
          </w:tcPr>
          <w:p w14:paraId="33399D0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710</w:t>
            </w:r>
          </w:p>
        </w:tc>
        <w:tc>
          <w:tcPr>
            <w:tcW w:w="0" w:type="auto"/>
            <w:tcBorders>
              <w:top w:val="nil"/>
              <w:left w:val="nil"/>
              <w:bottom w:val="single" w:sz="4" w:space="0" w:color="auto"/>
              <w:right w:val="single" w:sz="8" w:space="0" w:color="auto"/>
            </w:tcBorders>
            <w:noWrap/>
            <w:hideMark/>
          </w:tcPr>
          <w:p w14:paraId="4448E3B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9 068 432</w:t>
            </w:r>
          </w:p>
        </w:tc>
      </w:tr>
      <w:tr w:rsidR="003160BE" w:rsidRPr="003160BE" w14:paraId="02BCFD05" w14:textId="77777777" w:rsidTr="008A32EB">
        <w:trPr>
          <w:trHeight w:val="20"/>
          <w:jc w:val="center"/>
        </w:trPr>
        <w:tc>
          <w:tcPr>
            <w:tcW w:w="0" w:type="auto"/>
            <w:tcBorders>
              <w:top w:val="single" w:sz="4" w:space="0" w:color="auto"/>
              <w:left w:val="single" w:sz="8" w:space="0" w:color="auto"/>
              <w:bottom w:val="single" w:sz="4" w:space="0" w:color="auto"/>
              <w:right w:val="single" w:sz="8" w:space="0" w:color="auto"/>
            </w:tcBorders>
            <w:hideMark/>
          </w:tcPr>
          <w:p w14:paraId="5F3D595E"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Darbā nodarītā kaitējuma atlīdzība</w:t>
            </w:r>
          </w:p>
        </w:tc>
        <w:tc>
          <w:tcPr>
            <w:tcW w:w="0" w:type="auto"/>
            <w:tcBorders>
              <w:top w:val="nil"/>
              <w:left w:val="nil"/>
              <w:bottom w:val="single" w:sz="4" w:space="0" w:color="auto"/>
              <w:right w:val="nil"/>
            </w:tcBorders>
            <w:noWrap/>
            <w:hideMark/>
          </w:tcPr>
          <w:p w14:paraId="4F9A643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218,03</w:t>
            </w:r>
          </w:p>
        </w:tc>
        <w:tc>
          <w:tcPr>
            <w:tcW w:w="0" w:type="auto"/>
            <w:tcBorders>
              <w:top w:val="nil"/>
              <w:left w:val="single" w:sz="4" w:space="0" w:color="auto"/>
              <w:bottom w:val="single" w:sz="4" w:space="0" w:color="auto"/>
              <w:right w:val="single" w:sz="4" w:space="0" w:color="auto"/>
            </w:tcBorders>
            <w:noWrap/>
            <w:hideMark/>
          </w:tcPr>
          <w:p w14:paraId="710419A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640</w:t>
            </w:r>
          </w:p>
        </w:tc>
        <w:tc>
          <w:tcPr>
            <w:tcW w:w="0" w:type="auto"/>
            <w:tcBorders>
              <w:top w:val="nil"/>
              <w:left w:val="nil"/>
              <w:bottom w:val="single" w:sz="4" w:space="0" w:color="auto"/>
              <w:right w:val="single" w:sz="8" w:space="0" w:color="auto"/>
            </w:tcBorders>
            <w:noWrap/>
            <w:hideMark/>
          </w:tcPr>
          <w:p w14:paraId="4558FCE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1 674 470</w:t>
            </w:r>
          </w:p>
        </w:tc>
        <w:tc>
          <w:tcPr>
            <w:tcW w:w="0" w:type="auto"/>
            <w:tcBorders>
              <w:top w:val="nil"/>
              <w:left w:val="nil"/>
              <w:bottom w:val="single" w:sz="4" w:space="0" w:color="auto"/>
              <w:right w:val="nil"/>
            </w:tcBorders>
            <w:noWrap/>
            <w:hideMark/>
          </w:tcPr>
          <w:p w14:paraId="01EBE14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232,59</w:t>
            </w:r>
          </w:p>
        </w:tc>
        <w:tc>
          <w:tcPr>
            <w:tcW w:w="0" w:type="auto"/>
            <w:tcBorders>
              <w:top w:val="nil"/>
              <w:left w:val="single" w:sz="4" w:space="0" w:color="auto"/>
              <w:bottom w:val="single" w:sz="4" w:space="0" w:color="auto"/>
              <w:right w:val="single" w:sz="4" w:space="0" w:color="auto"/>
            </w:tcBorders>
            <w:noWrap/>
            <w:hideMark/>
          </w:tcPr>
          <w:p w14:paraId="512CFCDC"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630</w:t>
            </w:r>
          </w:p>
        </w:tc>
        <w:tc>
          <w:tcPr>
            <w:tcW w:w="0" w:type="auto"/>
            <w:tcBorders>
              <w:top w:val="nil"/>
              <w:left w:val="nil"/>
              <w:bottom w:val="single" w:sz="4" w:space="0" w:color="auto"/>
              <w:right w:val="single" w:sz="8" w:space="0" w:color="auto"/>
            </w:tcBorders>
            <w:noWrap/>
            <w:hideMark/>
          </w:tcPr>
          <w:p w14:paraId="45ED6EFF"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1 758 380</w:t>
            </w:r>
          </w:p>
        </w:tc>
        <w:tc>
          <w:tcPr>
            <w:tcW w:w="0" w:type="auto"/>
            <w:tcBorders>
              <w:top w:val="nil"/>
              <w:left w:val="nil"/>
              <w:bottom w:val="single" w:sz="4" w:space="0" w:color="auto"/>
              <w:right w:val="nil"/>
            </w:tcBorders>
            <w:noWrap/>
            <w:hideMark/>
          </w:tcPr>
          <w:p w14:paraId="40C80CC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248,25</w:t>
            </w:r>
          </w:p>
        </w:tc>
        <w:tc>
          <w:tcPr>
            <w:tcW w:w="0" w:type="auto"/>
            <w:tcBorders>
              <w:top w:val="nil"/>
              <w:left w:val="single" w:sz="4" w:space="0" w:color="auto"/>
              <w:bottom w:val="single" w:sz="4" w:space="0" w:color="auto"/>
              <w:right w:val="single" w:sz="4" w:space="0" w:color="auto"/>
            </w:tcBorders>
            <w:noWrap/>
            <w:hideMark/>
          </w:tcPr>
          <w:p w14:paraId="559EBD2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620</w:t>
            </w:r>
          </w:p>
        </w:tc>
        <w:tc>
          <w:tcPr>
            <w:tcW w:w="0" w:type="auto"/>
            <w:tcBorders>
              <w:top w:val="nil"/>
              <w:left w:val="nil"/>
              <w:bottom w:val="single" w:sz="4" w:space="0" w:color="auto"/>
              <w:right w:val="single" w:sz="8" w:space="0" w:color="auto"/>
            </w:tcBorders>
            <w:noWrap/>
            <w:hideMark/>
          </w:tcPr>
          <w:p w14:paraId="45CA737B"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1 846 980</w:t>
            </w:r>
          </w:p>
        </w:tc>
      </w:tr>
      <w:tr w:rsidR="003160BE" w:rsidRPr="003160BE" w14:paraId="63DDC297" w14:textId="77777777" w:rsidTr="008A32EB">
        <w:trPr>
          <w:trHeight w:val="20"/>
          <w:jc w:val="center"/>
        </w:trPr>
        <w:tc>
          <w:tcPr>
            <w:tcW w:w="0" w:type="auto"/>
            <w:tcBorders>
              <w:top w:val="single" w:sz="4" w:space="0" w:color="auto"/>
              <w:left w:val="single" w:sz="8" w:space="0" w:color="auto"/>
              <w:bottom w:val="single" w:sz="4" w:space="0" w:color="auto"/>
              <w:right w:val="single" w:sz="8" w:space="0" w:color="auto"/>
            </w:tcBorders>
            <w:hideMark/>
          </w:tcPr>
          <w:p w14:paraId="2743594C"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t>Vecāku pabalsts</w:t>
            </w:r>
          </w:p>
        </w:tc>
        <w:tc>
          <w:tcPr>
            <w:tcW w:w="0" w:type="auto"/>
            <w:tcBorders>
              <w:top w:val="nil"/>
              <w:left w:val="single" w:sz="8" w:space="0" w:color="auto"/>
              <w:bottom w:val="single" w:sz="4" w:space="0" w:color="auto"/>
              <w:right w:val="nil"/>
            </w:tcBorders>
            <w:noWrap/>
            <w:hideMark/>
          </w:tcPr>
          <w:p w14:paraId="5DC5801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859,91</w:t>
            </w:r>
          </w:p>
        </w:tc>
        <w:tc>
          <w:tcPr>
            <w:tcW w:w="0" w:type="auto"/>
            <w:tcBorders>
              <w:top w:val="nil"/>
              <w:left w:val="single" w:sz="4" w:space="0" w:color="auto"/>
              <w:bottom w:val="single" w:sz="4" w:space="0" w:color="auto"/>
              <w:right w:val="single" w:sz="4" w:space="0" w:color="auto"/>
            </w:tcBorders>
            <w:noWrap/>
            <w:hideMark/>
          </w:tcPr>
          <w:p w14:paraId="7CCFEE2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14 612</w:t>
            </w:r>
          </w:p>
        </w:tc>
        <w:tc>
          <w:tcPr>
            <w:tcW w:w="0" w:type="auto"/>
            <w:tcBorders>
              <w:top w:val="nil"/>
              <w:left w:val="nil"/>
              <w:bottom w:val="single" w:sz="4" w:space="0" w:color="auto"/>
              <w:right w:val="single" w:sz="8" w:space="0" w:color="auto"/>
            </w:tcBorders>
            <w:noWrap/>
            <w:hideMark/>
          </w:tcPr>
          <w:p w14:paraId="4FEF9140"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150 779 622</w:t>
            </w:r>
          </w:p>
        </w:tc>
        <w:tc>
          <w:tcPr>
            <w:tcW w:w="0" w:type="auto"/>
            <w:tcBorders>
              <w:top w:val="nil"/>
              <w:left w:val="nil"/>
              <w:bottom w:val="single" w:sz="4" w:space="0" w:color="auto"/>
              <w:right w:val="nil"/>
            </w:tcBorders>
            <w:noWrap/>
            <w:hideMark/>
          </w:tcPr>
          <w:p w14:paraId="34A42AA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872,21</w:t>
            </w:r>
          </w:p>
        </w:tc>
        <w:tc>
          <w:tcPr>
            <w:tcW w:w="0" w:type="auto"/>
            <w:tcBorders>
              <w:top w:val="nil"/>
              <w:left w:val="single" w:sz="4" w:space="0" w:color="auto"/>
              <w:bottom w:val="single" w:sz="4" w:space="0" w:color="auto"/>
              <w:right w:val="single" w:sz="4" w:space="0" w:color="auto"/>
            </w:tcBorders>
            <w:noWrap/>
            <w:hideMark/>
          </w:tcPr>
          <w:p w14:paraId="1906144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14 612</w:t>
            </w:r>
          </w:p>
        </w:tc>
        <w:tc>
          <w:tcPr>
            <w:tcW w:w="0" w:type="auto"/>
            <w:tcBorders>
              <w:top w:val="nil"/>
              <w:left w:val="nil"/>
              <w:bottom w:val="single" w:sz="4" w:space="0" w:color="auto"/>
              <w:right w:val="single" w:sz="8" w:space="0" w:color="auto"/>
            </w:tcBorders>
            <w:noWrap/>
            <w:hideMark/>
          </w:tcPr>
          <w:p w14:paraId="1945A59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152 936 790</w:t>
            </w:r>
          </w:p>
        </w:tc>
        <w:tc>
          <w:tcPr>
            <w:tcW w:w="0" w:type="auto"/>
            <w:tcBorders>
              <w:top w:val="nil"/>
              <w:left w:val="nil"/>
              <w:bottom w:val="single" w:sz="4" w:space="0" w:color="auto"/>
              <w:right w:val="nil"/>
            </w:tcBorders>
            <w:noWrap/>
            <w:hideMark/>
          </w:tcPr>
          <w:p w14:paraId="1FED6C1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927,12</w:t>
            </w:r>
          </w:p>
        </w:tc>
        <w:tc>
          <w:tcPr>
            <w:tcW w:w="0" w:type="auto"/>
            <w:tcBorders>
              <w:top w:val="nil"/>
              <w:left w:val="single" w:sz="4" w:space="0" w:color="auto"/>
              <w:bottom w:val="single" w:sz="4" w:space="0" w:color="auto"/>
              <w:right w:val="single" w:sz="4" w:space="0" w:color="auto"/>
            </w:tcBorders>
            <w:noWrap/>
            <w:hideMark/>
          </w:tcPr>
          <w:p w14:paraId="7259767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14 612</w:t>
            </w:r>
          </w:p>
        </w:tc>
        <w:tc>
          <w:tcPr>
            <w:tcW w:w="0" w:type="auto"/>
            <w:tcBorders>
              <w:top w:val="nil"/>
              <w:left w:val="nil"/>
              <w:bottom w:val="single" w:sz="4" w:space="0" w:color="auto"/>
              <w:right w:val="single" w:sz="8" w:space="0" w:color="auto"/>
            </w:tcBorders>
            <w:noWrap/>
            <w:hideMark/>
          </w:tcPr>
          <w:p w14:paraId="6D229C9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162 564 929</w:t>
            </w:r>
          </w:p>
        </w:tc>
      </w:tr>
      <w:tr w:rsidR="003160BE" w:rsidRPr="003160BE" w14:paraId="5FB37A36" w14:textId="77777777" w:rsidTr="008A32EB">
        <w:trPr>
          <w:trHeight w:val="20"/>
          <w:jc w:val="center"/>
        </w:trPr>
        <w:tc>
          <w:tcPr>
            <w:tcW w:w="0" w:type="auto"/>
            <w:tcBorders>
              <w:top w:val="single" w:sz="4" w:space="0" w:color="auto"/>
              <w:left w:val="single" w:sz="8" w:space="0" w:color="auto"/>
              <w:bottom w:val="nil"/>
              <w:right w:val="single" w:sz="8" w:space="0" w:color="auto"/>
            </w:tcBorders>
            <w:hideMark/>
          </w:tcPr>
          <w:p w14:paraId="4D7EF931" w14:textId="77777777" w:rsidR="003160BE" w:rsidRPr="003160BE" w:rsidRDefault="003160BE" w:rsidP="003160BE">
            <w:pPr>
              <w:spacing w:after="0"/>
              <w:ind w:firstLineChars="200" w:firstLine="360"/>
              <w:jc w:val="left"/>
              <w:rPr>
                <w:rFonts w:eastAsia="Times New Roman" w:cs="Times New Roman"/>
                <w:sz w:val="18"/>
                <w:szCs w:val="18"/>
              </w:rPr>
            </w:pPr>
            <w:r w:rsidRPr="003160BE">
              <w:rPr>
                <w:rFonts w:eastAsia="Calibri" w:cs="Times New Roman"/>
                <w:sz w:val="18"/>
                <w:szCs w:val="18"/>
                <w:lang w:eastAsia="en-US"/>
              </w:rPr>
              <w:lastRenderedPageBreak/>
              <w:t>Pabalsts pensijas saņēmēja nāves gadījumā pārdzīvojušam laulātajam</w:t>
            </w:r>
          </w:p>
        </w:tc>
        <w:tc>
          <w:tcPr>
            <w:tcW w:w="0" w:type="auto"/>
            <w:tcBorders>
              <w:top w:val="nil"/>
              <w:left w:val="nil"/>
              <w:bottom w:val="single" w:sz="4" w:space="0" w:color="auto"/>
              <w:right w:val="nil"/>
            </w:tcBorders>
            <w:noWrap/>
            <w:hideMark/>
          </w:tcPr>
          <w:p w14:paraId="1B2A9A9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234,28</w:t>
            </w:r>
          </w:p>
        </w:tc>
        <w:tc>
          <w:tcPr>
            <w:tcW w:w="0" w:type="auto"/>
            <w:tcBorders>
              <w:top w:val="nil"/>
              <w:left w:val="single" w:sz="4" w:space="0" w:color="auto"/>
              <w:bottom w:val="single" w:sz="4" w:space="0" w:color="auto"/>
              <w:right w:val="single" w:sz="4" w:space="0" w:color="auto"/>
            </w:tcBorders>
            <w:noWrap/>
            <w:hideMark/>
          </w:tcPr>
          <w:p w14:paraId="4C78E812"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250</w:t>
            </w:r>
          </w:p>
        </w:tc>
        <w:tc>
          <w:tcPr>
            <w:tcW w:w="0" w:type="auto"/>
            <w:tcBorders>
              <w:top w:val="nil"/>
              <w:left w:val="nil"/>
              <w:bottom w:val="single" w:sz="4" w:space="0" w:color="auto"/>
              <w:right w:val="single" w:sz="8" w:space="0" w:color="auto"/>
            </w:tcBorders>
            <w:noWrap/>
            <w:hideMark/>
          </w:tcPr>
          <w:p w14:paraId="556BDF3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702 840</w:t>
            </w:r>
          </w:p>
        </w:tc>
        <w:tc>
          <w:tcPr>
            <w:tcW w:w="0" w:type="auto"/>
            <w:tcBorders>
              <w:top w:val="nil"/>
              <w:left w:val="nil"/>
              <w:bottom w:val="single" w:sz="4" w:space="0" w:color="auto"/>
              <w:right w:val="nil"/>
            </w:tcBorders>
            <w:noWrap/>
            <w:hideMark/>
          </w:tcPr>
          <w:p w14:paraId="26602C29"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247,27</w:t>
            </w:r>
          </w:p>
        </w:tc>
        <w:tc>
          <w:tcPr>
            <w:tcW w:w="0" w:type="auto"/>
            <w:tcBorders>
              <w:top w:val="nil"/>
              <w:left w:val="single" w:sz="4" w:space="0" w:color="auto"/>
              <w:bottom w:val="single" w:sz="4" w:space="0" w:color="auto"/>
              <w:right w:val="single" w:sz="4" w:space="0" w:color="auto"/>
            </w:tcBorders>
            <w:noWrap/>
            <w:hideMark/>
          </w:tcPr>
          <w:p w14:paraId="528AE42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250</w:t>
            </w:r>
          </w:p>
        </w:tc>
        <w:tc>
          <w:tcPr>
            <w:tcW w:w="0" w:type="auto"/>
            <w:tcBorders>
              <w:top w:val="nil"/>
              <w:left w:val="nil"/>
              <w:bottom w:val="single" w:sz="4" w:space="0" w:color="auto"/>
              <w:right w:val="single" w:sz="8" w:space="0" w:color="auto"/>
            </w:tcBorders>
            <w:noWrap/>
            <w:hideMark/>
          </w:tcPr>
          <w:p w14:paraId="356096E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741 810</w:t>
            </w:r>
          </w:p>
        </w:tc>
        <w:tc>
          <w:tcPr>
            <w:tcW w:w="0" w:type="auto"/>
            <w:tcBorders>
              <w:top w:val="nil"/>
              <w:left w:val="nil"/>
              <w:bottom w:val="single" w:sz="4" w:space="0" w:color="auto"/>
              <w:right w:val="nil"/>
            </w:tcBorders>
            <w:noWrap/>
            <w:hideMark/>
          </w:tcPr>
          <w:p w14:paraId="5589B56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265,67</w:t>
            </w:r>
          </w:p>
        </w:tc>
        <w:tc>
          <w:tcPr>
            <w:tcW w:w="0" w:type="auto"/>
            <w:tcBorders>
              <w:top w:val="nil"/>
              <w:left w:val="single" w:sz="4" w:space="0" w:color="auto"/>
              <w:bottom w:val="single" w:sz="4" w:space="0" w:color="auto"/>
              <w:right w:val="single" w:sz="4" w:space="0" w:color="auto"/>
            </w:tcBorders>
            <w:noWrap/>
            <w:hideMark/>
          </w:tcPr>
          <w:p w14:paraId="1F00B43E"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250</w:t>
            </w:r>
          </w:p>
        </w:tc>
        <w:tc>
          <w:tcPr>
            <w:tcW w:w="0" w:type="auto"/>
            <w:tcBorders>
              <w:top w:val="nil"/>
              <w:left w:val="nil"/>
              <w:bottom w:val="single" w:sz="4" w:space="0" w:color="auto"/>
              <w:right w:val="single" w:sz="8" w:space="0" w:color="auto"/>
            </w:tcBorders>
            <w:noWrap/>
            <w:hideMark/>
          </w:tcPr>
          <w:p w14:paraId="790F6C1D"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797 010</w:t>
            </w:r>
          </w:p>
        </w:tc>
      </w:tr>
      <w:tr w:rsidR="003160BE" w:rsidRPr="003160BE" w14:paraId="41F4C424" w14:textId="77777777" w:rsidTr="0052209F">
        <w:trPr>
          <w:trHeight w:val="20"/>
          <w:jc w:val="center"/>
        </w:trPr>
        <w:tc>
          <w:tcPr>
            <w:tcW w:w="0" w:type="auto"/>
            <w:tcBorders>
              <w:top w:val="single" w:sz="4" w:space="0" w:color="auto"/>
              <w:left w:val="single" w:sz="8" w:space="0" w:color="auto"/>
              <w:bottom w:val="single" w:sz="4" w:space="0" w:color="auto"/>
              <w:right w:val="single" w:sz="8" w:space="0" w:color="auto"/>
            </w:tcBorders>
            <w:hideMark/>
          </w:tcPr>
          <w:p w14:paraId="03645631"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Valsts budžeta maksājumi - kopā</w:t>
            </w:r>
          </w:p>
        </w:tc>
        <w:tc>
          <w:tcPr>
            <w:tcW w:w="0" w:type="auto"/>
            <w:tcBorders>
              <w:top w:val="nil"/>
              <w:left w:val="nil"/>
              <w:bottom w:val="nil"/>
              <w:right w:val="nil"/>
            </w:tcBorders>
            <w:noWrap/>
            <w:hideMark/>
          </w:tcPr>
          <w:p w14:paraId="3B4B50D8"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53694D67"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nil"/>
              <w:right w:val="single" w:sz="8" w:space="0" w:color="auto"/>
            </w:tcBorders>
            <w:noWrap/>
            <w:hideMark/>
          </w:tcPr>
          <w:p w14:paraId="09CB479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215 712</w:t>
            </w:r>
          </w:p>
        </w:tc>
        <w:tc>
          <w:tcPr>
            <w:tcW w:w="0" w:type="auto"/>
            <w:tcBorders>
              <w:top w:val="nil"/>
              <w:left w:val="nil"/>
              <w:bottom w:val="nil"/>
              <w:right w:val="nil"/>
            </w:tcBorders>
            <w:noWrap/>
            <w:hideMark/>
          </w:tcPr>
          <w:p w14:paraId="5685C677"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651BAAEE"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nil"/>
              <w:right w:val="single" w:sz="8" w:space="0" w:color="auto"/>
            </w:tcBorders>
            <w:noWrap/>
            <w:hideMark/>
          </w:tcPr>
          <w:p w14:paraId="7179554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212 716</w:t>
            </w:r>
          </w:p>
        </w:tc>
        <w:tc>
          <w:tcPr>
            <w:tcW w:w="0" w:type="auto"/>
            <w:tcBorders>
              <w:top w:val="nil"/>
              <w:left w:val="nil"/>
              <w:bottom w:val="nil"/>
              <w:right w:val="nil"/>
            </w:tcBorders>
            <w:noWrap/>
            <w:hideMark/>
          </w:tcPr>
          <w:p w14:paraId="56C9AFC7"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single" w:sz="4" w:space="0" w:color="auto"/>
              <w:bottom w:val="nil"/>
              <w:right w:val="single" w:sz="4" w:space="0" w:color="auto"/>
            </w:tcBorders>
            <w:noWrap/>
            <w:hideMark/>
          </w:tcPr>
          <w:p w14:paraId="1269529E" w14:textId="77777777" w:rsidR="003160BE" w:rsidRPr="003160BE" w:rsidRDefault="003160BE" w:rsidP="003160BE">
            <w:pPr>
              <w:spacing w:after="0"/>
              <w:ind w:firstLine="0"/>
              <w:jc w:val="center"/>
              <w:rPr>
                <w:rFonts w:eastAsia="Times New Roman" w:cs="Times New Roman"/>
                <w:sz w:val="18"/>
                <w:szCs w:val="18"/>
              </w:rPr>
            </w:pPr>
            <w:r w:rsidRPr="003160BE">
              <w:rPr>
                <w:rFonts w:eastAsia="Calibri" w:cs="Times New Roman"/>
                <w:sz w:val="18"/>
                <w:szCs w:val="18"/>
                <w:lang w:eastAsia="en-US"/>
              </w:rPr>
              <w:t>x</w:t>
            </w:r>
          </w:p>
        </w:tc>
        <w:tc>
          <w:tcPr>
            <w:tcW w:w="0" w:type="auto"/>
            <w:tcBorders>
              <w:top w:val="nil"/>
              <w:left w:val="nil"/>
              <w:bottom w:val="nil"/>
              <w:right w:val="single" w:sz="8" w:space="0" w:color="auto"/>
            </w:tcBorders>
            <w:noWrap/>
            <w:hideMark/>
          </w:tcPr>
          <w:p w14:paraId="6D932B65"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211 753</w:t>
            </w:r>
          </w:p>
        </w:tc>
      </w:tr>
      <w:tr w:rsidR="003160BE" w:rsidRPr="003160BE" w14:paraId="7E84E8F8"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66157C0E" w14:textId="77777777" w:rsidR="003160BE" w:rsidRPr="003160BE" w:rsidRDefault="003160BE" w:rsidP="003160BE">
            <w:pPr>
              <w:spacing w:after="0"/>
              <w:ind w:firstLineChars="100" w:firstLine="180"/>
              <w:jc w:val="left"/>
              <w:rPr>
                <w:rFonts w:eastAsia="Times New Roman" w:cs="Times New Roman"/>
                <w:i/>
                <w:iCs/>
                <w:sz w:val="18"/>
                <w:szCs w:val="18"/>
              </w:rPr>
            </w:pPr>
            <w:r w:rsidRPr="003160BE">
              <w:rPr>
                <w:rFonts w:eastAsia="Calibri" w:cs="Times New Roman"/>
                <w:i/>
                <w:iCs/>
                <w:sz w:val="18"/>
                <w:szCs w:val="18"/>
                <w:lang w:eastAsia="en-US"/>
              </w:rPr>
              <w:t>tajā skaitā</w:t>
            </w:r>
            <w:r w:rsidRPr="003160BE">
              <w:rPr>
                <w:rFonts w:eastAsia="Calibri" w:cs="Times New Roman"/>
                <w:sz w:val="18"/>
                <w:szCs w:val="18"/>
                <w:lang w:eastAsia="en-US"/>
              </w:rPr>
              <w:t>:</w:t>
            </w:r>
          </w:p>
        </w:tc>
        <w:tc>
          <w:tcPr>
            <w:tcW w:w="0" w:type="auto"/>
            <w:tcBorders>
              <w:top w:val="single" w:sz="4" w:space="0" w:color="auto"/>
              <w:left w:val="nil"/>
              <w:bottom w:val="nil"/>
              <w:right w:val="nil"/>
            </w:tcBorders>
            <w:noWrap/>
            <w:hideMark/>
          </w:tcPr>
          <w:p w14:paraId="6145234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nil"/>
              <w:right w:val="single" w:sz="4" w:space="0" w:color="auto"/>
            </w:tcBorders>
            <w:noWrap/>
            <w:hideMark/>
          </w:tcPr>
          <w:p w14:paraId="3466BD0C"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nil"/>
              <w:right w:val="single" w:sz="8" w:space="0" w:color="auto"/>
            </w:tcBorders>
            <w:noWrap/>
            <w:hideMark/>
          </w:tcPr>
          <w:p w14:paraId="646F4AED"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nil"/>
              <w:right w:val="nil"/>
            </w:tcBorders>
            <w:noWrap/>
            <w:hideMark/>
          </w:tcPr>
          <w:p w14:paraId="1C9A5093"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nil"/>
              <w:right w:val="single" w:sz="4" w:space="0" w:color="auto"/>
            </w:tcBorders>
            <w:noWrap/>
            <w:hideMark/>
          </w:tcPr>
          <w:p w14:paraId="6711CF26"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nil"/>
              <w:right w:val="single" w:sz="8" w:space="0" w:color="auto"/>
            </w:tcBorders>
            <w:noWrap/>
            <w:hideMark/>
          </w:tcPr>
          <w:p w14:paraId="3144C40A"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nil"/>
              <w:right w:val="nil"/>
            </w:tcBorders>
            <w:noWrap/>
            <w:hideMark/>
          </w:tcPr>
          <w:p w14:paraId="3621884D"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nil"/>
              <w:right w:val="single" w:sz="4" w:space="0" w:color="auto"/>
            </w:tcBorders>
            <w:noWrap/>
            <w:hideMark/>
          </w:tcPr>
          <w:p w14:paraId="3F76D58D"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nil"/>
              <w:right w:val="single" w:sz="8" w:space="0" w:color="auto"/>
            </w:tcBorders>
            <w:noWrap/>
            <w:hideMark/>
          </w:tcPr>
          <w:p w14:paraId="4CEB6B6C" w14:textId="77777777" w:rsidR="003160BE" w:rsidRPr="003160BE" w:rsidRDefault="003160BE" w:rsidP="003160BE">
            <w:pPr>
              <w:spacing w:after="0"/>
              <w:ind w:firstLine="0"/>
              <w:jc w:val="right"/>
              <w:rPr>
                <w:rFonts w:eastAsia="Times New Roman" w:cs="Times New Roman"/>
                <w:sz w:val="18"/>
                <w:szCs w:val="18"/>
              </w:rPr>
            </w:pPr>
          </w:p>
        </w:tc>
      </w:tr>
      <w:tr w:rsidR="003160BE" w:rsidRPr="003160BE" w14:paraId="79ED1A01" w14:textId="77777777" w:rsidTr="0052209F">
        <w:trPr>
          <w:trHeight w:val="20"/>
          <w:jc w:val="center"/>
        </w:trPr>
        <w:tc>
          <w:tcPr>
            <w:tcW w:w="0" w:type="auto"/>
            <w:tcBorders>
              <w:top w:val="nil"/>
              <w:left w:val="single" w:sz="8" w:space="0" w:color="auto"/>
              <w:bottom w:val="single" w:sz="4" w:space="0" w:color="auto"/>
              <w:right w:val="single" w:sz="8" w:space="0" w:color="auto"/>
            </w:tcBorders>
            <w:noWrap/>
            <w:hideMark/>
          </w:tcPr>
          <w:p w14:paraId="4BEA7106" w14:textId="77777777" w:rsidR="003160BE" w:rsidRPr="003160BE" w:rsidRDefault="003160BE" w:rsidP="003160BE">
            <w:pPr>
              <w:spacing w:after="0"/>
              <w:ind w:firstLineChars="100" w:firstLine="180"/>
              <w:jc w:val="left"/>
              <w:rPr>
                <w:rFonts w:eastAsia="Times New Roman" w:cs="Times New Roman"/>
                <w:sz w:val="18"/>
                <w:szCs w:val="18"/>
              </w:rPr>
            </w:pPr>
            <w:r w:rsidRPr="003160BE">
              <w:rPr>
                <w:rFonts w:eastAsia="Calibri" w:cs="Times New Roman"/>
                <w:sz w:val="18"/>
                <w:szCs w:val="18"/>
                <w:lang w:eastAsia="en-US"/>
              </w:rPr>
              <w:t xml:space="preserve">    Pārmaksāto sociālās apdrošināšanas iemaksu atmaksa</w:t>
            </w:r>
          </w:p>
        </w:tc>
        <w:tc>
          <w:tcPr>
            <w:tcW w:w="0" w:type="auto"/>
            <w:tcBorders>
              <w:top w:val="single" w:sz="4" w:space="0" w:color="auto"/>
              <w:left w:val="nil"/>
              <w:bottom w:val="nil"/>
              <w:right w:val="nil"/>
            </w:tcBorders>
            <w:noWrap/>
            <w:hideMark/>
          </w:tcPr>
          <w:p w14:paraId="7BFEC1A0"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nil"/>
              <w:right w:val="single" w:sz="4" w:space="0" w:color="auto"/>
            </w:tcBorders>
            <w:noWrap/>
            <w:hideMark/>
          </w:tcPr>
          <w:p w14:paraId="77571E25"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single" w:sz="8" w:space="0" w:color="auto"/>
            </w:tcBorders>
            <w:noWrap/>
            <w:hideMark/>
          </w:tcPr>
          <w:p w14:paraId="642C579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201 600</w:t>
            </w:r>
          </w:p>
        </w:tc>
        <w:tc>
          <w:tcPr>
            <w:tcW w:w="0" w:type="auto"/>
            <w:tcBorders>
              <w:top w:val="single" w:sz="4" w:space="0" w:color="auto"/>
              <w:left w:val="nil"/>
              <w:bottom w:val="nil"/>
              <w:right w:val="nil"/>
            </w:tcBorders>
            <w:noWrap/>
            <w:hideMark/>
          </w:tcPr>
          <w:p w14:paraId="142845B2"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nil"/>
              <w:right w:val="single" w:sz="4" w:space="0" w:color="auto"/>
            </w:tcBorders>
            <w:noWrap/>
            <w:hideMark/>
          </w:tcPr>
          <w:p w14:paraId="6806865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single" w:sz="8" w:space="0" w:color="auto"/>
            </w:tcBorders>
            <w:noWrap/>
            <w:hideMark/>
          </w:tcPr>
          <w:p w14:paraId="5D5CBF26"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198 800</w:t>
            </w:r>
          </w:p>
        </w:tc>
        <w:tc>
          <w:tcPr>
            <w:tcW w:w="0" w:type="auto"/>
            <w:tcBorders>
              <w:top w:val="single" w:sz="4" w:space="0" w:color="auto"/>
              <w:left w:val="nil"/>
              <w:bottom w:val="nil"/>
              <w:right w:val="nil"/>
            </w:tcBorders>
            <w:noWrap/>
            <w:hideMark/>
          </w:tcPr>
          <w:p w14:paraId="4A1E0532"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single" w:sz="4" w:space="0" w:color="auto"/>
              <w:bottom w:val="nil"/>
              <w:right w:val="single" w:sz="4" w:space="0" w:color="auto"/>
            </w:tcBorders>
            <w:noWrap/>
            <w:hideMark/>
          </w:tcPr>
          <w:p w14:paraId="7CBA3AAF"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4" w:space="0" w:color="auto"/>
              <w:right w:val="single" w:sz="8" w:space="0" w:color="auto"/>
            </w:tcBorders>
            <w:noWrap/>
            <w:hideMark/>
          </w:tcPr>
          <w:p w14:paraId="0F6A3E84"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197 900</w:t>
            </w:r>
          </w:p>
        </w:tc>
      </w:tr>
      <w:tr w:rsidR="003160BE" w:rsidRPr="003160BE" w14:paraId="5377AF33" w14:textId="77777777" w:rsidTr="0052209F">
        <w:trPr>
          <w:trHeight w:val="20"/>
          <w:jc w:val="center"/>
        </w:trPr>
        <w:tc>
          <w:tcPr>
            <w:tcW w:w="0" w:type="auto"/>
            <w:tcBorders>
              <w:top w:val="single" w:sz="4" w:space="0" w:color="auto"/>
              <w:left w:val="single" w:sz="8" w:space="0" w:color="auto"/>
              <w:bottom w:val="single" w:sz="8" w:space="0" w:color="auto"/>
              <w:right w:val="single" w:sz="8" w:space="0" w:color="auto"/>
            </w:tcBorders>
            <w:hideMark/>
          </w:tcPr>
          <w:p w14:paraId="180B8037" w14:textId="77777777" w:rsidR="003160BE" w:rsidRPr="003160BE" w:rsidRDefault="003160BE" w:rsidP="003160BE">
            <w:pPr>
              <w:spacing w:after="0"/>
              <w:ind w:firstLine="0"/>
              <w:jc w:val="left"/>
              <w:rPr>
                <w:rFonts w:eastAsia="Times New Roman" w:cs="Times New Roman"/>
                <w:sz w:val="18"/>
                <w:szCs w:val="18"/>
              </w:rPr>
            </w:pPr>
            <w:r w:rsidRPr="003160BE">
              <w:rPr>
                <w:rFonts w:eastAsia="Calibri" w:cs="Times New Roman"/>
                <w:sz w:val="18"/>
                <w:szCs w:val="18"/>
                <w:lang w:eastAsia="en-US"/>
              </w:rPr>
              <w:t xml:space="preserve">       ES pensiju shēmai pārskaitītais pensijas kapitāls un obligāto iemaksu nodošana citai dalībvalstij</w:t>
            </w:r>
          </w:p>
        </w:tc>
        <w:tc>
          <w:tcPr>
            <w:tcW w:w="0" w:type="auto"/>
            <w:tcBorders>
              <w:top w:val="single" w:sz="4" w:space="0" w:color="auto"/>
              <w:left w:val="single" w:sz="8" w:space="0" w:color="auto"/>
              <w:bottom w:val="single" w:sz="8" w:space="0" w:color="auto"/>
              <w:right w:val="single" w:sz="4" w:space="0" w:color="auto"/>
            </w:tcBorders>
            <w:noWrap/>
            <w:hideMark/>
          </w:tcPr>
          <w:p w14:paraId="0C428E88"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8" w:space="0" w:color="auto"/>
              <w:right w:val="single" w:sz="4" w:space="0" w:color="auto"/>
            </w:tcBorders>
            <w:noWrap/>
            <w:hideMark/>
          </w:tcPr>
          <w:p w14:paraId="7062B4FF"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8" w:space="0" w:color="auto"/>
              <w:right w:val="single" w:sz="8" w:space="0" w:color="auto"/>
            </w:tcBorders>
            <w:noWrap/>
            <w:hideMark/>
          </w:tcPr>
          <w:p w14:paraId="15C68051"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14 112</w:t>
            </w:r>
          </w:p>
        </w:tc>
        <w:tc>
          <w:tcPr>
            <w:tcW w:w="0" w:type="auto"/>
            <w:tcBorders>
              <w:top w:val="single" w:sz="4" w:space="0" w:color="auto"/>
              <w:left w:val="single" w:sz="8" w:space="0" w:color="auto"/>
              <w:bottom w:val="single" w:sz="8" w:space="0" w:color="auto"/>
              <w:right w:val="single" w:sz="4" w:space="0" w:color="auto"/>
            </w:tcBorders>
            <w:noWrap/>
            <w:hideMark/>
          </w:tcPr>
          <w:p w14:paraId="7B3569A1"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8" w:space="0" w:color="auto"/>
              <w:right w:val="single" w:sz="4" w:space="0" w:color="auto"/>
            </w:tcBorders>
            <w:noWrap/>
            <w:hideMark/>
          </w:tcPr>
          <w:p w14:paraId="4B224D42"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8" w:space="0" w:color="auto"/>
              <w:right w:val="single" w:sz="8" w:space="0" w:color="auto"/>
            </w:tcBorders>
            <w:noWrap/>
            <w:hideMark/>
          </w:tcPr>
          <w:p w14:paraId="7DFABBE8"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13 916</w:t>
            </w:r>
          </w:p>
        </w:tc>
        <w:tc>
          <w:tcPr>
            <w:tcW w:w="0" w:type="auto"/>
            <w:tcBorders>
              <w:top w:val="single" w:sz="4" w:space="0" w:color="auto"/>
              <w:left w:val="single" w:sz="8" w:space="0" w:color="auto"/>
              <w:bottom w:val="single" w:sz="8" w:space="0" w:color="auto"/>
              <w:right w:val="single" w:sz="4" w:space="0" w:color="auto"/>
            </w:tcBorders>
            <w:noWrap/>
            <w:hideMark/>
          </w:tcPr>
          <w:p w14:paraId="1707B8CE"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8" w:space="0" w:color="auto"/>
              <w:right w:val="single" w:sz="4" w:space="0" w:color="auto"/>
            </w:tcBorders>
            <w:noWrap/>
            <w:hideMark/>
          </w:tcPr>
          <w:p w14:paraId="1E4984B0" w14:textId="77777777" w:rsidR="003160BE" w:rsidRPr="003160BE" w:rsidRDefault="003160BE" w:rsidP="003160BE">
            <w:pPr>
              <w:spacing w:after="0"/>
              <w:ind w:firstLine="0"/>
              <w:jc w:val="right"/>
              <w:rPr>
                <w:rFonts w:eastAsia="Times New Roman" w:cs="Times New Roman"/>
                <w:sz w:val="18"/>
                <w:szCs w:val="18"/>
              </w:rPr>
            </w:pPr>
          </w:p>
        </w:tc>
        <w:tc>
          <w:tcPr>
            <w:tcW w:w="0" w:type="auto"/>
            <w:tcBorders>
              <w:top w:val="single" w:sz="4" w:space="0" w:color="auto"/>
              <w:left w:val="nil"/>
              <w:bottom w:val="single" w:sz="8" w:space="0" w:color="auto"/>
              <w:right w:val="single" w:sz="8" w:space="0" w:color="auto"/>
            </w:tcBorders>
            <w:noWrap/>
            <w:hideMark/>
          </w:tcPr>
          <w:p w14:paraId="05742337" w14:textId="77777777" w:rsidR="003160BE" w:rsidRPr="003160BE" w:rsidRDefault="003160BE" w:rsidP="003160BE">
            <w:pPr>
              <w:spacing w:after="0"/>
              <w:ind w:firstLine="0"/>
              <w:jc w:val="right"/>
              <w:rPr>
                <w:rFonts w:eastAsia="Times New Roman" w:cs="Times New Roman"/>
                <w:sz w:val="18"/>
                <w:szCs w:val="18"/>
              </w:rPr>
            </w:pPr>
            <w:r w:rsidRPr="003160BE">
              <w:rPr>
                <w:rFonts w:eastAsia="Calibri" w:cs="Times New Roman"/>
                <w:sz w:val="18"/>
                <w:szCs w:val="18"/>
                <w:lang w:eastAsia="en-US"/>
              </w:rPr>
              <w:t>13 853</w:t>
            </w:r>
          </w:p>
        </w:tc>
      </w:tr>
      <w:tr w:rsidR="003160BE" w:rsidRPr="003160BE" w14:paraId="2A780905" w14:textId="77777777" w:rsidTr="0052209F">
        <w:trPr>
          <w:trHeight w:val="20"/>
          <w:jc w:val="center"/>
        </w:trPr>
        <w:tc>
          <w:tcPr>
            <w:tcW w:w="0" w:type="auto"/>
            <w:tcBorders>
              <w:top w:val="single" w:sz="8" w:space="0" w:color="auto"/>
              <w:left w:val="single" w:sz="8" w:space="0" w:color="auto"/>
              <w:bottom w:val="single" w:sz="8" w:space="0" w:color="auto"/>
              <w:right w:val="single" w:sz="8" w:space="0" w:color="auto"/>
            </w:tcBorders>
          </w:tcPr>
          <w:p w14:paraId="3189168A"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KOPĀ</w:t>
            </w:r>
          </w:p>
        </w:tc>
        <w:tc>
          <w:tcPr>
            <w:tcW w:w="0" w:type="auto"/>
            <w:tcBorders>
              <w:top w:val="single" w:sz="8" w:space="0" w:color="auto"/>
              <w:left w:val="single" w:sz="8" w:space="0" w:color="auto"/>
              <w:bottom w:val="single" w:sz="8" w:space="0" w:color="auto"/>
              <w:right w:val="single" w:sz="8" w:space="0" w:color="auto"/>
            </w:tcBorders>
            <w:noWrap/>
          </w:tcPr>
          <w:p w14:paraId="73326BE5"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0" w:type="auto"/>
            <w:tcBorders>
              <w:top w:val="single" w:sz="8" w:space="0" w:color="auto"/>
              <w:left w:val="single" w:sz="8" w:space="0" w:color="auto"/>
              <w:bottom w:val="single" w:sz="8" w:space="0" w:color="auto"/>
              <w:right w:val="single" w:sz="8" w:space="0" w:color="auto"/>
            </w:tcBorders>
            <w:noWrap/>
          </w:tcPr>
          <w:p w14:paraId="70622022"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0" w:type="auto"/>
            <w:tcBorders>
              <w:top w:val="single" w:sz="8" w:space="0" w:color="auto"/>
              <w:left w:val="single" w:sz="8" w:space="0" w:color="auto"/>
              <w:bottom w:val="single" w:sz="8" w:space="0" w:color="auto"/>
              <w:right w:val="single" w:sz="8" w:space="0" w:color="auto"/>
            </w:tcBorders>
            <w:noWrap/>
          </w:tcPr>
          <w:p w14:paraId="7F77A093"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5 034 535 347</w:t>
            </w:r>
          </w:p>
        </w:tc>
        <w:tc>
          <w:tcPr>
            <w:tcW w:w="0" w:type="auto"/>
            <w:tcBorders>
              <w:top w:val="single" w:sz="8" w:space="0" w:color="auto"/>
              <w:left w:val="single" w:sz="8" w:space="0" w:color="auto"/>
              <w:bottom w:val="single" w:sz="8" w:space="0" w:color="auto"/>
              <w:right w:val="single" w:sz="8" w:space="0" w:color="auto"/>
            </w:tcBorders>
            <w:noWrap/>
          </w:tcPr>
          <w:p w14:paraId="2B581AB8"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0" w:type="auto"/>
            <w:tcBorders>
              <w:top w:val="single" w:sz="8" w:space="0" w:color="auto"/>
              <w:left w:val="single" w:sz="8" w:space="0" w:color="auto"/>
              <w:bottom w:val="single" w:sz="8" w:space="0" w:color="auto"/>
              <w:right w:val="single" w:sz="8" w:space="0" w:color="auto"/>
            </w:tcBorders>
            <w:noWrap/>
          </w:tcPr>
          <w:p w14:paraId="6E05CD4C"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0" w:type="auto"/>
            <w:tcBorders>
              <w:top w:val="single" w:sz="8" w:space="0" w:color="auto"/>
              <w:left w:val="single" w:sz="8" w:space="0" w:color="auto"/>
              <w:bottom w:val="single" w:sz="8" w:space="0" w:color="auto"/>
              <w:right w:val="single" w:sz="8" w:space="0" w:color="auto"/>
            </w:tcBorders>
            <w:noWrap/>
          </w:tcPr>
          <w:p w14:paraId="6FA1CF3F"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5 416 636 000</w:t>
            </w:r>
          </w:p>
        </w:tc>
        <w:tc>
          <w:tcPr>
            <w:tcW w:w="0" w:type="auto"/>
            <w:tcBorders>
              <w:top w:val="single" w:sz="8" w:space="0" w:color="auto"/>
              <w:left w:val="single" w:sz="8" w:space="0" w:color="auto"/>
              <w:bottom w:val="single" w:sz="8" w:space="0" w:color="auto"/>
              <w:right w:val="single" w:sz="8" w:space="0" w:color="auto"/>
            </w:tcBorders>
            <w:noWrap/>
          </w:tcPr>
          <w:p w14:paraId="2D98A0CB"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0" w:type="auto"/>
            <w:tcBorders>
              <w:top w:val="single" w:sz="8" w:space="0" w:color="auto"/>
              <w:left w:val="single" w:sz="8" w:space="0" w:color="auto"/>
              <w:bottom w:val="single" w:sz="8" w:space="0" w:color="auto"/>
              <w:right w:val="single" w:sz="8" w:space="0" w:color="auto"/>
            </w:tcBorders>
            <w:noWrap/>
          </w:tcPr>
          <w:p w14:paraId="535D5DCB" w14:textId="77777777" w:rsidR="003160BE" w:rsidRPr="003160BE" w:rsidRDefault="003160BE" w:rsidP="003160BE">
            <w:pPr>
              <w:spacing w:after="0"/>
              <w:ind w:firstLine="0"/>
              <w:jc w:val="center"/>
              <w:rPr>
                <w:rFonts w:eastAsia="Times New Roman" w:cs="Times New Roman"/>
                <w:b/>
                <w:bCs/>
                <w:sz w:val="18"/>
                <w:szCs w:val="18"/>
              </w:rPr>
            </w:pPr>
            <w:r w:rsidRPr="003160BE">
              <w:rPr>
                <w:rFonts w:eastAsia="Calibri" w:cs="Times New Roman"/>
                <w:b/>
                <w:bCs/>
                <w:sz w:val="18"/>
                <w:szCs w:val="18"/>
                <w:lang w:eastAsia="en-US"/>
              </w:rPr>
              <w:t>x</w:t>
            </w:r>
          </w:p>
        </w:tc>
        <w:tc>
          <w:tcPr>
            <w:tcW w:w="0" w:type="auto"/>
            <w:tcBorders>
              <w:top w:val="single" w:sz="8" w:space="0" w:color="auto"/>
              <w:left w:val="single" w:sz="8" w:space="0" w:color="auto"/>
              <w:bottom w:val="single" w:sz="8" w:space="0" w:color="auto"/>
              <w:right w:val="single" w:sz="8" w:space="0" w:color="auto"/>
            </w:tcBorders>
            <w:noWrap/>
          </w:tcPr>
          <w:p w14:paraId="3FE40A9D" w14:textId="77777777" w:rsidR="003160BE" w:rsidRPr="003160BE" w:rsidRDefault="003160BE" w:rsidP="003160BE">
            <w:pPr>
              <w:spacing w:after="0"/>
              <w:ind w:firstLine="0"/>
              <w:jc w:val="right"/>
              <w:rPr>
                <w:rFonts w:eastAsia="Times New Roman" w:cs="Times New Roman"/>
                <w:b/>
                <w:bCs/>
                <w:sz w:val="18"/>
                <w:szCs w:val="18"/>
              </w:rPr>
            </w:pPr>
            <w:r w:rsidRPr="003160BE">
              <w:rPr>
                <w:rFonts w:eastAsia="Calibri" w:cs="Times New Roman"/>
                <w:b/>
                <w:bCs/>
                <w:sz w:val="18"/>
                <w:szCs w:val="18"/>
                <w:lang w:eastAsia="en-US"/>
              </w:rPr>
              <w:t>5 781 581 082</w:t>
            </w:r>
          </w:p>
        </w:tc>
      </w:tr>
    </w:tbl>
    <w:p w14:paraId="55619D5B" w14:textId="77777777" w:rsidR="003160BE" w:rsidRPr="003160BE" w:rsidRDefault="003160BE" w:rsidP="003160BE">
      <w:pPr>
        <w:widowControl w:val="0"/>
        <w:spacing w:before="120"/>
        <w:ind w:firstLine="0"/>
        <w:rPr>
          <w:rFonts w:eastAsia="Calibri" w:cs="Times New Roman"/>
          <w:i/>
          <w:sz w:val="20"/>
        </w:rPr>
      </w:pPr>
      <w:r w:rsidRPr="003160BE">
        <w:rPr>
          <w:rFonts w:eastAsia="Calibri" w:cs="Times New Roman"/>
          <w:i/>
          <w:sz w:val="20"/>
        </w:rPr>
        <w:t>Datu avots: FM</w:t>
      </w:r>
    </w:p>
    <w:p w14:paraId="3496CBDB" w14:textId="022ECAC3" w:rsidR="00407269" w:rsidRPr="00D8017D" w:rsidRDefault="00407269" w:rsidP="003160BE">
      <w:pPr>
        <w:widowControl w:val="0"/>
        <w:ind w:firstLine="0"/>
        <w:jc w:val="left"/>
        <w:rPr>
          <w:rFonts w:eastAsia="Calibri" w:cs="Times New Roman"/>
          <w:i/>
          <w:sz w:val="20"/>
          <w:highlight w:val="lightGray"/>
        </w:rPr>
      </w:pPr>
    </w:p>
    <w:sectPr w:rsidR="00407269" w:rsidRPr="00D8017D" w:rsidSect="003347CE">
      <w:pgSz w:w="16838" w:h="11906" w:orient="landscape" w:code="9"/>
      <w:pgMar w:top="1418"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6045F6" w14:textId="77777777" w:rsidR="0009452B" w:rsidRDefault="0009452B" w:rsidP="00383CEF">
      <w:r>
        <w:separator/>
      </w:r>
    </w:p>
  </w:endnote>
  <w:endnote w:type="continuationSeparator" w:id="0">
    <w:p w14:paraId="72799A92" w14:textId="77777777" w:rsidR="0009452B" w:rsidRDefault="0009452B" w:rsidP="00383C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Garamond">
    <w:panose1 w:val="02020404030301010803"/>
    <w:charset w:val="BA"/>
    <w:family w:val="roman"/>
    <w:pitch w:val="variable"/>
    <w:sig w:usb0="00000287" w:usb1="00000000" w:usb2="00000000" w:usb3="00000000" w:csb0="0000009F" w:csb1="00000000"/>
  </w:font>
  <w:font w:name="Aptos Narrow">
    <w:charset w:val="00"/>
    <w:family w:val="swiss"/>
    <w:pitch w:val="variable"/>
    <w:sig w:usb0="20000287" w:usb1="00000003" w:usb2="00000000" w:usb3="00000000" w:csb0="0000019F" w:csb1="00000000"/>
  </w:font>
  <w:font w:name="Consolas">
    <w:panose1 w:val="020B0609020204030204"/>
    <w:charset w:val="BA"/>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8144B" w14:textId="0CB5FD39" w:rsidR="00E67A69" w:rsidRPr="009B278A" w:rsidRDefault="00E67A69" w:rsidP="009B278A">
    <w:pPr>
      <w:pStyle w:val="Footer"/>
      <w:ind w:firstLine="0"/>
      <w:rPr>
        <w:sz w:val="22"/>
        <w:szCs w:val="20"/>
      </w:rPr>
    </w:pPr>
    <w:r w:rsidRPr="009B278A">
      <w:rPr>
        <w:sz w:val="22"/>
        <w:szCs w:val="20"/>
      </w:rPr>
      <w:t>FMPask_1-4_</w:t>
    </w:r>
    <w:r w:rsidR="001A6386">
      <w:rPr>
        <w:sz w:val="22"/>
        <w:szCs w:val="20"/>
      </w:rPr>
      <w:t>14</w:t>
    </w:r>
    <w:r w:rsidRPr="009B278A">
      <w:rPr>
        <w:sz w:val="22"/>
        <w:szCs w:val="20"/>
      </w:rPr>
      <w:t>102</w:t>
    </w:r>
    <w:r>
      <w:rPr>
        <w:sz w:val="22"/>
        <w:szCs w:val="20"/>
      </w:rPr>
      <w:t>5</w:t>
    </w:r>
    <w:r w:rsidRPr="009B278A">
      <w:rPr>
        <w:sz w:val="22"/>
        <w:szCs w:val="20"/>
      </w:rPr>
      <w:t>_proj202</w:t>
    </w:r>
    <w:r>
      <w:rPr>
        <w:sz w:val="22"/>
        <w:szCs w:val="20"/>
      </w:rPr>
      <w:t>6</w:t>
    </w:r>
    <w:r w:rsidRPr="009B278A">
      <w:rPr>
        <w:sz w:val="22"/>
        <w:szCs w:val="20"/>
      </w:rPr>
      <w:t>.docx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32B5C" w14:textId="77777777" w:rsidR="00E67A69" w:rsidRPr="009B278A" w:rsidRDefault="00E67A69" w:rsidP="009B278A">
    <w:pPr>
      <w:pStyle w:val="Footer"/>
      <w:ind w:firstLine="0"/>
      <w:rPr>
        <w:sz w:val="22"/>
        <w:szCs w:val="20"/>
      </w:rPr>
    </w:pPr>
    <w:r w:rsidRPr="009B278A">
      <w:rPr>
        <w:sz w:val="22"/>
        <w:szCs w:val="20"/>
      </w:rPr>
      <w:t>FMPask_1-4_141024_proj2025.docx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8375A" w14:textId="3510941F" w:rsidR="00A84C7F" w:rsidRPr="009B278A" w:rsidRDefault="00A84C7F" w:rsidP="009B278A">
    <w:pPr>
      <w:pStyle w:val="Footer"/>
      <w:ind w:firstLine="0"/>
      <w:rPr>
        <w:sz w:val="22"/>
        <w:szCs w:val="20"/>
      </w:rPr>
    </w:pPr>
    <w:r w:rsidRPr="009B278A">
      <w:rPr>
        <w:sz w:val="22"/>
        <w:szCs w:val="20"/>
      </w:rPr>
      <w:t>FMPask_1-4_</w:t>
    </w:r>
    <w:r w:rsidR="001A6386">
      <w:rPr>
        <w:sz w:val="22"/>
        <w:szCs w:val="20"/>
      </w:rPr>
      <w:t>14</w:t>
    </w:r>
    <w:r w:rsidRPr="009B278A">
      <w:rPr>
        <w:sz w:val="22"/>
        <w:szCs w:val="20"/>
      </w:rPr>
      <w:t>102</w:t>
    </w:r>
    <w:r>
      <w:rPr>
        <w:sz w:val="22"/>
        <w:szCs w:val="20"/>
      </w:rPr>
      <w:t>5</w:t>
    </w:r>
    <w:r w:rsidRPr="009B278A">
      <w:rPr>
        <w:sz w:val="22"/>
        <w:szCs w:val="20"/>
      </w:rPr>
      <w:t>_proj202</w:t>
    </w:r>
    <w:r>
      <w:rPr>
        <w:sz w:val="22"/>
        <w:szCs w:val="20"/>
      </w:rPr>
      <w:t>6</w:t>
    </w:r>
    <w:r w:rsidRPr="009B278A">
      <w:rPr>
        <w:sz w:val="22"/>
        <w:szCs w:val="20"/>
      </w:rPr>
      <w:t>.docx</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694DC" w14:textId="77777777" w:rsidR="00A84C7F" w:rsidRPr="009B278A" w:rsidRDefault="00A84C7F" w:rsidP="009B278A">
    <w:pPr>
      <w:pStyle w:val="Footer"/>
      <w:ind w:firstLine="0"/>
      <w:rPr>
        <w:sz w:val="22"/>
        <w:szCs w:val="20"/>
      </w:rPr>
    </w:pPr>
    <w:r w:rsidRPr="009B278A">
      <w:rPr>
        <w:sz w:val="22"/>
        <w:szCs w:val="20"/>
      </w:rPr>
      <w:t>FMPask_1-4_141024_proj2025.docx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6FF0F9" w14:textId="77777777" w:rsidR="0009452B" w:rsidRDefault="0009452B" w:rsidP="00383CEF">
      <w:r>
        <w:separator/>
      </w:r>
    </w:p>
  </w:footnote>
  <w:footnote w:type="continuationSeparator" w:id="0">
    <w:p w14:paraId="3B1F8D1A" w14:textId="77777777" w:rsidR="0009452B" w:rsidRDefault="0009452B" w:rsidP="00383CEF">
      <w:r>
        <w:continuationSeparator/>
      </w:r>
    </w:p>
  </w:footnote>
  <w:footnote w:id="1">
    <w:p w14:paraId="3E9B5D63" w14:textId="73DD5053" w:rsidR="0070161D" w:rsidRPr="00BA7FA7" w:rsidRDefault="0070161D" w:rsidP="0070161D">
      <w:pPr>
        <w:pStyle w:val="FootnoteText"/>
        <w:tabs>
          <w:tab w:val="left" w:pos="7185"/>
        </w:tabs>
        <w:ind w:firstLine="0"/>
        <w:rPr>
          <w:rFonts w:cs="Times New Roman"/>
        </w:rPr>
      </w:pPr>
      <w:r w:rsidRPr="000110A6">
        <w:rPr>
          <w:rStyle w:val="FootnoteReference"/>
          <w:rFonts w:cs="Times New Roman"/>
        </w:rPr>
        <w:footnoteRef/>
      </w:r>
      <w:r w:rsidRPr="000110A6">
        <w:rPr>
          <w:rFonts w:cs="Times New Roman"/>
        </w:rPr>
        <w:t xml:space="preserve"> </w:t>
      </w:r>
      <w:r w:rsidRPr="00075ABF">
        <w:rPr>
          <w:rFonts w:cs="Times New Roman"/>
        </w:rPr>
        <w:t xml:space="preserve">Datu avoti: </w:t>
      </w:r>
      <w:r w:rsidR="005E58FF" w:rsidRPr="005E58FF">
        <w:rPr>
          <w:rFonts w:cs="Times New Roman"/>
        </w:rPr>
        <w:t xml:space="preserve">Ja nav norādīts citādi – Centrālā statistiskas pārvalde </w:t>
      </w:r>
      <w:r w:rsidR="005E58FF">
        <w:rPr>
          <w:rFonts w:cs="Times New Roman"/>
        </w:rPr>
        <w:t>(CSP)</w:t>
      </w:r>
      <w:r w:rsidR="005E58FF" w:rsidRPr="00075ABF">
        <w:rPr>
          <w:rFonts w:cs="Times New Roman"/>
        </w:rPr>
        <w:t xml:space="preserve"> </w:t>
      </w:r>
      <w:r w:rsidR="005E58FF" w:rsidRPr="005E58FF">
        <w:rPr>
          <w:rFonts w:cs="Times New Roman"/>
        </w:rPr>
        <w:t>un Finanšu ministrijas</w:t>
      </w:r>
      <w:r w:rsidR="005E58FF">
        <w:rPr>
          <w:rFonts w:cs="Times New Roman"/>
        </w:rPr>
        <w:t xml:space="preserve"> (FM)</w:t>
      </w:r>
      <w:r w:rsidR="005E58FF" w:rsidRPr="005E58FF">
        <w:rPr>
          <w:rFonts w:cs="Times New Roman"/>
        </w:rPr>
        <w:t xml:space="preserve"> prognozes. Dati atbilstoši Centrālās statistikas datu bāzēs pieejamajai informācijai līdz 22.09.2025.</w:t>
      </w:r>
    </w:p>
  </w:footnote>
  <w:footnote w:id="2">
    <w:p w14:paraId="19478021" w14:textId="77777777" w:rsidR="0097575B" w:rsidRDefault="0097575B" w:rsidP="0059188E">
      <w:pPr>
        <w:pStyle w:val="FootnoteText"/>
        <w:spacing w:after="0"/>
        <w:ind w:firstLine="0"/>
      </w:pPr>
      <w:r w:rsidRPr="00315EC9">
        <w:rPr>
          <w:rStyle w:val="FootnoteReference"/>
        </w:rPr>
        <w:footnoteRef/>
      </w:r>
      <w:r>
        <w:t xml:space="preserve"> Datu avots: CSP, FM aprēķini </w:t>
      </w:r>
    </w:p>
  </w:footnote>
  <w:footnote w:id="3">
    <w:p w14:paraId="670B2BC2" w14:textId="77777777" w:rsidR="0097575B" w:rsidRDefault="0097575B" w:rsidP="0059188E">
      <w:pPr>
        <w:pStyle w:val="FootnoteText"/>
        <w:spacing w:after="0"/>
        <w:ind w:firstLine="0"/>
      </w:pPr>
      <w:r w:rsidRPr="00315EC9">
        <w:rPr>
          <w:rStyle w:val="FootnoteReference"/>
        </w:rPr>
        <w:footnoteRef/>
      </w:r>
      <w:r>
        <w:t xml:space="preserve"> Datu avots: CSP, FM aprēķini </w:t>
      </w:r>
    </w:p>
  </w:footnote>
  <w:footnote w:id="4">
    <w:p w14:paraId="1BE088EA" w14:textId="77777777" w:rsidR="00510AA8" w:rsidRPr="00164009" w:rsidRDefault="00510AA8" w:rsidP="0059188E">
      <w:pPr>
        <w:pStyle w:val="FootnoteText"/>
        <w:ind w:firstLine="0"/>
      </w:pPr>
      <w:r w:rsidRPr="00164009">
        <w:rPr>
          <w:rStyle w:val="FootnoteReference"/>
        </w:rPr>
        <w:footnoteRef/>
      </w:r>
      <w:r w:rsidRPr="00164009">
        <w:t xml:space="preserve"> Nominālās vienības darbaspēka izmaksas (</w:t>
      </w:r>
      <w:r w:rsidRPr="0053551D">
        <w:rPr>
          <w:i/>
        </w:rPr>
        <w:t>Nominal Unit Labour Costs</w:t>
      </w:r>
      <w:r w:rsidRPr="00164009">
        <w:t>) mēra vidējās darbaspēka izmaksas uz vienu saražoto produkcijas vienību</w:t>
      </w:r>
      <w:r>
        <w:t>.</w:t>
      </w:r>
    </w:p>
  </w:footnote>
  <w:footnote w:id="5">
    <w:p w14:paraId="79CC182C" w14:textId="50FBE5C8" w:rsidR="004D7C5A" w:rsidRDefault="004D7C5A" w:rsidP="004D7C5A">
      <w:pPr>
        <w:pStyle w:val="FootnoteText"/>
        <w:ind w:firstLine="0"/>
      </w:pPr>
      <w:r>
        <w:rPr>
          <w:rStyle w:val="FootnoteReference"/>
        </w:rPr>
        <w:footnoteRef/>
      </w:r>
      <w:r>
        <w:t xml:space="preserve"> Šajā sadaļā norādītā informācija neņem vērā 2025. gada </w:t>
      </w:r>
      <w:r w:rsidRPr="004D7C5A">
        <w:t>30. septembrī CSP</w:t>
      </w:r>
      <w:r>
        <w:t xml:space="preserve"> </w:t>
      </w:r>
      <w:r w:rsidRPr="004D7C5A">
        <w:t>publicē</w:t>
      </w:r>
      <w:r>
        <w:t>tos</w:t>
      </w:r>
      <w:r w:rsidRPr="004D7C5A">
        <w:t xml:space="preserve"> revidēt</w:t>
      </w:r>
      <w:r>
        <w:t>o</w:t>
      </w:r>
      <w:r w:rsidRPr="004D7C5A">
        <w:t>s nacionālo kontu datus</w:t>
      </w:r>
    </w:p>
  </w:footnote>
  <w:footnote w:id="6">
    <w:p w14:paraId="43BC3FD4" w14:textId="77777777" w:rsidR="000C4293" w:rsidRDefault="000C4293" w:rsidP="00D435C7">
      <w:pPr>
        <w:pStyle w:val="FootnoteText"/>
        <w:ind w:firstLine="0"/>
      </w:pPr>
      <w:r>
        <w:rPr>
          <w:rStyle w:val="FootnoteReference"/>
        </w:rPr>
        <w:footnoteRef/>
      </w:r>
      <w:r>
        <w:t xml:space="preserve"> </w:t>
      </w:r>
      <w:r w:rsidRPr="0029168E">
        <w:t>Procentu likme bāzes scenārijā.</w:t>
      </w:r>
    </w:p>
  </w:footnote>
  <w:footnote w:id="7">
    <w:p w14:paraId="7ADF8ADA" w14:textId="77777777" w:rsidR="000B6235" w:rsidRDefault="000B6235" w:rsidP="000B6235">
      <w:pPr>
        <w:pStyle w:val="FootnoteText"/>
        <w:spacing w:after="0"/>
        <w:ind w:firstLine="0"/>
      </w:pPr>
      <w:r>
        <w:rPr>
          <w:rStyle w:val="FootnoteReference"/>
        </w:rPr>
        <w:footnoteRef/>
      </w:r>
      <w:r>
        <w:t xml:space="preserve"> </w:t>
      </w:r>
      <w:r w:rsidRPr="0029168E">
        <w:t>Procentu likme</w:t>
      </w:r>
      <w:r>
        <w:t xml:space="preserve"> </w:t>
      </w:r>
      <w:r w:rsidRPr="0029168E">
        <w:t>bāzes scenārijā.</w:t>
      </w:r>
    </w:p>
  </w:footnote>
  <w:footnote w:id="8">
    <w:p w14:paraId="79D9BCAD" w14:textId="17134414" w:rsidR="00CD52D7" w:rsidRDefault="00CD52D7" w:rsidP="000B6235">
      <w:pPr>
        <w:pStyle w:val="FootnoteText"/>
        <w:spacing w:after="0"/>
        <w:ind w:firstLine="0"/>
      </w:pPr>
      <w:r>
        <w:rPr>
          <w:rStyle w:val="FootnoteReference"/>
        </w:rPr>
        <w:footnoteRef/>
      </w:r>
      <w:r>
        <w:t xml:space="preserve"> </w:t>
      </w:r>
      <w:r w:rsidRPr="00CD52D7">
        <w:t>Šajā sadaļā norādītā informācija neņem vērā 2025. gada 30. septembrī CSP publicētos revidētos nacionālo kontu datus</w:t>
      </w:r>
    </w:p>
  </w:footnote>
  <w:footnote w:id="9">
    <w:p w14:paraId="59FC27EC" w14:textId="77777777" w:rsidR="001F086B" w:rsidRPr="00047A9E" w:rsidRDefault="001F086B" w:rsidP="00BA2237">
      <w:pPr>
        <w:pStyle w:val="FootnoteText"/>
        <w:ind w:firstLine="0"/>
      </w:pPr>
      <w:r w:rsidRPr="00047A9E">
        <w:rPr>
          <w:rStyle w:val="FootnoteReference"/>
        </w:rPr>
        <w:footnoteRef/>
      </w:r>
      <w:r w:rsidRPr="00047A9E">
        <w:t xml:space="preserve"> Tabulā ir atspoguļotas attiecīgā gada prognozes, kas izstrādātas vienu gadu iepriekš (T-1). Piemēram, 2021. gada prognozes ir izstrādātas 2020. gadā. FM prognozes ir attiecīgā gada budžeta prognozes, kas izstrādātas iepriekšējā gada jūnijā, izņemot 2011. un 2012., 2015., kā arī 2018. un 2023. gada budžetus, kad iepriekšējā gada rudenī notika Saeimas vēlēšanas un prognozes tika sagatavotas vēlāk rudenī/ziemā. OECD, SVF un EK prognozes ir minēto institūciju tekošajā gadā publicētās jaunākās (līdz attiecīgā gada jūnijam) prognozes par nākošo gadu.</w:t>
      </w:r>
    </w:p>
  </w:footnote>
  <w:footnote w:id="10">
    <w:p w14:paraId="393CEC56" w14:textId="77777777" w:rsidR="00B63F57" w:rsidRPr="00047A9E" w:rsidRDefault="00B63F57" w:rsidP="00B63F57">
      <w:pPr>
        <w:pStyle w:val="FootnoteText"/>
        <w:spacing w:after="0"/>
        <w:ind w:firstLine="0"/>
        <w:rPr>
          <w:noProof/>
          <w:color w:val="000000" w:themeColor="text1"/>
        </w:rPr>
      </w:pPr>
      <w:r w:rsidRPr="00047A9E">
        <w:rPr>
          <w:rStyle w:val="FootnoteReference"/>
          <w:color w:val="000000" w:themeColor="text1"/>
        </w:rPr>
        <w:footnoteRef/>
      </w:r>
      <w:r w:rsidRPr="00047A9E">
        <w:rPr>
          <w:color w:val="000000" w:themeColor="text1"/>
        </w:rPr>
        <w:t xml:space="preserve"> </w:t>
      </w:r>
      <w:r w:rsidRPr="00047A9E">
        <w:rPr>
          <w:noProof/>
          <w:color w:val="000000" w:themeColor="text1"/>
        </w:rPr>
        <w:t>Eiropas Parlamenta un Padomes Regula (ES) 2024/1263 (2024. gada 29. aprīlis) par ekonomikas politikas efektīvu koordināciju un budžeta daudzpusēju uzraudzību un ar ko atceļ Padomes Regulu (EK) Nr. 1466/97.</w:t>
      </w:r>
    </w:p>
    <w:p w14:paraId="71437808" w14:textId="77777777" w:rsidR="00B63F57" w:rsidRPr="00047A9E" w:rsidRDefault="00B63F57" w:rsidP="00B63F57">
      <w:pPr>
        <w:pStyle w:val="FootnoteText"/>
        <w:spacing w:after="0"/>
        <w:ind w:firstLine="0"/>
        <w:rPr>
          <w:noProof/>
          <w:color w:val="000000" w:themeColor="text1"/>
        </w:rPr>
      </w:pPr>
      <w:r w:rsidRPr="00047A9E">
        <w:rPr>
          <w:noProof/>
          <w:color w:val="000000" w:themeColor="text1"/>
        </w:rPr>
        <w:t>Padomes Regula (ES) 2024/1264 (2024. gada 29. aprīlis), ar ko groza Regulu (EK) Nr. 1467/97 par to, kā paātrināt un precizēt pārmērīga budžeta deficīta novēršanas procedūras īstenošanu.</w:t>
      </w:r>
    </w:p>
    <w:p w14:paraId="4460AE1D" w14:textId="77777777" w:rsidR="00B63F57" w:rsidRPr="00047A9E" w:rsidRDefault="00B63F57" w:rsidP="00B63F57">
      <w:pPr>
        <w:pStyle w:val="FootnoteText"/>
        <w:spacing w:after="0"/>
        <w:ind w:firstLine="0"/>
        <w:rPr>
          <w:noProof/>
          <w:color w:val="000000" w:themeColor="text1"/>
        </w:rPr>
      </w:pPr>
      <w:r w:rsidRPr="00047A9E">
        <w:rPr>
          <w:noProof/>
          <w:color w:val="000000" w:themeColor="text1"/>
        </w:rPr>
        <w:t>Padomes Direktīva (ES) 2024/1265 (2024. gada 29. aprīlis), ar ko groza Direktīvu 2011/85/ES par prasībām dalībvalstu budžeta struktūrām.</w:t>
      </w:r>
    </w:p>
  </w:footnote>
  <w:footnote w:id="11">
    <w:p w14:paraId="4C0454E4" w14:textId="77777777" w:rsidR="00B63F57" w:rsidRPr="00047A9E" w:rsidRDefault="00B63F57" w:rsidP="00B63F57">
      <w:pPr>
        <w:pStyle w:val="FootnoteText"/>
        <w:spacing w:after="0"/>
        <w:ind w:firstLine="0"/>
        <w:rPr>
          <w:noProof/>
          <w:color w:val="000000" w:themeColor="text1"/>
        </w:rPr>
      </w:pPr>
      <w:r w:rsidRPr="00047A9E">
        <w:rPr>
          <w:rStyle w:val="FootnoteReference"/>
          <w:noProof/>
          <w:color w:val="000000" w:themeColor="text1"/>
        </w:rPr>
        <w:footnoteRef/>
      </w:r>
      <w:r w:rsidRPr="00047A9E">
        <w:rPr>
          <w:noProof/>
          <w:color w:val="000000" w:themeColor="text1"/>
        </w:rPr>
        <w:t xml:space="preserve"> ES Padomes ieteikums ar ko apstiprina Latvijas vidējā termiņa FSP pieejams: </w:t>
      </w:r>
      <w:hyperlink r:id="rId1" w:history="1">
        <w:r w:rsidRPr="00D435C7">
          <w:rPr>
            <w:rStyle w:val="Hyperlink"/>
          </w:rPr>
          <w:t>https://eur-lex.europa.eu/legal-content/LV/TXT/HTML/?uri=OJ:C_202500652</w:t>
        </w:r>
      </w:hyperlink>
    </w:p>
  </w:footnote>
  <w:footnote w:id="12">
    <w:p w14:paraId="5D399E2C" w14:textId="77777777" w:rsidR="00B63F57" w:rsidRPr="00047A9E" w:rsidRDefault="00B63F57" w:rsidP="00B63F57">
      <w:pPr>
        <w:pStyle w:val="FootnoteText"/>
        <w:spacing w:after="0"/>
        <w:ind w:firstLine="0"/>
        <w:rPr>
          <w:noProof/>
          <w:color w:val="000000" w:themeColor="text1"/>
        </w:rPr>
      </w:pPr>
      <w:r w:rsidRPr="00047A9E">
        <w:rPr>
          <w:rStyle w:val="FootnoteReference"/>
          <w:noProof/>
          <w:color w:val="000000" w:themeColor="text1"/>
        </w:rPr>
        <w:footnoteRef/>
      </w:r>
      <w:r w:rsidRPr="00047A9E">
        <w:rPr>
          <w:noProof/>
          <w:color w:val="000000" w:themeColor="text1"/>
        </w:rPr>
        <w:t xml:space="preserve"> Izdevumi, no kuriem izslēgtas vairākas pozīcijas – procentu izdevumi, diskrecionārie ieņēmumi pasākumi (valdības apstiprinātās izmaiņas nodokļos, nenodokļos, maksas pakalpojumos un citos pašu ieņēmumos), izdevumi par ES fondu programmām un valsts līdzfinansējums ES fondu programmām, kā arī bezdarbnieku pabalstu izdevumu cikliskie elementi.</w:t>
      </w:r>
    </w:p>
  </w:footnote>
  <w:footnote w:id="13">
    <w:p w14:paraId="724B3893" w14:textId="77777777" w:rsidR="00261A0E" w:rsidRPr="00DA1615" w:rsidRDefault="00261A0E" w:rsidP="00261A0E">
      <w:pPr>
        <w:pStyle w:val="FootnoteText"/>
        <w:spacing w:after="0"/>
        <w:ind w:firstLine="0"/>
        <w:rPr>
          <w:noProof/>
          <w:color w:val="000000" w:themeColor="text1"/>
          <w:sz w:val="18"/>
          <w:szCs w:val="18"/>
        </w:rPr>
      </w:pPr>
      <w:r w:rsidRPr="00047A9E">
        <w:rPr>
          <w:noProof/>
          <w:color w:val="000000" w:themeColor="text1"/>
          <w:vertAlign w:val="superscript"/>
        </w:rPr>
        <w:footnoteRef/>
      </w:r>
      <w:r w:rsidRPr="00047A9E">
        <w:rPr>
          <w:noProof/>
          <w:color w:val="000000" w:themeColor="text1"/>
        </w:rPr>
        <w:t xml:space="preserve"> Brussels, 4.6.2025 COM(2025) 610 final, </w:t>
      </w:r>
      <w:r w:rsidRPr="00D435C7">
        <w:rPr>
          <w:rStyle w:val="Hyperlink"/>
        </w:rPr>
        <w:t>https://data.consilium.europa.eu/doc/document/ST-10474-2025-INIT/lv/pdf</w:t>
      </w:r>
    </w:p>
  </w:footnote>
  <w:footnote w:id="14">
    <w:p w14:paraId="388952F7" w14:textId="77777777" w:rsidR="00B74B06" w:rsidRDefault="00B74B06" w:rsidP="00B74B06">
      <w:pPr>
        <w:pStyle w:val="FootnoteText"/>
        <w:spacing w:after="0"/>
        <w:ind w:firstLine="0"/>
      </w:pPr>
      <w:r w:rsidRPr="00047A9E">
        <w:rPr>
          <w:rStyle w:val="FootnoteReference"/>
        </w:rPr>
        <w:footnoteRef/>
      </w:r>
      <w:r w:rsidRPr="00047A9E">
        <w:t xml:space="preserve"> </w:t>
      </w:r>
      <w:r w:rsidRPr="00047A9E">
        <w:rPr>
          <w:rFonts w:cs="Times New Roman"/>
        </w:rPr>
        <w:t>Informatīvais ziņojums „Par makroekonomisko rādītāju, ieņēmumu un vispārējās valdības budžeta bilances prognozēm 2026., 2027., 2028. un 2029. gadā”, pieejams:</w:t>
      </w:r>
      <w:r w:rsidRPr="00047A9E">
        <w:t xml:space="preserve"> </w:t>
      </w:r>
      <w:hyperlink r:id="rId2" w:history="1">
        <w:r w:rsidRPr="00047A9E">
          <w:rPr>
            <w:rStyle w:val="Hyperlink"/>
          </w:rPr>
          <w:t>https://tapportals.mk.gov.lv/legal_acts/1b22acf1-7d8a-413f-95b0-5e23c60029bc</w:t>
        </w:r>
      </w:hyperlink>
    </w:p>
  </w:footnote>
  <w:footnote w:id="15">
    <w:p w14:paraId="20AE7CA5" w14:textId="77777777" w:rsidR="00261A0E" w:rsidRPr="00047A9E" w:rsidRDefault="00261A0E" w:rsidP="004F7ED2">
      <w:pPr>
        <w:pStyle w:val="FootnoteText"/>
        <w:spacing w:after="0"/>
        <w:ind w:firstLine="0"/>
      </w:pPr>
      <w:r w:rsidRPr="00047A9E">
        <w:rPr>
          <w:rStyle w:val="FootnoteReference"/>
        </w:rPr>
        <w:footnoteRef/>
      </w:r>
      <w:r w:rsidRPr="00047A9E">
        <w:t xml:space="preserve"> Apstiprināts MK 2022. gada 12. aprīļa sēdē (MK sēdes protokols Nr. 20, 45.§)</w:t>
      </w:r>
    </w:p>
  </w:footnote>
  <w:footnote w:id="16">
    <w:p w14:paraId="6B0ED569" w14:textId="77777777" w:rsidR="00306379" w:rsidRPr="00CA2430" w:rsidRDefault="00306379" w:rsidP="004F7ED2">
      <w:pPr>
        <w:pStyle w:val="FootnoteText"/>
        <w:spacing w:after="0"/>
        <w:ind w:firstLine="0"/>
        <w:rPr>
          <w:sz w:val="16"/>
          <w:szCs w:val="16"/>
        </w:rPr>
      </w:pPr>
      <w:r w:rsidRPr="00047A9E">
        <w:rPr>
          <w:rStyle w:val="FootnoteReference"/>
        </w:rPr>
        <w:footnoteRef/>
      </w:r>
      <w:r w:rsidRPr="00047A9E">
        <w:t xml:space="preserve"> Likuma “Par valsts budžetu 2023. gadam un budžeta ietvaru 2023., 2024. un 2025. gadam” un “Par valsts budžetu 2024. gadam un budžeta ietvaru 2024., 2025. un 2026. gadam” 5. panta ietvaros.</w:t>
      </w:r>
    </w:p>
  </w:footnote>
  <w:footnote w:id="17">
    <w:p w14:paraId="3203B734" w14:textId="6D97A05B" w:rsidR="006A31A9" w:rsidRPr="0081796C" w:rsidRDefault="006A31A9" w:rsidP="006A31A9">
      <w:pPr>
        <w:pStyle w:val="FootnoteText"/>
        <w:spacing w:after="0"/>
        <w:ind w:firstLine="0"/>
      </w:pPr>
      <w:r>
        <w:rPr>
          <w:rStyle w:val="FootnoteReference"/>
        </w:rPr>
        <w:footnoteRef/>
      </w:r>
      <w:r>
        <w:t xml:space="preserve"> Deklarācija par Evikas Siliņas vadītā </w:t>
      </w:r>
      <w:r w:rsidRPr="0081796C">
        <w:t xml:space="preserve">MK iecerēto darbību 2023. gada 15. septembrī, pieejams: </w:t>
      </w:r>
      <w:hyperlink r:id="rId3" w:history="1">
        <w:r w:rsidR="00D435C7" w:rsidRPr="00AE152B">
          <w:rPr>
            <w:rStyle w:val="Hyperlink"/>
          </w:rPr>
          <w:t>https://www.mk.gov.lv/lv/media/16704/download?attachment</w:t>
        </w:r>
      </w:hyperlink>
      <w:r w:rsidR="00D435C7">
        <w:t xml:space="preserve"> </w:t>
      </w:r>
      <w:r w:rsidR="00D435C7" w:rsidRPr="00D435C7">
        <w:t xml:space="preserve">  </w:t>
      </w:r>
    </w:p>
  </w:footnote>
  <w:footnote w:id="18">
    <w:p w14:paraId="5D97DE15" w14:textId="26287D86" w:rsidR="00AD431A" w:rsidRDefault="00AD431A" w:rsidP="0035287A">
      <w:pPr>
        <w:pStyle w:val="FootnoteText"/>
        <w:spacing w:after="0"/>
        <w:ind w:firstLine="0"/>
      </w:pPr>
      <w:r w:rsidRPr="0081796C">
        <w:rPr>
          <w:rStyle w:val="FootnoteReference"/>
        </w:rPr>
        <w:footnoteRef/>
      </w:r>
      <w:r w:rsidR="0035287A">
        <w:rPr>
          <w:rFonts w:cs="Times New Roman"/>
        </w:rPr>
        <w:t xml:space="preserve"> </w:t>
      </w:r>
      <w:r w:rsidRPr="0081796C">
        <w:rPr>
          <w:rFonts w:cs="Times New Roman"/>
        </w:rPr>
        <w:t>Informatīvais ziņojums „</w:t>
      </w:r>
      <w:r w:rsidR="00487ACF" w:rsidRPr="00487ACF">
        <w:rPr>
          <w:rFonts w:cs="Times New Roman"/>
          <w:bCs/>
        </w:rPr>
        <w:t>Latvijas Fiskāli strukturālā plāna 2025.–2028. gadam 2025. gada Progresa ziņojum</w:t>
      </w:r>
      <w:r w:rsidR="00487ACF">
        <w:rPr>
          <w:rFonts w:cs="Times New Roman"/>
          <w:bCs/>
        </w:rPr>
        <w:t>s</w:t>
      </w:r>
      <w:r w:rsidRPr="0081796C">
        <w:rPr>
          <w:rFonts w:cs="Times New Roman"/>
        </w:rPr>
        <w:t>”, pieejams:</w:t>
      </w:r>
      <w:r w:rsidRPr="0081796C">
        <w:t xml:space="preserve"> </w:t>
      </w:r>
      <w:hyperlink r:id="rId4" w:history="1">
        <w:r w:rsidR="00D435C7" w:rsidRPr="00AE152B">
          <w:rPr>
            <w:rStyle w:val="Hyperlink"/>
          </w:rPr>
          <w:t>https://tapportals.mk.gov.lv/legal_acts/43d9ef5b-a51b-4f41-8387-e7e17e8e7a97#</w:t>
        </w:r>
      </w:hyperlink>
      <w:r w:rsidR="00D435C7">
        <w:t xml:space="preserve"> </w:t>
      </w:r>
    </w:p>
  </w:footnote>
  <w:footnote w:id="19">
    <w:p w14:paraId="3B7784AF" w14:textId="13A8901B" w:rsidR="00487ACF" w:rsidRDefault="00487ACF" w:rsidP="00D435C7">
      <w:pPr>
        <w:pStyle w:val="FootnoteText"/>
        <w:spacing w:after="0"/>
        <w:ind w:firstLine="0"/>
        <w:jc w:val="left"/>
      </w:pPr>
      <w:r>
        <w:rPr>
          <w:rStyle w:val="FootnoteReference"/>
        </w:rPr>
        <w:footnoteRef/>
      </w:r>
      <w:r w:rsidR="0035287A">
        <w:t xml:space="preserve"> </w:t>
      </w:r>
      <w:r w:rsidR="00480D3F">
        <w:t>Informatīvais ziņojums “</w:t>
      </w:r>
      <w:r w:rsidR="00480D3F" w:rsidRPr="00480D3F">
        <w:t>Par Latvijas ekonomisko attīstību</w:t>
      </w:r>
      <w:r w:rsidR="00480D3F">
        <w:t xml:space="preserve">“, pieejams: </w:t>
      </w:r>
      <w:hyperlink r:id="rId5" w:history="1">
        <w:r w:rsidR="00D435C7" w:rsidRPr="00AE152B">
          <w:rPr>
            <w:rStyle w:val="Hyperlink"/>
          </w:rPr>
          <w:t>https://tapportals.mk.gov.lv/legal_acts/f0dbf839-6f49-4542-8632-e3c4b701e03b</w:t>
        </w:r>
      </w:hyperlink>
      <w:r w:rsidR="00D435C7">
        <w:t xml:space="preserve"> </w:t>
      </w:r>
    </w:p>
  </w:footnote>
  <w:footnote w:id="20">
    <w:p w14:paraId="571811E3" w14:textId="361B6441" w:rsidR="00835A7A" w:rsidRDefault="00835A7A" w:rsidP="0035287A">
      <w:pPr>
        <w:pStyle w:val="FootnoteText"/>
        <w:spacing w:after="0"/>
        <w:ind w:firstLine="0"/>
      </w:pPr>
      <w:r>
        <w:rPr>
          <w:rStyle w:val="FootnoteReference"/>
        </w:rPr>
        <w:footnoteRef/>
      </w:r>
      <w:r>
        <w:t xml:space="preserve"> </w:t>
      </w:r>
      <w:r w:rsidR="0081460D">
        <w:t>Saskaņā ar likuma par budžetu un finanšu vadību 28. panta otro daļu</w:t>
      </w:r>
      <w:r w:rsidR="00B13860">
        <w:t>.</w:t>
      </w:r>
    </w:p>
  </w:footnote>
  <w:footnote w:id="21">
    <w:p w14:paraId="3AA39BA9" w14:textId="2F661270" w:rsidR="00E51BB0" w:rsidRPr="00E51BB0" w:rsidRDefault="00E51BB0" w:rsidP="0033616F">
      <w:pPr>
        <w:pStyle w:val="FootnoteText"/>
        <w:spacing w:after="0"/>
        <w:ind w:firstLine="0"/>
      </w:pPr>
      <w:r>
        <w:rPr>
          <w:rStyle w:val="FootnoteReference"/>
        </w:rPr>
        <w:footnoteRef/>
      </w:r>
      <w:r>
        <w:t xml:space="preserve"> </w:t>
      </w:r>
      <w:r>
        <w:rPr>
          <w:rStyle w:val="ui-provider"/>
          <w:rFonts w:cs="Times New Roman"/>
          <w:szCs w:val="24"/>
        </w:rPr>
        <w:t>MK</w:t>
      </w:r>
      <w:r w:rsidRPr="00DB3A1A">
        <w:rPr>
          <w:rStyle w:val="ui-provider"/>
          <w:rFonts w:cs="Times New Roman"/>
          <w:sz w:val="24"/>
          <w:szCs w:val="24"/>
        </w:rPr>
        <w:t xml:space="preserve"> </w:t>
      </w:r>
      <w:r w:rsidRPr="00E51BB0">
        <w:rPr>
          <w:rStyle w:val="ui-provider"/>
          <w:rFonts w:cs="Times New Roman"/>
        </w:rPr>
        <w:t>2025. gada 26. jūnija rīkojum</w:t>
      </w:r>
      <w:r>
        <w:rPr>
          <w:rStyle w:val="ui-provider"/>
          <w:rFonts w:cs="Times New Roman"/>
        </w:rPr>
        <w:t>s</w:t>
      </w:r>
      <w:r w:rsidRPr="00E51BB0">
        <w:rPr>
          <w:rStyle w:val="ui-provider"/>
          <w:rFonts w:cs="Times New Roman"/>
        </w:rPr>
        <w:t xml:space="preserve"> Nr. 377 “</w:t>
      </w:r>
      <w:r w:rsidRPr="00E51BB0">
        <w:rPr>
          <w:rFonts w:cs="Times New Roman"/>
        </w:rPr>
        <w:t>Grozījumi Ministru kabineta 2025. gada 27. marta rīkojumā Nr. 179 “Par likumprojekta “Par valsts budžetu 2026. gadam un budžeta ietvaru 2026., 2027. un 2028. gadam”</w:t>
      </w:r>
    </w:p>
  </w:footnote>
  <w:footnote w:id="22">
    <w:p w14:paraId="70D5EAEE" w14:textId="77777777" w:rsidR="003D1B44" w:rsidRPr="00047A9E" w:rsidRDefault="003D1B44" w:rsidP="00A067CB">
      <w:pPr>
        <w:pStyle w:val="FootnoteText"/>
        <w:ind w:firstLine="0"/>
      </w:pPr>
      <w:r w:rsidRPr="00047A9E">
        <w:rPr>
          <w:rStyle w:val="FootnoteReference"/>
        </w:rPr>
        <w:footnoteRef/>
      </w:r>
      <w:r w:rsidRPr="00047A9E">
        <w:t xml:space="preserve"> </w:t>
      </w:r>
      <w:hyperlink r:id="rId6" w:history="1">
        <w:r w:rsidRPr="00047A9E">
          <w:rPr>
            <w:rStyle w:val="Hyperlink"/>
          </w:rPr>
          <w:t>Latvijas Stabilitātes programma 2024.-2028. gadam (mk.gov.lv)</w:t>
        </w:r>
      </w:hyperlink>
    </w:p>
  </w:footnote>
  <w:footnote w:id="23">
    <w:p w14:paraId="68E2B56F" w14:textId="5F6D055E" w:rsidR="00F66F8E" w:rsidRDefault="00F66F8E" w:rsidP="00A067CB">
      <w:pPr>
        <w:pStyle w:val="FootnoteText"/>
        <w:ind w:firstLine="0"/>
      </w:pPr>
      <w:r>
        <w:rPr>
          <w:rStyle w:val="FootnoteReference"/>
        </w:rPr>
        <w:footnoteRef/>
      </w:r>
      <w:r>
        <w:t xml:space="preserve"> </w:t>
      </w:r>
      <w:r w:rsidRPr="00F66F8E">
        <w:t xml:space="preserve">Informatīvais ziņojums „Par makroekonomisko rādītāju, ieņēmumu un vispārējās valdības budžeta bilances prognozēm 2026., 2027., 2028. un 2029. gadā”, pieejams: </w:t>
      </w:r>
      <w:hyperlink r:id="rId7" w:history="1">
        <w:r w:rsidRPr="00F66F8E">
          <w:rPr>
            <w:rStyle w:val="Hyperlink"/>
          </w:rPr>
          <w:t>https://tapportals.mk.gov.lv/legal_acts/1b22acf1-7d8a-413f-95b0-5e23c60029bc</w:t>
        </w:r>
      </w:hyperlink>
    </w:p>
  </w:footnote>
  <w:footnote w:id="24">
    <w:p w14:paraId="01FF433C" w14:textId="12097BA9" w:rsidR="00EA0657" w:rsidRPr="00047A9E" w:rsidRDefault="00EA0657" w:rsidP="00EA0657">
      <w:pPr>
        <w:pStyle w:val="FootnoteText"/>
        <w:ind w:firstLine="0"/>
      </w:pPr>
      <w:r w:rsidRPr="00047A9E">
        <w:rPr>
          <w:rStyle w:val="FootnoteReference"/>
        </w:rPr>
        <w:footnoteRef/>
      </w:r>
      <w:r w:rsidRPr="00047A9E">
        <w:t xml:space="preserve"> </w:t>
      </w:r>
      <w:r w:rsidRPr="00047A9E">
        <w:rPr>
          <w:color w:val="000000" w:themeColor="text1"/>
        </w:rPr>
        <w:t xml:space="preserve">Informācija pieejama FM tīmekļa vietnē: </w:t>
      </w:r>
      <w:hyperlink r:id="rId8" w:history="1">
        <w:r w:rsidRPr="00FD0F93">
          <w:rPr>
            <w:rStyle w:val="Hyperlink"/>
          </w:rPr>
          <w:t>https://www.fm.gov.lv/lv/fsp-2025-2028-gadam</w:t>
        </w:r>
      </w:hyperlink>
      <w:r w:rsidR="00FD0F93">
        <w:t xml:space="preserve"> </w:t>
      </w:r>
      <w:r w:rsidRPr="00047A9E">
        <w:rPr>
          <w:color w:val="000000" w:themeColor="text1"/>
        </w:rPr>
        <w:t xml:space="preserve"> </w:t>
      </w:r>
    </w:p>
  </w:footnote>
  <w:footnote w:id="25">
    <w:p w14:paraId="2C1069B4" w14:textId="156C4268" w:rsidR="00B65051" w:rsidRPr="00047A9E" w:rsidRDefault="00B65051" w:rsidP="00B65051">
      <w:pPr>
        <w:pStyle w:val="FootnoteText"/>
        <w:ind w:firstLine="0"/>
      </w:pPr>
      <w:r w:rsidRPr="00047A9E">
        <w:rPr>
          <w:rStyle w:val="FootnoteReference"/>
        </w:rPr>
        <w:footnoteRef/>
      </w:r>
      <w:r w:rsidRPr="00047A9E">
        <w:t xml:space="preserve"> P</w:t>
      </w:r>
      <w:r w:rsidR="00FA244E">
        <w:t>adomes</w:t>
      </w:r>
      <w:r w:rsidRPr="00047A9E">
        <w:t xml:space="preserve"> </w:t>
      </w:r>
      <w:r w:rsidR="00FA244E">
        <w:t>ieteikums</w:t>
      </w:r>
      <w:r w:rsidRPr="00047A9E">
        <w:t xml:space="preserve"> par Latvijas ekonomikas, sociālo, nodarbinātības, strukturālo un budžeta politiku </w:t>
      </w:r>
      <w:hyperlink r:id="rId9" w:history="1">
        <w:r w:rsidRPr="00047A9E">
          <w:rPr>
            <w:rStyle w:val="Hyperlink"/>
            <w:bCs/>
            <w:noProof/>
          </w:rPr>
          <w:t>https://data.consilium.europa.eu/doc/document/ST-10974-2025-INIT/lv/pdf</w:t>
        </w:r>
      </w:hyperlink>
    </w:p>
  </w:footnote>
  <w:footnote w:id="26">
    <w:p w14:paraId="4022A50F" w14:textId="77777777" w:rsidR="00E67A69" w:rsidRPr="00854F1A" w:rsidRDefault="00E67A69" w:rsidP="00E67A69">
      <w:pPr>
        <w:pStyle w:val="FootnoteText"/>
        <w:ind w:firstLine="0"/>
      </w:pPr>
      <w:r w:rsidRPr="00854F1A">
        <w:rPr>
          <w:rStyle w:val="FootnoteReference"/>
        </w:rPr>
        <w:footnoteRef/>
      </w:r>
      <w:r w:rsidRPr="00854F1A">
        <w:t xml:space="preserve"> Eiropas Parlamenta un Padomes regula (ES) Nr. 549/2013 par Eiropas nacionālo un reģionālo kontu sistēmu ES.</w:t>
      </w:r>
    </w:p>
  </w:footnote>
  <w:footnote w:id="27">
    <w:p w14:paraId="0C2310E3" w14:textId="2D9724AC" w:rsidR="00E67A69" w:rsidRDefault="00E67A69" w:rsidP="00FD0F93">
      <w:pPr>
        <w:pStyle w:val="FootnoteText"/>
        <w:ind w:firstLine="0"/>
      </w:pPr>
      <w:r>
        <w:rPr>
          <w:rStyle w:val="FootnoteReference"/>
        </w:rPr>
        <w:footnoteRef/>
      </w:r>
      <w:r>
        <w:t xml:space="preserve"> </w:t>
      </w:r>
      <w:r w:rsidRPr="00854F1A">
        <w:t>Valsts (S130130) vai pašvaldību struktūru (S130330) kontrolēto un finansēto komercsabiedrību</w:t>
      </w:r>
      <w:r>
        <w:t xml:space="preserve"> </w:t>
      </w:r>
      <w:r w:rsidRPr="00854F1A">
        <w:t xml:space="preserve">saraksts ir apskatāms CSP tīmekļvietnē: </w:t>
      </w:r>
      <w:hyperlink r:id="rId10" w:history="1">
        <w:r w:rsidR="00D435C7" w:rsidRPr="00AE152B">
          <w:rPr>
            <w:rStyle w:val="Hyperlink"/>
          </w:rPr>
          <w:t>https://tools.csb.gov.lv/isk/lv</w:t>
        </w:r>
      </w:hyperlink>
      <w:r w:rsidR="00D435C7">
        <w:t xml:space="preserve"> </w:t>
      </w:r>
    </w:p>
  </w:footnote>
  <w:footnote w:id="28">
    <w:p w14:paraId="48DAD34C" w14:textId="77777777" w:rsidR="00E67A69" w:rsidRDefault="00E67A69" w:rsidP="00C904E1">
      <w:pPr>
        <w:pStyle w:val="FootnoteText"/>
        <w:ind w:firstLine="0"/>
      </w:pPr>
      <w:r>
        <w:rPr>
          <w:rStyle w:val="FootnoteReference"/>
        </w:rPr>
        <w:footnoteRef/>
      </w:r>
      <w:r>
        <w:t xml:space="preserve"> Datu avots: </w:t>
      </w:r>
      <w:r w:rsidRPr="00A676D4">
        <w:rPr>
          <w:i/>
          <w:iCs/>
          <w:noProof/>
        </w:rPr>
        <w:t>Eurostat</w:t>
      </w:r>
      <w:r>
        <w:t xml:space="preserve"> 2025. gada aprīļa notifikācija</w:t>
      </w:r>
    </w:p>
  </w:footnote>
  <w:footnote w:id="29">
    <w:p w14:paraId="0DE8EAAC" w14:textId="77777777" w:rsidR="00E67A69" w:rsidRDefault="00E67A69" w:rsidP="00C904E1">
      <w:pPr>
        <w:pStyle w:val="FootnoteText"/>
        <w:ind w:firstLine="0"/>
        <w:jc w:val="left"/>
      </w:pPr>
      <w:r>
        <w:rPr>
          <w:rStyle w:val="FootnoteReference"/>
        </w:rPr>
        <w:footnoteRef/>
      </w:r>
      <w:r>
        <w:t xml:space="preserve"> </w:t>
      </w:r>
      <w:r w:rsidRPr="00047A9E">
        <w:rPr>
          <w:rFonts w:cs="Times New Roman"/>
        </w:rPr>
        <w:t>Informatīvais ziņojums „Par makroekonomisko rādītāju, ieņēmumu un vispārējās valdības budžeta bilances prognozēm 2026., 2027., 2028. un 2029. gadā”</w:t>
      </w:r>
      <w:r>
        <w:rPr>
          <w:rFonts w:cs="Times New Roman"/>
        </w:rPr>
        <w:t xml:space="preserve"> (MK 19.08.2025)</w:t>
      </w:r>
      <w:r w:rsidRPr="00047A9E">
        <w:rPr>
          <w:rFonts w:cs="Times New Roman"/>
        </w:rPr>
        <w:t>,</w:t>
      </w:r>
      <w:r>
        <w:rPr>
          <w:rFonts w:cs="Times New Roman"/>
        </w:rPr>
        <w:br/>
      </w:r>
      <w:r w:rsidRPr="00047A9E">
        <w:rPr>
          <w:rFonts w:cs="Times New Roman"/>
        </w:rPr>
        <w:t>pieejams:</w:t>
      </w:r>
      <w:r w:rsidRPr="00047A9E">
        <w:t xml:space="preserve"> </w:t>
      </w:r>
      <w:hyperlink r:id="rId11" w:history="1">
        <w:r w:rsidRPr="00047A9E">
          <w:rPr>
            <w:rStyle w:val="Hyperlink"/>
          </w:rPr>
          <w:t>https://tapportals.mk.gov.lv/legal_acts/1b22acf1-7d8a-413f-95b0-5e23c60029bc</w:t>
        </w:r>
      </w:hyperlink>
    </w:p>
  </w:footnote>
  <w:footnote w:id="30">
    <w:p w14:paraId="3B7F76B7" w14:textId="77777777" w:rsidR="00E67A69" w:rsidRDefault="00E67A69" w:rsidP="00C904E1">
      <w:pPr>
        <w:pStyle w:val="FootnoteText"/>
        <w:ind w:firstLine="0"/>
        <w:jc w:val="left"/>
      </w:pPr>
      <w:r>
        <w:rPr>
          <w:rStyle w:val="FootnoteReference"/>
        </w:rPr>
        <w:footnoteRef/>
      </w:r>
      <w:r>
        <w:t xml:space="preserve"> </w:t>
      </w:r>
      <w:r w:rsidRPr="00047A9E">
        <w:rPr>
          <w:rFonts w:cs="Times New Roman"/>
        </w:rPr>
        <w:t>Informatīvais ziņojums „Par makroekonomisko rādītāju, ieņēmumu un vispārējās valdības budžeta bilances prognozēm 2026., 2027., 2028. un 2029. gadā”</w:t>
      </w:r>
      <w:r>
        <w:rPr>
          <w:rFonts w:cs="Times New Roman"/>
        </w:rPr>
        <w:t xml:space="preserve"> (MK 19.08.2025)</w:t>
      </w:r>
      <w:r w:rsidRPr="00047A9E">
        <w:rPr>
          <w:rFonts w:cs="Times New Roman"/>
        </w:rPr>
        <w:t>,</w:t>
      </w:r>
      <w:r>
        <w:rPr>
          <w:rFonts w:cs="Times New Roman"/>
        </w:rPr>
        <w:br/>
      </w:r>
      <w:r w:rsidRPr="00047A9E">
        <w:rPr>
          <w:rFonts w:cs="Times New Roman"/>
        </w:rPr>
        <w:t>pieejams:</w:t>
      </w:r>
      <w:r w:rsidRPr="00047A9E">
        <w:t xml:space="preserve"> </w:t>
      </w:r>
      <w:hyperlink r:id="rId12" w:history="1">
        <w:r w:rsidRPr="00047A9E">
          <w:rPr>
            <w:rStyle w:val="Hyperlink"/>
          </w:rPr>
          <w:t>https://tapportals.mk.gov.lv/legal_acts/1b22acf1-7d8a-413f-95b0-5e23c60029bc</w:t>
        </w:r>
      </w:hyperlink>
    </w:p>
  </w:footnote>
  <w:footnote w:id="31">
    <w:p w14:paraId="23FA2718" w14:textId="74E46F15" w:rsidR="00E67A69" w:rsidRDefault="00E67A69" w:rsidP="00E67A69">
      <w:pPr>
        <w:pStyle w:val="FootnoteText"/>
        <w:ind w:firstLine="0"/>
      </w:pPr>
      <w:r>
        <w:rPr>
          <w:rStyle w:val="FootnoteReference"/>
        </w:rPr>
        <w:footnoteRef/>
      </w:r>
      <w:r>
        <w:t xml:space="preserve"> Skat. </w:t>
      </w:r>
      <w:r w:rsidR="00C904E1">
        <w:t>s</w:t>
      </w:r>
      <w:r w:rsidRPr="00C904E1">
        <w:t>arakstu</w:t>
      </w:r>
      <w:r w:rsidR="00C904E1">
        <w:t xml:space="preserve"> 2.5. </w:t>
      </w:r>
      <w:r w:rsidRPr="0040119D">
        <w:t>nodaļā</w:t>
      </w:r>
      <w:r>
        <w:t xml:space="preserve"> “Informācija par ministriju padotībā esošām no valsts budžeta daļēji finansētām atvasinātām publiskām personām un budžeta nefinansētām iestādēm”.</w:t>
      </w:r>
      <w:r w:rsidRPr="00854F1A">
        <w:t xml:space="preserve"> </w:t>
      </w:r>
      <w:r>
        <w:t>N</w:t>
      </w:r>
      <w:r w:rsidRPr="00854F1A">
        <w:t xml:space="preserve">o valsts budžeta daļēji finansēto atvasināto publisko personu (S130160) un budžeta nefinansēto iestāžu (S130150) saraksts ir apskatāms </w:t>
      </w:r>
      <w:r>
        <w:t xml:space="preserve">arī </w:t>
      </w:r>
      <w:r w:rsidRPr="00854F1A">
        <w:t xml:space="preserve">CSP tīmekļvietnē: </w:t>
      </w:r>
      <w:hyperlink r:id="rId13" w:history="1">
        <w:r w:rsidR="00D435C7" w:rsidRPr="00AE152B">
          <w:rPr>
            <w:rStyle w:val="Hyperlink"/>
          </w:rPr>
          <w:t>https://tools.csb.gov.lv/isk/lv</w:t>
        </w:r>
      </w:hyperlink>
      <w:r w:rsidR="00D435C7">
        <w:t xml:space="preserve"> </w:t>
      </w:r>
    </w:p>
  </w:footnote>
  <w:footnote w:id="32">
    <w:p w14:paraId="6EAB4A26" w14:textId="77777777" w:rsidR="00AB3311" w:rsidRPr="00A051A2" w:rsidRDefault="00AB3311" w:rsidP="00AB3311">
      <w:pPr>
        <w:pStyle w:val="FootnoteText"/>
        <w:spacing w:after="0"/>
        <w:ind w:firstLine="0"/>
      </w:pPr>
      <w:r w:rsidRPr="00A051A2">
        <w:rPr>
          <w:rStyle w:val="FootnoteReference"/>
        </w:rPr>
        <w:footnoteRef/>
      </w:r>
      <w:r w:rsidRPr="00A051A2">
        <w:t xml:space="preserve"> Datu avots: AMECO datu bāze.</w:t>
      </w:r>
    </w:p>
  </w:footnote>
  <w:footnote w:id="33">
    <w:p w14:paraId="3C4880C0" w14:textId="77777777" w:rsidR="00AB3311" w:rsidRPr="00430BBA" w:rsidRDefault="00AB3311" w:rsidP="00AB3311">
      <w:pPr>
        <w:pStyle w:val="FootnoteText"/>
        <w:spacing w:after="0"/>
        <w:ind w:firstLine="0"/>
        <w:rPr>
          <w:sz w:val="17"/>
          <w:szCs w:val="17"/>
        </w:rPr>
      </w:pPr>
      <w:r w:rsidRPr="00A051A2">
        <w:rPr>
          <w:rStyle w:val="FootnoteReference"/>
        </w:rPr>
        <w:footnoteRef/>
      </w:r>
      <w:r w:rsidRPr="00A051A2">
        <w:t xml:space="preserve"> Nodokļu ieņēmumi atbilstoši EKS metodoloģijai (D.2 (ieskaitot D.2 REC (EU))+ D.5 + D.61 + D.91).</w:t>
      </w:r>
    </w:p>
  </w:footnote>
  <w:footnote w:id="34">
    <w:p w14:paraId="78F96A7B" w14:textId="7861BEEE" w:rsidR="0080093D" w:rsidRPr="00047A9E" w:rsidRDefault="00911F3E" w:rsidP="00CE3984">
      <w:pPr>
        <w:pStyle w:val="FootnoteText"/>
        <w:spacing w:after="0"/>
        <w:ind w:firstLine="0"/>
        <w:jc w:val="left"/>
      </w:pPr>
      <w:r w:rsidRPr="00047A9E">
        <w:rPr>
          <w:rStyle w:val="FootnoteReference"/>
        </w:rPr>
        <w:footnoteRef/>
      </w:r>
      <w:r w:rsidRPr="00047A9E">
        <w:t xml:space="preserve"> </w:t>
      </w:r>
      <w:r w:rsidR="00C06779" w:rsidRPr="00047A9E">
        <w:t>Informatīvais ziņojums "Par makroekonomisko rādītāju, ieņēmumu un vispārējās valdības budžeta bilances prognozēm 2026., 2027., 2028. un 2029. gadā"</w:t>
      </w:r>
      <w:r w:rsidR="00C12798" w:rsidRPr="00047A9E">
        <w:t>, pieejams:</w:t>
      </w:r>
      <w:r w:rsidR="00C06779" w:rsidRPr="00047A9E">
        <w:t xml:space="preserve"> </w:t>
      </w:r>
      <w:hyperlink r:id="rId14" w:history="1">
        <w:r w:rsidR="00D435C7" w:rsidRPr="00AE152B">
          <w:rPr>
            <w:rStyle w:val="Hyperlink"/>
          </w:rPr>
          <w:t>https://tapportals.mk.gov.lv/legal_acts/1b22acf1-7d8a-413f-95b0-5e23c60029bc</w:t>
        </w:r>
      </w:hyperlink>
      <w:r w:rsidR="00D435C7">
        <w:t xml:space="preserve"> </w:t>
      </w:r>
    </w:p>
  </w:footnote>
  <w:footnote w:id="35">
    <w:p w14:paraId="5AF40B06" w14:textId="71CE01A9" w:rsidR="0003314E" w:rsidRPr="00047A9E" w:rsidRDefault="00A62708" w:rsidP="009427E1">
      <w:pPr>
        <w:pStyle w:val="FootnoteText"/>
        <w:spacing w:after="0"/>
        <w:ind w:firstLine="0"/>
        <w:jc w:val="left"/>
      </w:pPr>
      <w:r w:rsidRPr="00047A9E">
        <w:rPr>
          <w:rStyle w:val="FootnoteReference"/>
        </w:rPr>
        <w:footnoteRef/>
      </w:r>
      <w:r w:rsidRPr="00047A9E">
        <w:t xml:space="preserve"> </w:t>
      </w:r>
      <w:r w:rsidR="0003314E">
        <w:t>Ņemot vērā aizsardzības izdevumu palielinājumu saskaņā ar i</w:t>
      </w:r>
      <w:r w:rsidRPr="00047A9E">
        <w:t>nformatīv</w:t>
      </w:r>
      <w:r w:rsidR="0003314E">
        <w:t>o</w:t>
      </w:r>
      <w:r w:rsidRPr="00047A9E">
        <w:t xml:space="preserve"> ziņojum</w:t>
      </w:r>
      <w:r w:rsidR="0003314E">
        <w:t>u</w:t>
      </w:r>
      <w:r w:rsidRPr="00047A9E">
        <w:t xml:space="preserve"> "Par papildu nepieciešamajiem pasākumiem kaujas spēju palielināšanai, kas atbilst valsts izņēmuma klauzulas nosacījumiem” (25-TA-1795(IP))</w:t>
      </w:r>
      <w:r w:rsidR="0003314E">
        <w:t>, pieejams:</w:t>
      </w:r>
      <w:r w:rsidRPr="00047A9E">
        <w:t xml:space="preserve"> </w:t>
      </w:r>
      <w:hyperlink r:id="rId15" w:history="1">
        <w:r w:rsidR="00D435C7" w:rsidRPr="00AE152B">
          <w:rPr>
            <w:rStyle w:val="Hyperlink"/>
          </w:rPr>
          <w:t>https://tapportals.mk.gov.lv/meetings/protocols/cd13e9b2-cc2e-4358-b9e1-23a0f04ac861</w:t>
        </w:r>
      </w:hyperlink>
      <w:r w:rsidR="00D435C7">
        <w:t xml:space="preserve"> </w:t>
      </w:r>
    </w:p>
  </w:footnote>
  <w:footnote w:id="36">
    <w:p w14:paraId="6C6CDD80" w14:textId="48DC21CF" w:rsidR="00E673FF" w:rsidRDefault="00E673FF" w:rsidP="009427E1">
      <w:pPr>
        <w:pStyle w:val="FootnoteText"/>
        <w:spacing w:after="0"/>
        <w:ind w:firstLine="0"/>
        <w:jc w:val="left"/>
      </w:pPr>
      <w:r w:rsidRPr="00047A9E">
        <w:rPr>
          <w:rStyle w:val="FootnoteReference"/>
        </w:rPr>
        <w:footnoteRef/>
      </w:r>
      <w:r w:rsidRPr="00047A9E">
        <w:t xml:space="preserve"> Informatīvais ziņojums “</w:t>
      </w:r>
      <w:r w:rsidR="0020704E" w:rsidRPr="00047A9E">
        <w:t>Par valsts budžeta likumprojektā iekļaujamiem prioritārajiem pasākumiem 2026., 2027. un 2028. gadam</w:t>
      </w:r>
      <w:r w:rsidRPr="00047A9E">
        <w:t xml:space="preserve">”, pieejams: </w:t>
      </w:r>
      <w:hyperlink r:id="rId16" w:history="1">
        <w:r w:rsidR="00D435C7" w:rsidRPr="00AE152B">
          <w:rPr>
            <w:rStyle w:val="Hyperlink"/>
          </w:rPr>
          <w:t>https://tapportals.mk.gov.lv/legal_acts/11793fd9-6a63-478c-b866-6203ce2c2ab2</w:t>
        </w:r>
      </w:hyperlink>
      <w:r w:rsidR="00D435C7">
        <w:t xml:space="preserve"> </w:t>
      </w:r>
    </w:p>
  </w:footnote>
  <w:footnote w:id="37">
    <w:p w14:paraId="355F3FA4" w14:textId="77777777" w:rsidR="00965706" w:rsidRPr="00047A9E" w:rsidRDefault="00965706" w:rsidP="00116188">
      <w:pPr>
        <w:pStyle w:val="FootnoteText"/>
        <w:spacing w:after="0"/>
        <w:ind w:firstLine="0"/>
        <w:jc w:val="left"/>
        <w:rPr>
          <w:noProof/>
          <w:color w:val="000000" w:themeColor="text1"/>
        </w:rPr>
      </w:pPr>
      <w:r w:rsidRPr="00047A9E">
        <w:rPr>
          <w:noProof/>
          <w:color w:val="000000" w:themeColor="text1"/>
          <w:vertAlign w:val="superscript"/>
        </w:rPr>
        <w:footnoteRef/>
      </w:r>
      <w:r w:rsidRPr="00047A9E">
        <w:rPr>
          <w:noProof/>
          <w:color w:val="000000" w:themeColor="text1"/>
        </w:rPr>
        <w:t xml:space="preserve"> Brussels, 4.6.2025 COM(2025) 610 final, </w:t>
      </w:r>
      <w:r w:rsidRPr="00116188">
        <w:rPr>
          <w:rStyle w:val="Hyperlink"/>
        </w:rPr>
        <w:t>https://data.consilium.europa.eu/doc/document/ST-10474-2025-INIT/lv/pdf</w:t>
      </w:r>
    </w:p>
  </w:footnote>
  <w:footnote w:id="38">
    <w:p w14:paraId="79536793" w14:textId="77777777" w:rsidR="001655EA" w:rsidRPr="00047A9E" w:rsidRDefault="001655EA" w:rsidP="00047A9E">
      <w:pPr>
        <w:pStyle w:val="FootnoteText"/>
        <w:spacing w:after="0"/>
        <w:ind w:firstLine="0"/>
      </w:pPr>
      <w:r w:rsidRPr="00047A9E">
        <w:rPr>
          <w:rStyle w:val="FootnoteReference"/>
        </w:rPr>
        <w:footnoteRef/>
      </w:r>
      <w:r w:rsidRPr="00047A9E">
        <w:t xml:space="preserve"> </w:t>
      </w:r>
      <w:r w:rsidRPr="00047A9E">
        <w:rPr>
          <w:rFonts w:cs="Times New Roman"/>
        </w:rPr>
        <w:t>Informatīvais ziņojums „Par makroekonomisko rādītāju, ieņēmumu un vispārējās valdības budžeta bilances prognozēm 2026., 2027., 2028. un 2029. gadā”, pieejams:</w:t>
      </w:r>
      <w:r w:rsidRPr="00047A9E">
        <w:t xml:space="preserve"> </w:t>
      </w:r>
      <w:hyperlink r:id="rId17" w:history="1">
        <w:r w:rsidRPr="00047A9E">
          <w:rPr>
            <w:rStyle w:val="Hyperlink"/>
          </w:rPr>
          <w:t>https://tapportals.mk.gov.lv/legal_acts/1b22acf1-7d8a-413f-95b0-5e23c60029bc</w:t>
        </w:r>
      </w:hyperlink>
    </w:p>
  </w:footnote>
  <w:footnote w:id="39">
    <w:p w14:paraId="42846477" w14:textId="1FF1A60D" w:rsidR="00EF3C99" w:rsidRPr="00047A9E" w:rsidRDefault="00EF3C99" w:rsidP="00EF3C99">
      <w:pPr>
        <w:pStyle w:val="FootnoteText"/>
        <w:spacing w:after="0"/>
        <w:ind w:firstLine="0"/>
        <w:jc w:val="left"/>
      </w:pPr>
      <w:r w:rsidRPr="00047A9E">
        <w:rPr>
          <w:rStyle w:val="FootnoteReference"/>
        </w:rPr>
        <w:footnoteRef/>
      </w:r>
      <w:r w:rsidRPr="00047A9E">
        <w:t xml:space="preserve"> </w:t>
      </w:r>
      <w:r w:rsidRPr="00047A9E">
        <w:rPr>
          <w:i/>
          <w:iCs/>
        </w:rPr>
        <w:t>Eurostat</w:t>
      </w:r>
      <w:r w:rsidRPr="00047A9E">
        <w:t xml:space="preserve"> datu bāze, informācija pieejama: </w:t>
      </w:r>
      <w:hyperlink r:id="rId18" w:history="1">
        <w:r w:rsidRPr="00116188">
          <w:rPr>
            <w:rStyle w:val="Hyperlink"/>
          </w:rPr>
          <w:t>https://ec.europa.eu/eurostat/databrowser/view/gov_10a_exp/default/table?lang=en</w:t>
        </w:r>
      </w:hyperlink>
      <w:r w:rsidR="00116188">
        <w:t xml:space="preserve">  </w:t>
      </w:r>
      <w:r w:rsidRPr="00047A9E">
        <w:t xml:space="preserve">   </w:t>
      </w:r>
    </w:p>
  </w:footnote>
  <w:footnote w:id="40">
    <w:p w14:paraId="738C8785" w14:textId="4D475323" w:rsidR="00AB1445" w:rsidRDefault="00AB1445" w:rsidP="00AB1445">
      <w:pPr>
        <w:pStyle w:val="FootnoteText"/>
        <w:ind w:firstLine="0"/>
      </w:pPr>
      <w:r>
        <w:rPr>
          <w:rStyle w:val="FootnoteReference"/>
        </w:rPr>
        <w:footnoteRef/>
      </w:r>
      <w:r>
        <w:t xml:space="preserve"> </w:t>
      </w:r>
      <w:r w:rsidR="00416413">
        <w:rPr>
          <w:rFonts w:eastAsia="Times New Roman" w:cs="Times New Roman"/>
          <w:bCs/>
          <w:szCs w:val="24"/>
        </w:rPr>
        <w:t>MK</w:t>
      </w:r>
      <w:r w:rsidRPr="00B96576">
        <w:rPr>
          <w:rFonts w:eastAsia="Times New Roman" w:cs="Times New Roman"/>
          <w:bCs/>
          <w:szCs w:val="24"/>
        </w:rPr>
        <w:t xml:space="preserve"> 2024.</w:t>
      </w:r>
      <w:r w:rsidR="00416413">
        <w:rPr>
          <w:rFonts w:eastAsia="Times New Roman" w:cs="Times New Roman"/>
          <w:bCs/>
          <w:szCs w:val="24"/>
        </w:rPr>
        <w:t xml:space="preserve"> </w:t>
      </w:r>
      <w:r w:rsidRPr="00B96576">
        <w:rPr>
          <w:rFonts w:eastAsia="Times New Roman" w:cs="Times New Roman"/>
          <w:bCs/>
          <w:szCs w:val="24"/>
        </w:rPr>
        <w:t>gada 10.</w:t>
      </w:r>
      <w:r w:rsidR="00416413">
        <w:rPr>
          <w:rFonts w:eastAsia="Times New Roman" w:cs="Times New Roman"/>
          <w:bCs/>
          <w:szCs w:val="24"/>
        </w:rPr>
        <w:t xml:space="preserve"> </w:t>
      </w:r>
      <w:r w:rsidRPr="00B96576">
        <w:rPr>
          <w:rFonts w:eastAsia="Times New Roman" w:cs="Times New Roman"/>
          <w:bCs/>
          <w:szCs w:val="24"/>
        </w:rPr>
        <w:t>janvāra rīkojum</w:t>
      </w:r>
      <w:r>
        <w:rPr>
          <w:rFonts w:eastAsia="Times New Roman" w:cs="Times New Roman"/>
          <w:bCs/>
          <w:szCs w:val="24"/>
        </w:rPr>
        <w:t>s</w:t>
      </w:r>
      <w:r w:rsidRPr="00B96576">
        <w:rPr>
          <w:rFonts w:eastAsia="Times New Roman" w:cs="Times New Roman"/>
          <w:bCs/>
          <w:szCs w:val="24"/>
        </w:rPr>
        <w:t xml:space="preserve"> Nr. 55 (prot. Nr. 2 52. §) "Par Valdības rīcības plānu Deklarācijas par Evikas Siliņas vadītā Ministru kabineta iecerēto darbību īstenošanai"  </w:t>
      </w:r>
    </w:p>
  </w:footnote>
  <w:footnote w:id="41">
    <w:p w14:paraId="6DECFC9C" w14:textId="5D0BB2B8" w:rsidR="00C7787C" w:rsidRDefault="00C7787C" w:rsidP="00047A9E">
      <w:pPr>
        <w:pStyle w:val="FootnoteText"/>
        <w:spacing w:after="0"/>
        <w:ind w:firstLine="0"/>
      </w:pPr>
      <w:r w:rsidRPr="0081796C">
        <w:rPr>
          <w:rStyle w:val="FootnoteReference"/>
        </w:rPr>
        <w:footnoteRef/>
      </w:r>
      <w:r w:rsidRPr="0081796C">
        <w:t xml:space="preserve"> </w:t>
      </w:r>
      <w:r w:rsidRPr="006A3169">
        <w:t>Informatīvais ziņojums “Par valsts budžeta likumprojektā iekļaujamiem prioritārajiem pasākumiem 202</w:t>
      </w:r>
      <w:r w:rsidR="007A616E">
        <w:t>6</w:t>
      </w:r>
      <w:r w:rsidRPr="006A3169">
        <w:t>., 2027. un 2028. gadam”, pieejams</w:t>
      </w:r>
      <w:r w:rsidR="007A616E">
        <w:t xml:space="preserve"> Finanšu ministrijas tīmekļa vietnē: </w:t>
      </w:r>
      <w:hyperlink r:id="rId19" w:history="1">
        <w:r w:rsidR="007A616E" w:rsidRPr="0023796C">
          <w:rPr>
            <w:rStyle w:val="Hyperlink"/>
          </w:rPr>
          <w:t>https://www.fm.gov.lv/lv/valsts-budzeta-2026-gadam-izstrade</w:t>
        </w:r>
      </w:hyperlink>
      <w:r w:rsidR="007A616E">
        <w:t xml:space="preserve"> </w:t>
      </w:r>
    </w:p>
  </w:footnote>
  <w:footnote w:id="42">
    <w:p w14:paraId="689D063F" w14:textId="60AE356F" w:rsidR="001F5D07" w:rsidRDefault="001F5D07" w:rsidP="00047A9E">
      <w:pPr>
        <w:pStyle w:val="FootnoteText"/>
        <w:ind w:firstLine="0"/>
        <w:jc w:val="left"/>
      </w:pPr>
      <w:r>
        <w:rPr>
          <w:rStyle w:val="FootnoteReference"/>
        </w:rPr>
        <w:footnoteRef/>
      </w:r>
      <w:r>
        <w:t xml:space="preserve"> Informatīvais ziņojums “Fiskālo risku deklarācija”, pieejams </w:t>
      </w:r>
      <w:hyperlink r:id="rId20" w:history="1">
        <w:r w:rsidR="004A4A24" w:rsidRPr="00AE152B">
          <w:rPr>
            <w:rStyle w:val="Hyperlink"/>
          </w:rPr>
          <w:t>https://tapportals.mk.gov.lv/legal_acts/c633925e-f0b1-4b90-a41a-bea861ebd301#</w:t>
        </w:r>
      </w:hyperlink>
      <w:r w:rsidR="004A4A24">
        <w:t xml:space="preserve"> </w:t>
      </w:r>
    </w:p>
  </w:footnote>
  <w:footnote w:id="43">
    <w:p w14:paraId="51F80F9F" w14:textId="77777777" w:rsidR="008B0630" w:rsidRPr="00AE0B8A" w:rsidRDefault="008B0630" w:rsidP="008B0630">
      <w:pPr>
        <w:pStyle w:val="FootnoteText"/>
        <w:ind w:firstLine="0"/>
      </w:pPr>
      <w:r w:rsidRPr="00AE0B8A">
        <w:rPr>
          <w:vertAlign w:val="superscript"/>
        </w:rPr>
        <w:footnoteRef/>
      </w:r>
      <w:r w:rsidRPr="00AE0B8A">
        <w:t xml:space="preserve"> Neieskaitot VSAOI fondēto pensiju shēmā.</w:t>
      </w:r>
    </w:p>
  </w:footnote>
  <w:footnote w:id="44">
    <w:p w14:paraId="283C4D62" w14:textId="77777777" w:rsidR="004B69C4" w:rsidRDefault="004B69C4" w:rsidP="00116188">
      <w:pPr>
        <w:pStyle w:val="FootnoteText"/>
        <w:ind w:firstLine="0"/>
        <w:jc w:val="left"/>
      </w:pPr>
      <w:r>
        <w:rPr>
          <w:rStyle w:val="FootnoteReference"/>
        </w:rPr>
        <w:footnoteRef/>
      </w:r>
      <w:r>
        <w:t xml:space="preserve"> </w:t>
      </w:r>
      <w:r w:rsidRPr="00A17293">
        <w:rPr>
          <w:b/>
        </w:rPr>
        <w:t>Vispārējās valdības parāds</w:t>
      </w:r>
      <w:r>
        <w:t xml:space="preserve"> tiek noteikts </w:t>
      </w:r>
      <w:r w:rsidRPr="00A17293">
        <w:t>atbilstoši EKS 2010 metodoloģijai (kopējais bruto parāds nominālvērtībā, kas nav nomaksāts gada beigās un konsolidēts starp vispārējās valdības sektoriem un to ietvaros</w:t>
      </w:r>
      <w:r>
        <w:t>). Sk. vairāk</w:t>
      </w:r>
      <w:r w:rsidRPr="00A17293">
        <w:t xml:space="preserve"> </w:t>
      </w:r>
      <w:hyperlink r:id="rId21" w:history="1">
        <w:r w:rsidRPr="00486A11">
          <w:rPr>
            <w:rStyle w:val="Hyperlink"/>
          </w:rPr>
          <w:t>https://data.europa.eu/data/datasets/dxhij18bl61dkx4xdskolw?locale=lv</w:t>
        </w:r>
      </w:hyperlink>
      <w:r>
        <w:t xml:space="preserve"> un </w:t>
      </w:r>
      <w:hyperlink r:id="rId22" w:history="1">
        <w:r w:rsidRPr="00AD2ED6">
          <w:rPr>
            <w:rStyle w:val="Hyperlink"/>
          </w:rPr>
          <w:t>https://www.kase.gov.lv/valsts-parada-vadiba/kas-ir-valsts-parads</w:t>
        </w:r>
      </w:hyperlink>
    </w:p>
  </w:footnote>
  <w:footnote w:id="45">
    <w:p w14:paraId="2C717002" w14:textId="77777777" w:rsidR="004B69C4" w:rsidRDefault="004B69C4" w:rsidP="00BF23A1">
      <w:pPr>
        <w:pStyle w:val="FootnoteText"/>
        <w:ind w:firstLine="0"/>
      </w:pPr>
      <w:r>
        <w:rPr>
          <w:rStyle w:val="FootnoteReference"/>
        </w:rPr>
        <w:footnoteRef/>
      </w:r>
      <w:r>
        <w:t xml:space="preserve"> </w:t>
      </w:r>
      <w:r>
        <w:rPr>
          <w:b/>
        </w:rPr>
        <w:t>V</w:t>
      </w:r>
      <w:r w:rsidRPr="00A17293">
        <w:rPr>
          <w:b/>
        </w:rPr>
        <w:t>alsts parāds</w:t>
      </w:r>
      <w:r w:rsidRPr="00A17293">
        <w:t xml:space="preserve"> tiek noteikts atbilstoši nacionālajai metodoloģijai saskaņā ar Likumu par budžetu un finanšu vadību un to veido valsts struktūru saņemtais un neatmaksātais parāds nominālvērtībā šādās finanšu instrumentu kategorijās: emitētie valsts vērtspapīri, aizņēmumi, krājobligācijas, bezprocentu obligācijas, kā arī klientu (izņemot valsts struktūru, tai skaitā valsts sociālas apdrošināšanas struktūru, bet ieskaitot valsts struktūru kontrolēto un finansēto komersantu, pašvaldību un to kontrolēto komercsabiedrību) Valsts kasē izvietot</w:t>
      </w:r>
      <w:r>
        <w:t xml:space="preserve">ie depozīti un kontu atlikumi, kā arī </w:t>
      </w:r>
      <w:r w:rsidRPr="002178EC">
        <w:t>Valsts kases administrētajiem aizņēmumiem un parāda vērtspapīriem piesaistīto atvasināto finanšu instrumentu (AFI) valūtas rezultāts</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AAD" w14:textId="77777777" w:rsidR="00E67A69" w:rsidRDefault="00F62CC7" w:rsidP="009B278A">
    <w:pPr>
      <w:tabs>
        <w:tab w:val="center" w:pos="4153"/>
        <w:tab w:val="right" w:pos="8306"/>
      </w:tabs>
      <w:jc w:val="center"/>
      <w:rPr>
        <w:noProof/>
      </w:rPr>
    </w:pPr>
    <w:sdt>
      <w:sdtPr>
        <w:id w:val="-641885071"/>
        <w:docPartObj>
          <w:docPartGallery w:val="Page Numbers (Top of Page)"/>
          <w:docPartUnique/>
        </w:docPartObj>
      </w:sdtPr>
      <w:sdtEndPr>
        <w:rPr>
          <w:noProof/>
        </w:rPr>
      </w:sdtEndPr>
      <w:sdtContent>
        <w:r w:rsidR="00E67A69">
          <w:fldChar w:fldCharType="begin"/>
        </w:r>
        <w:r w:rsidR="00E67A69">
          <w:instrText xml:space="preserve"> PAGE   \* MERGEFORMAT </w:instrText>
        </w:r>
        <w:r w:rsidR="00E67A69">
          <w:fldChar w:fldCharType="separate"/>
        </w:r>
        <w:r w:rsidR="00E67A69">
          <w:rPr>
            <w:noProof/>
          </w:rPr>
          <w:t>2</w:t>
        </w:r>
        <w:r w:rsidR="00E67A69">
          <w:rPr>
            <w:noProof/>
          </w:rPr>
          <w:fldChar w:fldCharType="end"/>
        </w:r>
      </w:sdtContent>
    </w:sdt>
  </w:p>
  <w:p w14:paraId="6566E936" w14:textId="77777777" w:rsidR="00E67A69" w:rsidRPr="009B278A" w:rsidRDefault="00E67A69" w:rsidP="009B278A">
    <w:pPr>
      <w:tabs>
        <w:tab w:val="center" w:pos="4153"/>
        <w:tab w:val="right" w:pos="8306"/>
      </w:tabs>
      <w:jc w:val="right"/>
      <w:rPr>
        <w:rFonts w:cs="Times New Roman"/>
        <w:noProof/>
        <w:szCs w:val="24"/>
      </w:rPr>
    </w:pPr>
    <w:r w:rsidRPr="008359A6">
      <w:rPr>
        <w:rFonts w:cs="Times New Roman"/>
        <w:sz w:val="20"/>
        <w:szCs w:val="20"/>
      </w:rPr>
      <w:t>Budžeta ietvars 202</w:t>
    </w:r>
    <w:r>
      <w:rPr>
        <w:rFonts w:cs="Times New Roman"/>
        <w:sz w:val="20"/>
        <w:szCs w:val="20"/>
      </w:rPr>
      <w:t>6</w:t>
    </w:r>
    <w:r w:rsidRPr="008359A6">
      <w:rPr>
        <w:rFonts w:cs="Times New Roman"/>
        <w:sz w:val="20"/>
        <w:szCs w:val="20"/>
      </w:rPr>
      <w:t>., 202</w:t>
    </w:r>
    <w:r>
      <w:rPr>
        <w:rFonts w:cs="Times New Roman"/>
        <w:sz w:val="20"/>
        <w:szCs w:val="20"/>
      </w:rPr>
      <w:t>7</w:t>
    </w:r>
    <w:r w:rsidRPr="008359A6">
      <w:rPr>
        <w:rFonts w:cs="Times New Roman"/>
        <w:sz w:val="20"/>
        <w:szCs w:val="20"/>
      </w:rPr>
      <w:t>. un 202</w:t>
    </w:r>
    <w:r>
      <w:rPr>
        <w:rFonts w:cs="Times New Roman"/>
        <w:sz w:val="20"/>
        <w:szCs w:val="20"/>
      </w:rPr>
      <w:t>8</w:t>
    </w:r>
    <w:r w:rsidRPr="008359A6">
      <w:rPr>
        <w:rFonts w:cs="Times New Roman"/>
        <w:sz w:val="20"/>
        <w:szCs w:val="20"/>
      </w:rPr>
      <w:t>. gadam</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43077094"/>
      <w:docPartObj>
        <w:docPartGallery w:val="Page Numbers (Top of Page)"/>
        <w:docPartUnique/>
      </w:docPartObj>
    </w:sdtPr>
    <w:sdtEndPr>
      <w:rPr>
        <w:rFonts w:cs="Times New Roman"/>
        <w:noProof/>
        <w:szCs w:val="24"/>
      </w:rPr>
    </w:sdtEndPr>
    <w:sdtContent>
      <w:p w14:paraId="6C7BE640" w14:textId="77777777" w:rsidR="00E67A69" w:rsidRPr="008359A6" w:rsidRDefault="00E67A69" w:rsidP="008359A6">
        <w:pPr>
          <w:tabs>
            <w:tab w:val="center" w:pos="4153"/>
            <w:tab w:val="right" w:pos="8306"/>
          </w:tabs>
          <w:jc w:val="center"/>
          <w:rPr>
            <w:rFonts w:cs="Times New Roman"/>
            <w:noProof/>
            <w:szCs w:val="24"/>
          </w:rPr>
        </w:pPr>
        <w:r w:rsidRPr="008359A6">
          <w:rPr>
            <w:rFonts w:cs="Times New Roman"/>
            <w:szCs w:val="24"/>
          </w:rPr>
          <w:fldChar w:fldCharType="begin"/>
        </w:r>
        <w:r w:rsidRPr="008359A6">
          <w:rPr>
            <w:rFonts w:cs="Times New Roman"/>
            <w:szCs w:val="24"/>
          </w:rPr>
          <w:instrText xml:space="preserve"> PAGE   \* MERGEFORMAT </w:instrText>
        </w:r>
        <w:r w:rsidRPr="008359A6">
          <w:rPr>
            <w:rFonts w:cs="Times New Roman"/>
            <w:szCs w:val="24"/>
          </w:rPr>
          <w:fldChar w:fldCharType="separate"/>
        </w:r>
        <w:r w:rsidRPr="008359A6">
          <w:rPr>
            <w:rFonts w:cs="Times New Roman"/>
            <w:szCs w:val="24"/>
          </w:rPr>
          <w:t>3</w:t>
        </w:r>
        <w:r w:rsidRPr="008359A6">
          <w:rPr>
            <w:rFonts w:cs="Times New Roman"/>
            <w:noProof/>
            <w:szCs w:val="24"/>
          </w:rPr>
          <w:fldChar w:fldCharType="end"/>
        </w:r>
      </w:p>
      <w:p w14:paraId="683D174A" w14:textId="77777777" w:rsidR="00E67A69" w:rsidRPr="008359A6" w:rsidRDefault="00E67A69" w:rsidP="008359A6">
        <w:pPr>
          <w:tabs>
            <w:tab w:val="center" w:pos="4153"/>
            <w:tab w:val="right" w:pos="8306"/>
          </w:tabs>
          <w:jc w:val="right"/>
          <w:rPr>
            <w:rFonts w:cs="Times New Roman"/>
            <w:noProof/>
            <w:szCs w:val="24"/>
          </w:rPr>
        </w:pPr>
        <w:r w:rsidRPr="008359A6">
          <w:rPr>
            <w:rFonts w:cs="Times New Roman"/>
            <w:sz w:val="20"/>
            <w:szCs w:val="20"/>
          </w:rPr>
          <w:t>Budžeta ietvars 202</w:t>
        </w:r>
        <w:r>
          <w:rPr>
            <w:rFonts w:cs="Times New Roman"/>
            <w:sz w:val="20"/>
            <w:szCs w:val="20"/>
          </w:rPr>
          <w:t>6</w:t>
        </w:r>
        <w:r w:rsidRPr="008359A6">
          <w:rPr>
            <w:rFonts w:cs="Times New Roman"/>
            <w:sz w:val="20"/>
            <w:szCs w:val="20"/>
          </w:rPr>
          <w:t>., 202</w:t>
        </w:r>
        <w:r>
          <w:rPr>
            <w:rFonts w:cs="Times New Roman"/>
            <w:sz w:val="20"/>
            <w:szCs w:val="20"/>
          </w:rPr>
          <w:t>7</w:t>
        </w:r>
        <w:r w:rsidRPr="008359A6">
          <w:rPr>
            <w:rFonts w:cs="Times New Roman"/>
            <w:sz w:val="20"/>
            <w:szCs w:val="20"/>
          </w:rPr>
          <w:t>. un 202</w:t>
        </w:r>
        <w:r>
          <w:rPr>
            <w:rFonts w:cs="Times New Roman"/>
            <w:sz w:val="20"/>
            <w:szCs w:val="20"/>
          </w:rPr>
          <w:t>8</w:t>
        </w:r>
        <w:r w:rsidRPr="008359A6">
          <w:rPr>
            <w:rFonts w:cs="Times New Roman"/>
            <w:sz w:val="20"/>
            <w:szCs w:val="20"/>
          </w:rPr>
          <w:t>. gadam</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96B442" w14:textId="77777777" w:rsidR="00A84C7F" w:rsidRDefault="00F62CC7" w:rsidP="009B278A">
    <w:pPr>
      <w:tabs>
        <w:tab w:val="center" w:pos="4153"/>
        <w:tab w:val="right" w:pos="8306"/>
      </w:tabs>
      <w:jc w:val="center"/>
      <w:rPr>
        <w:noProof/>
      </w:rPr>
    </w:pPr>
    <w:sdt>
      <w:sdtPr>
        <w:id w:val="-1013145662"/>
        <w:docPartObj>
          <w:docPartGallery w:val="Page Numbers (Top of Page)"/>
          <w:docPartUnique/>
        </w:docPartObj>
      </w:sdtPr>
      <w:sdtEndPr>
        <w:rPr>
          <w:noProof/>
        </w:rPr>
      </w:sdtEndPr>
      <w:sdtContent>
        <w:r w:rsidR="00A84C7F">
          <w:fldChar w:fldCharType="begin"/>
        </w:r>
        <w:r w:rsidR="00A84C7F">
          <w:instrText xml:space="preserve"> PAGE   \* MERGEFORMAT </w:instrText>
        </w:r>
        <w:r w:rsidR="00A84C7F">
          <w:fldChar w:fldCharType="separate"/>
        </w:r>
        <w:r w:rsidR="00A84C7F">
          <w:rPr>
            <w:noProof/>
          </w:rPr>
          <w:t>2</w:t>
        </w:r>
        <w:r w:rsidR="00A84C7F">
          <w:rPr>
            <w:noProof/>
          </w:rPr>
          <w:fldChar w:fldCharType="end"/>
        </w:r>
      </w:sdtContent>
    </w:sdt>
  </w:p>
  <w:p w14:paraId="168E0785" w14:textId="77777777" w:rsidR="00A84C7F" w:rsidRPr="009B278A" w:rsidRDefault="00A84C7F" w:rsidP="009B278A">
    <w:pPr>
      <w:tabs>
        <w:tab w:val="center" w:pos="4153"/>
        <w:tab w:val="right" w:pos="8306"/>
      </w:tabs>
      <w:jc w:val="right"/>
      <w:rPr>
        <w:rFonts w:cs="Times New Roman"/>
        <w:noProof/>
        <w:szCs w:val="24"/>
      </w:rPr>
    </w:pPr>
    <w:r w:rsidRPr="008359A6">
      <w:rPr>
        <w:rFonts w:cs="Times New Roman"/>
        <w:sz w:val="20"/>
        <w:szCs w:val="20"/>
      </w:rPr>
      <w:t>Budžeta ietvars 202</w:t>
    </w:r>
    <w:r>
      <w:rPr>
        <w:rFonts w:cs="Times New Roman"/>
        <w:sz w:val="20"/>
        <w:szCs w:val="20"/>
      </w:rPr>
      <w:t>6</w:t>
    </w:r>
    <w:r w:rsidRPr="008359A6">
      <w:rPr>
        <w:rFonts w:cs="Times New Roman"/>
        <w:sz w:val="20"/>
        <w:szCs w:val="20"/>
      </w:rPr>
      <w:t>., 202</w:t>
    </w:r>
    <w:r>
      <w:rPr>
        <w:rFonts w:cs="Times New Roman"/>
        <w:sz w:val="20"/>
        <w:szCs w:val="20"/>
      </w:rPr>
      <w:t>7</w:t>
    </w:r>
    <w:r w:rsidRPr="008359A6">
      <w:rPr>
        <w:rFonts w:cs="Times New Roman"/>
        <w:sz w:val="20"/>
        <w:szCs w:val="20"/>
      </w:rPr>
      <w:t>. un 202</w:t>
    </w:r>
    <w:r>
      <w:rPr>
        <w:rFonts w:cs="Times New Roman"/>
        <w:sz w:val="20"/>
        <w:szCs w:val="20"/>
      </w:rPr>
      <w:t>8</w:t>
    </w:r>
    <w:r w:rsidRPr="008359A6">
      <w:rPr>
        <w:rFonts w:cs="Times New Roman"/>
        <w:sz w:val="20"/>
        <w:szCs w:val="20"/>
      </w:rPr>
      <w:t>. gadam</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8568899"/>
      <w:docPartObj>
        <w:docPartGallery w:val="Page Numbers (Top of Page)"/>
        <w:docPartUnique/>
      </w:docPartObj>
    </w:sdtPr>
    <w:sdtEndPr>
      <w:rPr>
        <w:rFonts w:cs="Times New Roman"/>
        <w:noProof/>
        <w:szCs w:val="24"/>
      </w:rPr>
    </w:sdtEndPr>
    <w:sdtContent>
      <w:p w14:paraId="374FAF71" w14:textId="77777777" w:rsidR="00A84C7F" w:rsidRPr="008359A6" w:rsidRDefault="00A84C7F" w:rsidP="008359A6">
        <w:pPr>
          <w:tabs>
            <w:tab w:val="center" w:pos="4153"/>
            <w:tab w:val="right" w:pos="8306"/>
          </w:tabs>
          <w:jc w:val="center"/>
          <w:rPr>
            <w:rFonts w:cs="Times New Roman"/>
            <w:noProof/>
            <w:szCs w:val="24"/>
          </w:rPr>
        </w:pPr>
        <w:r w:rsidRPr="008359A6">
          <w:rPr>
            <w:rFonts w:cs="Times New Roman"/>
            <w:szCs w:val="24"/>
          </w:rPr>
          <w:fldChar w:fldCharType="begin"/>
        </w:r>
        <w:r w:rsidRPr="008359A6">
          <w:rPr>
            <w:rFonts w:cs="Times New Roman"/>
            <w:szCs w:val="24"/>
          </w:rPr>
          <w:instrText xml:space="preserve"> PAGE   \* MERGEFORMAT </w:instrText>
        </w:r>
        <w:r w:rsidRPr="008359A6">
          <w:rPr>
            <w:rFonts w:cs="Times New Roman"/>
            <w:szCs w:val="24"/>
          </w:rPr>
          <w:fldChar w:fldCharType="separate"/>
        </w:r>
        <w:r w:rsidRPr="008359A6">
          <w:rPr>
            <w:rFonts w:cs="Times New Roman"/>
            <w:szCs w:val="24"/>
          </w:rPr>
          <w:t>3</w:t>
        </w:r>
        <w:r w:rsidRPr="008359A6">
          <w:rPr>
            <w:rFonts w:cs="Times New Roman"/>
            <w:noProof/>
            <w:szCs w:val="24"/>
          </w:rPr>
          <w:fldChar w:fldCharType="end"/>
        </w:r>
      </w:p>
      <w:p w14:paraId="070A5A8B" w14:textId="77777777" w:rsidR="00A84C7F" w:rsidRPr="008359A6" w:rsidRDefault="00A84C7F" w:rsidP="008359A6">
        <w:pPr>
          <w:tabs>
            <w:tab w:val="center" w:pos="4153"/>
            <w:tab w:val="right" w:pos="8306"/>
          </w:tabs>
          <w:jc w:val="right"/>
          <w:rPr>
            <w:rFonts w:cs="Times New Roman"/>
            <w:noProof/>
            <w:szCs w:val="24"/>
          </w:rPr>
        </w:pPr>
        <w:r w:rsidRPr="008359A6">
          <w:rPr>
            <w:rFonts w:cs="Times New Roman"/>
            <w:sz w:val="20"/>
            <w:szCs w:val="20"/>
          </w:rPr>
          <w:t>Budžeta ietvars 202</w:t>
        </w:r>
        <w:r>
          <w:rPr>
            <w:rFonts w:cs="Times New Roman"/>
            <w:sz w:val="20"/>
            <w:szCs w:val="20"/>
          </w:rPr>
          <w:t>6</w:t>
        </w:r>
        <w:r w:rsidRPr="008359A6">
          <w:rPr>
            <w:rFonts w:cs="Times New Roman"/>
            <w:sz w:val="20"/>
            <w:szCs w:val="20"/>
          </w:rPr>
          <w:t>., 202</w:t>
        </w:r>
        <w:r>
          <w:rPr>
            <w:rFonts w:cs="Times New Roman"/>
            <w:sz w:val="20"/>
            <w:szCs w:val="20"/>
          </w:rPr>
          <w:t>7</w:t>
        </w:r>
        <w:r w:rsidRPr="008359A6">
          <w:rPr>
            <w:rFonts w:cs="Times New Roman"/>
            <w:sz w:val="20"/>
            <w:szCs w:val="20"/>
          </w:rPr>
          <w:t>. un 202</w:t>
        </w:r>
        <w:r>
          <w:rPr>
            <w:rFonts w:cs="Times New Roman"/>
            <w:sz w:val="20"/>
            <w:szCs w:val="20"/>
          </w:rPr>
          <w:t>8</w:t>
        </w:r>
        <w:r w:rsidRPr="008359A6">
          <w:rPr>
            <w:rFonts w:cs="Times New Roman"/>
            <w:sz w:val="20"/>
            <w:szCs w:val="20"/>
          </w:rPr>
          <w:t>. gadam</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43C1A"/>
    <w:multiLevelType w:val="hybridMultilevel"/>
    <w:tmpl w:val="D1DC7C2C"/>
    <w:lvl w:ilvl="0" w:tplc="0426000F">
      <w:start w:val="2"/>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 w15:restartNumberingAfterBreak="0">
    <w:nsid w:val="03F202B1"/>
    <w:multiLevelType w:val="multilevel"/>
    <w:tmpl w:val="CBEE1026"/>
    <w:lvl w:ilvl="0">
      <w:start w:val="1"/>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04A97A5A"/>
    <w:multiLevelType w:val="multilevel"/>
    <w:tmpl w:val="A8902754"/>
    <w:lvl w:ilvl="0">
      <w:start w:val="1"/>
      <w:numFmt w:val="decimal"/>
      <w:pStyle w:val="H1"/>
      <w:lvlText w:val="%1."/>
      <w:lvlJc w:val="left"/>
      <w:pPr>
        <w:ind w:left="675" w:hanging="675"/>
      </w:pPr>
      <w:rPr>
        <w:rFonts w:hint="default"/>
      </w:rPr>
    </w:lvl>
    <w:lvl w:ilvl="1">
      <w:start w:val="2"/>
      <w:numFmt w:val="decimal"/>
      <w:lvlText w:val="%1.%2."/>
      <w:lvlJc w:val="left"/>
      <w:pPr>
        <w:ind w:left="720" w:hanging="72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5C32C5C"/>
    <w:multiLevelType w:val="hybridMultilevel"/>
    <w:tmpl w:val="0EC6157E"/>
    <w:lvl w:ilvl="0" w:tplc="04260001">
      <w:start w:val="1"/>
      <w:numFmt w:val="bullet"/>
      <w:lvlText w:val=""/>
      <w:lvlJc w:val="left"/>
      <w:pPr>
        <w:ind w:left="1276" w:hanging="360"/>
      </w:pPr>
      <w:rPr>
        <w:rFonts w:ascii="Symbol" w:hAnsi="Symbol" w:hint="default"/>
      </w:rPr>
    </w:lvl>
    <w:lvl w:ilvl="1" w:tplc="04260003" w:tentative="1">
      <w:start w:val="1"/>
      <w:numFmt w:val="bullet"/>
      <w:lvlText w:val="o"/>
      <w:lvlJc w:val="left"/>
      <w:pPr>
        <w:ind w:left="1996" w:hanging="360"/>
      </w:pPr>
      <w:rPr>
        <w:rFonts w:ascii="Courier New" w:hAnsi="Courier New" w:cs="Courier New" w:hint="default"/>
      </w:rPr>
    </w:lvl>
    <w:lvl w:ilvl="2" w:tplc="04260005" w:tentative="1">
      <w:start w:val="1"/>
      <w:numFmt w:val="bullet"/>
      <w:lvlText w:val=""/>
      <w:lvlJc w:val="left"/>
      <w:pPr>
        <w:ind w:left="2716" w:hanging="360"/>
      </w:pPr>
      <w:rPr>
        <w:rFonts w:ascii="Wingdings" w:hAnsi="Wingdings" w:hint="default"/>
      </w:rPr>
    </w:lvl>
    <w:lvl w:ilvl="3" w:tplc="04260001" w:tentative="1">
      <w:start w:val="1"/>
      <w:numFmt w:val="bullet"/>
      <w:lvlText w:val=""/>
      <w:lvlJc w:val="left"/>
      <w:pPr>
        <w:ind w:left="3436" w:hanging="360"/>
      </w:pPr>
      <w:rPr>
        <w:rFonts w:ascii="Symbol" w:hAnsi="Symbol" w:hint="default"/>
      </w:rPr>
    </w:lvl>
    <w:lvl w:ilvl="4" w:tplc="04260003" w:tentative="1">
      <w:start w:val="1"/>
      <w:numFmt w:val="bullet"/>
      <w:lvlText w:val="o"/>
      <w:lvlJc w:val="left"/>
      <w:pPr>
        <w:ind w:left="4156" w:hanging="360"/>
      </w:pPr>
      <w:rPr>
        <w:rFonts w:ascii="Courier New" w:hAnsi="Courier New" w:cs="Courier New" w:hint="default"/>
      </w:rPr>
    </w:lvl>
    <w:lvl w:ilvl="5" w:tplc="04260005" w:tentative="1">
      <w:start w:val="1"/>
      <w:numFmt w:val="bullet"/>
      <w:lvlText w:val=""/>
      <w:lvlJc w:val="left"/>
      <w:pPr>
        <w:ind w:left="4876" w:hanging="360"/>
      </w:pPr>
      <w:rPr>
        <w:rFonts w:ascii="Wingdings" w:hAnsi="Wingdings" w:hint="default"/>
      </w:rPr>
    </w:lvl>
    <w:lvl w:ilvl="6" w:tplc="04260001" w:tentative="1">
      <w:start w:val="1"/>
      <w:numFmt w:val="bullet"/>
      <w:lvlText w:val=""/>
      <w:lvlJc w:val="left"/>
      <w:pPr>
        <w:ind w:left="5596" w:hanging="360"/>
      </w:pPr>
      <w:rPr>
        <w:rFonts w:ascii="Symbol" w:hAnsi="Symbol" w:hint="default"/>
      </w:rPr>
    </w:lvl>
    <w:lvl w:ilvl="7" w:tplc="04260003" w:tentative="1">
      <w:start w:val="1"/>
      <w:numFmt w:val="bullet"/>
      <w:lvlText w:val="o"/>
      <w:lvlJc w:val="left"/>
      <w:pPr>
        <w:ind w:left="6316" w:hanging="360"/>
      </w:pPr>
      <w:rPr>
        <w:rFonts w:ascii="Courier New" w:hAnsi="Courier New" w:cs="Courier New" w:hint="default"/>
      </w:rPr>
    </w:lvl>
    <w:lvl w:ilvl="8" w:tplc="04260005" w:tentative="1">
      <w:start w:val="1"/>
      <w:numFmt w:val="bullet"/>
      <w:lvlText w:val=""/>
      <w:lvlJc w:val="left"/>
      <w:pPr>
        <w:ind w:left="7036" w:hanging="360"/>
      </w:pPr>
      <w:rPr>
        <w:rFonts w:ascii="Wingdings" w:hAnsi="Wingdings" w:hint="default"/>
      </w:rPr>
    </w:lvl>
  </w:abstractNum>
  <w:abstractNum w:abstractNumId="4" w15:restartNumberingAfterBreak="0">
    <w:nsid w:val="062612BE"/>
    <w:multiLevelType w:val="multilevel"/>
    <w:tmpl w:val="775A231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9AC4078"/>
    <w:multiLevelType w:val="hybridMultilevel"/>
    <w:tmpl w:val="3386088A"/>
    <w:lvl w:ilvl="0" w:tplc="FFFFFFFF">
      <w:start w:val="1"/>
      <w:numFmt w:val="decimal"/>
      <w:lvlText w:val="%1)"/>
      <w:lvlJc w:val="left"/>
      <w:pPr>
        <w:ind w:left="1080" w:hanging="360"/>
      </w:pPr>
      <w:rPr>
        <w:rFonts w:hint="default"/>
      </w:rPr>
    </w:lvl>
    <w:lvl w:ilvl="1" w:tplc="FFFFFFFF">
      <w:start w:val="1"/>
      <w:numFmt w:val="lowerLetter"/>
      <w:lvlText w:val="%2)"/>
      <w:lvlJc w:val="left"/>
      <w:pPr>
        <w:ind w:left="1440" w:hanging="360"/>
      </w:pPr>
      <w:rPr>
        <w:rFonts w:ascii="Times New Roman" w:eastAsia="Times New Roman" w:hAnsi="Times New Roman" w:cs="Times New Roman"/>
      </w:rPr>
    </w:lvl>
    <w:lvl w:ilvl="2" w:tplc="FFFFFFFF">
      <w:start w:val="2"/>
      <w:numFmt w:val="bullet"/>
      <w:lvlText w:val="-"/>
      <w:lvlJc w:val="left"/>
      <w:pPr>
        <w:ind w:left="2340" w:hanging="360"/>
      </w:pPr>
      <w:rPr>
        <w:rFonts w:ascii="Times New Roman" w:eastAsiaTheme="minorEastAsia" w:hAnsi="Times New Roman" w:cs="Times New Roman" w:hint="default"/>
      </w:rPr>
    </w:lvl>
    <w:lvl w:ilvl="3" w:tplc="FFFFFFFF">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C4C757B"/>
    <w:multiLevelType w:val="hybridMultilevel"/>
    <w:tmpl w:val="D8305700"/>
    <w:lvl w:ilvl="0" w:tplc="08003F60">
      <w:start w:val="1"/>
      <w:numFmt w:val="decimal"/>
      <w:lvlText w:val="%1."/>
      <w:lvlJc w:val="left"/>
      <w:pPr>
        <w:ind w:left="360" w:hanging="360"/>
      </w:pPr>
      <w:rPr>
        <w:b w:val="0"/>
        <w:bCs/>
        <w:color w:val="auto"/>
      </w:rPr>
    </w:lvl>
    <w:lvl w:ilvl="1" w:tplc="04260019" w:tentative="1">
      <w:start w:val="1"/>
      <w:numFmt w:val="lowerLetter"/>
      <w:lvlText w:val="%2."/>
      <w:lvlJc w:val="left"/>
      <w:pPr>
        <w:ind w:left="1080" w:hanging="360"/>
      </w:pPr>
    </w:lvl>
    <w:lvl w:ilvl="2" w:tplc="0426001B" w:tentative="1">
      <w:start w:val="1"/>
      <w:numFmt w:val="lowerRoman"/>
      <w:lvlText w:val="%3."/>
      <w:lvlJc w:val="right"/>
      <w:pPr>
        <w:ind w:left="1800" w:hanging="180"/>
      </w:pPr>
    </w:lvl>
    <w:lvl w:ilvl="3" w:tplc="0426000F" w:tentative="1">
      <w:start w:val="1"/>
      <w:numFmt w:val="decimal"/>
      <w:lvlText w:val="%4."/>
      <w:lvlJc w:val="left"/>
      <w:pPr>
        <w:ind w:left="2520" w:hanging="360"/>
      </w:pPr>
    </w:lvl>
    <w:lvl w:ilvl="4" w:tplc="04260019" w:tentative="1">
      <w:start w:val="1"/>
      <w:numFmt w:val="lowerLetter"/>
      <w:lvlText w:val="%5."/>
      <w:lvlJc w:val="left"/>
      <w:pPr>
        <w:ind w:left="3240" w:hanging="360"/>
      </w:pPr>
    </w:lvl>
    <w:lvl w:ilvl="5" w:tplc="0426001B" w:tentative="1">
      <w:start w:val="1"/>
      <w:numFmt w:val="lowerRoman"/>
      <w:lvlText w:val="%6."/>
      <w:lvlJc w:val="right"/>
      <w:pPr>
        <w:ind w:left="3960" w:hanging="180"/>
      </w:pPr>
    </w:lvl>
    <w:lvl w:ilvl="6" w:tplc="0426000F" w:tentative="1">
      <w:start w:val="1"/>
      <w:numFmt w:val="decimal"/>
      <w:lvlText w:val="%7."/>
      <w:lvlJc w:val="left"/>
      <w:pPr>
        <w:ind w:left="4680" w:hanging="360"/>
      </w:pPr>
    </w:lvl>
    <w:lvl w:ilvl="7" w:tplc="04260019" w:tentative="1">
      <w:start w:val="1"/>
      <w:numFmt w:val="lowerLetter"/>
      <w:lvlText w:val="%8."/>
      <w:lvlJc w:val="left"/>
      <w:pPr>
        <w:ind w:left="5400" w:hanging="360"/>
      </w:pPr>
    </w:lvl>
    <w:lvl w:ilvl="8" w:tplc="0426001B" w:tentative="1">
      <w:start w:val="1"/>
      <w:numFmt w:val="lowerRoman"/>
      <w:lvlText w:val="%9."/>
      <w:lvlJc w:val="right"/>
      <w:pPr>
        <w:ind w:left="6120" w:hanging="180"/>
      </w:pPr>
    </w:lvl>
  </w:abstractNum>
  <w:abstractNum w:abstractNumId="7" w15:restartNumberingAfterBreak="0">
    <w:nsid w:val="0F1B3975"/>
    <w:multiLevelType w:val="hybridMultilevel"/>
    <w:tmpl w:val="0AB892E8"/>
    <w:lvl w:ilvl="0" w:tplc="04260005">
      <w:start w:val="1"/>
      <w:numFmt w:val="bullet"/>
      <w:lvlText w:val=""/>
      <w:lvlJc w:val="left"/>
      <w:pPr>
        <w:ind w:left="1429" w:hanging="360"/>
      </w:pPr>
      <w:rPr>
        <w:rFonts w:ascii="Wingdings" w:hAnsi="Wingdings" w:hint="default"/>
      </w:rPr>
    </w:lvl>
    <w:lvl w:ilvl="1" w:tplc="04260003" w:tentative="1">
      <w:start w:val="1"/>
      <w:numFmt w:val="bullet"/>
      <w:lvlText w:val="o"/>
      <w:lvlJc w:val="left"/>
      <w:pPr>
        <w:ind w:left="2149" w:hanging="360"/>
      </w:pPr>
      <w:rPr>
        <w:rFonts w:ascii="Courier New" w:hAnsi="Courier New" w:cs="Courier New" w:hint="default"/>
      </w:rPr>
    </w:lvl>
    <w:lvl w:ilvl="2" w:tplc="04260005" w:tentative="1">
      <w:start w:val="1"/>
      <w:numFmt w:val="bullet"/>
      <w:lvlText w:val=""/>
      <w:lvlJc w:val="left"/>
      <w:pPr>
        <w:ind w:left="2869" w:hanging="360"/>
      </w:pPr>
      <w:rPr>
        <w:rFonts w:ascii="Wingdings" w:hAnsi="Wingdings" w:hint="default"/>
      </w:rPr>
    </w:lvl>
    <w:lvl w:ilvl="3" w:tplc="04260001" w:tentative="1">
      <w:start w:val="1"/>
      <w:numFmt w:val="bullet"/>
      <w:lvlText w:val=""/>
      <w:lvlJc w:val="left"/>
      <w:pPr>
        <w:ind w:left="3589" w:hanging="360"/>
      </w:pPr>
      <w:rPr>
        <w:rFonts w:ascii="Symbol" w:hAnsi="Symbol" w:hint="default"/>
      </w:rPr>
    </w:lvl>
    <w:lvl w:ilvl="4" w:tplc="04260003" w:tentative="1">
      <w:start w:val="1"/>
      <w:numFmt w:val="bullet"/>
      <w:lvlText w:val="o"/>
      <w:lvlJc w:val="left"/>
      <w:pPr>
        <w:ind w:left="4309" w:hanging="360"/>
      </w:pPr>
      <w:rPr>
        <w:rFonts w:ascii="Courier New" w:hAnsi="Courier New" w:cs="Courier New" w:hint="default"/>
      </w:rPr>
    </w:lvl>
    <w:lvl w:ilvl="5" w:tplc="04260005" w:tentative="1">
      <w:start w:val="1"/>
      <w:numFmt w:val="bullet"/>
      <w:lvlText w:val=""/>
      <w:lvlJc w:val="left"/>
      <w:pPr>
        <w:ind w:left="5029" w:hanging="360"/>
      </w:pPr>
      <w:rPr>
        <w:rFonts w:ascii="Wingdings" w:hAnsi="Wingdings" w:hint="default"/>
      </w:rPr>
    </w:lvl>
    <w:lvl w:ilvl="6" w:tplc="04260001" w:tentative="1">
      <w:start w:val="1"/>
      <w:numFmt w:val="bullet"/>
      <w:lvlText w:val=""/>
      <w:lvlJc w:val="left"/>
      <w:pPr>
        <w:ind w:left="5749" w:hanging="360"/>
      </w:pPr>
      <w:rPr>
        <w:rFonts w:ascii="Symbol" w:hAnsi="Symbol" w:hint="default"/>
      </w:rPr>
    </w:lvl>
    <w:lvl w:ilvl="7" w:tplc="04260003" w:tentative="1">
      <w:start w:val="1"/>
      <w:numFmt w:val="bullet"/>
      <w:lvlText w:val="o"/>
      <w:lvlJc w:val="left"/>
      <w:pPr>
        <w:ind w:left="6469" w:hanging="360"/>
      </w:pPr>
      <w:rPr>
        <w:rFonts w:ascii="Courier New" w:hAnsi="Courier New" w:cs="Courier New" w:hint="default"/>
      </w:rPr>
    </w:lvl>
    <w:lvl w:ilvl="8" w:tplc="04260005" w:tentative="1">
      <w:start w:val="1"/>
      <w:numFmt w:val="bullet"/>
      <w:lvlText w:val=""/>
      <w:lvlJc w:val="left"/>
      <w:pPr>
        <w:ind w:left="7189" w:hanging="360"/>
      </w:pPr>
      <w:rPr>
        <w:rFonts w:ascii="Wingdings" w:hAnsi="Wingdings" w:hint="default"/>
      </w:rPr>
    </w:lvl>
  </w:abstractNum>
  <w:abstractNum w:abstractNumId="8" w15:restartNumberingAfterBreak="0">
    <w:nsid w:val="0FE90890"/>
    <w:multiLevelType w:val="hybridMultilevel"/>
    <w:tmpl w:val="5E3ED0E2"/>
    <w:lvl w:ilvl="0" w:tplc="198C507C">
      <w:start w:val="1"/>
      <w:numFmt w:val="decimal"/>
      <w:lvlText w:val="%1."/>
      <w:lvlJc w:val="left"/>
      <w:pPr>
        <w:ind w:left="1440" w:hanging="360"/>
      </w:pPr>
      <w:rPr>
        <w:rFonts w:ascii="Verdana" w:hAnsi="Verdana" w:hint="default"/>
        <w:color w:val="auto"/>
        <w:sz w:val="20"/>
      </w:rPr>
    </w:lvl>
    <w:lvl w:ilvl="1" w:tplc="04260019">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9" w15:restartNumberingAfterBreak="0">
    <w:nsid w:val="155E65CF"/>
    <w:multiLevelType w:val="hybridMultilevel"/>
    <w:tmpl w:val="114033E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0" w15:restartNumberingAfterBreak="0">
    <w:nsid w:val="18180035"/>
    <w:multiLevelType w:val="hybridMultilevel"/>
    <w:tmpl w:val="3444645C"/>
    <w:lvl w:ilvl="0" w:tplc="BE1E0AD0">
      <w:start w:val="1"/>
      <w:numFmt w:val="decimal"/>
      <w:lvlText w:val="%1)"/>
      <w:lvlJc w:val="left"/>
      <w:pPr>
        <w:ind w:left="720" w:hanging="360"/>
      </w:pPr>
    </w:lvl>
    <w:lvl w:ilvl="1" w:tplc="3CB67CDE">
      <w:start w:val="1"/>
      <w:numFmt w:val="decimal"/>
      <w:lvlText w:val="%2)"/>
      <w:lvlJc w:val="left"/>
      <w:pPr>
        <w:ind w:left="720" w:hanging="360"/>
      </w:pPr>
    </w:lvl>
    <w:lvl w:ilvl="2" w:tplc="F6CC981E">
      <w:start w:val="1"/>
      <w:numFmt w:val="decimal"/>
      <w:lvlText w:val="%3)"/>
      <w:lvlJc w:val="left"/>
      <w:pPr>
        <w:ind w:left="720" w:hanging="360"/>
      </w:pPr>
    </w:lvl>
    <w:lvl w:ilvl="3" w:tplc="2C5652DC">
      <w:start w:val="1"/>
      <w:numFmt w:val="decimal"/>
      <w:lvlText w:val="%4)"/>
      <w:lvlJc w:val="left"/>
      <w:pPr>
        <w:ind w:left="720" w:hanging="360"/>
      </w:pPr>
    </w:lvl>
    <w:lvl w:ilvl="4" w:tplc="4B427618">
      <w:start w:val="1"/>
      <w:numFmt w:val="decimal"/>
      <w:lvlText w:val="%5)"/>
      <w:lvlJc w:val="left"/>
      <w:pPr>
        <w:ind w:left="720" w:hanging="360"/>
      </w:pPr>
    </w:lvl>
    <w:lvl w:ilvl="5" w:tplc="1C845A46">
      <w:start w:val="1"/>
      <w:numFmt w:val="decimal"/>
      <w:lvlText w:val="%6)"/>
      <w:lvlJc w:val="left"/>
      <w:pPr>
        <w:ind w:left="720" w:hanging="360"/>
      </w:pPr>
    </w:lvl>
    <w:lvl w:ilvl="6" w:tplc="B02E41B2">
      <w:start w:val="1"/>
      <w:numFmt w:val="decimal"/>
      <w:lvlText w:val="%7)"/>
      <w:lvlJc w:val="left"/>
      <w:pPr>
        <w:ind w:left="720" w:hanging="360"/>
      </w:pPr>
    </w:lvl>
    <w:lvl w:ilvl="7" w:tplc="DF1CEFAC">
      <w:start w:val="1"/>
      <w:numFmt w:val="decimal"/>
      <w:lvlText w:val="%8)"/>
      <w:lvlJc w:val="left"/>
      <w:pPr>
        <w:ind w:left="720" w:hanging="360"/>
      </w:pPr>
    </w:lvl>
    <w:lvl w:ilvl="8" w:tplc="2306F368">
      <w:start w:val="1"/>
      <w:numFmt w:val="decimal"/>
      <w:lvlText w:val="%9)"/>
      <w:lvlJc w:val="left"/>
      <w:pPr>
        <w:ind w:left="720" w:hanging="360"/>
      </w:pPr>
    </w:lvl>
  </w:abstractNum>
  <w:abstractNum w:abstractNumId="11" w15:restartNumberingAfterBreak="0">
    <w:nsid w:val="19643CE5"/>
    <w:multiLevelType w:val="hybridMultilevel"/>
    <w:tmpl w:val="D0721A7E"/>
    <w:lvl w:ilvl="0" w:tplc="3B383F78">
      <w:start w:val="1"/>
      <w:numFmt w:val="bullet"/>
      <w:lvlText w:val=""/>
      <w:lvlJc w:val="righ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2" w15:restartNumberingAfterBreak="0">
    <w:nsid w:val="22071755"/>
    <w:multiLevelType w:val="multilevel"/>
    <w:tmpl w:val="5634A306"/>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6D61DE7"/>
    <w:multiLevelType w:val="multilevel"/>
    <w:tmpl w:val="C02CE74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Heading3"/>
      <w:lvlText w:val="%1.%2.%3."/>
      <w:lvlJc w:val="left"/>
      <w:pPr>
        <w:ind w:left="3623"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3EA660D"/>
    <w:multiLevelType w:val="hybridMultilevel"/>
    <w:tmpl w:val="00925BF4"/>
    <w:lvl w:ilvl="0" w:tplc="644422E2">
      <w:start w:val="1"/>
      <w:numFmt w:val="decimal"/>
      <w:lvlText w:val="%1."/>
      <w:lvlJc w:val="left"/>
      <w:pPr>
        <w:ind w:left="360" w:hanging="360"/>
      </w:pPr>
      <w:rPr>
        <w:color w:val="auto"/>
      </w:rPr>
    </w:lvl>
    <w:lvl w:ilvl="1" w:tplc="04260019" w:tentative="1">
      <w:start w:val="1"/>
      <w:numFmt w:val="lowerLetter"/>
      <w:lvlText w:val="%2."/>
      <w:lvlJc w:val="left"/>
      <w:pPr>
        <w:ind w:left="1080" w:hanging="360"/>
      </w:pPr>
    </w:lvl>
    <w:lvl w:ilvl="2" w:tplc="0426001B" w:tentative="1">
      <w:start w:val="1"/>
      <w:numFmt w:val="lowerRoman"/>
      <w:lvlText w:val="%3."/>
      <w:lvlJc w:val="right"/>
      <w:pPr>
        <w:ind w:left="1800" w:hanging="180"/>
      </w:pPr>
    </w:lvl>
    <w:lvl w:ilvl="3" w:tplc="0426000F" w:tentative="1">
      <w:start w:val="1"/>
      <w:numFmt w:val="decimal"/>
      <w:lvlText w:val="%4."/>
      <w:lvlJc w:val="left"/>
      <w:pPr>
        <w:ind w:left="2520" w:hanging="360"/>
      </w:pPr>
    </w:lvl>
    <w:lvl w:ilvl="4" w:tplc="04260019" w:tentative="1">
      <w:start w:val="1"/>
      <w:numFmt w:val="lowerLetter"/>
      <w:lvlText w:val="%5."/>
      <w:lvlJc w:val="left"/>
      <w:pPr>
        <w:ind w:left="3240" w:hanging="360"/>
      </w:pPr>
    </w:lvl>
    <w:lvl w:ilvl="5" w:tplc="0426001B" w:tentative="1">
      <w:start w:val="1"/>
      <w:numFmt w:val="lowerRoman"/>
      <w:lvlText w:val="%6."/>
      <w:lvlJc w:val="right"/>
      <w:pPr>
        <w:ind w:left="3960" w:hanging="180"/>
      </w:pPr>
    </w:lvl>
    <w:lvl w:ilvl="6" w:tplc="0426000F" w:tentative="1">
      <w:start w:val="1"/>
      <w:numFmt w:val="decimal"/>
      <w:lvlText w:val="%7."/>
      <w:lvlJc w:val="left"/>
      <w:pPr>
        <w:ind w:left="4680" w:hanging="360"/>
      </w:pPr>
    </w:lvl>
    <w:lvl w:ilvl="7" w:tplc="04260019" w:tentative="1">
      <w:start w:val="1"/>
      <w:numFmt w:val="lowerLetter"/>
      <w:lvlText w:val="%8."/>
      <w:lvlJc w:val="left"/>
      <w:pPr>
        <w:ind w:left="5400" w:hanging="360"/>
      </w:pPr>
    </w:lvl>
    <w:lvl w:ilvl="8" w:tplc="0426001B" w:tentative="1">
      <w:start w:val="1"/>
      <w:numFmt w:val="lowerRoman"/>
      <w:lvlText w:val="%9."/>
      <w:lvlJc w:val="right"/>
      <w:pPr>
        <w:ind w:left="6120" w:hanging="180"/>
      </w:pPr>
    </w:lvl>
  </w:abstractNum>
  <w:abstractNum w:abstractNumId="15" w15:restartNumberingAfterBreak="0">
    <w:nsid w:val="38F424D0"/>
    <w:multiLevelType w:val="multilevel"/>
    <w:tmpl w:val="F9AA900C"/>
    <w:lvl w:ilvl="0">
      <w:start w:val="1"/>
      <w:numFmt w:val="decimal"/>
      <w:lvlRestart w:val="0"/>
      <w:pStyle w:val="Point123"/>
      <w:lvlText w:val="%1."/>
      <w:lvlJc w:val="left"/>
      <w:pPr>
        <w:tabs>
          <w:tab w:val="num" w:pos="567"/>
        </w:tabs>
        <w:ind w:left="567" w:hanging="567"/>
      </w:pPr>
      <w:rPr>
        <w:rFonts w:ascii="Times New Roman" w:eastAsia="Times New Roman" w:hAnsi="Times New Roman" w:cs="Times New Roman" w:hint="default"/>
      </w:rPr>
    </w:lvl>
    <w:lvl w:ilvl="1">
      <w:start w:val="1"/>
      <w:numFmt w:val="lowerLetter"/>
      <w:pStyle w:val="Pointabc"/>
      <w:lvlText w:val="%2)"/>
      <w:lvlJc w:val="left"/>
      <w:pPr>
        <w:tabs>
          <w:tab w:val="num" w:pos="567"/>
        </w:tabs>
        <w:ind w:left="567" w:hanging="567"/>
      </w:pPr>
      <w:rPr>
        <w:rFonts w:hint="default"/>
      </w:rPr>
    </w:lvl>
    <w:lvl w:ilvl="2">
      <w:start w:val="1"/>
      <w:numFmt w:val="decimal"/>
      <w:pStyle w:val="Point1231"/>
      <w:lvlText w:val="%3."/>
      <w:lvlJc w:val="left"/>
      <w:pPr>
        <w:tabs>
          <w:tab w:val="num" w:pos="993"/>
        </w:tabs>
        <w:ind w:left="993" w:hanging="567"/>
      </w:pPr>
      <w:rPr>
        <w:rFonts w:hint="default"/>
      </w:rPr>
    </w:lvl>
    <w:lvl w:ilvl="3">
      <w:start w:val="1"/>
      <w:numFmt w:val="lowerLetter"/>
      <w:pStyle w:val="Pointabc1"/>
      <w:lvlText w:val="%4)"/>
      <w:lvlJc w:val="left"/>
      <w:pPr>
        <w:tabs>
          <w:tab w:val="num" w:pos="1134"/>
        </w:tabs>
        <w:ind w:left="1134" w:hanging="567"/>
      </w:pPr>
      <w:rPr>
        <w:rFonts w:hint="default"/>
      </w:rPr>
    </w:lvl>
    <w:lvl w:ilvl="4">
      <w:start w:val="1"/>
      <w:numFmt w:val="decimal"/>
      <w:pStyle w:val="Point1232"/>
      <w:lvlText w:val="%5."/>
      <w:lvlJc w:val="left"/>
      <w:pPr>
        <w:tabs>
          <w:tab w:val="num" w:pos="1701"/>
        </w:tabs>
        <w:ind w:left="1701" w:hanging="567"/>
      </w:pPr>
      <w:rPr>
        <w:rFonts w:hint="default"/>
      </w:rPr>
    </w:lvl>
    <w:lvl w:ilvl="5">
      <w:start w:val="1"/>
      <w:numFmt w:val="lowerLetter"/>
      <w:pStyle w:val="Pointabc2"/>
      <w:lvlText w:val="%6)"/>
      <w:lvlJc w:val="left"/>
      <w:pPr>
        <w:tabs>
          <w:tab w:val="num" w:pos="1701"/>
        </w:tabs>
        <w:ind w:left="1701" w:hanging="567"/>
      </w:pPr>
      <w:rPr>
        <w:rFonts w:hint="default"/>
      </w:rPr>
    </w:lvl>
    <w:lvl w:ilvl="6">
      <w:start w:val="1"/>
      <w:numFmt w:val="decimal"/>
      <w:pStyle w:val="Point1233"/>
      <w:lvlText w:val="%7."/>
      <w:lvlJc w:val="left"/>
      <w:pPr>
        <w:tabs>
          <w:tab w:val="num" w:pos="2268"/>
        </w:tabs>
        <w:ind w:left="2268" w:hanging="567"/>
      </w:pPr>
      <w:rPr>
        <w:rFonts w:hint="default"/>
      </w:rPr>
    </w:lvl>
    <w:lvl w:ilvl="7">
      <w:start w:val="1"/>
      <w:numFmt w:val="lowerLetter"/>
      <w:pStyle w:val="Pointabc3"/>
      <w:lvlText w:val="%8)"/>
      <w:lvlJc w:val="left"/>
      <w:pPr>
        <w:tabs>
          <w:tab w:val="num" w:pos="2268"/>
        </w:tabs>
        <w:ind w:left="2268" w:hanging="567"/>
      </w:pPr>
      <w:rPr>
        <w:rFonts w:hint="default"/>
      </w:rPr>
    </w:lvl>
    <w:lvl w:ilvl="8">
      <w:start w:val="1"/>
      <w:numFmt w:val="lowerLetter"/>
      <w:pStyle w:val="Pointabc4"/>
      <w:lvlText w:val="%9)"/>
      <w:lvlJc w:val="left"/>
      <w:pPr>
        <w:tabs>
          <w:tab w:val="num" w:pos="2835"/>
        </w:tabs>
        <w:ind w:left="2835" w:hanging="567"/>
      </w:pPr>
      <w:rPr>
        <w:rFonts w:hint="default"/>
      </w:rPr>
    </w:lvl>
  </w:abstractNum>
  <w:abstractNum w:abstractNumId="16" w15:restartNumberingAfterBreak="0">
    <w:nsid w:val="3F2B27A3"/>
    <w:multiLevelType w:val="multilevel"/>
    <w:tmpl w:val="85F456BA"/>
    <w:lvl w:ilvl="0">
      <w:start w:val="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7" w15:restartNumberingAfterBreak="0">
    <w:nsid w:val="499E7F6F"/>
    <w:multiLevelType w:val="hybridMultilevel"/>
    <w:tmpl w:val="F71228D2"/>
    <w:lvl w:ilvl="0" w:tplc="E3DAAA08">
      <w:numFmt w:val="bullet"/>
      <w:lvlText w:val="•"/>
      <w:lvlJc w:val="left"/>
      <w:pPr>
        <w:ind w:left="1080" w:hanging="360"/>
      </w:pPr>
      <w:rPr>
        <w:rFonts w:ascii="Times New Roman" w:eastAsia="Times New Roman" w:hAnsi="Times New Roman" w:cs="Times New Roman"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8" w15:restartNumberingAfterBreak="0">
    <w:nsid w:val="4E722E00"/>
    <w:multiLevelType w:val="hybridMultilevel"/>
    <w:tmpl w:val="E642271E"/>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19" w15:restartNumberingAfterBreak="0">
    <w:nsid w:val="4EBA7C3B"/>
    <w:multiLevelType w:val="hybridMultilevel"/>
    <w:tmpl w:val="E12A98CA"/>
    <w:lvl w:ilvl="0" w:tplc="0426000F">
      <w:start w:val="1"/>
      <w:numFmt w:val="decimal"/>
      <w:lvlText w:val="%1."/>
      <w:lvlJc w:val="left"/>
      <w:pPr>
        <w:ind w:left="1440" w:hanging="360"/>
      </w:pPr>
      <w:rPr>
        <w:rFonts w:hint="default"/>
        <w:sz w:val="24"/>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0" w15:restartNumberingAfterBreak="0">
    <w:nsid w:val="51B72FD1"/>
    <w:multiLevelType w:val="multilevel"/>
    <w:tmpl w:val="5634A306"/>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3A40919"/>
    <w:multiLevelType w:val="hybridMultilevel"/>
    <w:tmpl w:val="8E385E78"/>
    <w:lvl w:ilvl="0" w:tplc="9A289BF4">
      <w:start w:val="1"/>
      <w:numFmt w:val="bullet"/>
      <w:lvlRestart w:val="0"/>
      <w:lvlText w:val=""/>
      <w:lvlJc w:val="left"/>
      <w:pPr>
        <w:ind w:left="0" w:firstLine="705"/>
      </w:pPr>
      <w:rPr>
        <w:u w:val="none"/>
      </w:rPr>
    </w:lvl>
    <w:lvl w:ilvl="1" w:tplc="539C069C">
      <w:start w:val="1"/>
      <w:numFmt w:val="bullet"/>
      <w:lvlRestart w:val="0"/>
      <w:lvlText w:val=""/>
      <w:lvlJc w:val="left"/>
      <w:pPr>
        <w:ind w:left="0" w:firstLine="705"/>
      </w:pPr>
      <w:rPr>
        <w:u w:val="none"/>
      </w:rPr>
    </w:lvl>
    <w:lvl w:ilvl="2" w:tplc="E6B6620E">
      <w:numFmt w:val="decimal"/>
      <w:lvlText w:val=""/>
      <w:lvlJc w:val="left"/>
    </w:lvl>
    <w:lvl w:ilvl="3" w:tplc="4C049AAA">
      <w:numFmt w:val="decimal"/>
      <w:lvlText w:val=""/>
      <w:lvlJc w:val="left"/>
    </w:lvl>
    <w:lvl w:ilvl="4" w:tplc="120A7664">
      <w:numFmt w:val="decimal"/>
      <w:lvlText w:val=""/>
      <w:lvlJc w:val="left"/>
    </w:lvl>
    <w:lvl w:ilvl="5" w:tplc="756C51F2">
      <w:numFmt w:val="decimal"/>
      <w:lvlText w:val=""/>
      <w:lvlJc w:val="left"/>
    </w:lvl>
    <w:lvl w:ilvl="6" w:tplc="0D6C58F8">
      <w:numFmt w:val="decimal"/>
      <w:lvlText w:val=""/>
      <w:lvlJc w:val="left"/>
    </w:lvl>
    <w:lvl w:ilvl="7" w:tplc="BBFC53E8">
      <w:numFmt w:val="decimal"/>
      <w:lvlText w:val=""/>
      <w:lvlJc w:val="left"/>
    </w:lvl>
    <w:lvl w:ilvl="8" w:tplc="5FAA5152">
      <w:numFmt w:val="decimal"/>
      <w:lvlText w:val=""/>
      <w:lvlJc w:val="left"/>
    </w:lvl>
  </w:abstractNum>
  <w:abstractNum w:abstractNumId="22" w15:restartNumberingAfterBreak="0">
    <w:nsid w:val="580C0389"/>
    <w:multiLevelType w:val="hybridMultilevel"/>
    <w:tmpl w:val="D1847432"/>
    <w:lvl w:ilvl="0" w:tplc="4B543126">
      <w:start w:val="1"/>
      <w:numFmt w:val="decimal"/>
      <w:lvlText w:val="%1."/>
      <w:lvlJc w:val="left"/>
      <w:pPr>
        <w:ind w:left="1069" w:hanging="360"/>
      </w:pPr>
      <w:rPr>
        <w:rFonts w:hint="default"/>
      </w:rPr>
    </w:lvl>
    <w:lvl w:ilvl="1" w:tplc="04260019" w:tentative="1">
      <w:start w:val="1"/>
      <w:numFmt w:val="lowerLetter"/>
      <w:lvlText w:val="%2."/>
      <w:lvlJc w:val="left"/>
      <w:pPr>
        <w:ind w:left="1789" w:hanging="360"/>
      </w:pPr>
    </w:lvl>
    <w:lvl w:ilvl="2" w:tplc="0426001B" w:tentative="1">
      <w:start w:val="1"/>
      <w:numFmt w:val="lowerRoman"/>
      <w:lvlText w:val="%3."/>
      <w:lvlJc w:val="right"/>
      <w:pPr>
        <w:ind w:left="2509" w:hanging="180"/>
      </w:pPr>
    </w:lvl>
    <w:lvl w:ilvl="3" w:tplc="0426000F" w:tentative="1">
      <w:start w:val="1"/>
      <w:numFmt w:val="decimal"/>
      <w:lvlText w:val="%4."/>
      <w:lvlJc w:val="left"/>
      <w:pPr>
        <w:ind w:left="3229" w:hanging="360"/>
      </w:pPr>
    </w:lvl>
    <w:lvl w:ilvl="4" w:tplc="04260019" w:tentative="1">
      <w:start w:val="1"/>
      <w:numFmt w:val="lowerLetter"/>
      <w:lvlText w:val="%5."/>
      <w:lvlJc w:val="left"/>
      <w:pPr>
        <w:ind w:left="3949" w:hanging="360"/>
      </w:pPr>
    </w:lvl>
    <w:lvl w:ilvl="5" w:tplc="0426001B" w:tentative="1">
      <w:start w:val="1"/>
      <w:numFmt w:val="lowerRoman"/>
      <w:lvlText w:val="%6."/>
      <w:lvlJc w:val="right"/>
      <w:pPr>
        <w:ind w:left="4669" w:hanging="180"/>
      </w:pPr>
    </w:lvl>
    <w:lvl w:ilvl="6" w:tplc="0426000F" w:tentative="1">
      <w:start w:val="1"/>
      <w:numFmt w:val="decimal"/>
      <w:lvlText w:val="%7."/>
      <w:lvlJc w:val="left"/>
      <w:pPr>
        <w:ind w:left="5389" w:hanging="360"/>
      </w:pPr>
    </w:lvl>
    <w:lvl w:ilvl="7" w:tplc="04260019" w:tentative="1">
      <w:start w:val="1"/>
      <w:numFmt w:val="lowerLetter"/>
      <w:lvlText w:val="%8."/>
      <w:lvlJc w:val="left"/>
      <w:pPr>
        <w:ind w:left="6109" w:hanging="360"/>
      </w:pPr>
    </w:lvl>
    <w:lvl w:ilvl="8" w:tplc="0426001B" w:tentative="1">
      <w:start w:val="1"/>
      <w:numFmt w:val="lowerRoman"/>
      <w:lvlText w:val="%9."/>
      <w:lvlJc w:val="right"/>
      <w:pPr>
        <w:ind w:left="6829" w:hanging="180"/>
      </w:pPr>
    </w:lvl>
  </w:abstractNum>
  <w:abstractNum w:abstractNumId="23" w15:restartNumberingAfterBreak="0">
    <w:nsid w:val="604D252A"/>
    <w:multiLevelType w:val="hybridMultilevel"/>
    <w:tmpl w:val="CB762842"/>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4" w15:restartNumberingAfterBreak="0">
    <w:nsid w:val="6A4F3174"/>
    <w:multiLevelType w:val="multilevel"/>
    <w:tmpl w:val="69881E4A"/>
    <w:lvl w:ilvl="0">
      <w:start w:val="1"/>
      <w:numFmt w:val="decimal"/>
      <w:lvlText w:val="%1."/>
      <w:lvlJc w:val="left"/>
      <w:pPr>
        <w:ind w:left="360" w:hanging="360"/>
      </w:pPr>
      <w:rPr>
        <w:b/>
      </w:rPr>
    </w:lvl>
    <w:lvl w:ilvl="1">
      <w:start w:val="1"/>
      <w:numFmt w:val="decimal"/>
      <w:isLgl/>
      <w:lvlText w:val="%1.%2."/>
      <w:lvlJc w:val="left"/>
      <w:pPr>
        <w:ind w:left="1117" w:hanging="55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25" w15:restartNumberingAfterBreak="0">
    <w:nsid w:val="6A5E691B"/>
    <w:multiLevelType w:val="hybridMultilevel"/>
    <w:tmpl w:val="E9F26DDA"/>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6" w15:restartNumberingAfterBreak="0">
    <w:nsid w:val="6C5957D7"/>
    <w:multiLevelType w:val="hybridMultilevel"/>
    <w:tmpl w:val="545485F8"/>
    <w:lvl w:ilvl="0" w:tplc="04260005">
      <w:start w:val="1"/>
      <w:numFmt w:val="bullet"/>
      <w:lvlText w:val=""/>
      <w:lvlJc w:val="left"/>
      <w:pPr>
        <w:ind w:left="1429" w:hanging="360"/>
      </w:pPr>
      <w:rPr>
        <w:rFonts w:ascii="Wingdings" w:hAnsi="Wingdings" w:hint="default"/>
      </w:rPr>
    </w:lvl>
    <w:lvl w:ilvl="1" w:tplc="04260003" w:tentative="1">
      <w:start w:val="1"/>
      <w:numFmt w:val="bullet"/>
      <w:lvlText w:val="o"/>
      <w:lvlJc w:val="left"/>
      <w:pPr>
        <w:ind w:left="2149" w:hanging="360"/>
      </w:pPr>
      <w:rPr>
        <w:rFonts w:ascii="Courier New" w:hAnsi="Courier New" w:cs="Courier New" w:hint="default"/>
      </w:rPr>
    </w:lvl>
    <w:lvl w:ilvl="2" w:tplc="04260005" w:tentative="1">
      <w:start w:val="1"/>
      <w:numFmt w:val="bullet"/>
      <w:lvlText w:val=""/>
      <w:lvlJc w:val="left"/>
      <w:pPr>
        <w:ind w:left="2869" w:hanging="360"/>
      </w:pPr>
      <w:rPr>
        <w:rFonts w:ascii="Wingdings" w:hAnsi="Wingdings" w:hint="default"/>
      </w:rPr>
    </w:lvl>
    <w:lvl w:ilvl="3" w:tplc="04260001" w:tentative="1">
      <w:start w:val="1"/>
      <w:numFmt w:val="bullet"/>
      <w:lvlText w:val=""/>
      <w:lvlJc w:val="left"/>
      <w:pPr>
        <w:ind w:left="3589" w:hanging="360"/>
      </w:pPr>
      <w:rPr>
        <w:rFonts w:ascii="Symbol" w:hAnsi="Symbol" w:hint="default"/>
      </w:rPr>
    </w:lvl>
    <w:lvl w:ilvl="4" w:tplc="04260003" w:tentative="1">
      <w:start w:val="1"/>
      <w:numFmt w:val="bullet"/>
      <w:lvlText w:val="o"/>
      <w:lvlJc w:val="left"/>
      <w:pPr>
        <w:ind w:left="4309" w:hanging="360"/>
      </w:pPr>
      <w:rPr>
        <w:rFonts w:ascii="Courier New" w:hAnsi="Courier New" w:cs="Courier New" w:hint="default"/>
      </w:rPr>
    </w:lvl>
    <w:lvl w:ilvl="5" w:tplc="04260005" w:tentative="1">
      <w:start w:val="1"/>
      <w:numFmt w:val="bullet"/>
      <w:lvlText w:val=""/>
      <w:lvlJc w:val="left"/>
      <w:pPr>
        <w:ind w:left="5029" w:hanging="360"/>
      </w:pPr>
      <w:rPr>
        <w:rFonts w:ascii="Wingdings" w:hAnsi="Wingdings" w:hint="default"/>
      </w:rPr>
    </w:lvl>
    <w:lvl w:ilvl="6" w:tplc="04260001" w:tentative="1">
      <w:start w:val="1"/>
      <w:numFmt w:val="bullet"/>
      <w:lvlText w:val=""/>
      <w:lvlJc w:val="left"/>
      <w:pPr>
        <w:ind w:left="5749" w:hanging="360"/>
      </w:pPr>
      <w:rPr>
        <w:rFonts w:ascii="Symbol" w:hAnsi="Symbol" w:hint="default"/>
      </w:rPr>
    </w:lvl>
    <w:lvl w:ilvl="7" w:tplc="04260003" w:tentative="1">
      <w:start w:val="1"/>
      <w:numFmt w:val="bullet"/>
      <w:lvlText w:val="o"/>
      <w:lvlJc w:val="left"/>
      <w:pPr>
        <w:ind w:left="6469" w:hanging="360"/>
      </w:pPr>
      <w:rPr>
        <w:rFonts w:ascii="Courier New" w:hAnsi="Courier New" w:cs="Courier New" w:hint="default"/>
      </w:rPr>
    </w:lvl>
    <w:lvl w:ilvl="8" w:tplc="04260005" w:tentative="1">
      <w:start w:val="1"/>
      <w:numFmt w:val="bullet"/>
      <w:lvlText w:val=""/>
      <w:lvlJc w:val="left"/>
      <w:pPr>
        <w:ind w:left="7189" w:hanging="360"/>
      </w:pPr>
      <w:rPr>
        <w:rFonts w:ascii="Wingdings" w:hAnsi="Wingdings" w:hint="default"/>
      </w:rPr>
    </w:lvl>
  </w:abstractNum>
  <w:abstractNum w:abstractNumId="27" w15:restartNumberingAfterBreak="0">
    <w:nsid w:val="6F2654B3"/>
    <w:multiLevelType w:val="hybridMultilevel"/>
    <w:tmpl w:val="602A829E"/>
    <w:lvl w:ilvl="0" w:tplc="04260001">
      <w:start w:val="1"/>
      <w:numFmt w:val="bullet"/>
      <w:lvlText w:val=""/>
      <w:lvlJc w:val="left"/>
      <w:pPr>
        <w:ind w:left="1440" w:hanging="360"/>
      </w:pPr>
      <w:rPr>
        <w:rFonts w:ascii="Symbol" w:hAnsi="Symbol"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28" w15:restartNumberingAfterBreak="0">
    <w:nsid w:val="741E0518"/>
    <w:multiLevelType w:val="hybridMultilevel"/>
    <w:tmpl w:val="A66AAA42"/>
    <w:lvl w:ilvl="0" w:tplc="3EF813EC">
      <w:start w:val="18"/>
      <w:numFmt w:val="bullet"/>
      <w:lvlText w:val=""/>
      <w:lvlJc w:val="left"/>
      <w:pPr>
        <w:ind w:left="1080" w:hanging="360"/>
      </w:pPr>
      <w:rPr>
        <w:rFonts w:ascii="Symbol" w:eastAsiaTheme="minorEastAsia" w:hAnsi="Symbol" w:cstheme="minorBidi"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29" w15:restartNumberingAfterBreak="0">
    <w:nsid w:val="75853581"/>
    <w:multiLevelType w:val="hybridMultilevel"/>
    <w:tmpl w:val="B7ACD488"/>
    <w:lvl w:ilvl="0" w:tplc="FF063DF2">
      <w:start w:val="18"/>
      <w:numFmt w:val="bullet"/>
      <w:lvlText w:val=""/>
      <w:lvlJc w:val="left"/>
      <w:pPr>
        <w:ind w:left="1080" w:hanging="360"/>
      </w:pPr>
      <w:rPr>
        <w:rFonts w:ascii="Symbol" w:eastAsiaTheme="minorEastAsia" w:hAnsi="Symbol" w:cstheme="minorBidi"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30" w15:restartNumberingAfterBreak="0">
    <w:nsid w:val="7610109D"/>
    <w:multiLevelType w:val="multilevel"/>
    <w:tmpl w:val="1D442D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775415CA"/>
    <w:multiLevelType w:val="hybridMultilevel"/>
    <w:tmpl w:val="356AB2B2"/>
    <w:lvl w:ilvl="0" w:tplc="0682217A">
      <w:start w:val="1"/>
      <w:numFmt w:val="decimal"/>
      <w:lvlText w:val="(%1)"/>
      <w:lvlJc w:val="left"/>
      <w:pPr>
        <w:ind w:left="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0426000F">
      <w:start w:val="1"/>
      <w:numFmt w:val="decimal"/>
      <w:lvlText w:val="%2."/>
      <w:lvlJc w:val="left"/>
      <w:pPr>
        <w:ind w:left="644" w:hanging="360"/>
      </w:pPr>
    </w:lvl>
    <w:lvl w:ilvl="2" w:tplc="E36E7494">
      <w:start w:val="1"/>
      <w:numFmt w:val="lowerLetter"/>
      <w:lvlText w:val="%3)"/>
      <w:lvlJc w:val="left"/>
      <w:pPr>
        <w:ind w:left="56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3" w:tplc="EB8E6E6E">
      <w:start w:val="1"/>
      <w:numFmt w:val="decimal"/>
      <w:lvlText w:val="%4"/>
      <w:lvlJc w:val="left"/>
      <w:pPr>
        <w:ind w:left="1923"/>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FF0E58E4">
      <w:start w:val="1"/>
      <w:numFmt w:val="lowerLetter"/>
      <w:lvlText w:val="%5"/>
      <w:lvlJc w:val="left"/>
      <w:pPr>
        <w:ind w:left="2643"/>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5" w:tplc="C01440D2">
      <w:start w:val="1"/>
      <w:numFmt w:val="lowerRoman"/>
      <w:lvlText w:val="%6"/>
      <w:lvlJc w:val="left"/>
      <w:pPr>
        <w:ind w:left="3363"/>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6" w:tplc="42B81D52">
      <w:start w:val="1"/>
      <w:numFmt w:val="decimal"/>
      <w:lvlText w:val="%7"/>
      <w:lvlJc w:val="left"/>
      <w:pPr>
        <w:ind w:left="4083"/>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2A5EAE8A">
      <w:start w:val="1"/>
      <w:numFmt w:val="lowerLetter"/>
      <w:lvlText w:val="%8"/>
      <w:lvlJc w:val="left"/>
      <w:pPr>
        <w:ind w:left="4803"/>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8" w:tplc="66AEA274">
      <w:start w:val="1"/>
      <w:numFmt w:val="lowerRoman"/>
      <w:lvlText w:val="%9"/>
      <w:lvlJc w:val="left"/>
      <w:pPr>
        <w:ind w:left="5523"/>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abstractNum>
  <w:abstractNum w:abstractNumId="32" w15:restartNumberingAfterBreak="0">
    <w:nsid w:val="777920A1"/>
    <w:multiLevelType w:val="hybridMultilevel"/>
    <w:tmpl w:val="FAF8A23E"/>
    <w:lvl w:ilvl="0" w:tplc="04260005">
      <w:start w:val="1"/>
      <w:numFmt w:val="bullet"/>
      <w:lvlText w:val=""/>
      <w:lvlJc w:val="left"/>
      <w:pPr>
        <w:ind w:left="1069" w:hanging="360"/>
      </w:pPr>
      <w:rPr>
        <w:rFonts w:ascii="Wingdings" w:hAnsi="Wingdings" w:hint="default"/>
      </w:rPr>
    </w:lvl>
    <w:lvl w:ilvl="1" w:tplc="04260019">
      <w:start w:val="1"/>
      <w:numFmt w:val="lowerLetter"/>
      <w:lvlText w:val="%2."/>
      <w:lvlJc w:val="left"/>
      <w:pPr>
        <w:ind w:left="2149" w:hanging="360"/>
      </w:pPr>
    </w:lvl>
    <w:lvl w:ilvl="2" w:tplc="0426001B">
      <w:start w:val="1"/>
      <w:numFmt w:val="lowerRoman"/>
      <w:lvlText w:val="%3."/>
      <w:lvlJc w:val="right"/>
      <w:pPr>
        <w:ind w:left="2869" w:hanging="180"/>
      </w:pPr>
    </w:lvl>
    <w:lvl w:ilvl="3" w:tplc="0426000F" w:tentative="1">
      <w:start w:val="1"/>
      <w:numFmt w:val="decimal"/>
      <w:lvlText w:val="%4."/>
      <w:lvlJc w:val="left"/>
      <w:pPr>
        <w:ind w:left="3589" w:hanging="360"/>
      </w:pPr>
    </w:lvl>
    <w:lvl w:ilvl="4" w:tplc="04260019" w:tentative="1">
      <w:start w:val="1"/>
      <w:numFmt w:val="lowerLetter"/>
      <w:lvlText w:val="%5."/>
      <w:lvlJc w:val="left"/>
      <w:pPr>
        <w:ind w:left="4309" w:hanging="360"/>
      </w:pPr>
    </w:lvl>
    <w:lvl w:ilvl="5" w:tplc="0426001B" w:tentative="1">
      <w:start w:val="1"/>
      <w:numFmt w:val="lowerRoman"/>
      <w:lvlText w:val="%6."/>
      <w:lvlJc w:val="right"/>
      <w:pPr>
        <w:ind w:left="5029" w:hanging="180"/>
      </w:pPr>
    </w:lvl>
    <w:lvl w:ilvl="6" w:tplc="0426000F" w:tentative="1">
      <w:start w:val="1"/>
      <w:numFmt w:val="decimal"/>
      <w:lvlText w:val="%7."/>
      <w:lvlJc w:val="left"/>
      <w:pPr>
        <w:ind w:left="5749" w:hanging="360"/>
      </w:pPr>
    </w:lvl>
    <w:lvl w:ilvl="7" w:tplc="04260019" w:tentative="1">
      <w:start w:val="1"/>
      <w:numFmt w:val="lowerLetter"/>
      <w:lvlText w:val="%8."/>
      <w:lvlJc w:val="left"/>
      <w:pPr>
        <w:ind w:left="6469" w:hanging="360"/>
      </w:pPr>
    </w:lvl>
    <w:lvl w:ilvl="8" w:tplc="0426001B" w:tentative="1">
      <w:start w:val="1"/>
      <w:numFmt w:val="lowerRoman"/>
      <w:lvlText w:val="%9."/>
      <w:lvlJc w:val="right"/>
      <w:pPr>
        <w:ind w:left="7189" w:hanging="180"/>
      </w:pPr>
    </w:lvl>
  </w:abstractNum>
  <w:abstractNum w:abstractNumId="33" w15:restartNumberingAfterBreak="0">
    <w:nsid w:val="79F15BB9"/>
    <w:multiLevelType w:val="multilevel"/>
    <w:tmpl w:val="16F86D38"/>
    <w:lvl w:ilvl="0">
      <w:start w:val="1"/>
      <w:numFmt w:val="bullet"/>
      <w:lvlText w:val=""/>
      <w:lvlJc w:val="left"/>
      <w:rPr>
        <w:rFonts w:ascii="Symbol" w:hAnsi="Symbol" w:hint="default"/>
      </w:rPr>
    </w:lvl>
    <w:lvl w:ilvl="1">
      <w:start w:val="1"/>
      <w:numFmt w:val="bullet"/>
      <w:lvlText w:val=""/>
      <w:lvlJc w:val="left"/>
      <w:pPr>
        <w:ind w:left="1440" w:hanging="360"/>
      </w:pPr>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CA923FD"/>
    <w:multiLevelType w:val="hybridMultilevel"/>
    <w:tmpl w:val="546C4A86"/>
    <w:lvl w:ilvl="0" w:tplc="FFFFFFFF">
      <w:start w:val="1"/>
      <w:numFmt w:val="decimal"/>
      <w:lvlText w:val="%1."/>
      <w:lvlJc w:val="left"/>
      <w:pPr>
        <w:ind w:left="2934"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5" w15:restartNumberingAfterBreak="0">
    <w:nsid w:val="7CD0166F"/>
    <w:multiLevelType w:val="multilevel"/>
    <w:tmpl w:val="D7E4E2BE"/>
    <w:lvl w:ilvl="0">
      <w:start w:val="1"/>
      <w:numFmt w:val="bullet"/>
      <w:lvlText w:val=""/>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72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F582A27"/>
    <w:multiLevelType w:val="hybridMultilevel"/>
    <w:tmpl w:val="ADAAD5D8"/>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num w:numId="1" w16cid:durableId="1952665376">
    <w:abstractNumId w:val="2"/>
  </w:num>
  <w:num w:numId="2" w16cid:durableId="460267261">
    <w:abstractNumId w:val="3"/>
  </w:num>
  <w:num w:numId="3" w16cid:durableId="989820409">
    <w:abstractNumId w:val="15"/>
  </w:num>
  <w:num w:numId="4" w16cid:durableId="1210075778">
    <w:abstractNumId w:val="13"/>
  </w:num>
  <w:num w:numId="5" w16cid:durableId="484710608">
    <w:abstractNumId w:val="30"/>
  </w:num>
  <w:num w:numId="6" w16cid:durableId="1091926424">
    <w:abstractNumId w:val="7"/>
  </w:num>
  <w:num w:numId="7" w16cid:durableId="1124693397">
    <w:abstractNumId w:val="26"/>
  </w:num>
  <w:num w:numId="8" w16cid:durableId="147866107">
    <w:abstractNumId w:val="32"/>
  </w:num>
  <w:num w:numId="9" w16cid:durableId="2004965917">
    <w:abstractNumId w:val="4"/>
  </w:num>
  <w:num w:numId="10" w16cid:durableId="749278884">
    <w:abstractNumId w:val="35"/>
  </w:num>
  <w:num w:numId="11" w16cid:durableId="1761095436">
    <w:abstractNumId w:val="11"/>
  </w:num>
  <w:num w:numId="12" w16cid:durableId="1719091468">
    <w:abstractNumId w:val="34"/>
  </w:num>
  <w:num w:numId="13" w16cid:durableId="1952012599">
    <w:abstractNumId w:val="5"/>
  </w:num>
  <w:num w:numId="14" w16cid:durableId="1736976907">
    <w:abstractNumId w:val="22"/>
  </w:num>
  <w:num w:numId="15" w16cid:durableId="76484230">
    <w:abstractNumId w:val="18"/>
  </w:num>
  <w:num w:numId="16" w16cid:durableId="49547636">
    <w:abstractNumId w:val="21"/>
  </w:num>
  <w:num w:numId="17" w16cid:durableId="275061570">
    <w:abstractNumId w:val="6"/>
  </w:num>
  <w:num w:numId="18" w16cid:durableId="969551403">
    <w:abstractNumId w:val="10"/>
  </w:num>
  <w:num w:numId="19" w16cid:durableId="1468862641">
    <w:abstractNumId w:val="19"/>
  </w:num>
  <w:num w:numId="20" w16cid:durableId="1459301916">
    <w:abstractNumId w:val="24"/>
  </w:num>
  <w:num w:numId="21" w16cid:durableId="814490827">
    <w:abstractNumId w:val="17"/>
  </w:num>
  <w:num w:numId="22" w16cid:durableId="246501981">
    <w:abstractNumId w:val="36"/>
  </w:num>
  <w:num w:numId="23" w16cid:durableId="933050516">
    <w:abstractNumId w:val="31"/>
  </w:num>
  <w:num w:numId="24" w16cid:durableId="552620621">
    <w:abstractNumId w:val="8"/>
  </w:num>
  <w:num w:numId="25" w16cid:durableId="1204513222">
    <w:abstractNumId w:val="16"/>
  </w:num>
  <w:num w:numId="26" w16cid:durableId="22776980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67521801">
    <w:abstractNumId w:val="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796581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239166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28795124">
    <w:abstractNumId w:val="14"/>
  </w:num>
  <w:num w:numId="31" w16cid:durableId="538124432">
    <w:abstractNumId w:val="23"/>
  </w:num>
  <w:num w:numId="32" w16cid:durableId="382216925">
    <w:abstractNumId w:val="20"/>
  </w:num>
  <w:num w:numId="33" w16cid:durableId="694843891">
    <w:abstractNumId w:val="12"/>
  </w:num>
  <w:num w:numId="34" w16cid:durableId="35735529">
    <w:abstractNumId w:val="33"/>
  </w:num>
  <w:num w:numId="35" w16cid:durableId="201946704">
    <w:abstractNumId w:val="28"/>
  </w:num>
  <w:num w:numId="36" w16cid:durableId="727341174">
    <w:abstractNumId w:val="29"/>
  </w:num>
  <w:num w:numId="37" w16cid:durableId="407851289">
    <w:abstractNumId w:val="0"/>
  </w:num>
  <w:num w:numId="38" w16cid:durableId="1054815538">
    <w:abstractNumId w:val="25"/>
  </w:num>
  <w:num w:numId="39" w16cid:durableId="1136334749">
    <w:abstractNumId w:val="9"/>
  </w:num>
  <w:num w:numId="40" w16cid:durableId="2081318971">
    <w:abstractNumId w:val="2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ES"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ru-RU" w:vendorID="64" w:dllVersion="6" w:nlCheck="1" w:checkStyle="0"/>
  <w:activeWritingStyle w:appName="MSWord" w:lang="ru-RU" w:vendorID="64" w:dllVersion="0" w:nlCheck="1" w:checkStyle="0"/>
  <w:defaultTabStop w:val="72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3FCD"/>
    <w:rsid w:val="0000055D"/>
    <w:rsid w:val="00001017"/>
    <w:rsid w:val="00003C17"/>
    <w:rsid w:val="00003C6F"/>
    <w:rsid w:val="00003DAF"/>
    <w:rsid w:val="00004069"/>
    <w:rsid w:val="000051B7"/>
    <w:rsid w:val="00005C1A"/>
    <w:rsid w:val="00005F7F"/>
    <w:rsid w:val="000061B8"/>
    <w:rsid w:val="00006347"/>
    <w:rsid w:val="00010045"/>
    <w:rsid w:val="000110A6"/>
    <w:rsid w:val="00011245"/>
    <w:rsid w:val="00011E6E"/>
    <w:rsid w:val="00012C72"/>
    <w:rsid w:val="000147E7"/>
    <w:rsid w:val="00017387"/>
    <w:rsid w:val="000226D6"/>
    <w:rsid w:val="000265E2"/>
    <w:rsid w:val="00027929"/>
    <w:rsid w:val="0003314E"/>
    <w:rsid w:val="000333FD"/>
    <w:rsid w:val="000336D5"/>
    <w:rsid w:val="0003379A"/>
    <w:rsid w:val="000368AE"/>
    <w:rsid w:val="00040682"/>
    <w:rsid w:val="0004087E"/>
    <w:rsid w:val="000408CF"/>
    <w:rsid w:val="00040E75"/>
    <w:rsid w:val="00041F28"/>
    <w:rsid w:val="000433EF"/>
    <w:rsid w:val="00043D08"/>
    <w:rsid w:val="00046116"/>
    <w:rsid w:val="0004655C"/>
    <w:rsid w:val="00047A9E"/>
    <w:rsid w:val="0005104E"/>
    <w:rsid w:val="00051573"/>
    <w:rsid w:val="00051655"/>
    <w:rsid w:val="000548A5"/>
    <w:rsid w:val="000556A3"/>
    <w:rsid w:val="0005600D"/>
    <w:rsid w:val="00056940"/>
    <w:rsid w:val="00057E11"/>
    <w:rsid w:val="00057EB6"/>
    <w:rsid w:val="0006000D"/>
    <w:rsid w:val="0006001C"/>
    <w:rsid w:val="0006055A"/>
    <w:rsid w:val="00061CF9"/>
    <w:rsid w:val="00062B9C"/>
    <w:rsid w:val="00063C33"/>
    <w:rsid w:val="00064587"/>
    <w:rsid w:val="00065178"/>
    <w:rsid w:val="000657F7"/>
    <w:rsid w:val="0006718F"/>
    <w:rsid w:val="000671B6"/>
    <w:rsid w:val="000709B3"/>
    <w:rsid w:val="00071293"/>
    <w:rsid w:val="000736B9"/>
    <w:rsid w:val="000738ED"/>
    <w:rsid w:val="00074630"/>
    <w:rsid w:val="00074953"/>
    <w:rsid w:val="00075224"/>
    <w:rsid w:val="00075ABF"/>
    <w:rsid w:val="00075B87"/>
    <w:rsid w:val="00075DA6"/>
    <w:rsid w:val="00077698"/>
    <w:rsid w:val="00080880"/>
    <w:rsid w:val="00080F5D"/>
    <w:rsid w:val="00082D9C"/>
    <w:rsid w:val="00083B46"/>
    <w:rsid w:val="000848C1"/>
    <w:rsid w:val="00085786"/>
    <w:rsid w:val="00085B8F"/>
    <w:rsid w:val="0008675F"/>
    <w:rsid w:val="00090B27"/>
    <w:rsid w:val="00092745"/>
    <w:rsid w:val="0009382D"/>
    <w:rsid w:val="0009452B"/>
    <w:rsid w:val="00094B7B"/>
    <w:rsid w:val="00095088"/>
    <w:rsid w:val="00096494"/>
    <w:rsid w:val="00096F2A"/>
    <w:rsid w:val="000A1248"/>
    <w:rsid w:val="000A284A"/>
    <w:rsid w:val="000A2DF9"/>
    <w:rsid w:val="000A3972"/>
    <w:rsid w:val="000A63DF"/>
    <w:rsid w:val="000A76D8"/>
    <w:rsid w:val="000B0C11"/>
    <w:rsid w:val="000B253D"/>
    <w:rsid w:val="000B3B95"/>
    <w:rsid w:val="000B47D5"/>
    <w:rsid w:val="000B59E6"/>
    <w:rsid w:val="000B6235"/>
    <w:rsid w:val="000C1B2D"/>
    <w:rsid w:val="000C22C5"/>
    <w:rsid w:val="000C237C"/>
    <w:rsid w:val="000C25D0"/>
    <w:rsid w:val="000C2811"/>
    <w:rsid w:val="000C391E"/>
    <w:rsid w:val="000C3B1C"/>
    <w:rsid w:val="000C3EB5"/>
    <w:rsid w:val="000C4293"/>
    <w:rsid w:val="000C5890"/>
    <w:rsid w:val="000C6147"/>
    <w:rsid w:val="000C7AD9"/>
    <w:rsid w:val="000D017B"/>
    <w:rsid w:val="000D0306"/>
    <w:rsid w:val="000D2620"/>
    <w:rsid w:val="000D2CDD"/>
    <w:rsid w:val="000D4D00"/>
    <w:rsid w:val="000E2408"/>
    <w:rsid w:val="000E5D6A"/>
    <w:rsid w:val="000F0A11"/>
    <w:rsid w:val="000F52A6"/>
    <w:rsid w:val="000F6C00"/>
    <w:rsid w:val="00100266"/>
    <w:rsid w:val="00100BDF"/>
    <w:rsid w:val="001010B3"/>
    <w:rsid w:val="0010115D"/>
    <w:rsid w:val="00101433"/>
    <w:rsid w:val="0010166A"/>
    <w:rsid w:val="00101E84"/>
    <w:rsid w:val="00103113"/>
    <w:rsid w:val="00106210"/>
    <w:rsid w:val="00106477"/>
    <w:rsid w:val="001078E6"/>
    <w:rsid w:val="00107DF1"/>
    <w:rsid w:val="00112C33"/>
    <w:rsid w:val="00113007"/>
    <w:rsid w:val="00114190"/>
    <w:rsid w:val="001145C0"/>
    <w:rsid w:val="00114704"/>
    <w:rsid w:val="00115108"/>
    <w:rsid w:val="00116188"/>
    <w:rsid w:val="00116FC6"/>
    <w:rsid w:val="00117F48"/>
    <w:rsid w:val="001219A0"/>
    <w:rsid w:val="00121C88"/>
    <w:rsid w:val="0012299E"/>
    <w:rsid w:val="00122DC0"/>
    <w:rsid w:val="00122F78"/>
    <w:rsid w:val="00124F31"/>
    <w:rsid w:val="00127E05"/>
    <w:rsid w:val="00134F91"/>
    <w:rsid w:val="00135A38"/>
    <w:rsid w:val="0014258A"/>
    <w:rsid w:val="00143B2C"/>
    <w:rsid w:val="001443DC"/>
    <w:rsid w:val="00145904"/>
    <w:rsid w:val="0014609F"/>
    <w:rsid w:val="001529EE"/>
    <w:rsid w:val="001531A9"/>
    <w:rsid w:val="001542B6"/>
    <w:rsid w:val="00155DEF"/>
    <w:rsid w:val="00156437"/>
    <w:rsid w:val="001574CE"/>
    <w:rsid w:val="00160722"/>
    <w:rsid w:val="0016192E"/>
    <w:rsid w:val="0016279D"/>
    <w:rsid w:val="00164678"/>
    <w:rsid w:val="00165095"/>
    <w:rsid w:val="001655EA"/>
    <w:rsid w:val="00165D47"/>
    <w:rsid w:val="00166096"/>
    <w:rsid w:val="001700DF"/>
    <w:rsid w:val="00170845"/>
    <w:rsid w:val="00170982"/>
    <w:rsid w:val="0017127D"/>
    <w:rsid w:val="00171F89"/>
    <w:rsid w:val="00174B48"/>
    <w:rsid w:val="00175FD2"/>
    <w:rsid w:val="00176BE8"/>
    <w:rsid w:val="00181A15"/>
    <w:rsid w:val="00181CD6"/>
    <w:rsid w:val="00181F59"/>
    <w:rsid w:val="00182ED0"/>
    <w:rsid w:val="001832CB"/>
    <w:rsid w:val="0018367D"/>
    <w:rsid w:val="00184A70"/>
    <w:rsid w:val="00184BA0"/>
    <w:rsid w:val="0018662C"/>
    <w:rsid w:val="00186BB3"/>
    <w:rsid w:val="00187E6E"/>
    <w:rsid w:val="0019106F"/>
    <w:rsid w:val="00192AE5"/>
    <w:rsid w:val="0019312B"/>
    <w:rsid w:val="00193502"/>
    <w:rsid w:val="00193DAD"/>
    <w:rsid w:val="0019451D"/>
    <w:rsid w:val="00195261"/>
    <w:rsid w:val="00195F8C"/>
    <w:rsid w:val="00196342"/>
    <w:rsid w:val="00196671"/>
    <w:rsid w:val="00197FF8"/>
    <w:rsid w:val="001A1BE0"/>
    <w:rsid w:val="001A257A"/>
    <w:rsid w:val="001A4980"/>
    <w:rsid w:val="001A6386"/>
    <w:rsid w:val="001B2C6E"/>
    <w:rsid w:val="001B4D57"/>
    <w:rsid w:val="001B509F"/>
    <w:rsid w:val="001B5564"/>
    <w:rsid w:val="001B743F"/>
    <w:rsid w:val="001B7518"/>
    <w:rsid w:val="001B7888"/>
    <w:rsid w:val="001C278C"/>
    <w:rsid w:val="001C5161"/>
    <w:rsid w:val="001C5607"/>
    <w:rsid w:val="001C58DD"/>
    <w:rsid w:val="001C69C3"/>
    <w:rsid w:val="001C6F2E"/>
    <w:rsid w:val="001C77C1"/>
    <w:rsid w:val="001D0033"/>
    <w:rsid w:val="001D00AC"/>
    <w:rsid w:val="001D0754"/>
    <w:rsid w:val="001D14A4"/>
    <w:rsid w:val="001D2224"/>
    <w:rsid w:val="001D3D38"/>
    <w:rsid w:val="001D4063"/>
    <w:rsid w:val="001D5E1E"/>
    <w:rsid w:val="001D6762"/>
    <w:rsid w:val="001D6A54"/>
    <w:rsid w:val="001D773D"/>
    <w:rsid w:val="001D7920"/>
    <w:rsid w:val="001E0CDB"/>
    <w:rsid w:val="001E19C6"/>
    <w:rsid w:val="001E376C"/>
    <w:rsid w:val="001E5473"/>
    <w:rsid w:val="001E733F"/>
    <w:rsid w:val="001F05CB"/>
    <w:rsid w:val="001F086B"/>
    <w:rsid w:val="001F0C00"/>
    <w:rsid w:val="001F0D85"/>
    <w:rsid w:val="001F241A"/>
    <w:rsid w:val="001F265B"/>
    <w:rsid w:val="001F2FAC"/>
    <w:rsid w:val="001F4280"/>
    <w:rsid w:val="001F5D07"/>
    <w:rsid w:val="001F739F"/>
    <w:rsid w:val="0020177D"/>
    <w:rsid w:val="00201C33"/>
    <w:rsid w:val="002020BD"/>
    <w:rsid w:val="0020244A"/>
    <w:rsid w:val="002057EC"/>
    <w:rsid w:val="002059AF"/>
    <w:rsid w:val="002065E6"/>
    <w:rsid w:val="0020678D"/>
    <w:rsid w:val="0020704E"/>
    <w:rsid w:val="0021171C"/>
    <w:rsid w:val="00211ACA"/>
    <w:rsid w:val="002131D9"/>
    <w:rsid w:val="00222F32"/>
    <w:rsid w:val="0022320E"/>
    <w:rsid w:val="0022321B"/>
    <w:rsid w:val="00224245"/>
    <w:rsid w:val="00226C38"/>
    <w:rsid w:val="00230B12"/>
    <w:rsid w:val="00230E9D"/>
    <w:rsid w:val="002343A0"/>
    <w:rsid w:val="00234CDA"/>
    <w:rsid w:val="00235B5D"/>
    <w:rsid w:val="0023638F"/>
    <w:rsid w:val="002378DE"/>
    <w:rsid w:val="00243900"/>
    <w:rsid w:val="0024465D"/>
    <w:rsid w:val="002449BE"/>
    <w:rsid w:val="00245CA6"/>
    <w:rsid w:val="00246DB7"/>
    <w:rsid w:val="002476DB"/>
    <w:rsid w:val="00247C4D"/>
    <w:rsid w:val="00250E42"/>
    <w:rsid w:val="002519DD"/>
    <w:rsid w:val="00252700"/>
    <w:rsid w:val="00255306"/>
    <w:rsid w:val="0025672F"/>
    <w:rsid w:val="002606B8"/>
    <w:rsid w:val="00260A0C"/>
    <w:rsid w:val="00261182"/>
    <w:rsid w:val="00261A0E"/>
    <w:rsid w:val="00261FA7"/>
    <w:rsid w:val="0026301F"/>
    <w:rsid w:val="00264454"/>
    <w:rsid w:val="00265993"/>
    <w:rsid w:val="002672D7"/>
    <w:rsid w:val="002675A9"/>
    <w:rsid w:val="0027110C"/>
    <w:rsid w:val="00272E4E"/>
    <w:rsid w:val="00272F14"/>
    <w:rsid w:val="00274414"/>
    <w:rsid w:val="00275CCB"/>
    <w:rsid w:val="00276053"/>
    <w:rsid w:val="00276690"/>
    <w:rsid w:val="00277C20"/>
    <w:rsid w:val="00277DB0"/>
    <w:rsid w:val="002805C7"/>
    <w:rsid w:val="002808B3"/>
    <w:rsid w:val="00281F7D"/>
    <w:rsid w:val="00282CB3"/>
    <w:rsid w:val="00282FA4"/>
    <w:rsid w:val="00283F89"/>
    <w:rsid w:val="0028529D"/>
    <w:rsid w:val="00285AEA"/>
    <w:rsid w:val="00286865"/>
    <w:rsid w:val="00286907"/>
    <w:rsid w:val="00287B03"/>
    <w:rsid w:val="00290CEA"/>
    <w:rsid w:val="0029168E"/>
    <w:rsid w:val="0029226E"/>
    <w:rsid w:val="00292CF4"/>
    <w:rsid w:val="00294793"/>
    <w:rsid w:val="00294C90"/>
    <w:rsid w:val="00294F87"/>
    <w:rsid w:val="00295172"/>
    <w:rsid w:val="00295A66"/>
    <w:rsid w:val="00295B77"/>
    <w:rsid w:val="00295F32"/>
    <w:rsid w:val="00297746"/>
    <w:rsid w:val="002A0876"/>
    <w:rsid w:val="002A0A3A"/>
    <w:rsid w:val="002A0A69"/>
    <w:rsid w:val="002A1F38"/>
    <w:rsid w:val="002A2D73"/>
    <w:rsid w:val="002A2EA2"/>
    <w:rsid w:val="002A3640"/>
    <w:rsid w:val="002A5F4D"/>
    <w:rsid w:val="002A7B17"/>
    <w:rsid w:val="002B0006"/>
    <w:rsid w:val="002B14F6"/>
    <w:rsid w:val="002B2F86"/>
    <w:rsid w:val="002B3885"/>
    <w:rsid w:val="002B3B96"/>
    <w:rsid w:val="002B6BF3"/>
    <w:rsid w:val="002B6D5A"/>
    <w:rsid w:val="002B6EFC"/>
    <w:rsid w:val="002C0C74"/>
    <w:rsid w:val="002C13BC"/>
    <w:rsid w:val="002C253E"/>
    <w:rsid w:val="002C4A86"/>
    <w:rsid w:val="002C4E90"/>
    <w:rsid w:val="002C516C"/>
    <w:rsid w:val="002D044F"/>
    <w:rsid w:val="002D0756"/>
    <w:rsid w:val="002D09C3"/>
    <w:rsid w:val="002D0E5B"/>
    <w:rsid w:val="002D1F6F"/>
    <w:rsid w:val="002D1FA5"/>
    <w:rsid w:val="002D4603"/>
    <w:rsid w:val="002D67FD"/>
    <w:rsid w:val="002D70A6"/>
    <w:rsid w:val="002E0F33"/>
    <w:rsid w:val="002E297C"/>
    <w:rsid w:val="002E38F8"/>
    <w:rsid w:val="002E4630"/>
    <w:rsid w:val="002E49D9"/>
    <w:rsid w:val="002E61A5"/>
    <w:rsid w:val="002E666B"/>
    <w:rsid w:val="002F18F9"/>
    <w:rsid w:val="002F1928"/>
    <w:rsid w:val="002F1C35"/>
    <w:rsid w:val="002F2A16"/>
    <w:rsid w:val="002F346E"/>
    <w:rsid w:val="002F6763"/>
    <w:rsid w:val="002F6885"/>
    <w:rsid w:val="00302FF6"/>
    <w:rsid w:val="00303EDE"/>
    <w:rsid w:val="00306379"/>
    <w:rsid w:val="003068F1"/>
    <w:rsid w:val="00306A12"/>
    <w:rsid w:val="003075A7"/>
    <w:rsid w:val="00307A1B"/>
    <w:rsid w:val="0031027C"/>
    <w:rsid w:val="0031038E"/>
    <w:rsid w:val="00311761"/>
    <w:rsid w:val="003128A0"/>
    <w:rsid w:val="003132E6"/>
    <w:rsid w:val="003148ED"/>
    <w:rsid w:val="0031508E"/>
    <w:rsid w:val="003158EF"/>
    <w:rsid w:val="00315973"/>
    <w:rsid w:val="00315D4A"/>
    <w:rsid w:val="003160BE"/>
    <w:rsid w:val="003164D4"/>
    <w:rsid w:val="003168E3"/>
    <w:rsid w:val="00316BA7"/>
    <w:rsid w:val="00320D4E"/>
    <w:rsid w:val="00322105"/>
    <w:rsid w:val="00322C7C"/>
    <w:rsid w:val="00325724"/>
    <w:rsid w:val="00326F4A"/>
    <w:rsid w:val="00327EB4"/>
    <w:rsid w:val="0033167E"/>
    <w:rsid w:val="00331973"/>
    <w:rsid w:val="00331E6F"/>
    <w:rsid w:val="003347CE"/>
    <w:rsid w:val="0033616F"/>
    <w:rsid w:val="003374E1"/>
    <w:rsid w:val="00337572"/>
    <w:rsid w:val="0034167A"/>
    <w:rsid w:val="00341DF7"/>
    <w:rsid w:val="00344CED"/>
    <w:rsid w:val="00346EEF"/>
    <w:rsid w:val="00347B1A"/>
    <w:rsid w:val="003509CE"/>
    <w:rsid w:val="00350B96"/>
    <w:rsid w:val="00351C3D"/>
    <w:rsid w:val="0035287A"/>
    <w:rsid w:val="003534D9"/>
    <w:rsid w:val="0035735F"/>
    <w:rsid w:val="00357E15"/>
    <w:rsid w:val="0036084D"/>
    <w:rsid w:val="00360F0A"/>
    <w:rsid w:val="00361D9C"/>
    <w:rsid w:val="003634C7"/>
    <w:rsid w:val="00363FD1"/>
    <w:rsid w:val="00364CEE"/>
    <w:rsid w:val="00376254"/>
    <w:rsid w:val="00380144"/>
    <w:rsid w:val="00380C17"/>
    <w:rsid w:val="00380E24"/>
    <w:rsid w:val="003810CB"/>
    <w:rsid w:val="003824E1"/>
    <w:rsid w:val="00383CEF"/>
    <w:rsid w:val="0038459F"/>
    <w:rsid w:val="00385B45"/>
    <w:rsid w:val="00386E45"/>
    <w:rsid w:val="00387F35"/>
    <w:rsid w:val="00391CFA"/>
    <w:rsid w:val="003928D4"/>
    <w:rsid w:val="00392966"/>
    <w:rsid w:val="00394821"/>
    <w:rsid w:val="00395050"/>
    <w:rsid w:val="00397C2F"/>
    <w:rsid w:val="003A0247"/>
    <w:rsid w:val="003A0250"/>
    <w:rsid w:val="003A0BFD"/>
    <w:rsid w:val="003B02F2"/>
    <w:rsid w:val="003B2348"/>
    <w:rsid w:val="003B2ACB"/>
    <w:rsid w:val="003B334F"/>
    <w:rsid w:val="003B3D5E"/>
    <w:rsid w:val="003B3E80"/>
    <w:rsid w:val="003B42BD"/>
    <w:rsid w:val="003B49DF"/>
    <w:rsid w:val="003B4DAE"/>
    <w:rsid w:val="003C02EC"/>
    <w:rsid w:val="003C09F9"/>
    <w:rsid w:val="003C0B3A"/>
    <w:rsid w:val="003C0F90"/>
    <w:rsid w:val="003C4271"/>
    <w:rsid w:val="003C54D9"/>
    <w:rsid w:val="003C5D59"/>
    <w:rsid w:val="003C74F3"/>
    <w:rsid w:val="003D0245"/>
    <w:rsid w:val="003D0614"/>
    <w:rsid w:val="003D0817"/>
    <w:rsid w:val="003D1B44"/>
    <w:rsid w:val="003D3B77"/>
    <w:rsid w:val="003D4387"/>
    <w:rsid w:val="003D46A0"/>
    <w:rsid w:val="003D51C1"/>
    <w:rsid w:val="003D5C1C"/>
    <w:rsid w:val="003D793F"/>
    <w:rsid w:val="003E040B"/>
    <w:rsid w:val="003E11E6"/>
    <w:rsid w:val="003E5CCE"/>
    <w:rsid w:val="003E7CE0"/>
    <w:rsid w:val="003F1400"/>
    <w:rsid w:val="003F150F"/>
    <w:rsid w:val="003F1A65"/>
    <w:rsid w:val="003F1E12"/>
    <w:rsid w:val="003F3631"/>
    <w:rsid w:val="003F3F04"/>
    <w:rsid w:val="003F3FCD"/>
    <w:rsid w:val="003F5E29"/>
    <w:rsid w:val="003F678F"/>
    <w:rsid w:val="003F6AF3"/>
    <w:rsid w:val="003F7E64"/>
    <w:rsid w:val="00400235"/>
    <w:rsid w:val="00400DA1"/>
    <w:rsid w:val="0040115A"/>
    <w:rsid w:val="0040119D"/>
    <w:rsid w:val="00401A5B"/>
    <w:rsid w:val="004023B2"/>
    <w:rsid w:val="00402BD2"/>
    <w:rsid w:val="00404885"/>
    <w:rsid w:val="00404CF1"/>
    <w:rsid w:val="00404F02"/>
    <w:rsid w:val="004061C6"/>
    <w:rsid w:val="00406541"/>
    <w:rsid w:val="004069EA"/>
    <w:rsid w:val="00406A60"/>
    <w:rsid w:val="00407269"/>
    <w:rsid w:val="0040753F"/>
    <w:rsid w:val="00407ECB"/>
    <w:rsid w:val="00407FCB"/>
    <w:rsid w:val="00410827"/>
    <w:rsid w:val="00410A1E"/>
    <w:rsid w:val="00411399"/>
    <w:rsid w:val="00412B91"/>
    <w:rsid w:val="00413B21"/>
    <w:rsid w:val="00416413"/>
    <w:rsid w:val="00416876"/>
    <w:rsid w:val="004172DE"/>
    <w:rsid w:val="00417A17"/>
    <w:rsid w:val="00421A3B"/>
    <w:rsid w:val="00422740"/>
    <w:rsid w:val="00422E4A"/>
    <w:rsid w:val="004230C7"/>
    <w:rsid w:val="00425383"/>
    <w:rsid w:val="00425AF5"/>
    <w:rsid w:val="00425BD5"/>
    <w:rsid w:val="0042606F"/>
    <w:rsid w:val="004303AB"/>
    <w:rsid w:val="00430C27"/>
    <w:rsid w:val="00431958"/>
    <w:rsid w:val="0043297E"/>
    <w:rsid w:val="00433962"/>
    <w:rsid w:val="00434E5B"/>
    <w:rsid w:val="00435820"/>
    <w:rsid w:val="00436747"/>
    <w:rsid w:val="004369CD"/>
    <w:rsid w:val="004404AE"/>
    <w:rsid w:val="004441E4"/>
    <w:rsid w:val="004449EC"/>
    <w:rsid w:val="00444F5B"/>
    <w:rsid w:val="00446E74"/>
    <w:rsid w:val="00452150"/>
    <w:rsid w:val="004522B7"/>
    <w:rsid w:val="00452D88"/>
    <w:rsid w:val="004548BC"/>
    <w:rsid w:val="00455212"/>
    <w:rsid w:val="00455250"/>
    <w:rsid w:val="004565B8"/>
    <w:rsid w:val="00460DC2"/>
    <w:rsid w:val="004614E3"/>
    <w:rsid w:val="00463EE9"/>
    <w:rsid w:val="004646BD"/>
    <w:rsid w:val="0046585B"/>
    <w:rsid w:val="00465A26"/>
    <w:rsid w:val="004664E1"/>
    <w:rsid w:val="00466B29"/>
    <w:rsid w:val="004700FF"/>
    <w:rsid w:val="00470365"/>
    <w:rsid w:val="004711F3"/>
    <w:rsid w:val="004728E1"/>
    <w:rsid w:val="004751CF"/>
    <w:rsid w:val="0047535A"/>
    <w:rsid w:val="00475381"/>
    <w:rsid w:val="004758FA"/>
    <w:rsid w:val="00477AED"/>
    <w:rsid w:val="00480D33"/>
    <w:rsid w:val="00480D3F"/>
    <w:rsid w:val="00482747"/>
    <w:rsid w:val="0048284B"/>
    <w:rsid w:val="00482880"/>
    <w:rsid w:val="00483B1A"/>
    <w:rsid w:val="00483B2C"/>
    <w:rsid w:val="0048510B"/>
    <w:rsid w:val="00485565"/>
    <w:rsid w:val="00487ACF"/>
    <w:rsid w:val="004903DB"/>
    <w:rsid w:val="00490B79"/>
    <w:rsid w:val="00492F25"/>
    <w:rsid w:val="0049382D"/>
    <w:rsid w:val="004938FC"/>
    <w:rsid w:val="00493B1A"/>
    <w:rsid w:val="00494699"/>
    <w:rsid w:val="00494B1D"/>
    <w:rsid w:val="00494B95"/>
    <w:rsid w:val="00494BCE"/>
    <w:rsid w:val="00495F3A"/>
    <w:rsid w:val="0049688E"/>
    <w:rsid w:val="0049704A"/>
    <w:rsid w:val="004A0F03"/>
    <w:rsid w:val="004A4A24"/>
    <w:rsid w:val="004A57F2"/>
    <w:rsid w:val="004A747E"/>
    <w:rsid w:val="004A75B6"/>
    <w:rsid w:val="004B105E"/>
    <w:rsid w:val="004B1F4C"/>
    <w:rsid w:val="004B20AA"/>
    <w:rsid w:val="004B4745"/>
    <w:rsid w:val="004B69C4"/>
    <w:rsid w:val="004B6D79"/>
    <w:rsid w:val="004C1A19"/>
    <w:rsid w:val="004C2FF6"/>
    <w:rsid w:val="004C4833"/>
    <w:rsid w:val="004C587F"/>
    <w:rsid w:val="004C5F53"/>
    <w:rsid w:val="004C6650"/>
    <w:rsid w:val="004C7A54"/>
    <w:rsid w:val="004D1BE0"/>
    <w:rsid w:val="004D2494"/>
    <w:rsid w:val="004D28CD"/>
    <w:rsid w:val="004D29BF"/>
    <w:rsid w:val="004D2FBC"/>
    <w:rsid w:val="004D6CE1"/>
    <w:rsid w:val="004D7C5A"/>
    <w:rsid w:val="004D7DC6"/>
    <w:rsid w:val="004E0188"/>
    <w:rsid w:val="004E1429"/>
    <w:rsid w:val="004E1920"/>
    <w:rsid w:val="004E25C8"/>
    <w:rsid w:val="004E2653"/>
    <w:rsid w:val="004E29CC"/>
    <w:rsid w:val="004E36CE"/>
    <w:rsid w:val="004E4194"/>
    <w:rsid w:val="004E4775"/>
    <w:rsid w:val="004E4D03"/>
    <w:rsid w:val="004E552D"/>
    <w:rsid w:val="004E6359"/>
    <w:rsid w:val="004E6D90"/>
    <w:rsid w:val="004F059A"/>
    <w:rsid w:val="004F0993"/>
    <w:rsid w:val="004F0A40"/>
    <w:rsid w:val="004F1DEF"/>
    <w:rsid w:val="004F391E"/>
    <w:rsid w:val="004F679E"/>
    <w:rsid w:val="004F6A3A"/>
    <w:rsid w:val="004F74EA"/>
    <w:rsid w:val="004F7ED2"/>
    <w:rsid w:val="0050006E"/>
    <w:rsid w:val="00504360"/>
    <w:rsid w:val="00504BB9"/>
    <w:rsid w:val="00504D89"/>
    <w:rsid w:val="00506EB9"/>
    <w:rsid w:val="005103B3"/>
    <w:rsid w:val="00510AA8"/>
    <w:rsid w:val="00510CBD"/>
    <w:rsid w:val="005111B3"/>
    <w:rsid w:val="00512284"/>
    <w:rsid w:val="005136DF"/>
    <w:rsid w:val="005138A6"/>
    <w:rsid w:val="00514732"/>
    <w:rsid w:val="0051507C"/>
    <w:rsid w:val="005156E5"/>
    <w:rsid w:val="00516918"/>
    <w:rsid w:val="00516AA5"/>
    <w:rsid w:val="0052019B"/>
    <w:rsid w:val="00521394"/>
    <w:rsid w:val="005218A4"/>
    <w:rsid w:val="0052234A"/>
    <w:rsid w:val="00523556"/>
    <w:rsid w:val="00524001"/>
    <w:rsid w:val="005244B9"/>
    <w:rsid w:val="00524C41"/>
    <w:rsid w:val="005309EB"/>
    <w:rsid w:val="00531B21"/>
    <w:rsid w:val="00531C50"/>
    <w:rsid w:val="00531FC5"/>
    <w:rsid w:val="005348E9"/>
    <w:rsid w:val="00537FAA"/>
    <w:rsid w:val="00541277"/>
    <w:rsid w:val="0054181D"/>
    <w:rsid w:val="00542E7F"/>
    <w:rsid w:val="005433BD"/>
    <w:rsid w:val="005463F3"/>
    <w:rsid w:val="00546A5E"/>
    <w:rsid w:val="00550E9D"/>
    <w:rsid w:val="00552647"/>
    <w:rsid w:val="00555C2A"/>
    <w:rsid w:val="00556AE4"/>
    <w:rsid w:val="00557196"/>
    <w:rsid w:val="00557435"/>
    <w:rsid w:val="0055746E"/>
    <w:rsid w:val="0056028B"/>
    <w:rsid w:val="005603EA"/>
    <w:rsid w:val="00560877"/>
    <w:rsid w:val="005612BA"/>
    <w:rsid w:val="00561C60"/>
    <w:rsid w:val="005627E2"/>
    <w:rsid w:val="00563601"/>
    <w:rsid w:val="00564F25"/>
    <w:rsid w:val="00565E11"/>
    <w:rsid w:val="005703D1"/>
    <w:rsid w:val="00571465"/>
    <w:rsid w:val="005715BC"/>
    <w:rsid w:val="00571773"/>
    <w:rsid w:val="00571C4A"/>
    <w:rsid w:val="00571FAB"/>
    <w:rsid w:val="00572387"/>
    <w:rsid w:val="0057239D"/>
    <w:rsid w:val="005725B2"/>
    <w:rsid w:val="005730B1"/>
    <w:rsid w:val="005735FB"/>
    <w:rsid w:val="00574E09"/>
    <w:rsid w:val="005756C5"/>
    <w:rsid w:val="005774F8"/>
    <w:rsid w:val="005818AC"/>
    <w:rsid w:val="00581AE8"/>
    <w:rsid w:val="00581FF3"/>
    <w:rsid w:val="00583141"/>
    <w:rsid w:val="005831B4"/>
    <w:rsid w:val="00583BD0"/>
    <w:rsid w:val="005853DD"/>
    <w:rsid w:val="00586424"/>
    <w:rsid w:val="005902C7"/>
    <w:rsid w:val="0059188E"/>
    <w:rsid w:val="00593088"/>
    <w:rsid w:val="00595910"/>
    <w:rsid w:val="005965D4"/>
    <w:rsid w:val="005969F4"/>
    <w:rsid w:val="005A22CA"/>
    <w:rsid w:val="005A2C83"/>
    <w:rsid w:val="005A37CD"/>
    <w:rsid w:val="005A53E8"/>
    <w:rsid w:val="005B0503"/>
    <w:rsid w:val="005B0C3F"/>
    <w:rsid w:val="005B0C58"/>
    <w:rsid w:val="005B20D8"/>
    <w:rsid w:val="005B62DF"/>
    <w:rsid w:val="005B6D25"/>
    <w:rsid w:val="005B6EE0"/>
    <w:rsid w:val="005B7C54"/>
    <w:rsid w:val="005C010B"/>
    <w:rsid w:val="005C04B6"/>
    <w:rsid w:val="005C18B4"/>
    <w:rsid w:val="005C20A7"/>
    <w:rsid w:val="005C2652"/>
    <w:rsid w:val="005C28D7"/>
    <w:rsid w:val="005C2FAE"/>
    <w:rsid w:val="005C3151"/>
    <w:rsid w:val="005C4000"/>
    <w:rsid w:val="005C40D0"/>
    <w:rsid w:val="005C45C7"/>
    <w:rsid w:val="005C4848"/>
    <w:rsid w:val="005C5F15"/>
    <w:rsid w:val="005C63FF"/>
    <w:rsid w:val="005D05A7"/>
    <w:rsid w:val="005D098C"/>
    <w:rsid w:val="005D100B"/>
    <w:rsid w:val="005D361F"/>
    <w:rsid w:val="005D4856"/>
    <w:rsid w:val="005D494D"/>
    <w:rsid w:val="005D5F3A"/>
    <w:rsid w:val="005D60AE"/>
    <w:rsid w:val="005D6E4C"/>
    <w:rsid w:val="005D6E64"/>
    <w:rsid w:val="005E1DE2"/>
    <w:rsid w:val="005E2BAA"/>
    <w:rsid w:val="005E2D49"/>
    <w:rsid w:val="005E2E93"/>
    <w:rsid w:val="005E3EDA"/>
    <w:rsid w:val="005E3FF5"/>
    <w:rsid w:val="005E41CA"/>
    <w:rsid w:val="005E539C"/>
    <w:rsid w:val="005E58FF"/>
    <w:rsid w:val="005E595C"/>
    <w:rsid w:val="005E5B55"/>
    <w:rsid w:val="005E6EA2"/>
    <w:rsid w:val="005E7346"/>
    <w:rsid w:val="005F1378"/>
    <w:rsid w:val="005F203B"/>
    <w:rsid w:val="005F21ED"/>
    <w:rsid w:val="005F2557"/>
    <w:rsid w:val="005F33F1"/>
    <w:rsid w:val="005F3AE7"/>
    <w:rsid w:val="005F556E"/>
    <w:rsid w:val="005F6C47"/>
    <w:rsid w:val="0060189B"/>
    <w:rsid w:val="00601998"/>
    <w:rsid w:val="006024F1"/>
    <w:rsid w:val="00602682"/>
    <w:rsid w:val="00602B7C"/>
    <w:rsid w:val="00603144"/>
    <w:rsid w:val="0060325A"/>
    <w:rsid w:val="00605007"/>
    <w:rsid w:val="00606B62"/>
    <w:rsid w:val="00611242"/>
    <w:rsid w:val="00611315"/>
    <w:rsid w:val="00611D74"/>
    <w:rsid w:val="00611EAC"/>
    <w:rsid w:val="006135D0"/>
    <w:rsid w:val="0061395E"/>
    <w:rsid w:val="00614268"/>
    <w:rsid w:val="00616BD0"/>
    <w:rsid w:val="00623500"/>
    <w:rsid w:val="00624BB8"/>
    <w:rsid w:val="00625075"/>
    <w:rsid w:val="006253F2"/>
    <w:rsid w:val="00625E26"/>
    <w:rsid w:val="00626934"/>
    <w:rsid w:val="00631E41"/>
    <w:rsid w:val="00632442"/>
    <w:rsid w:val="0063382B"/>
    <w:rsid w:val="00633E73"/>
    <w:rsid w:val="006342F9"/>
    <w:rsid w:val="00635228"/>
    <w:rsid w:val="00635652"/>
    <w:rsid w:val="00635874"/>
    <w:rsid w:val="00636357"/>
    <w:rsid w:val="00644AD1"/>
    <w:rsid w:val="006455AE"/>
    <w:rsid w:val="00645997"/>
    <w:rsid w:val="00646171"/>
    <w:rsid w:val="00647739"/>
    <w:rsid w:val="00650CFF"/>
    <w:rsid w:val="00651274"/>
    <w:rsid w:val="00651B6D"/>
    <w:rsid w:val="00652199"/>
    <w:rsid w:val="00652D62"/>
    <w:rsid w:val="00652E2F"/>
    <w:rsid w:val="00653876"/>
    <w:rsid w:val="00654265"/>
    <w:rsid w:val="00655A99"/>
    <w:rsid w:val="00657B5B"/>
    <w:rsid w:val="00657FE0"/>
    <w:rsid w:val="00660873"/>
    <w:rsid w:val="006619A0"/>
    <w:rsid w:val="00661CB9"/>
    <w:rsid w:val="006638AB"/>
    <w:rsid w:val="00663F20"/>
    <w:rsid w:val="00664C23"/>
    <w:rsid w:val="00664E71"/>
    <w:rsid w:val="00664EBD"/>
    <w:rsid w:val="00665571"/>
    <w:rsid w:val="0066605A"/>
    <w:rsid w:val="00666BFC"/>
    <w:rsid w:val="00666D52"/>
    <w:rsid w:val="0066740D"/>
    <w:rsid w:val="006701B2"/>
    <w:rsid w:val="00672391"/>
    <w:rsid w:val="006723F5"/>
    <w:rsid w:val="00672DA3"/>
    <w:rsid w:val="006732AD"/>
    <w:rsid w:val="00677573"/>
    <w:rsid w:val="00681065"/>
    <w:rsid w:val="006819D7"/>
    <w:rsid w:val="00681B56"/>
    <w:rsid w:val="006836ED"/>
    <w:rsid w:val="00686268"/>
    <w:rsid w:val="006869B4"/>
    <w:rsid w:val="00686C74"/>
    <w:rsid w:val="00690348"/>
    <w:rsid w:val="006909D0"/>
    <w:rsid w:val="006917EA"/>
    <w:rsid w:val="006932E0"/>
    <w:rsid w:val="00695ACB"/>
    <w:rsid w:val="00696517"/>
    <w:rsid w:val="00696B67"/>
    <w:rsid w:val="006A3169"/>
    <w:rsid w:val="006A31A9"/>
    <w:rsid w:val="006A553C"/>
    <w:rsid w:val="006A6E94"/>
    <w:rsid w:val="006A771A"/>
    <w:rsid w:val="006A77F0"/>
    <w:rsid w:val="006B0061"/>
    <w:rsid w:val="006B00D5"/>
    <w:rsid w:val="006B0A1E"/>
    <w:rsid w:val="006B48E2"/>
    <w:rsid w:val="006B5354"/>
    <w:rsid w:val="006B55B1"/>
    <w:rsid w:val="006B7E80"/>
    <w:rsid w:val="006C030A"/>
    <w:rsid w:val="006C04BF"/>
    <w:rsid w:val="006C2075"/>
    <w:rsid w:val="006C28CA"/>
    <w:rsid w:val="006C2A58"/>
    <w:rsid w:val="006C309F"/>
    <w:rsid w:val="006C5310"/>
    <w:rsid w:val="006C567F"/>
    <w:rsid w:val="006C7A9B"/>
    <w:rsid w:val="006C7EFD"/>
    <w:rsid w:val="006D0017"/>
    <w:rsid w:val="006D0364"/>
    <w:rsid w:val="006D092C"/>
    <w:rsid w:val="006D0E53"/>
    <w:rsid w:val="006D25B8"/>
    <w:rsid w:val="006D3E62"/>
    <w:rsid w:val="006D43AF"/>
    <w:rsid w:val="006D472A"/>
    <w:rsid w:val="006D4A79"/>
    <w:rsid w:val="006D5008"/>
    <w:rsid w:val="006D589F"/>
    <w:rsid w:val="006E1592"/>
    <w:rsid w:val="006E256C"/>
    <w:rsid w:val="006E3024"/>
    <w:rsid w:val="006E4BA0"/>
    <w:rsid w:val="006E4E33"/>
    <w:rsid w:val="006E534E"/>
    <w:rsid w:val="006E6966"/>
    <w:rsid w:val="006E6F08"/>
    <w:rsid w:val="006F00FB"/>
    <w:rsid w:val="006F08FA"/>
    <w:rsid w:val="006F0C7E"/>
    <w:rsid w:val="006F0E8B"/>
    <w:rsid w:val="006F1997"/>
    <w:rsid w:val="006F29A7"/>
    <w:rsid w:val="006F3136"/>
    <w:rsid w:val="006F3E60"/>
    <w:rsid w:val="006F6679"/>
    <w:rsid w:val="006F6CE7"/>
    <w:rsid w:val="006F7DAB"/>
    <w:rsid w:val="00700249"/>
    <w:rsid w:val="007002A7"/>
    <w:rsid w:val="00701243"/>
    <w:rsid w:val="0070161D"/>
    <w:rsid w:val="00703D95"/>
    <w:rsid w:val="0070424D"/>
    <w:rsid w:val="007054B5"/>
    <w:rsid w:val="00705ADF"/>
    <w:rsid w:val="0070738F"/>
    <w:rsid w:val="00710C74"/>
    <w:rsid w:val="00712346"/>
    <w:rsid w:val="00717AA4"/>
    <w:rsid w:val="0072164F"/>
    <w:rsid w:val="00723270"/>
    <w:rsid w:val="00730F30"/>
    <w:rsid w:val="00731BAC"/>
    <w:rsid w:val="00731D55"/>
    <w:rsid w:val="007349BE"/>
    <w:rsid w:val="007356F8"/>
    <w:rsid w:val="00735B02"/>
    <w:rsid w:val="00736AD3"/>
    <w:rsid w:val="007400C8"/>
    <w:rsid w:val="00740E32"/>
    <w:rsid w:val="00742935"/>
    <w:rsid w:val="00744046"/>
    <w:rsid w:val="00745FFF"/>
    <w:rsid w:val="00750CD1"/>
    <w:rsid w:val="00751953"/>
    <w:rsid w:val="0075408C"/>
    <w:rsid w:val="007550A7"/>
    <w:rsid w:val="007561C5"/>
    <w:rsid w:val="007565D8"/>
    <w:rsid w:val="0076096C"/>
    <w:rsid w:val="00761B02"/>
    <w:rsid w:val="00762417"/>
    <w:rsid w:val="00770462"/>
    <w:rsid w:val="00771550"/>
    <w:rsid w:val="007731FD"/>
    <w:rsid w:val="007747CE"/>
    <w:rsid w:val="00775F9E"/>
    <w:rsid w:val="00776128"/>
    <w:rsid w:val="00776830"/>
    <w:rsid w:val="00777DE8"/>
    <w:rsid w:val="00782B6B"/>
    <w:rsid w:val="00782BEC"/>
    <w:rsid w:val="00782CCC"/>
    <w:rsid w:val="0078543F"/>
    <w:rsid w:val="00785E81"/>
    <w:rsid w:val="00786F22"/>
    <w:rsid w:val="0078724A"/>
    <w:rsid w:val="00787C7A"/>
    <w:rsid w:val="0079002F"/>
    <w:rsid w:val="00792CED"/>
    <w:rsid w:val="00793772"/>
    <w:rsid w:val="007957DF"/>
    <w:rsid w:val="00795ABC"/>
    <w:rsid w:val="00796AFC"/>
    <w:rsid w:val="00797BEB"/>
    <w:rsid w:val="007A00CE"/>
    <w:rsid w:val="007A0CD2"/>
    <w:rsid w:val="007A0D88"/>
    <w:rsid w:val="007A1AB1"/>
    <w:rsid w:val="007A1B2A"/>
    <w:rsid w:val="007A3EEE"/>
    <w:rsid w:val="007A565C"/>
    <w:rsid w:val="007A5D9E"/>
    <w:rsid w:val="007A616E"/>
    <w:rsid w:val="007B1FD1"/>
    <w:rsid w:val="007B2901"/>
    <w:rsid w:val="007B52BD"/>
    <w:rsid w:val="007B548B"/>
    <w:rsid w:val="007B5592"/>
    <w:rsid w:val="007B5DD9"/>
    <w:rsid w:val="007B755F"/>
    <w:rsid w:val="007B7FA1"/>
    <w:rsid w:val="007C07C3"/>
    <w:rsid w:val="007C1462"/>
    <w:rsid w:val="007C3576"/>
    <w:rsid w:val="007C3C26"/>
    <w:rsid w:val="007C4935"/>
    <w:rsid w:val="007C5975"/>
    <w:rsid w:val="007C629E"/>
    <w:rsid w:val="007C658D"/>
    <w:rsid w:val="007C7CDE"/>
    <w:rsid w:val="007D0F4C"/>
    <w:rsid w:val="007D1798"/>
    <w:rsid w:val="007D1882"/>
    <w:rsid w:val="007D211E"/>
    <w:rsid w:val="007D2D1E"/>
    <w:rsid w:val="007D2ED4"/>
    <w:rsid w:val="007D32EB"/>
    <w:rsid w:val="007D715E"/>
    <w:rsid w:val="007E066C"/>
    <w:rsid w:val="007E1A10"/>
    <w:rsid w:val="007E3211"/>
    <w:rsid w:val="007E409E"/>
    <w:rsid w:val="007E720C"/>
    <w:rsid w:val="007E74B0"/>
    <w:rsid w:val="007E74BC"/>
    <w:rsid w:val="007E7841"/>
    <w:rsid w:val="007E7AD5"/>
    <w:rsid w:val="007F2023"/>
    <w:rsid w:val="007F2F33"/>
    <w:rsid w:val="007F305B"/>
    <w:rsid w:val="007F32BC"/>
    <w:rsid w:val="007F32E2"/>
    <w:rsid w:val="007F4BF1"/>
    <w:rsid w:val="007F5702"/>
    <w:rsid w:val="007F5861"/>
    <w:rsid w:val="007F5BD6"/>
    <w:rsid w:val="007F6BDA"/>
    <w:rsid w:val="007F6F2B"/>
    <w:rsid w:val="007F73C5"/>
    <w:rsid w:val="0080093D"/>
    <w:rsid w:val="00801615"/>
    <w:rsid w:val="00802180"/>
    <w:rsid w:val="00802F43"/>
    <w:rsid w:val="0080311D"/>
    <w:rsid w:val="00803A5A"/>
    <w:rsid w:val="00803F5A"/>
    <w:rsid w:val="008040A2"/>
    <w:rsid w:val="00804949"/>
    <w:rsid w:val="0080510F"/>
    <w:rsid w:val="0080530D"/>
    <w:rsid w:val="00806752"/>
    <w:rsid w:val="008078AE"/>
    <w:rsid w:val="00810648"/>
    <w:rsid w:val="00811382"/>
    <w:rsid w:val="00811C7D"/>
    <w:rsid w:val="00811E00"/>
    <w:rsid w:val="00812C49"/>
    <w:rsid w:val="0081460D"/>
    <w:rsid w:val="00815173"/>
    <w:rsid w:val="00815D6B"/>
    <w:rsid w:val="00815DDD"/>
    <w:rsid w:val="00816589"/>
    <w:rsid w:val="00817292"/>
    <w:rsid w:val="0081796C"/>
    <w:rsid w:val="00824A22"/>
    <w:rsid w:val="0082519F"/>
    <w:rsid w:val="00825D14"/>
    <w:rsid w:val="00827B27"/>
    <w:rsid w:val="008309DF"/>
    <w:rsid w:val="00830FA2"/>
    <w:rsid w:val="00831571"/>
    <w:rsid w:val="00831E9C"/>
    <w:rsid w:val="00832209"/>
    <w:rsid w:val="008344F6"/>
    <w:rsid w:val="008349F0"/>
    <w:rsid w:val="00834C60"/>
    <w:rsid w:val="00835674"/>
    <w:rsid w:val="00835750"/>
    <w:rsid w:val="008359A6"/>
    <w:rsid w:val="008359BF"/>
    <w:rsid w:val="00835A7A"/>
    <w:rsid w:val="008364F3"/>
    <w:rsid w:val="00836A35"/>
    <w:rsid w:val="0084019B"/>
    <w:rsid w:val="00841639"/>
    <w:rsid w:val="00841858"/>
    <w:rsid w:val="00841E7D"/>
    <w:rsid w:val="00842C98"/>
    <w:rsid w:val="008439BD"/>
    <w:rsid w:val="00843C47"/>
    <w:rsid w:val="00843D06"/>
    <w:rsid w:val="00845335"/>
    <w:rsid w:val="0084690A"/>
    <w:rsid w:val="00846E8F"/>
    <w:rsid w:val="008478FF"/>
    <w:rsid w:val="00847A57"/>
    <w:rsid w:val="008501A3"/>
    <w:rsid w:val="00850EC8"/>
    <w:rsid w:val="008512C8"/>
    <w:rsid w:val="00851864"/>
    <w:rsid w:val="00853FE3"/>
    <w:rsid w:val="008548F1"/>
    <w:rsid w:val="00854F1A"/>
    <w:rsid w:val="008552B1"/>
    <w:rsid w:val="00856DBD"/>
    <w:rsid w:val="008608D4"/>
    <w:rsid w:val="00861D53"/>
    <w:rsid w:val="00862260"/>
    <w:rsid w:val="00863766"/>
    <w:rsid w:val="00863814"/>
    <w:rsid w:val="00864069"/>
    <w:rsid w:val="008643AC"/>
    <w:rsid w:val="00864581"/>
    <w:rsid w:val="00865693"/>
    <w:rsid w:val="008675CC"/>
    <w:rsid w:val="008703A6"/>
    <w:rsid w:val="0087114C"/>
    <w:rsid w:val="00873A39"/>
    <w:rsid w:val="00873AB9"/>
    <w:rsid w:val="00873DA7"/>
    <w:rsid w:val="008753B5"/>
    <w:rsid w:val="00875B51"/>
    <w:rsid w:val="00876776"/>
    <w:rsid w:val="00876E09"/>
    <w:rsid w:val="008826A2"/>
    <w:rsid w:val="00883C11"/>
    <w:rsid w:val="00883F63"/>
    <w:rsid w:val="00884209"/>
    <w:rsid w:val="008857DF"/>
    <w:rsid w:val="00885DD1"/>
    <w:rsid w:val="00886A0C"/>
    <w:rsid w:val="008870B4"/>
    <w:rsid w:val="00887336"/>
    <w:rsid w:val="00890173"/>
    <w:rsid w:val="0089036D"/>
    <w:rsid w:val="00890A0D"/>
    <w:rsid w:val="00891B25"/>
    <w:rsid w:val="008921B9"/>
    <w:rsid w:val="00892340"/>
    <w:rsid w:val="008925F6"/>
    <w:rsid w:val="00892E75"/>
    <w:rsid w:val="008933D7"/>
    <w:rsid w:val="008934AA"/>
    <w:rsid w:val="00893CC1"/>
    <w:rsid w:val="0089579E"/>
    <w:rsid w:val="00895D9B"/>
    <w:rsid w:val="00896BEC"/>
    <w:rsid w:val="008A17D1"/>
    <w:rsid w:val="008A32EB"/>
    <w:rsid w:val="008A3E8E"/>
    <w:rsid w:val="008A427C"/>
    <w:rsid w:val="008A4304"/>
    <w:rsid w:val="008A4FF5"/>
    <w:rsid w:val="008A7581"/>
    <w:rsid w:val="008B0630"/>
    <w:rsid w:val="008B0DE5"/>
    <w:rsid w:val="008B1458"/>
    <w:rsid w:val="008B1ADD"/>
    <w:rsid w:val="008B1D05"/>
    <w:rsid w:val="008B26AA"/>
    <w:rsid w:val="008B3D22"/>
    <w:rsid w:val="008B4213"/>
    <w:rsid w:val="008B59C8"/>
    <w:rsid w:val="008B70E3"/>
    <w:rsid w:val="008B7868"/>
    <w:rsid w:val="008C0403"/>
    <w:rsid w:val="008C0450"/>
    <w:rsid w:val="008C052D"/>
    <w:rsid w:val="008C1329"/>
    <w:rsid w:val="008C16DD"/>
    <w:rsid w:val="008C2C0D"/>
    <w:rsid w:val="008C3E55"/>
    <w:rsid w:val="008C3F0F"/>
    <w:rsid w:val="008C6453"/>
    <w:rsid w:val="008C69E8"/>
    <w:rsid w:val="008C6F98"/>
    <w:rsid w:val="008D0144"/>
    <w:rsid w:val="008D12B3"/>
    <w:rsid w:val="008D26A0"/>
    <w:rsid w:val="008D30C1"/>
    <w:rsid w:val="008D32E2"/>
    <w:rsid w:val="008D36CD"/>
    <w:rsid w:val="008D3E01"/>
    <w:rsid w:val="008D5151"/>
    <w:rsid w:val="008D6AC4"/>
    <w:rsid w:val="008D7192"/>
    <w:rsid w:val="008E120F"/>
    <w:rsid w:val="008E12E9"/>
    <w:rsid w:val="008E1E6C"/>
    <w:rsid w:val="008E246B"/>
    <w:rsid w:val="008E24F6"/>
    <w:rsid w:val="008E52E1"/>
    <w:rsid w:val="008E72AA"/>
    <w:rsid w:val="008E7B3E"/>
    <w:rsid w:val="008E7B76"/>
    <w:rsid w:val="008F02A2"/>
    <w:rsid w:val="008F0444"/>
    <w:rsid w:val="008F0751"/>
    <w:rsid w:val="008F1B9D"/>
    <w:rsid w:val="008F1E66"/>
    <w:rsid w:val="008F1F79"/>
    <w:rsid w:val="008F204C"/>
    <w:rsid w:val="008F3BBC"/>
    <w:rsid w:val="008F44F4"/>
    <w:rsid w:val="008F4EAC"/>
    <w:rsid w:val="008F57EA"/>
    <w:rsid w:val="008F5DAC"/>
    <w:rsid w:val="0090051F"/>
    <w:rsid w:val="00900618"/>
    <w:rsid w:val="00900F58"/>
    <w:rsid w:val="00901828"/>
    <w:rsid w:val="00902165"/>
    <w:rsid w:val="009030BD"/>
    <w:rsid w:val="00903240"/>
    <w:rsid w:val="009037F7"/>
    <w:rsid w:val="009041C3"/>
    <w:rsid w:val="009049ED"/>
    <w:rsid w:val="00906CF9"/>
    <w:rsid w:val="00910596"/>
    <w:rsid w:val="00910C13"/>
    <w:rsid w:val="009113CA"/>
    <w:rsid w:val="00911890"/>
    <w:rsid w:val="00911F3E"/>
    <w:rsid w:val="00913134"/>
    <w:rsid w:val="00913BD3"/>
    <w:rsid w:val="00914AA7"/>
    <w:rsid w:val="00915FCE"/>
    <w:rsid w:val="00916E47"/>
    <w:rsid w:val="009178A1"/>
    <w:rsid w:val="009178AB"/>
    <w:rsid w:val="00920058"/>
    <w:rsid w:val="00921D7E"/>
    <w:rsid w:val="00926202"/>
    <w:rsid w:val="00926C33"/>
    <w:rsid w:val="009303CC"/>
    <w:rsid w:val="009304B0"/>
    <w:rsid w:val="00932833"/>
    <w:rsid w:val="0093347F"/>
    <w:rsid w:val="00933714"/>
    <w:rsid w:val="00933C66"/>
    <w:rsid w:val="00934057"/>
    <w:rsid w:val="00934208"/>
    <w:rsid w:val="00934881"/>
    <w:rsid w:val="00934EB9"/>
    <w:rsid w:val="00935583"/>
    <w:rsid w:val="00936796"/>
    <w:rsid w:val="00937482"/>
    <w:rsid w:val="009375A6"/>
    <w:rsid w:val="0093771C"/>
    <w:rsid w:val="00937B81"/>
    <w:rsid w:val="00941601"/>
    <w:rsid w:val="009416F7"/>
    <w:rsid w:val="009427E1"/>
    <w:rsid w:val="00942EF7"/>
    <w:rsid w:val="0094338C"/>
    <w:rsid w:val="00943555"/>
    <w:rsid w:val="009437BD"/>
    <w:rsid w:val="00946035"/>
    <w:rsid w:val="0094607A"/>
    <w:rsid w:val="00947E7D"/>
    <w:rsid w:val="00950B3F"/>
    <w:rsid w:val="0095212B"/>
    <w:rsid w:val="00952B8E"/>
    <w:rsid w:val="00952EF9"/>
    <w:rsid w:val="00953171"/>
    <w:rsid w:val="009563CE"/>
    <w:rsid w:val="00956C7C"/>
    <w:rsid w:val="009579B2"/>
    <w:rsid w:val="00957DAA"/>
    <w:rsid w:val="00961262"/>
    <w:rsid w:val="009613CE"/>
    <w:rsid w:val="009638A2"/>
    <w:rsid w:val="0096485A"/>
    <w:rsid w:val="00965128"/>
    <w:rsid w:val="00965706"/>
    <w:rsid w:val="00965B06"/>
    <w:rsid w:val="0097121F"/>
    <w:rsid w:val="009720A8"/>
    <w:rsid w:val="00972667"/>
    <w:rsid w:val="00972933"/>
    <w:rsid w:val="00973305"/>
    <w:rsid w:val="00973963"/>
    <w:rsid w:val="009753EE"/>
    <w:rsid w:val="009756E2"/>
    <w:rsid w:val="0097575B"/>
    <w:rsid w:val="00977D6A"/>
    <w:rsid w:val="00980988"/>
    <w:rsid w:val="00983539"/>
    <w:rsid w:val="00983CAA"/>
    <w:rsid w:val="009842B3"/>
    <w:rsid w:val="00984C93"/>
    <w:rsid w:val="00985443"/>
    <w:rsid w:val="0098669F"/>
    <w:rsid w:val="00991607"/>
    <w:rsid w:val="00991C53"/>
    <w:rsid w:val="00992D2B"/>
    <w:rsid w:val="00992E78"/>
    <w:rsid w:val="00992F3F"/>
    <w:rsid w:val="0099640B"/>
    <w:rsid w:val="009967E7"/>
    <w:rsid w:val="009A426F"/>
    <w:rsid w:val="009A5C2F"/>
    <w:rsid w:val="009A71A1"/>
    <w:rsid w:val="009B09D8"/>
    <w:rsid w:val="009B2C75"/>
    <w:rsid w:val="009B40B1"/>
    <w:rsid w:val="009B52A9"/>
    <w:rsid w:val="009B6093"/>
    <w:rsid w:val="009C0807"/>
    <w:rsid w:val="009C340A"/>
    <w:rsid w:val="009C4F36"/>
    <w:rsid w:val="009C549B"/>
    <w:rsid w:val="009C5A27"/>
    <w:rsid w:val="009C5D58"/>
    <w:rsid w:val="009C6D09"/>
    <w:rsid w:val="009D05C2"/>
    <w:rsid w:val="009D23D3"/>
    <w:rsid w:val="009D28B5"/>
    <w:rsid w:val="009D4677"/>
    <w:rsid w:val="009D4CAC"/>
    <w:rsid w:val="009D6584"/>
    <w:rsid w:val="009D6965"/>
    <w:rsid w:val="009D6AA1"/>
    <w:rsid w:val="009D771C"/>
    <w:rsid w:val="009E2A40"/>
    <w:rsid w:val="009E398A"/>
    <w:rsid w:val="009E5235"/>
    <w:rsid w:val="009E57DD"/>
    <w:rsid w:val="009E5822"/>
    <w:rsid w:val="009F0EC7"/>
    <w:rsid w:val="009F1A63"/>
    <w:rsid w:val="009F2411"/>
    <w:rsid w:val="009F4D92"/>
    <w:rsid w:val="009F4DB7"/>
    <w:rsid w:val="009F5EAF"/>
    <w:rsid w:val="009F6525"/>
    <w:rsid w:val="009F79A7"/>
    <w:rsid w:val="009F7EC4"/>
    <w:rsid w:val="00A009A3"/>
    <w:rsid w:val="00A039A9"/>
    <w:rsid w:val="00A03B87"/>
    <w:rsid w:val="00A051A2"/>
    <w:rsid w:val="00A067CB"/>
    <w:rsid w:val="00A06DC1"/>
    <w:rsid w:val="00A1034F"/>
    <w:rsid w:val="00A16B8C"/>
    <w:rsid w:val="00A17CF6"/>
    <w:rsid w:val="00A2228D"/>
    <w:rsid w:val="00A22921"/>
    <w:rsid w:val="00A25A49"/>
    <w:rsid w:val="00A25D9A"/>
    <w:rsid w:val="00A264AA"/>
    <w:rsid w:val="00A2656A"/>
    <w:rsid w:val="00A30414"/>
    <w:rsid w:val="00A32C0F"/>
    <w:rsid w:val="00A32CF0"/>
    <w:rsid w:val="00A32ECD"/>
    <w:rsid w:val="00A359C5"/>
    <w:rsid w:val="00A36046"/>
    <w:rsid w:val="00A360F5"/>
    <w:rsid w:val="00A37364"/>
    <w:rsid w:val="00A37866"/>
    <w:rsid w:val="00A40AFB"/>
    <w:rsid w:val="00A419DD"/>
    <w:rsid w:val="00A41EC3"/>
    <w:rsid w:val="00A42010"/>
    <w:rsid w:val="00A428CC"/>
    <w:rsid w:val="00A43961"/>
    <w:rsid w:val="00A44DAE"/>
    <w:rsid w:val="00A45F1F"/>
    <w:rsid w:val="00A47624"/>
    <w:rsid w:val="00A479DE"/>
    <w:rsid w:val="00A50F71"/>
    <w:rsid w:val="00A5237F"/>
    <w:rsid w:val="00A5253C"/>
    <w:rsid w:val="00A5258C"/>
    <w:rsid w:val="00A533F6"/>
    <w:rsid w:val="00A56986"/>
    <w:rsid w:val="00A572FC"/>
    <w:rsid w:val="00A575F0"/>
    <w:rsid w:val="00A57FBC"/>
    <w:rsid w:val="00A60727"/>
    <w:rsid w:val="00A60BE8"/>
    <w:rsid w:val="00A60D47"/>
    <w:rsid w:val="00A6117C"/>
    <w:rsid w:val="00A62708"/>
    <w:rsid w:val="00A645C2"/>
    <w:rsid w:val="00A657C0"/>
    <w:rsid w:val="00A66038"/>
    <w:rsid w:val="00A66400"/>
    <w:rsid w:val="00A678A3"/>
    <w:rsid w:val="00A708D3"/>
    <w:rsid w:val="00A7117E"/>
    <w:rsid w:val="00A72C53"/>
    <w:rsid w:val="00A74B13"/>
    <w:rsid w:val="00A754D9"/>
    <w:rsid w:val="00A75945"/>
    <w:rsid w:val="00A76934"/>
    <w:rsid w:val="00A80C7E"/>
    <w:rsid w:val="00A820B5"/>
    <w:rsid w:val="00A82412"/>
    <w:rsid w:val="00A8243B"/>
    <w:rsid w:val="00A82E56"/>
    <w:rsid w:val="00A835E7"/>
    <w:rsid w:val="00A83A78"/>
    <w:rsid w:val="00A84C7F"/>
    <w:rsid w:val="00A84ECE"/>
    <w:rsid w:val="00A85E3F"/>
    <w:rsid w:val="00A9085D"/>
    <w:rsid w:val="00A92361"/>
    <w:rsid w:val="00A934A7"/>
    <w:rsid w:val="00A93A08"/>
    <w:rsid w:val="00A96346"/>
    <w:rsid w:val="00AA0EC1"/>
    <w:rsid w:val="00AA3F27"/>
    <w:rsid w:val="00AA3F38"/>
    <w:rsid w:val="00AA5308"/>
    <w:rsid w:val="00AA6679"/>
    <w:rsid w:val="00AB1445"/>
    <w:rsid w:val="00AB2199"/>
    <w:rsid w:val="00AB2589"/>
    <w:rsid w:val="00AB3311"/>
    <w:rsid w:val="00AB3936"/>
    <w:rsid w:val="00AB40FA"/>
    <w:rsid w:val="00AB5025"/>
    <w:rsid w:val="00AB526D"/>
    <w:rsid w:val="00AB59A8"/>
    <w:rsid w:val="00AC016C"/>
    <w:rsid w:val="00AC087C"/>
    <w:rsid w:val="00AC183F"/>
    <w:rsid w:val="00AC26A2"/>
    <w:rsid w:val="00AC361B"/>
    <w:rsid w:val="00AC4A0B"/>
    <w:rsid w:val="00AC6874"/>
    <w:rsid w:val="00AC7435"/>
    <w:rsid w:val="00AD4177"/>
    <w:rsid w:val="00AD431A"/>
    <w:rsid w:val="00AD48DA"/>
    <w:rsid w:val="00AD4DF5"/>
    <w:rsid w:val="00AD6471"/>
    <w:rsid w:val="00AD6E50"/>
    <w:rsid w:val="00AD741D"/>
    <w:rsid w:val="00AE01F6"/>
    <w:rsid w:val="00AE0B8A"/>
    <w:rsid w:val="00AE2D10"/>
    <w:rsid w:val="00AE4268"/>
    <w:rsid w:val="00AE6155"/>
    <w:rsid w:val="00AE6A9D"/>
    <w:rsid w:val="00AE7B3F"/>
    <w:rsid w:val="00AF0216"/>
    <w:rsid w:val="00AF27E8"/>
    <w:rsid w:val="00AF3283"/>
    <w:rsid w:val="00AF651C"/>
    <w:rsid w:val="00AF69A5"/>
    <w:rsid w:val="00B00A1A"/>
    <w:rsid w:val="00B00E62"/>
    <w:rsid w:val="00B02A36"/>
    <w:rsid w:val="00B03690"/>
    <w:rsid w:val="00B04181"/>
    <w:rsid w:val="00B04493"/>
    <w:rsid w:val="00B05086"/>
    <w:rsid w:val="00B06408"/>
    <w:rsid w:val="00B07907"/>
    <w:rsid w:val="00B07D8D"/>
    <w:rsid w:val="00B10B1F"/>
    <w:rsid w:val="00B113AA"/>
    <w:rsid w:val="00B13860"/>
    <w:rsid w:val="00B13890"/>
    <w:rsid w:val="00B13F77"/>
    <w:rsid w:val="00B16BA3"/>
    <w:rsid w:val="00B209A6"/>
    <w:rsid w:val="00B22457"/>
    <w:rsid w:val="00B23D31"/>
    <w:rsid w:val="00B243D9"/>
    <w:rsid w:val="00B248BA"/>
    <w:rsid w:val="00B2580D"/>
    <w:rsid w:val="00B27104"/>
    <w:rsid w:val="00B316F7"/>
    <w:rsid w:val="00B322CB"/>
    <w:rsid w:val="00B345DF"/>
    <w:rsid w:val="00B34FDF"/>
    <w:rsid w:val="00B40A9D"/>
    <w:rsid w:val="00B42FAE"/>
    <w:rsid w:val="00B430A8"/>
    <w:rsid w:val="00B4476B"/>
    <w:rsid w:val="00B44836"/>
    <w:rsid w:val="00B46FF6"/>
    <w:rsid w:val="00B53441"/>
    <w:rsid w:val="00B5375C"/>
    <w:rsid w:val="00B54595"/>
    <w:rsid w:val="00B55469"/>
    <w:rsid w:val="00B56239"/>
    <w:rsid w:val="00B57F87"/>
    <w:rsid w:val="00B6146E"/>
    <w:rsid w:val="00B61732"/>
    <w:rsid w:val="00B62456"/>
    <w:rsid w:val="00B62E74"/>
    <w:rsid w:val="00B63563"/>
    <w:rsid w:val="00B63CFB"/>
    <w:rsid w:val="00B63F57"/>
    <w:rsid w:val="00B649E4"/>
    <w:rsid w:val="00B65051"/>
    <w:rsid w:val="00B65C4F"/>
    <w:rsid w:val="00B67DFC"/>
    <w:rsid w:val="00B74B06"/>
    <w:rsid w:val="00B754BB"/>
    <w:rsid w:val="00B75DA3"/>
    <w:rsid w:val="00B77280"/>
    <w:rsid w:val="00B7775D"/>
    <w:rsid w:val="00B807E4"/>
    <w:rsid w:val="00B82877"/>
    <w:rsid w:val="00B83230"/>
    <w:rsid w:val="00B83E2A"/>
    <w:rsid w:val="00B84710"/>
    <w:rsid w:val="00B85700"/>
    <w:rsid w:val="00B86188"/>
    <w:rsid w:val="00B87E24"/>
    <w:rsid w:val="00B87F0C"/>
    <w:rsid w:val="00B90E2F"/>
    <w:rsid w:val="00B93389"/>
    <w:rsid w:val="00B95C60"/>
    <w:rsid w:val="00B9601F"/>
    <w:rsid w:val="00B96576"/>
    <w:rsid w:val="00B968A4"/>
    <w:rsid w:val="00BA029B"/>
    <w:rsid w:val="00BA2237"/>
    <w:rsid w:val="00BA2D34"/>
    <w:rsid w:val="00BA32BA"/>
    <w:rsid w:val="00BA3601"/>
    <w:rsid w:val="00BA39F0"/>
    <w:rsid w:val="00BA778A"/>
    <w:rsid w:val="00BB1D8B"/>
    <w:rsid w:val="00BB2BBA"/>
    <w:rsid w:val="00BB3CFE"/>
    <w:rsid w:val="00BB47DB"/>
    <w:rsid w:val="00BB5F3F"/>
    <w:rsid w:val="00BB65B8"/>
    <w:rsid w:val="00BB7344"/>
    <w:rsid w:val="00BB74C0"/>
    <w:rsid w:val="00BC0C35"/>
    <w:rsid w:val="00BC0E01"/>
    <w:rsid w:val="00BC3151"/>
    <w:rsid w:val="00BC3C19"/>
    <w:rsid w:val="00BC40AA"/>
    <w:rsid w:val="00BC40C9"/>
    <w:rsid w:val="00BC4375"/>
    <w:rsid w:val="00BC48A2"/>
    <w:rsid w:val="00BC4EF3"/>
    <w:rsid w:val="00BC5EBB"/>
    <w:rsid w:val="00BC779F"/>
    <w:rsid w:val="00BD1A8E"/>
    <w:rsid w:val="00BD225C"/>
    <w:rsid w:val="00BD2592"/>
    <w:rsid w:val="00BD28F4"/>
    <w:rsid w:val="00BD31A4"/>
    <w:rsid w:val="00BD32F1"/>
    <w:rsid w:val="00BD39C3"/>
    <w:rsid w:val="00BD4468"/>
    <w:rsid w:val="00BE1081"/>
    <w:rsid w:val="00BF08F2"/>
    <w:rsid w:val="00BF23A1"/>
    <w:rsid w:val="00BF29C9"/>
    <w:rsid w:val="00BF3C9F"/>
    <w:rsid w:val="00BF47F5"/>
    <w:rsid w:val="00BF5EEA"/>
    <w:rsid w:val="00C00DF7"/>
    <w:rsid w:val="00C01202"/>
    <w:rsid w:val="00C030DA"/>
    <w:rsid w:val="00C032A1"/>
    <w:rsid w:val="00C06779"/>
    <w:rsid w:val="00C10618"/>
    <w:rsid w:val="00C1074F"/>
    <w:rsid w:val="00C11DB7"/>
    <w:rsid w:val="00C12798"/>
    <w:rsid w:val="00C12B42"/>
    <w:rsid w:val="00C15F73"/>
    <w:rsid w:val="00C16735"/>
    <w:rsid w:val="00C16983"/>
    <w:rsid w:val="00C203C5"/>
    <w:rsid w:val="00C2090C"/>
    <w:rsid w:val="00C218BD"/>
    <w:rsid w:val="00C24622"/>
    <w:rsid w:val="00C247DE"/>
    <w:rsid w:val="00C251DC"/>
    <w:rsid w:val="00C25697"/>
    <w:rsid w:val="00C3141A"/>
    <w:rsid w:val="00C315BA"/>
    <w:rsid w:val="00C31921"/>
    <w:rsid w:val="00C32014"/>
    <w:rsid w:val="00C32063"/>
    <w:rsid w:val="00C32512"/>
    <w:rsid w:val="00C332E1"/>
    <w:rsid w:val="00C3448F"/>
    <w:rsid w:val="00C347ED"/>
    <w:rsid w:val="00C357ED"/>
    <w:rsid w:val="00C35A62"/>
    <w:rsid w:val="00C366D3"/>
    <w:rsid w:val="00C36D14"/>
    <w:rsid w:val="00C37477"/>
    <w:rsid w:val="00C404D5"/>
    <w:rsid w:val="00C4055A"/>
    <w:rsid w:val="00C41F23"/>
    <w:rsid w:val="00C420C2"/>
    <w:rsid w:val="00C46E10"/>
    <w:rsid w:val="00C5074D"/>
    <w:rsid w:val="00C50F28"/>
    <w:rsid w:val="00C51225"/>
    <w:rsid w:val="00C51ADE"/>
    <w:rsid w:val="00C5231F"/>
    <w:rsid w:val="00C5278B"/>
    <w:rsid w:val="00C52BBA"/>
    <w:rsid w:val="00C52F8D"/>
    <w:rsid w:val="00C55137"/>
    <w:rsid w:val="00C558F8"/>
    <w:rsid w:val="00C56B24"/>
    <w:rsid w:val="00C603FF"/>
    <w:rsid w:val="00C64291"/>
    <w:rsid w:val="00C644A1"/>
    <w:rsid w:val="00C64805"/>
    <w:rsid w:val="00C651CD"/>
    <w:rsid w:val="00C655B7"/>
    <w:rsid w:val="00C657AF"/>
    <w:rsid w:val="00C65C24"/>
    <w:rsid w:val="00C729BC"/>
    <w:rsid w:val="00C74630"/>
    <w:rsid w:val="00C74BC6"/>
    <w:rsid w:val="00C74C27"/>
    <w:rsid w:val="00C7611E"/>
    <w:rsid w:val="00C7787C"/>
    <w:rsid w:val="00C8134E"/>
    <w:rsid w:val="00C8209A"/>
    <w:rsid w:val="00C8255D"/>
    <w:rsid w:val="00C83BE3"/>
    <w:rsid w:val="00C83CB8"/>
    <w:rsid w:val="00C85818"/>
    <w:rsid w:val="00C90191"/>
    <w:rsid w:val="00C904E1"/>
    <w:rsid w:val="00C90FCC"/>
    <w:rsid w:val="00C91D3E"/>
    <w:rsid w:val="00C95E0F"/>
    <w:rsid w:val="00C96A80"/>
    <w:rsid w:val="00C96F90"/>
    <w:rsid w:val="00CA04DB"/>
    <w:rsid w:val="00CA0DB9"/>
    <w:rsid w:val="00CA119A"/>
    <w:rsid w:val="00CA1C27"/>
    <w:rsid w:val="00CA1F71"/>
    <w:rsid w:val="00CA3224"/>
    <w:rsid w:val="00CA56AB"/>
    <w:rsid w:val="00CA66D3"/>
    <w:rsid w:val="00CA7774"/>
    <w:rsid w:val="00CB0FD0"/>
    <w:rsid w:val="00CB1164"/>
    <w:rsid w:val="00CB1327"/>
    <w:rsid w:val="00CB145A"/>
    <w:rsid w:val="00CB177C"/>
    <w:rsid w:val="00CB1F11"/>
    <w:rsid w:val="00CB2D0F"/>
    <w:rsid w:val="00CB6A85"/>
    <w:rsid w:val="00CB74DF"/>
    <w:rsid w:val="00CB7E29"/>
    <w:rsid w:val="00CC0BE1"/>
    <w:rsid w:val="00CC1804"/>
    <w:rsid w:val="00CC2633"/>
    <w:rsid w:val="00CC29F3"/>
    <w:rsid w:val="00CC3C22"/>
    <w:rsid w:val="00CC71D7"/>
    <w:rsid w:val="00CC76F0"/>
    <w:rsid w:val="00CD4A76"/>
    <w:rsid w:val="00CD50A6"/>
    <w:rsid w:val="00CD52D7"/>
    <w:rsid w:val="00CD5727"/>
    <w:rsid w:val="00CE3984"/>
    <w:rsid w:val="00CE66A3"/>
    <w:rsid w:val="00CE6EBE"/>
    <w:rsid w:val="00CE7747"/>
    <w:rsid w:val="00CF0539"/>
    <w:rsid w:val="00CF1A41"/>
    <w:rsid w:val="00CF2577"/>
    <w:rsid w:val="00CF2C66"/>
    <w:rsid w:val="00CF2C6E"/>
    <w:rsid w:val="00CF3B09"/>
    <w:rsid w:val="00CF43D4"/>
    <w:rsid w:val="00CF48B6"/>
    <w:rsid w:val="00CF5290"/>
    <w:rsid w:val="00CF6E0C"/>
    <w:rsid w:val="00CF753F"/>
    <w:rsid w:val="00CF75FC"/>
    <w:rsid w:val="00D01489"/>
    <w:rsid w:val="00D02386"/>
    <w:rsid w:val="00D03013"/>
    <w:rsid w:val="00D04420"/>
    <w:rsid w:val="00D0442A"/>
    <w:rsid w:val="00D060E5"/>
    <w:rsid w:val="00D0797B"/>
    <w:rsid w:val="00D103F9"/>
    <w:rsid w:val="00D118A9"/>
    <w:rsid w:val="00D12940"/>
    <w:rsid w:val="00D14A15"/>
    <w:rsid w:val="00D1601C"/>
    <w:rsid w:val="00D163C2"/>
    <w:rsid w:val="00D1653C"/>
    <w:rsid w:val="00D1706D"/>
    <w:rsid w:val="00D1764D"/>
    <w:rsid w:val="00D201CE"/>
    <w:rsid w:val="00D2043A"/>
    <w:rsid w:val="00D20A18"/>
    <w:rsid w:val="00D22572"/>
    <w:rsid w:val="00D22FDC"/>
    <w:rsid w:val="00D23AC9"/>
    <w:rsid w:val="00D23B0A"/>
    <w:rsid w:val="00D24B0E"/>
    <w:rsid w:val="00D24F24"/>
    <w:rsid w:val="00D2557B"/>
    <w:rsid w:val="00D26176"/>
    <w:rsid w:val="00D2693F"/>
    <w:rsid w:val="00D27DA8"/>
    <w:rsid w:val="00D32A8E"/>
    <w:rsid w:val="00D344A5"/>
    <w:rsid w:val="00D34EB6"/>
    <w:rsid w:val="00D36843"/>
    <w:rsid w:val="00D36979"/>
    <w:rsid w:val="00D37818"/>
    <w:rsid w:val="00D378E4"/>
    <w:rsid w:val="00D409BF"/>
    <w:rsid w:val="00D4108D"/>
    <w:rsid w:val="00D4241C"/>
    <w:rsid w:val="00D434B8"/>
    <w:rsid w:val="00D435C7"/>
    <w:rsid w:val="00D458F6"/>
    <w:rsid w:val="00D50DB0"/>
    <w:rsid w:val="00D50EF9"/>
    <w:rsid w:val="00D53548"/>
    <w:rsid w:val="00D544D8"/>
    <w:rsid w:val="00D55812"/>
    <w:rsid w:val="00D560D9"/>
    <w:rsid w:val="00D56D87"/>
    <w:rsid w:val="00D57525"/>
    <w:rsid w:val="00D57548"/>
    <w:rsid w:val="00D576BB"/>
    <w:rsid w:val="00D57DD6"/>
    <w:rsid w:val="00D60317"/>
    <w:rsid w:val="00D619F1"/>
    <w:rsid w:val="00D61E0C"/>
    <w:rsid w:val="00D61FC1"/>
    <w:rsid w:val="00D62779"/>
    <w:rsid w:val="00D634A9"/>
    <w:rsid w:val="00D639E3"/>
    <w:rsid w:val="00D63B9F"/>
    <w:rsid w:val="00D64419"/>
    <w:rsid w:val="00D64F4A"/>
    <w:rsid w:val="00D66195"/>
    <w:rsid w:val="00D66612"/>
    <w:rsid w:val="00D66F36"/>
    <w:rsid w:val="00D677FB"/>
    <w:rsid w:val="00D702E1"/>
    <w:rsid w:val="00D73773"/>
    <w:rsid w:val="00D73AE5"/>
    <w:rsid w:val="00D74388"/>
    <w:rsid w:val="00D764FF"/>
    <w:rsid w:val="00D76795"/>
    <w:rsid w:val="00D77236"/>
    <w:rsid w:val="00D8017D"/>
    <w:rsid w:val="00D81597"/>
    <w:rsid w:val="00D81A2C"/>
    <w:rsid w:val="00D8246F"/>
    <w:rsid w:val="00D83C9B"/>
    <w:rsid w:val="00D84B9C"/>
    <w:rsid w:val="00D861C6"/>
    <w:rsid w:val="00D866E5"/>
    <w:rsid w:val="00D86CB4"/>
    <w:rsid w:val="00D870B5"/>
    <w:rsid w:val="00D87634"/>
    <w:rsid w:val="00D904DF"/>
    <w:rsid w:val="00D9155E"/>
    <w:rsid w:val="00D92979"/>
    <w:rsid w:val="00D93343"/>
    <w:rsid w:val="00D93536"/>
    <w:rsid w:val="00D940B5"/>
    <w:rsid w:val="00D96A1E"/>
    <w:rsid w:val="00D96F93"/>
    <w:rsid w:val="00D976B9"/>
    <w:rsid w:val="00DA1079"/>
    <w:rsid w:val="00DA117B"/>
    <w:rsid w:val="00DA11A9"/>
    <w:rsid w:val="00DA3E9B"/>
    <w:rsid w:val="00DA4201"/>
    <w:rsid w:val="00DA531D"/>
    <w:rsid w:val="00DA5749"/>
    <w:rsid w:val="00DA6FE0"/>
    <w:rsid w:val="00DA725D"/>
    <w:rsid w:val="00DA7941"/>
    <w:rsid w:val="00DB0C13"/>
    <w:rsid w:val="00DB14A4"/>
    <w:rsid w:val="00DB1A9E"/>
    <w:rsid w:val="00DB1CDF"/>
    <w:rsid w:val="00DB1DA1"/>
    <w:rsid w:val="00DB2540"/>
    <w:rsid w:val="00DB3C32"/>
    <w:rsid w:val="00DB596B"/>
    <w:rsid w:val="00DB5C3D"/>
    <w:rsid w:val="00DB6742"/>
    <w:rsid w:val="00DC1B97"/>
    <w:rsid w:val="00DC1D6F"/>
    <w:rsid w:val="00DC201C"/>
    <w:rsid w:val="00DC2024"/>
    <w:rsid w:val="00DC5603"/>
    <w:rsid w:val="00DC6265"/>
    <w:rsid w:val="00DC71E8"/>
    <w:rsid w:val="00DC7381"/>
    <w:rsid w:val="00DC73D6"/>
    <w:rsid w:val="00DD00F5"/>
    <w:rsid w:val="00DD0C61"/>
    <w:rsid w:val="00DD0CA7"/>
    <w:rsid w:val="00DD28CE"/>
    <w:rsid w:val="00DD4247"/>
    <w:rsid w:val="00DD5211"/>
    <w:rsid w:val="00DD635D"/>
    <w:rsid w:val="00DD72E9"/>
    <w:rsid w:val="00DD7A9F"/>
    <w:rsid w:val="00DE0A99"/>
    <w:rsid w:val="00DE1FA4"/>
    <w:rsid w:val="00DE215F"/>
    <w:rsid w:val="00DE2FDE"/>
    <w:rsid w:val="00DE625A"/>
    <w:rsid w:val="00DE68FE"/>
    <w:rsid w:val="00DF0C48"/>
    <w:rsid w:val="00DF1C97"/>
    <w:rsid w:val="00DF69AE"/>
    <w:rsid w:val="00DF70B4"/>
    <w:rsid w:val="00DF727E"/>
    <w:rsid w:val="00E00127"/>
    <w:rsid w:val="00E0033D"/>
    <w:rsid w:val="00E00EF2"/>
    <w:rsid w:val="00E029BE"/>
    <w:rsid w:val="00E03B57"/>
    <w:rsid w:val="00E05399"/>
    <w:rsid w:val="00E05D0D"/>
    <w:rsid w:val="00E06683"/>
    <w:rsid w:val="00E10D34"/>
    <w:rsid w:val="00E111D0"/>
    <w:rsid w:val="00E11486"/>
    <w:rsid w:val="00E116F2"/>
    <w:rsid w:val="00E11EE6"/>
    <w:rsid w:val="00E127EF"/>
    <w:rsid w:val="00E14A8C"/>
    <w:rsid w:val="00E15FB9"/>
    <w:rsid w:val="00E17768"/>
    <w:rsid w:val="00E179A6"/>
    <w:rsid w:val="00E17E3F"/>
    <w:rsid w:val="00E20858"/>
    <w:rsid w:val="00E21284"/>
    <w:rsid w:val="00E245A1"/>
    <w:rsid w:val="00E253EA"/>
    <w:rsid w:val="00E263FB"/>
    <w:rsid w:val="00E276EB"/>
    <w:rsid w:val="00E2771C"/>
    <w:rsid w:val="00E27C64"/>
    <w:rsid w:val="00E31091"/>
    <w:rsid w:val="00E33B12"/>
    <w:rsid w:val="00E36B59"/>
    <w:rsid w:val="00E40A66"/>
    <w:rsid w:val="00E437A9"/>
    <w:rsid w:val="00E44322"/>
    <w:rsid w:val="00E44711"/>
    <w:rsid w:val="00E45ED7"/>
    <w:rsid w:val="00E46535"/>
    <w:rsid w:val="00E50E54"/>
    <w:rsid w:val="00E51326"/>
    <w:rsid w:val="00E51BB0"/>
    <w:rsid w:val="00E537F0"/>
    <w:rsid w:val="00E566B4"/>
    <w:rsid w:val="00E56784"/>
    <w:rsid w:val="00E56E24"/>
    <w:rsid w:val="00E60B73"/>
    <w:rsid w:val="00E60D52"/>
    <w:rsid w:val="00E613FE"/>
    <w:rsid w:val="00E62AB5"/>
    <w:rsid w:val="00E64117"/>
    <w:rsid w:val="00E65915"/>
    <w:rsid w:val="00E66A38"/>
    <w:rsid w:val="00E66DF4"/>
    <w:rsid w:val="00E673FF"/>
    <w:rsid w:val="00E6752E"/>
    <w:rsid w:val="00E67A33"/>
    <w:rsid w:val="00E67A69"/>
    <w:rsid w:val="00E7378A"/>
    <w:rsid w:val="00E76C8B"/>
    <w:rsid w:val="00E8132B"/>
    <w:rsid w:val="00E816F1"/>
    <w:rsid w:val="00E822C2"/>
    <w:rsid w:val="00E862CD"/>
    <w:rsid w:val="00E8646E"/>
    <w:rsid w:val="00E868E6"/>
    <w:rsid w:val="00E8753A"/>
    <w:rsid w:val="00E9072A"/>
    <w:rsid w:val="00E9088E"/>
    <w:rsid w:val="00E90DC4"/>
    <w:rsid w:val="00E90EA4"/>
    <w:rsid w:val="00E91513"/>
    <w:rsid w:val="00E92763"/>
    <w:rsid w:val="00E947AC"/>
    <w:rsid w:val="00E94D25"/>
    <w:rsid w:val="00E961C9"/>
    <w:rsid w:val="00E96BB6"/>
    <w:rsid w:val="00EA0657"/>
    <w:rsid w:val="00EA07A8"/>
    <w:rsid w:val="00EA07DF"/>
    <w:rsid w:val="00EA1217"/>
    <w:rsid w:val="00EA343B"/>
    <w:rsid w:val="00EA4FF4"/>
    <w:rsid w:val="00EA7247"/>
    <w:rsid w:val="00EA776D"/>
    <w:rsid w:val="00EB01D8"/>
    <w:rsid w:val="00EB03B0"/>
    <w:rsid w:val="00EB2191"/>
    <w:rsid w:val="00EB2B95"/>
    <w:rsid w:val="00EB3869"/>
    <w:rsid w:val="00EB6639"/>
    <w:rsid w:val="00EB7D26"/>
    <w:rsid w:val="00EC24AD"/>
    <w:rsid w:val="00EC27C3"/>
    <w:rsid w:val="00EC328B"/>
    <w:rsid w:val="00EC359D"/>
    <w:rsid w:val="00EC52D5"/>
    <w:rsid w:val="00EC6FE1"/>
    <w:rsid w:val="00EC73ED"/>
    <w:rsid w:val="00ED0152"/>
    <w:rsid w:val="00ED16E3"/>
    <w:rsid w:val="00ED20E1"/>
    <w:rsid w:val="00ED235F"/>
    <w:rsid w:val="00ED46E3"/>
    <w:rsid w:val="00ED5483"/>
    <w:rsid w:val="00ED6824"/>
    <w:rsid w:val="00ED6D21"/>
    <w:rsid w:val="00EE05D4"/>
    <w:rsid w:val="00EE1956"/>
    <w:rsid w:val="00EE40B6"/>
    <w:rsid w:val="00EE46B6"/>
    <w:rsid w:val="00EE4DA4"/>
    <w:rsid w:val="00EE5424"/>
    <w:rsid w:val="00EE5470"/>
    <w:rsid w:val="00EE6C6F"/>
    <w:rsid w:val="00EE6EFD"/>
    <w:rsid w:val="00EF2F67"/>
    <w:rsid w:val="00EF3B1A"/>
    <w:rsid w:val="00EF3C99"/>
    <w:rsid w:val="00EF65CB"/>
    <w:rsid w:val="00EF6F87"/>
    <w:rsid w:val="00F0097E"/>
    <w:rsid w:val="00F01640"/>
    <w:rsid w:val="00F04FA7"/>
    <w:rsid w:val="00F05953"/>
    <w:rsid w:val="00F05A77"/>
    <w:rsid w:val="00F067FC"/>
    <w:rsid w:val="00F1067B"/>
    <w:rsid w:val="00F1098D"/>
    <w:rsid w:val="00F12B31"/>
    <w:rsid w:val="00F135D5"/>
    <w:rsid w:val="00F13A0A"/>
    <w:rsid w:val="00F17291"/>
    <w:rsid w:val="00F2378C"/>
    <w:rsid w:val="00F23C67"/>
    <w:rsid w:val="00F255F8"/>
    <w:rsid w:val="00F266F7"/>
    <w:rsid w:val="00F27CC2"/>
    <w:rsid w:val="00F30041"/>
    <w:rsid w:val="00F33707"/>
    <w:rsid w:val="00F346C5"/>
    <w:rsid w:val="00F363C3"/>
    <w:rsid w:val="00F3710B"/>
    <w:rsid w:val="00F43687"/>
    <w:rsid w:val="00F45622"/>
    <w:rsid w:val="00F462DF"/>
    <w:rsid w:val="00F46617"/>
    <w:rsid w:val="00F474D6"/>
    <w:rsid w:val="00F47D0B"/>
    <w:rsid w:val="00F50E99"/>
    <w:rsid w:val="00F5298F"/>
    <w:rsid w:val="00F55C15"/>
    <w:rsid w:val="00F5791B"/>
    <w:rsid w:val="00F57BDB"/>
    <w:rsid w:val="00F60EE8"/>
    <w:rsid w:val="00F60F7A"/>
    <w:rsid w:val="00F62287"/>
    <w:rsid w:val="00F62B02"/>
    <w:rsid w:val="00F62CC7"/>
    <w:rsid w:val="00F62E0F"/>
    <w:rsid w:val="00F64480"/>
    <w:rsid w:val="00F6548E"/>
    <w:rsid w:val="00F65567"/>
    <w:rsid w:val="00F65DF0"/>
    <w:rsid w:val="00F66BE2"/>
    <w:rsid w:val="00F66F8E"/>
    <w:rsid w:val="00F671F7"/>
    <w:rsid w:val="00F67ACA"/>
    <w:rsid w:val="00F70213"/>
    <w:rsid w:val="00F70A26"/>
    <w:rsid w:val="00F70D90"/>
    <w:rsid w:val="00F7329E"/>
    <w:rsid w:val="00F737CE"/>
    <w:rsid w:val="00F7392F"/>
    <w:rsid w:val="00F7573B"/>
    <w:rsid w:val="00F75774"/>
    <w:rsid w:val="00F75A1F"/>
    <w:rsid w:val="00F76E71"/>
    <w:rsid w:val="00F779F7"/>
    <w:rsid w:val="00F77FDF"/>
    <w:rsid w:val="00F829E6"/>
    <w:rsid w:val="00F83A47"/>
    <w:rsid w:val="00F85443"/>
    <w:rsid w:val="00F87B48"/>
    <w:rsid w:val="00F87D38"/>
    <w:rsid w:val="00F900C9"/>
    <w:rsid w:val="00F90422"/>
    <w:rsid w:val="00F9220E"/>
    <w:rsid w:val="00F9432A"/>
    <w:rsid w:val="00F9522E"/>
    <w:rsid w:val="00F95F16"/>
    <w:rsid w:val="00F95F29"/>
    <w:rsid w:val="00F9772D"/>
    <w:rsid w:val="00FA244E"/>
    <w:rsid w:val="00FA3108"/>
    <w:rsid w:val="00FA3465"/>
    <w:rsid w:val="00FA5A4C"/>
    <w:rsid w:val="00FB0C96"/>
    <w:rsid w:val="00FB2B77"/>
    <w:rsid w:val="00FB2F05"/>
    <w:rsid w:val="00FB33CF"/>
    <w:rsid w:val="00FB434A"/>
    <w:rsid w:val="00FB49FF"/>
    <w:rsid w:val="00FB4C57"/>
    <w:rsid w:val="00FB5161"/>
    <w:rsid w:val="00FB6B23"/>
    <w:rsid w:val="00FB7D02"/>
    <w:rsid w:val="00FC0E12"/>
    <w:rsid w:val="00FC20F7"/>
    <w:rsid w:val="00FC4BBA"/>
    <w:rsid w:val="00FC707B"/>
    <w:rsid w:val="00FD0F93"/>
    <w:rsid w:val="00FD0FBF"/>
    <w:rsid w:val="00FD12FC"/>
    <w:rsid w:val="00FD1578"/>
    <w:rsid w:val="00FD3D18"/>
    <w:rsid w:val="00FD3F8E"/>
    <w:rsid w:val="00FD5F28"/>
    <w:rsid w:val="00FD681E"/>
    <w:rsid w:val="00FD72A3"/>
    <w:rsid w:val="00FD72BD"/>
    <w:rsid w:val="00FD73AA"/>
    <w:rsid w:val="00FD7929"/>
    <w:rsid w:val="00FE46EB"/>
    <w:rsid w:val="00FE4D3C"/>
    <w:rsid w:val="00FE5E3F"/>
    <w:rsid w:val="00FE5F68"/>
    <w:rsid w:val="00FE64D5"/>
    <w:rsid w:val="00FE74B6"/>
    <w:rsid w:val="00FE7F4C"/>
    <w:rsid w:val="00FF02D7"/>
    <w:rsid w:val="00FF132B"/>
    <w:rsid w:val="00FF288E"/>
    <w:rsid w:val="00FF4199"/>
    <w:rsid w:val="00FF50DE"/>
    <w:rsid w:val="00FF5643"/>
    <w:rsid w:val="00FF64FB"/>
    <w:rsid w:val="00FF7DF2"/>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DEFD68"/>
  <w15:docId w15:val="{0D606EF0-FB21-4B96-A9C0-9D58829C8E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v-LV" w:eastAsia="lv-LV"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9BF"/>
    <w:pPr>
      <w:spacing w:after="120"/>
      <w:ind w:firstLine="720"/>
      <w:jc w:val="both"/>
    </w:pPr>
    <w:rPr>
      <w:rFonts w:ascii="Times New Roman" w:hAnsi="Times New Roman"/>
      <w:sz w:val="24"/>
    </w:rPr>
  </w:style>
  <w:style w:type="paragraph" w:styleId="Heading1">
    <w:name w:val="heading 1"/>
    <w:basedOn w:val="Normal"/>
    <w:next w:val="Normal"/>
    <w:link w:val="Heading1Char"/>
    <w:uiPriority w:val="9"/>
    <w:qFormat/>
    <w:rsid w:val="00261182"/>
    <w:pPr>
      <w:keepNext/>
      <w:keepLines/>
      <w:spacing w:before="360"/>
      <w:ind w:firstLine="0"/>
      <w:jc w:val="center"/>
      <w:outlineLvl w:val="0"/>
    </w:pPr>
    <w:rPr>
      <w:rFonts w:eastAsiaTheme="majorEastAsia" w:cstheme="majorBidi"/>
      <w:b/>
      <w:bCs/>
      <w:color w:val="000000" w:themeColor="text1"/>
      <w:sz w:val="40"/>
      <w:szCs w:val="36"/>
    </w:rPr>
  </w:style>
  <w:style w:type="paragraph" w:styleId="Heading2">
    <w:name w:val="heading 2"/>
    <w:basedOn w:val="Normal"/>
    <w:next w:val="Normal"/>
    <w:link w:val="Heading2Char"/>
    <w:uiPriority w:val="9"/>
    <w:unhideWhenUsed/>
    <w:qFormat/>
    <w:rsid w:val="00261182"/>
    <w:pPr>
      <w:keepNext/>
      <w:keepLines/>
      <w:spacing w:before="360"/>
      <w:ind w:firstLine="0"/>
      <w:jc w:val="center"/>
      <w:outlineLvl w:val="1"/>
    </w:pPr>
    <w:rPr>
      <w:rFonts w:eastAsiaTheme="majorEastAsia" w:cstheme="majorBidi"/>
      <w:b/>
      <w:bCs/>
      <w:color w:val="000000" w:themeColor="text1"/>
      <w:sz w:val="36"/>
      <w:szCs w:val="28"/>
    </w:rPr>
  </w:style>
  <w:style w:type="paragraph" w:styleId="Heading3">
    <w:name w:val="heading 3"/>
    <w:basedOn w:val="Normal"/>
    <w:next w:val="Normal"/>
    <w:link w:val="Heading3Char"/>
    <w:uiPriority w:val="9"/>
    <w:unhideWhenUsed/>
    <w:qFormat/>
    <w:rsid w:val="00261182"/>
    <w:pPr>
      <w:keepNext/>
      <w:keepLines/>
      <w:numPr>
        <w:ilvl w:val="2"/>
        <w:numId w:val="4"/>
      </w:numPr>
      <w:tabs>
        <w:tab w:val="num" w:pos="993"/>
      </w:tabs>
      <w:spacing w:before="200"/>
      <w:ind w:left="993" w:hanging="567"/>
      <w:jc w:val="center"/>
      <w:outlineLvl w:val="2"/>
    </w:pPr>
    <w:rPr>
      <w:rFonts w:eastAsia="Calibri" w:cs="Times New Roman"/>
      <w:b/>
      <w:bCs/>
      <w:color w:val="000000" w:themeColor="text1"/>
      <w:sz w:val="32"/>
      <w:szCs w:val="28"/>
    </w:rPr>
  </w:style>
  <w:style w:type="paragraph" w:styleId="Heading4">
    <w:name w:val="heading 4"/>
    <w:basedOn w:val="Normal"/>
    <w:next w:val="Normal"/>
    <w:link w:val="Heading4Char"/>
    <w:unhideWhenUsed/>
    <w:qFormat/>
    <w:rsid w:val="004D28CD"/>
    <w:pPr>
      <w:keepNext/>
      <w:keepLines/>
      <w:spacing w:before="200"/>
      <w:ind w:firstLine="0"/>
      <w:outlineLvl w:val="3"/>
    </w:pPr>
    <w:rPr>
      <w:rFonts w:asciiTheme="majorHAnsi" w:eastAsiaTheme="majorEastAsia" w:hAnsiTheme="majorHAnsi" w:cstheme="majorBidi"/>
      <w:b/>
      <w:bCs/>
      <w:i/>
      <w:iCs/>
      <w:color w:val="000000" w:themeColor="text1"/>
    </w:rPr>
  </w:style>
  <w:style w:type="paragraph" w:styleId="Heading5">
    <w:name w:val="heading 5"/>
    <w:basedOn w:val="Normal"/>
    <w:next w:val="Normal"/>
    <w:link w:val="Heading5Char"/>
    <w:uiPriority w:val="9"/>
    <w:unhideWhenUsed/>
    <w:qFormat/>
    <w:rsid w:val="004D28CD"/>
    <w:pPr>
      <w:keepNext/>
      <w:keepLines/>
      <w:spacing w:before="200"/>
      <w:ind w:firstLine="0"/>
      <w:outlineLvl w:val="4"/>
    </w:pPr>
    <w:rPr>
      <w:rFonts w:asciiTheme="majorHAnsi" w:eastAsiaTheme="majorEastAsia" w:hAnsiTheme="majorHAnsi" w:cstheme="majorBidi"/>
      <w:color w:val="323E4F" w:themeColor="text2" w:themeShade="BF"/>
    </w:rPr>
  </w:style>
  <w:style w:type="paragraph" w:styleId="Heading6">
    <w:name w:val="heading 6"/>
    <w:basedOn w:val="Normal"/>
    <w:next w:val="Normal"/>
    <w:link w:val="Heading6Char"/>
    <w:uiPriority w:val="9"/>
    <w:semiHidden/>
    <w:unhideWhenUsed/>
    <w:qFormat/>
    <w:rsid w:val="004D28CD"/>
    <w:pPr>
      <w:keepNext/>
      <w:keepLines/>
      <w:spacing w:before="200"/>
      <w:ind w:firstLine="0"/>
      <w:outlineLvl w:val="5"/>
    </w:pPr>
    <w:rPr>
      <w:rFonts w:asciiTheme="majorHAnsi" w:eastAsiaTheme="majorEastAsia" w:hAnsiTheme="majorHAnsi" w:cstheme="majorBidi"/>
      <w:i/>
      <w:iCs/>
      <w:color w:val="323E4F" w:themeColor="text2" w:themeShade="BF"/>
    </w:rPr>
  </w:style>
  <w:style w:type="paragraph" w:styleId="Heading7">
    <w:name w:val="heading 7"/>
    <w:basedOn w:val="Normal"/>
    <w:next w:val="Normal"/>
    <w:link w:val="Heading7Char"/>
    <w:uiPriority w:val="9"/>
    <w:semiHidden/>
    <w:unhideWhenUsed/>
    <w:qFormat/>
    <w:rsid w:val="004D28CD"/>
    <w:pPr>
      <w:keepNext/>
      <w:keepLines/>
      <w:spacing w:before="200"/>
      <w:ind w:firstLine="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4D28CD"/>
    <w:pPr>
      <w:keepNext/>
      <w:keepLines/>
      <w:spacing w:before="200"/>
      <w:ind w:firstLine="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4D28CD"/>
    <w:pPr>
      <w:keepNext/>
      <w:keepLines/>
      <w:spacing w:before="200"/>
      <w:ind w:firstLine="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61182"/>
    <w:rPr>
      <w:rFonts w:ascii="Times New Roman" w:eastAsiaTheme="majorEastAsia" w:hAnsi="Times New Roman" w:cstheme="majorBidi"/>
      <w:b/>
      <w:bCs/>
      <w:color w:val="000000" w:themeColor="text1"/>
      <w:sz w:val="40"/>
      <w:szCs w:val="36"/>
    </w:rPr>
  </w:style>
  <w:style w:type="paragraph" w:styleId="TOCHeading">
    <w:name w:val="TOC Heading"/>
    <w:basedOn w:val="Heading1"/>
    <w:next w:val="Normal"/>
    <w:uiPriority w:val="39"/>
    <w:unhideWhenUsed/>
    <w:qFormat/>
    <w:rsid w:val="004D28CD"/>
    <w:pPr>
      <w:outlineLvl w:val="9"/>
    </w:pPr>
  </w:style>
  <w:style w:type="character" w:customStyle="1" w:styleId="Heading2Char">
    <w:name w:val="Heading 2 Char"/>
    <w:basedOn w:val="DefaultParagraphFont"/>
    <w:link w:val="Heading2"/>
    <w:uiPriority w:val="9"/>
    <w:rsid w:val="00261182"/>
    <w:rPr>
      <w:rFonts w:ascii="Times New Roman" w:eastAsiaTheme="majorEastAsia" w:hAnsi="Times New Roman" w:cstheme="majorBidi"/>
      <w:b/>
      <w:bCs/>
      <w:color w:val="000000" w:themeColor="text1"/>
      <w:sz w:val="36"/>
      <w:szCs w:val="28"/>
    </w:rPr>
  </w:style>
  <w:style w:type="character" w:customStyle="1" w:styleId="Heading3Char">
    <w:name w:val="Heading 3 Char"/>
    <w:basedOn w:val="DefaultParagraphFont"/>
    <w:link w:val="Heading3"/>
    <w:uiPriority w:val="9"/>
    <w:rsid w:val="00261182"/>
    <w:rPr>
      <w:rFonts w:ascii="Times New Roman" w:eastAsia="Calibri" w:hAnsi="Times New Roman" w:cs="Times New Roman"/>
      <w:b/>
      <w:bCs/>
      <w:color w:val="000000" w:themeColor="text1"/>
      <w:sz w:val="32"/>
      <w:szCs w:val="28"/>
    </w:rPr>
  </w:style>
  <w:style w:type="character" w:customStyle="1" w:styleId="Heading4Char">
    <w:name w:val="Heading 4 Char"/>
    <w:basedOn w:val="DefaultParagraphFont"/>
    <w:link w:val="Heading4"/>
    <w:rsid w:val="004D28CD"/>
    <w:rPr>
      <w:rFonts w:asciiTheme="majorHAnsi" w:eastAsiaTheme="majorEastAsia" w:hAnsiTheme="majorHAnsi" w:cstheme="majorBidi"/>
      <w:b/>
      <w:bCs/>
      <w:i/>
      <w:iCs/>
      <w:color w:val="000000" w:themeColor="text1"/>
    </w:rPr>
  </w:style>
  <w:style w:type="character" w:customStyle="1" w:styleId="Heading5Char">
    <w:name w:val="Heading 5 Char"/>
    <w:basedOn w:val="DefaultParagraphFont"/>
    <w:link w:val="Heading5"/>
    <w:uiPriority w:val="9"/>
    <w:rsid w:val="004D28CD"/>
    <w:rPr>
      <w:rFonts w:asciiTheme="majorHAnsi" w:eastAsiaTheme="majorEastAsia" w:hAnsiTheme="majorHAnsi" w:cstheme="majorBidi"/>
      <w:color w:val="323E4F" w:themeColor="text2" w:themeShade="BF"/>
    </w:rPr>
  </w:style>
  <w:style w:type="character" w:customStyle="1" w:styleId="Heading6Char">
    <w:name w:val="Heading 6 Char"/>
    <w:basedOn w:val="DefaultParagraphFont"/>
    <w:link w:val="Heading6"/>
    <w:uiPriority w:val="9"/>
    <w:semiHidden/>
    <w:rsid w:val="004D28CD"/>
    <w:rPr>
      <w:rFonts w:asciiTheme="majorHAnsi" w:eastAsiaTheme="majorEastAsia" w:hAnsiTheme="majorHAnsi" w:cstheme="majorBidi"/>
      <w:i/>
      <w:iCs/>
      <w:color w:val="323E4F" w:themeColor="text2" w:themeShade="BF"/>
    </w:rPr>
  </w:style>
  <w:style w:type="character" w:customStyle="1" w:styleId="Heading7Char">
    <w:name w:val="Heading 7 Char"/>
    <w:basedOn w:val="DefaultParagraphFont"/>
    <w:link w:val="Heading7"/>
    <w:uiPriority w:val="9"/>
    <w:semiHidden/>
    <w:rsid w:val="004D28C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4D28CD"/>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4D28C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4D28CD"/>
    <w:pPr>
      <w:spacing w:after="200"/>
    </w:pPr>
    <w:rPr>
      <w:i/>
      <w:iCs/>
      <w:color w:val="44546A" w:themeColor="text2"/>
      <w:sz w:val="18"/>
      <w:szCs w:val="18"/>
    </w:rPr>
  </w:style>
  <w:style w:type="paragraph" w:styleId="Title">
    <w:name w:val="Title"/>
    <w:basedOn w:val="Normal"/>
    <w:next w:val="Normal"/>
    <w:link w:val="TitleChar"/>
    <w:uiPriority w:val="10"/>
    <w:qFormat/>
    <w:rsid w:val="004D28CD"/>
    <w:pPr>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sid w:val="004D28CD"/>
    <w:rPr>
      <w:rFonts w:asciiTheme="majorHAnsi" w:eastAsiaTheme="majorEastAsia" w:hAnsiTheme="majorHAnsi" w:cstheme="majorBidi"/>
      <w:color w:val="000000" w:themeColor="text1"/>
      <w:sz w:val="56"/>
      <w:szCs w:val="56"/>
    </w:rPr>
  </w:style>
  <w:style w:type="paragraph" w:styleId="Subtitle">
    <w:name w:val="Subtitle"/>
    <w:basedOn w:val="Normal"/>
    <w:next w:val="Normal"/>
    <w:link w:val="SubtitleChar"/>
    <w:uiPriority w:val="11"/>
    <w:qFormat/>
    <w:rsid w:val="004D28CD"/>
    <w:pPr>
      <w:numPr>
        <w:ilvl w:val="1"/>
      </w:numPr>
      <w:ind w:firstLine="720"/>
    </w:pPr>
    <w:rPr>
      <w:color w:val="5A5A5A" w:themeColor="text1" w:themeTint="A5"/>
      <w:spacing w:val="10"/>
    </w:rPr>
  </w:style>
  <w:style w:type="character" w:customStyle="1" w:styleId="SubtitleChar">
    <w:name w:val="Subtitle Char"/>
    <w:basedOn w:val="DefaultParagraphFont"/>
    <w:link w:val="Subtitle"/>
    <w:uiPriority w:val="11"/>
    <w:rsid w:val="004D28CD"/>
    <w:rPr>
      <w:color w:val="5A5A5A" w:themeColor="text1" w:themeTint="A5"/>
      <w:spacing w:val="10"/>
    </w:rPr>
  </w:style>
  <w:style w:type="character" w:styleId="Strong">
    <w:name w:val="Strong"/>
    <w:basedOn w:val="DefaultParagraphFont"/>
    <w:uiPriority w:val="22"/>
    <w:qFormat/>
    <w:rsid w:val="004D28CD"/>
    <w:rPr>
      <w:b/>
      <w:bCs/>
      <w:color w:val="000000" w:themeColor="text1"/>
    </w:rPr>
  </w:style>
  <w:style w:type="character" w:styleId="Emphasis">
    <w:name w:val="Emphasis"/>
    <w:basedOn w:val="DefaultParagraphFont"/>
    <w:uiPriority w:val="20"/>
    <w:qFormat/>
    <w:rsid w:val="004D28CD"/>
    <w:rPr>
      <w:i/>
      <w:iCs/>
      <w:color w:val="auto"/>
    </w:rPr>
  </w:style>
  <w:style w:type="paragraph" w:styleId="NoSpacing">
    <w:name w:val="No Spacing"/>
    <w:uiPriority w:val="1"/>
    <w:qFormat/>
    <w:rsid w:val="004D28CD"/>
  </w:style>
  <w:style w:type="paragraph" w:styleId="Quote">
    <w:name w:val="Quote"/>
    <w:basedOn w:val="Normal"/>
    <w:next w:val="Normal"/>
    <w:link w:val="QuoteChar"/>
    <w:uiPriority w:val="29"/>
    <w:qFormat/>
    <w:rsid w:val="004D28CD"/>
    <w:pPr>
      <w:spacing w:before="160"/>
      <w:ind w:left="720" w:right="720"/>
    </w:pPr>
    <w:rPr>
      <w:i/>
      <w:iCs/>
      <w:color w:val="000000" w:themeColor="text1"/>
    </w:rPr>
  </w:style>
  <w:style w:type="character" w:customStyle="1" w:styleId="QuoteChar">
    <w:name w:val="Quote Char"/>
    <w:basedOn w:val="DefaultParagraphFont"/>
    <w:link w:val="Quote"/>
    <w:uiPriority w:val="29"/>
    <w:rsid w:val="004D28CD"/>
    <w:rPr>
      <w:i/>
      <w:iCs/>
      <w:color w:val="000000" w:themeColor="text1"/>
    </w:rPr>
  </w:style>
  <w:style w:type="paragraph" w:styleId="IntenseQuote">
    <w:name w:val="Intense Quote"/>
    <w:basedOn w:val="Normal"/>
    <w:next w:val="Normal"/>
    <w:link w:val="IntenseQuoteChar"/>
    <w:uiPriority w:val="30"/>
    <w:qFormat/>
    <w:rsid w:val="004D28CD"/>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sid w:val="004D28CD"/>
    <w:rPr>
      <w:color w:val="000000" w:themeColor="text1"/>
      <w:shd w:val="clear" w:color="auto" w:fill="F2F2F2" w:themeFill="background1" w:themeFillShade="F2"/>
    </w:rPr>
  </w:style>
  <w:style w:type="character" w:styleId="SubtleEmphasis">
    <w:name w:val="Subtle Emphasis"/>
    <w:basedOn w:val="DefaultParagraphFont"/>
    <w:uiPriority w:val="19"/>
    <w:qFormat/>
    <w:rsid w:val="004D28CD"/>
    <w:rPr>
      <w:i/>
      <w:iCs/>
      <w:color w:val="404040" w:themeColor="text1" w:themeTint="BF"/>
    </w:rPr>
  </w:style>
  <w:style w:type="character" w:styleId="IntenseEmphasis">
    <w:name w:val="Intense Emphasis"/>
    <w:basedOn w:val="DefaultParagraphFont"/>
    <w:uiPriority w:val="21"/>
    <w:qFormat/>
    <w:rsid w:val="004D28CD"/>
    <w:rPr>
      <w:b/>
      <w:bCs/>
      <w:i/>
      <w:iCs/>
      <w:caps/>
    </w:rPr>
  </w:style>
  <w:style w:type="character" w:styleId="SubtleReference">
    <w:name w:val="Subtle Reference"/>
    <w:basedOn w:val="DefaultParagraphFont"/>
    <w:uiPriority w:val="31"/>
    <w:qFormat/>
    <w:rsid w:val="004D28CD"/>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D28CD"/>
    <w:rPr>
      <w:b/>
      <w:bCs/>
      <w:smallCaps/>
      <w:u w:val="single"/>
    </w:rPr>
  </w:style>
  <w:style w:type="character" w:styleId="BookTitle">
    <w:name w:val="Book Title"/>
    <w:basedOn w:val="DefaultParagraphFont"/>
    <w:uiPriority w:val="33"/>
    <w:qFormat/>
    <w:rsid w:val="004D28CD"/>
    <w:rPr>
      <w:b w:val="0"/>
      <w:bCs w:val="0"/>
      <w:smallCaps/>
      <w:spacing w:val="5"/>
    </w:rPr>
  </w:style>
  <w:style w:type="paragraph" w:styleId="TOC1">
    <w:name w:val="toc 1"/>
    <w:basedOn w:val="Normal"/>
    <w:next w:val="Normal"/>
    <w:autoRedefine/>
    <w:uiPriority w:val="39"/>
    <w:unhideWhenUsed/>
    <w:rsid w:val="004565B8"/>
    <w:pPr>
      <w:tabs>
        <w:tab w:val="left" w:pos="284"/>
        <w:tab w:val="right" w:leader="dot" w:pos="9061"/>
      </w:tabs>
      <w:spacing w:after="100"/>
      <w:ind w:firstLine="0"/>
    </w:pPr>
  </w:style>
  <w:style w:type="paragraph" w:styleId="TOC2">
    <w:name w:val="toc 2"/>
    <w:basedOn w:val="Normal"/>
    <w:next w:val="Normal"/>
    <w:autoRedefine/>
    <w:uiPriority w:val="39"/>
    <w:unhideWhenUsed/>
    <w:rsid w:val="004565B8"/>
    <w:pPr>
      <w:tabs>
        <w:tab w:val="left" w:pos="851"/>
        <w:tab w:val="right" w:leader="dot" w:pos="9071"/>
      </w:tabs>
      <w:spacing w:after="100"/>
      <w:ind w:left="284" w:firstLine="0"/>
    </w:pPr>
  </w:style>
  <w:style w:type="character" w:styleId="Hyperlink">
    <w:name w:val="Hyperlink"/>
    <w:basedOn w:val="DefaultParagraphFont"/>
    <w:uiPriority w:val="99"/>
    <w:unhideWhenUsed/>
    <w:rsid w:val="00383CEF"/>
    <w:rPr>
      <w:color w:val="0563C1" w:themeColor="hyperlink"/>
      <w:u w:val="single"/>
    </w:rPr>
  </w:style>
  <w:style w:type="paragraph" w:styleId="ListParagraph">
    <w:name w:val="List Paragraph"/>
    <w:aliases w:val="2,Numbered Para 1,Dot pt,No Spacing1,List Paragraph Char Char Char,Indicator Text,Bullet 1,Bullet Points,MAIN CONTENT,IFCL - List Paragraph,List Paragraph12,OBC Bullet,F5 List Paragraph,Colorful List - Accent 11,Strip,Akapit z listą BS"/>
    <w:basedOn w:val="Normal"/>
    <w:link w:val="ListParagraphChar"/>
    <w:uiPriority w:val="34"/>
    <w:qFormat/>
    <w:rsid w:val="00383CEF"/>
    <w:pPr>
      <w:ind w:left="720"/>
      <w:contextualSpacing/>
    </w:pPr>
  </w:style>
  <w:style w:type="paragraph" w:styleId="FootnoteText">
    <w:name w:val="footnote text"/>
    <w:aliases w:val="Footnote,Fußnote,Fußnote Char Char Char,single space,ft Rakstz. Rakstz.,ft Rakstz.,ft,-E Fußnotentext,Fußnotentext Ursprung,Vēres teksts Char Char Char Char Char,Char Char Char Char Char Char Char Char Char Char Char Char,footnote tex,Char"/>
    <w:basedOn w:val="Normal"/>
    <w:link w:val="FootnoteTextChar"/>
    <w:uiPriority w:val="99"/>
    <w:unhideWhenUsed/>
    <w:qFormat/>
    <w:rsid w:val="00383CEF"/>
    <w:rPr>
      <w:sz w:val="20"/>
      <w:szCs w:val="20"/>
      <w:lang w:eastAsia="en-US"/>
    </w:rPr>
  </w:style>
  <w:style w:type="character" w:customStyle="1" w:styleId="FootnoteTextChar">
    <w:name w:val="Footnote Text Char"/>
    <w:aliases w:val="Footnote Char,Fußnote Char,Fußnote Char Char Char Char,single space Char,ft Rakstz. Rakstz. Char,ft Rakstz. Char,ft Char,-E Fußnotentext Char,Fußnotentext Ursprung Char,Vēres teksts Char Char Char Char Char Char,footnote tex Char"/>
    <w:basedOn w:val="DefaultParagraphFont"/>
    <w:link w:val="FootnoteText"/>
    <w:uiPriority w:val="99"/>
    <w:qFormat/>
    <w:rsid w:val="00383CEF"/>
    <w:rPr>
      <w:sz w:val="20"/>
      <w:szCs w:val="20"/>
      <w:lang w:eastAsia="en-US"/>
    </w:rPr>
  </w:style>
  <w:style w:type="character" w:styleId="FootnoteReference">
    <w:name w:val="footnote reference"/>
    <w:aliases w:val="Footnote Reference Number,Footnote symbol,Footnote Reference Superscript,ftref,Footnote Refernece,Odwołanie przypisu,BVI fnr,Footnotes refss,SUPERS,Ref,de nota al pie,-E Fußnotenzeichen,Footnote reference number,Times 10 Point,E,E FNZ"/>
    <w:basedOn w:val="DefaultParagraphFont"/>
    <w:link w:val="Char2"/>
    <w:uiPriority w:val="99"/>
    <w:unhideWhenUsed/>
    <w:qFormat/>
    <w:rsid w:val="00383CEF"/>
    <w:rPr>
      <w:vertAlign w:val="superscript"/>
    </w:rPr>
  </w:style>
  <w:style w:type="paragraph" w:customStyle="1" w:styleId="Char2">
    <w:name w:val="Char2"/>
    <w:aliases w:val="Char Char Char Char"/>
    <w:basedOn w:val="Normal"/>
    <w:next w:val="Normal"/>
    <w:link w:val="FootnoteReference"/>
    <w:uiPriority w:val="99"/>
    <w:rsid w:val="00383CEF"/>
    <w:pPr>
      <w:spacing w:line="240" w:lineRule="exact"/>
      <w:textAlignment w:val="baseline"/>
    </w:pPr>
    <w:rPr>
      <w:vertAlign w:val="superscript"/>
    </w:rPr>
  </w:style>
  <w:style w:type="paragraph" w:customStyle="1" w:styleId="footnotetex1">
    <w:name w:val="footnote tex1"/>
    <w:basedOn w:val="Normal"/>
    <w:next w:val="FootnoteText"/>
    <w:unhideWhenUsed/>
    <w:qFormat/>
    <w:rsid w:val="00383CEF"/>
    <w:rPr>
      <w:rFonts w:eastAsia="Calibri" w:cs="Times New Roman"/>
      <w:sz w:val="20"/>
      <w:szCs w:val="20"/>
      <w:lang w:eastAsia="en-US"/>
    </w:rPr>
  </w:style>
  <w:style w:type="paragraph" w:styleId="Header">
    <w:name w:val="header"/>
    <w:basedOn w:val="Normal"/>
    <w:link w:val="HeaderChar"/>
    <w:uiPriority w:val="99"/>
    <w:unhideWhenUsed/>
    <w:rsid w:val="00F2378C"/>
    <w:pPr>
      <w:tabs>
        <w:tab w:val="center" w:pos="4153"/>
        <w:tab w:val="right" w:pos="8306"/>
      </w:tabs>
    </w:pPr>
  </w:style>
  <w:style w:type="character" w:customStyle="1" w:styleId="HeaderChar">
    <w:name w:val="Header Char"/>
    <w:basedOn w:val="DefaultParagraphFont"/>
    <w:link w:val="Header"/>
    <w:uiPriority w:val="99"/>
    <w:rsid w:val="00F2378C"/>
  </w:style>
  <w:style w:type="paragraph" w:styleId="Footer">
    <w:name w:val="footer"/>
    <w:basedOn w:val="Normal"/>
    <w:link w:val="FooterChar"/>
    <w:unhideWhenUsed/>
    <w:rsid w:val="00F2378C"/>
    <w:pPr>
      <w:tabs>
        <w:tab w:val="center" w:pos="4153"/>
        <w:tab w:val="right" w:pos="8306"/>
      </w:tabs>
    </w:pPr>
  </w:style>
  <w:style w:type="character" w:customStyle="1" w:styleId="FooterChar">
    <w:name w:val="Footer Char"/>
    <w:basedOn w:val="DefaultParagraphFont"/>
    <w:link w:val="Footer"/>
    <w:rsid w:val="00F2378C"/>
  </w:style>
  <w:style w:type="paragraph" w:styleId="TOC3">
    <w:name w:val="toc 3"/>
    <w:basedOn w:val="Normal"/>
    <w:next w:val="Normal"/>
    <w:autoRedefine/>
    <w:uiPriority w:val="39"/>
    <w:unhideWhenUsed/>
    <w:rsid w:val="004565B8"/>
    <w:pPr>
      <w:tabs>
        <w:tab w:val="right" w:leader="dot" w:pos="9071"/>
      </w:tabs>
      <w:spacing w:after="100"/>
      <w:ind w:left="1418" w:hanging="709"/>
    </w:pPr>
    <w:rPr>
      <w:rFonts w:cs="Times New Roman"/>
      <w:noProof/>
      <w:sz w:val="28"/>
    </w:rPr>
  </w:style>
  <w:style w:type="character" w:styleId="CommentReference">
    <w:name w:val="annotation reference"/>
    <w:basedOn w:val="DefaultParagraphFont"/>
    <w:uiPriority w:val="99"/>
    <w:semiHidden/>
    <w:unhideWhenUsed/>
    <w:rsid w:val="00C83CB8"/>
    <w:rPr>
      <w:sz w:val="16"/>
      <w:szCs w:val="16"/>
    </w:rPr>
  </w:style>
  <w:style w:type="paragraph" w:styleId="CommentText">
    <w:name w:val="annotation text"/>
    <w:basedOn w:val="Normal"/>
    <w:link w:val="CommentTextChar"/>
    <w:uiPriority w:val="99"/>
    <w:unhideWhenUsed/>
    <w:rsid w:val="00C83CB8"/>
    <w:rPr>
      <w:sz w:val="20"/>
      <w:szCs w:val="20"/>
    </w:rPr>
  </w:style>
  <w:style w:type="character" w:customStyle="1" w:styleId="CommentTextChar">
    <w:name w:val="Comment Text Char"/>
    <w:basedOn w:val="DefaultParagraphFont"/>
    <w:link w:val="CommentText"/>
    <w:uiPriority w:val="99"/>
    <w:rsid w:val="00C83CB8"/>
    <w:rPr>
      <w:sz w:val="20"/>
      <w:szCs w:val="20"/>
    </w:rPr>
  </w:style>
  <w:style w:type="paragraph" w:styleId="CommentSubject">
    <w:name w:val="annotation subject"/>
    <w:basedOn w:val="CommentText"/>
    <w:next w:val="CommentText"/>
    <w:link w:val="CommentSubjectChar"/>
    <w:uiPriority w:val="99"/>
    <w:semiHidden/>
    <w:unhideWhenUsed/>
    <w:rsid w:val="00C83CB8"/>
    <w:rPr>
      <w:b/>
      <w:bCs/>
    </w:rPr>
  </w:style>
  <w:style w:type="character" w:customStyle="1" w:styleId="CommentSubjectChar">
    <w:name w:val="Comment Subject Char"/>
    <w:basedOn w:val="CommentTextChar"/>
    <w:link w:val="CommentSubject"/>
    <w:uiPriority w:val="99"/>
    <w:semiHidden/>
    <w:rsid w:val="00C83CB8"/>
    <w:rPr>
      <w:b/>
      <w:bCs/>
      <w:sz w:val="20"/>
      <w:szCs w:val="20"/>
    </w:rPr>
  </w:style>
  <w:style w:type="paragraph" w:styleId="BalloonText">
    <w:name w:val="Balloon Text"/>
    <w:basedOn w:val="Normal"/>
    <w:link w:val="BalloonTextChar"/>
    <w:semiHidden/>
    <w:unhideWhenUsed/>
    <w:rsid w:val="00C83CB8"/>
    <w:rPr>
      <w:rFonts w:ascii="Segoe UI" w:hAnsi="Segoe UI" w:cs="Segoe UI"/>
      <w:sz w:val="18"/>
      <w:szCs w:val="18"/>
    </w:rPr>
  </w:style>
  <w:style w:type="character" w:customStyle="1" w:styleId="BalloonTextChar">
    <w:name w:val="Balloon Text Char"/>
    <w:basedOn w:val="DefaultParagraphFont"/>
    <w:link w:val="BalloonText"/>
    <w:semiHidden/>
    <w:rsid w:val="00C83CB8"/>
    <w:rPr>
      <w:rFonts w:ascii="Segoe UI" w:hAnsi="Segoe UI" w:cs="Segoe UI"/>
      <w:sz w:val="18"/>
      <w:szCs w:val="18"/>
    </w:rPr>
  </w:style>
  <w:style w:type="table" w:styleId="TableGrid">
    <w:name w:val="Table Grid"/>
    <w:basedOn w:val="TableNormal"/>
    <w:uiPriority w:val="39"/>
    <w:rsid w:val="00E05D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05D0D"/>
  </w:style>
  <w:style w:type="table" w:styleId="ListTable2-Accent1">
    <w:name w:val="List Table 2 Accent 1"/>
    <w:basedOn w:val="TableNormal"/>
    <w:uiPriority w:val="47"/>
    <w:rsid w:val="00983CAA"/>
    <w:rPr>
      <w:lang w:eastAsia="en-US"/>
    </w:rPr>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NoList1">
    <w:name w:val="No List1"/>
    <w:next w:val="NoList"/>
    <w:uiPriority w:val="99"/>
    <w:semiHidden/>
    <w:unhideWhenUsed/>
    <w:rsid w:val="00DB596B"/>
  </w:style>
  <w:style w:type="paragraph" w:customStyle="1" w:styleId="H4">
    <w:name w:val="H4"/>
    <w:uiPriority w:val="99"/>
    <w:qFormat/>
    <w:rsid w:val="00DB596B"/>
    <w:pPr>
      <w:spacing w:after="120"/>
      <w:jc w:val="center"/>
      <w:outlineLvl w:val="3"/>
    </w:pPr>
    <w:rPr>
      <w:rFonts w:ascii="Times New Roman" w:eastAsia="Times New Roman" w:hAnsi="Times New Roman" w:cs="Times New Roman"/>
      <w:b/>
      <w:sz w:val="28"/>
      <w:szCs w:val="20"/>
      <w:lang w:eastAsia="en-US"/>
    </w:rPr>
  </w:style>
  <w:style w:type="paragraph" w:customStyle="1" w:styleId="H3">
    <w:name w:val="H3"/>
    <w:qFormat/>
    <w:rsid w:val="00BC5EBB"/>
    <w:pPr>
      <w:spacing w:before="240" w:after="240"/>
      <w:jc w:val="center"/>
      <w:outlineLvl w:val="2"/>
    </w:pPr>
    <w:rPr>
      <w:rFonts w:ascii="Times New Roman" w:eastAsia="Times New Roman" w:hAnsi="Times New Roman" w:cs="Times New Roman"/>
      <w:b/>
      <w:sz w:val="32"/>
      <w:szCs w:val="20"/>
      <w:lang w:eastAsia="en-US"/>
    </w:rPr>
  </w:style>
  <w:style w:type="paragraph" w:customStyle="1" w:styleId="H2">
    <w:name w:val="H2"/>
    <w:basedOn w:val="Heading2"/>
    <w:qFormat/>
    <w:rsid w:val="00C203C5"/>
    <w:pPr>
      <w:spacing w:before="240" w:after="240"/>
    </w:pPr>
    <w:rPr>
      <w:smallCaps/>
    </w:rPr>
  </w:style>
  <w:style w:type="paragraph" w:customStyle="1" w:styleId="H1">
    <w:name w:val="H1"/>
    <w:basedOn w:val="Heading1"/>
    <w:qFormat/>
    <w:rsid w:val="00C203C5"/>
    <w:pPr>
      <w:numPr>
        <w:numId w:val="1"/>
      </w:numPr>
      <w:spacing w:before="240" w:after="240"/>
      <w:ind w:left="0" w:firstLine="318"/>
    </w:pPr>
    <w:rPr>
      <w:rFonts w:eastAsia="Times New Roman" w:cs="Times New Roman"/>
      <w:smallCaps/>
    </w:rPr>
  </w:style>
  <w:style w:type="paragraph" w:customStyle="1" w:styleId="T">
    <w:name w:val="T"/>
    <w:basedOn w:val="Normal"/>
    <w:uiPriority w:val="99"/>
    <w:rsid w:val="00DB596B"/>
    <w:pPr>
      <w:jc w:val="center"/>
    </w:pPr>
    <w:rPr>
      <w:rFonts w:eastAsia="Times New Roman" w:cs="Times New Roman"/>
      <w:b/>
      <w:i/>
      <w:szCs w:val="20"/>
      <w:lang w:eastAsia="en-US"/>
    </w:rPr>
  </w:style>
  <w:style w:type="paragraph" w:customStyle="1" w:styleId="Z">
    <w:name w:val="Z"/>
    <w:basedOn w:val="T"/>
    <w:uiPriority w:val="99"/>
    <w:rsid w:val="00DB596B"/>
  </w:style>
  <w:style w:type="character" w:styleId="PageNumber">
    <w:name w:val="page number"/>
    <w:basedOn w:val="DefaultParagraphFont"/>
    <w:rsid w:val="00DB596B"/>
  </w:style>
  <w:style w:type="paragraph" w:customStyle="1" w:styleId="paraksti">
    <w:name w:val="paraksti"/>
    <w:basedOn w:val="Normal"/>
    <w:qFormat/>
    <w:rsid w:val="00DB596B"/>
    <w:rPr>
      <w:rFonts w:eastAsia="Times New Roman" w:cs="Times New Roman"/>
      <w:sz w:val="20"/>
      <w:szCs w:val="20"/>
      <w:lang w:eastAsia="en-US"/>
    </w:rPr>
  </w:style>
  <w:style w:type="paragraph" w:customStyle="1" w:styleId="tabtekst">
    <w:name w:val="tab_tekst"/>
    <w:basedOn w:val="Normal"/>
    <w:uiPriority w:val="99"/>
    <w:rsid w:val="00DB596B"/>
    <w:rPr>
      <w:rFonts w:eastAsia="Times New Roman" w:cs="Times New Roman"/>
      <w:snapToGrid w:val="0"/>
      <w:color w:val="000000"/>
      <w:sz w:val="20"/>
      <w:szCs w:val="20"/>
      <w:lang w:eastAsia="en-US"/>
    </w:rPr>
  </w:style>
  <w:style w:type="paragraph" w:styleId="EndnoteText">
    <w:name w:val="endnote text"/>
    <w:basedOn w:val="Normal"/>
    <w:link w:val="EndnoteTextChar"/>
    <w:uiPriority w:val="99"/>
    <w:semiHidden/>
    <w:unhideWhenUsed/>
    <w:rsid w:val="00DB596B"/>
    <w:rPr>
      <w:rFonts w:eastAsia="Times New Roman" w:cs="Times New Roman"/>
      <w:sz w:val="20"/>
      <w:szCs w:val="20"/>
      <w:lang w:eastAsia="en-US"/>
    </w:rPr>
  </w:style>
  <w:style w:type="character" w:customStyle="1" w:styleId="EndnoteTextChar">
    <w:name w:val="Endnote Text Char"/>
    <w:basedOn w:val="DefaultParagraphFont"/>
    <w:link w:val="EndnoteText"/>
    <w:uiPriority w:val="99"/>
    <w:semiHidden/>
    <w:rsid w:val="00DB596B"/>
    <w:rPr>
      <w:rFonts w:ascii="Times New Roman" w:eastAsia="Times New Roman" w:hAnsi="Times New Roman" w:cs="Times New Roman"/>
      <w:sz w:val="20"/>
      <w:szCs w:val="20"/>
      <w:lang w:eastAsia="en-US"/>
    </w:rPr>
  </w:style>
  <w:style w:type="character" w:styleId="EndnoteReference">
    <w:name w:val="endnote reference"/>
    <w:uiPriority w:val="99"/>
    <w:semiHidden/>
    <w:unhideWhenUsed/>
    <w:rsid w:val="00DB596B"/>
    <w:rPr>
      <w:vertAlign w:val="superscript"/>
    </w:rPr>
  </w:style>
  <w:style w:type="paragraph" w:customStyle="1" w:styleId="naisf">
    <w:name w:val="naisf"/>
    <w:basedOn w:val="Normal"/>
    <w:rsid w:val="00DB596B"/>
    <w:pPr>
      <w:spacing w:before="100" w:beforeAutospacing="1" w:after="100" w:afterAutospacing="1"/>
    </w:pPr>
    <w:rPr>
      <w:rFonts w:eastAsia="Times New Roman" w:cs="Times New Roman"/>
      <w:szCs w:val="24"/>
    </w:rPr>
  </w:style>
  <w:style w:type="paragraph" w:customStyle="1" w:styleId="naiskr">
    <w:name w:val="naiskr"/>
    <w:basedOn w:val="Normal"/>
    <w:rsid w:val="00DB596B"/>
    <w:pPr>
      <w:spacing w:before="100" w:beforeAutospacing="1" w:after="100" w:afterAutospacing="1"/>
    </w:pPr>
    <w:rPr>
      <w:rFonts w:eastAsia="Times New Roman" w:cs="Times New Roman"/>
      <w:color w:val="000000"/>
      <w:szCs w:val="24"/>
    </w:rPr>
  </w:style>
  <w:style w:type="paragraph" w:styleId="BodyText">
    <w:name w:val="Body Text"/>
    <w:aliases w:val=" Char"/>
    <w:basedOn w:val="Normal"/>
    <w:link w:val="BodyTextChar"/>
    <w:uiPriority w:val="1"/>
    <w:qFormat/>
    <w:rsid w:val="00DB596B"/>
    <w:rPr>
      <w:rFonts w:eastAsia="Times New Roman" w:cs="Times New Roman"/>
      <w:sz w:val="28"/>
      <w:szCs w:val="20"/>
      <w:lang w:eastAsia="en-US"/>
    </w:rPr>
  </w:style>
  <w:style w:type="character" w:customStyle="1" w:styleId="BodyTextChar">
    <w:name w:val="Body Text Char"/>
    <w:aliases w:val=" Char Char"/>
    <w:basedOn w:val="DefaultParagraphFont"/>
    <w:link w:val="BodyText"/>
    <w:uiPriority w:val="1"/>
    <w:rsid w:val="00DB596B"/>
    <w:rPr>
      <w:rFonts w:ascii="Times New Roman" w:eastAsia="Times New Roman" w:hAnsi="Times New Roman" w:cs="Times New Roman"/>
      <w:sz w:val="28"/>
      <w:szCs w:val="20"/>
      <w:lang w:eastAsia="en-US"/>
    </w:rPr>
  </w:style>
  <w:style w:type="paragraph" w:styleId="NormalWeb">
    <w:name w:val="Normal (Web)"/>
    <w:basedOn w:val="Normal"/>
    <w:uiPriority w:val="99"/>
    <w:unhideWhenUsed/>
    <w:rsid w:val="00DB596B"/>
    <w:pPr>
      <w:spacing w:before="100" w:beforeAutospacing="1" w:after="100" w:afterAutospacing="1"/>
    </w:pPr>
    <w:rPr>
      <w:rFonts w:eastAsia="Times New Roman" w:cs="Times New Roman"/>
      <w:szCs w:val="24"/>
    </w:rPr>
  </w:style>
  <w:style w:type="paragraph" w:customStyle="1" w:styleId="Default">
    <w:name w:val="Default"/>
    <w:rsid w:val="00DB596B"/>
    <w:pPr>
      <w:autoSpaceDE w:val="0"/>
      <w:autoSpaceDN w:val="0"/>
      <w:adjustRightInd w:val="0"/>
    </w:pPr>
    <w:rPr>
      <w:rFonts w:ascii="Times New Roman" w:eastAsia="Times New Roman" w:hAnsi="Times New Roman" w:cs="Times New Roman"/>
      <w:color w:val="000000"/>
      <w:sz w:val="24"/>
      <w:szCs w:val="24"/>
    </w:rPr>
  </w:style>
  <w:style w:type="table" w:customStyle="1" w:styleId="TableGrid1">
    <w:name w:val="Table Grid1"/>
    <w:basedOn w:val="TableNormal"/>
    <w:next w:val="TableGrid"/>
    <w:uiPriority w:val="39"/>
    <w:rsid w:val="00DB596B"/>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intabc">
    <w:name w:val="Point abc"/>
    <w:basedOn w:val="Normal"/>
    <w:rsid w:val="00DB596B"/>
    <w:pPr>
      <w:numPr>
        <w:ilvl w:val="1"/>
        <w:numId w:val="3"/>
      </w:numPr>
      <w:tabs>
        <w:tab w:val="clear" w:pos="567"/>
      </w:tabs>
      <w:spacing w:before="120" w:line="360" w:lineRule="auto"/>
      <w:ind w:left="1440" w:hanging="360"/>
    </w:pPr>
    <w:rPr>
      <w:rFonts w:eastAsia="Times New Roman" w:cs="Times New Roman"/>
      <w:szCs w:val="24"/>
      <w:lang w:val="en-GB" w:eastAsia="en-US"/>
    </w:rPr>
  </w:style>
  <w:style w:type="paragraph" w:customStyle="1" w:styleId="Pointabc1">
    <w:name w:val="Point abc (1)"/>
    <w:basedOn w:val="Normal"/>
    <w:rsid w:val="00DB596B"/>
    <w:pPr>
      <w:numPr>
        <w:ilvl w:val="3"/>
        <w:numId w:val="3"/>
      </w:numPr>
      <w:tabs>
        <w:tab w:val="clear" w:pos="1134"/>
      </w:tabs>
      <w:spacing w:before="120" w:line="360" w:lineRule="auto"/>
      <w:ind w:left="2880" w:hanging="360"/>
      <w:outlineLvl w:val="0"/>
    </w:pPr>
    <w:rPr>
      <w:rFonts w:eastAsia="Times New Roman" w:cs="Times New Roman"/>
      <w:szCs w:val="24"/>
      <w:lang w:val="en-GB" w:eastAsia="en-US"/>
    </w:rPr>
  </w:style>
  <w:style w:type="paragraph" w:customStyle="1" w:styleId="Pointabc2">
    <w:name w:val="Point abc (2)"/>
    <w:basedOn w:val="Normal"/>
    <w:rsid w:val="00DB596B"/>
    <w:pPr>
      <w:numPr>
        <w:ilvl w:val="5"/>
        <w:numId w:val="3"/>
      </w:numPr>
      <w:tabs>
        <w:tab w:val="clear" w:pos="1701"/>
      </w:tabs>
      <w:spacing w:before="120" w:line="360" w:lineRule="auto"/>
      <w:ind w:left="4320" w:hanging="180"/>
      <w:outlineLvl w:val="1"/>
    </w:pPr>
    <w:rPr>
      <w:rFonts w:eastAsia="Times New Roman" w:cs="Times New Roman"/>
      <w:szCs w:val="24"/>
      <w:lang w:val="en-GB" w:eastAsia="en-US"/>
    </w:rPr>
  </w:style>
  <w:style w:type="paragraph" w:customStyle="1" w:styleId="Pointabc3">
    <w:name w:val="Point abc (3)"/>
    <w:basedOn w:val="Normal"/>
    <w:rsid w:val="00DB596B"/>
    <w:pPr>
      <w:numPr>
        <w:ilvl w:val="7"/>
        <w:numId w:val="3"/>
      </w:numPr>
      <w:tabs>
        <w:tab w:val="clear" w:pos="2268"/>
      </w:tabs>
      <w:spacing w:before="120" w:line="360" w:lineRule="auto"/>
      <w:ind w:left="5760" w:hanging="360"/>
      <w:outlineLvl w:val="2"/>
    </w:pPr>
    <w:rPr>
      <w:rFonts w:eastAsia="Times New Roman" w:cs="Times New Roman"/>
      <w:szCs w:val="24"/>
      <w:lang w:val="en-GB" w:eastAsia="en-US"/>
    </w:rPr>
  </w:style>
  <w:style w:type="paragraph" w:customStyle="1" w:styleId="Pointabc4">
    <w:name w:val="Point abc (4)"/>
    <w:basedOn w:val="Normal"/>
    <w:rsid w:val="00DB596B"/>
    <w:pPr>
      <w:numPr>
        <w:ilvl w:val="8"/>
        <w:numId w:val="3"/>
      </w:numPr>
      <w:tabs>
        <w:tab w:val="clear" w:pos="2835"/>
      </w:tabs>
      <w:spacing w:before="120" w:line="360" w:lineRule="auto"/>
      <w:ind w:left="6480" w:hanging="180"/>
      <w:outlineLvl w:val="3"/>
    </w:pPr>
    <w:rPr>
      <w:rFonts w:eastAsia="Times New Roman" w:cs="Times New Roman"/>
      <w:szCs w:val="24"/>
      <w:lang w:val="en-GB" w:eastAsia="en-US"/>
    </w:rPr>
  </w:style>
  <w:style w:type="paragraph" w:customStyle="1" w:styleId="Point123">
    <w:name w:val="Point 123"/>
    <w:basedOn w:val="Normal"/>
    <w:rsid w:val="00DB596B"/>
    <w:pPr>
      <w:numPr>
        <w:numId w:val="3"/>
      </w:numPr>
      <w:tabs>
        <w:tab w:val="clear" w:pos="567"/>
      </w:tabs>
      <w:spacing w:before="120" w:line="360" w:lineRule="auto"/>
      <w:ind w:left="360" w:hanging="360"/>
    </w:pPr>
    <w:rPr>
      <w:rFonts w:eastAsia="Times New Roman" w:cs="Times New Roman"/>
      <w:szCs w:val="24"/>
      <w:lang w:val="en-GB" w:eastAsia="en-US"/>
    </w:rPr>
  </w:style>
  <w:style w:type="paragraph" w:customStyle="1" w:styleId="Point1231">
    <w:name w:val="Point 123 (1)"/>
    <w:basedOn w:val="Normal"/>
    <w:rsid w:val="00DB596B"/>
    <w:pPr>
      <w:numPr>
        <w:ilvl w:val="2"/>
        <w:numId w:val="3"/>
      </w:numPr>
      <w:tabs>
        <w:tab w:val="clear" w:pos="993"/>
      </w:tabs>
      <w:spacing w:before="120" w:line="360" w:lineRule="auto"/>
      <w:ind w:left="2160" w:hanging="180"/>
      <w:outlineLvl w:val="0"/>
    </w:pPr>
    <w:rPr>
      <w:rFonts w:eastAsia="Times New Roman" w:cs="Times New Roman"/>
      <w:szCs w:val="24"/>
      <w:lang w:val="en-GB" w:eastAsia="en-US"/>
    </w:rPr>
  </w:style>
  <w:style w:type="paragraph" w:customStyle="1" w:styleId="Point1232">
    <w:name w:val="Point 123 (2)"/>
    <w:basedOn w:val="Normal"/>
    <w:rsid w:val="00DB596B"/>
    <w:pPr>
      <w:numPr>
        <w:ilvl w:val="4"/>
        <w:numId w:val="3"/>
      </w:numPr>
      <w:tabs>
        <w:tab w:val="clear" w:pos="1701"/>
      </w:tabs>
      <w:spacing w:before="120" w:line="360" w:lineRule="auto"/>
      <w:ind w:left="3600" w:hanging="360"/>
      <w:outlineLvl w:val="1"/>
    </w:pPr>
    <w:rPr>
      <w:rFonts w:eastAsia="Times New Roman" w:cs="Times New Roman"/>
      <w:szCs w:val="24"/>
      <w:lang w:val="en-GB" w:eastAsia="en-US"/>
    </w:rPr>
  </w:style>
  <w:style w:type="paragraph" w:customStyle="1" w:styleId="Point1233">
    <w:name w:val="Point 123 (3)"/>
    <w:basedOn w:val="Normal"/>
    <w:rsid w:val="00DB596B"/>
    <w:pPr>
      <w:numPr>
        <w:ilvl w:val="6"/>
        <w:numId w:val="3"/>
      </w:numPr>
      <w:tabs>
        <w:tab w:val="clear" w:pos="2268"/>
      </w:tabs>
      <w:spacing w:before="120" w:line="360" w:lineRule="auto"/>
      <w:ind w:left="5040" w:hanging="360"/>
      <w:outlineLvl w:val="2"/>
    </w:pPr>
    <w:rPr>
      <w:rFonts w:eastAsia="Times New Roman" w:cs="Times New Roman"/>
      <w:szCs w:val="24"/>
      <w:lang w:val="en-GB" w:eastAsia="en-US"/>
    </w:rPr>
  </w:style>
  <w:style w:type="paragraph" w:customStyle="1" w:styleId="cipari">
    <w:name w:val="cipari"/>
    <w:basedOn w:val="Normal"/>
    <w:qFormat/>
    <w:rsid w:val="00DB596B"/>
    <w:pPr>
      <w:ind w:left="720" w:hanging="720"/>
    </w:pPr>
    <w:rPr>
      <w:rFonts w:eastAsia="Times New Roman" w:cs="Times New Roman"/>
      <w:bCs/>
      <w:szCs w:val="20"/>
      <w:lang w:eastAsia="en-US"/>
    </w:rPr>
  </w:style>
  <w:style w:type="character" w:customStyle="1" w:styleId="apple-converted-space">
    <w:name w:val="apple-converted-space"/>
    <w:rsid w:val="00DB596B"/>
  </w:style>
  <w:style w:type="character" w:customStyle="1" w:styleId="ListParagraphChar">
    <w:name w:val="List Paragraph Char"/>
    <w:aliases w:val="2 Char,Numbered Para 1 Char,Dot pt Char,No Spacing1 Char,List Paragraph Char Char Char Char,Indicator Text Char,Bullet 1 Char,Bullet Points Char,MAIN CONTENT Char,IFCL - List Paragraph Char,List Paragraph12 Char,OBC Bullet Char"/>
    <w:link w:val="ListParagraph"/>
    <w:uiPriority w:val="34"/>
    <w:qFormat/>
    <w:locked/>
    <w:rsid w:val="00DB596B"/>
  </w:style>
  <w:style w:type="numbering" w:customStyle="1" w:styleId="NoList2">
    <w:name w:val="No List2"/>
    <w:next w:val="NoList"/>
    <w:uiPriority w:val="99"/>
    <w:semiHidden/>
    <w:unhideWhenUsed/>
    <w:rsid w:val="008643AC"/>
  </w:style>
  <w:style w:type="paragraph" w:customStyle="1" w:styleId="tabteksts">
    <w:name w:val="tab_teksts"/>
    <w:basedOn w:val="Normal"/>
    <w:qFormat/>
    <w:rsid w:val="008643AC"/>
    <w:rPr>
      <w:rFonts w:eastAsia="Times New Roman" w:cs="Times New Roman"/>
      <w:sz w:val="18"/>
      <w:szCs w:val="20"/>
      <w:lang w:eastAsia="en-US"/>
    </w:rPr>
  </w:style>
  <w:style w:type="paragraph" w:customStyle="1" w:styleId="BalloonText1">
    <w:name w:val="Balloon Text1"/>
    <w:basedOn w:val="Normal"/>
    <w:semiHidden/>
    <w:rsid w:val="008643AC"/>
    <w:pPr>
      <w:ind w:firstLine="709"/>
    </w:pPr>
    <w:rPr>
      <w:rFonts w:ascii="Tahoma" w:eastAsia="Times New Roman" w:hAnsi="Tahoma" w:cs="Tahoma"/>
      <w:sz w:val="16"/>
      <w:szCs w:val="16"/>
      <w:lang w:eastAsia="en-US"/>
    </w:rPr>
  </w:style>
  <w:style w:type="table" w:customStyle="1" w:styleId="TableGrid2">
    <w:name w:val="Table Grid2"/>
    <w:basedOn w:val="TableNormal"/>
    <w:next w:val="TableGrid"/>
    <w:uiPriority w:val="39"/>
    <w:rsid w:val="008643AC"/>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unkcijas">
    <w:name w:val="funkcijas"/>
    <w:basedOn w:val="Normal"/>
    <w:qFormat/>
    <w:rsid w:val="008643AC"/>
    <w:rPr>
      <w:rFonts w:eastAsia="Times New Roman" w:cs="Times New Roman"/>
      <w:bCs/>
      <w:szCs w:val="20"/>
      <w:u w:val="single"/>
      <w:lang w:eastAsia="en-US"/>
    </w:rPr>
  </w:style>
  <w:style w:type="paragraph" w:customStyle="1" w:styleId="Funkcijasbold">
    <w:name w:val="Funkcijas_bold"/>
    <w:basedOn w:val="Normal"/>
    <w:qFormat/>
    <w:rsid w:val="008643AC"/>
    <w:rPr>
      <w:rFonts w:eastAsia="Times New Roman" w:cs="Times New Roman"/>
      <w:b/>
      <w:bCs/>
      <w:szCs w:val="20"/>
      <w:lang w:eastAsia="en-US"/>
    </w:rPr>
  </w:style>
  <w:style w:type="paragraph" w:customStyle="1" w:styleId="izdevumi">
    <w:name w:val="izdevumi"/>
    <w:basedOn w:val="Normal"/>
    <w:qFormat/>
    <w:rsid w:val="008643AC"/>
    <w:pPr>
      <w:widowControl w:val="0"/>
      <w:spacing w:before="120"/>
      <w:ind w:left="567"/>
    </w:pPr>
    <w:rPr>
      <w:rFonts w:eastAsia="Times New Roman" w:cs="Times New Roman"/>
      <w:i/>
      <w:szCs w:val="20"/>
      <w:lang w:eastAsia="en-US"/>
    </w:rPr>
  </w:style>
  <w:style w:type="paragraph" w:customStyle="1" w:styleId="programmas">
    <w:name w:val="programmas"/>
    <w:basedOn w:val="Normal"/>
    <w:qFormat/>
    <w:rsid w:val="008643AC"/>
    <w:pPr>
      <w:widowControl w:val="0"/>
      <w:spacing w:before="240"/>
      <w:jc w:val="center"/>
    </w:pPr>
    <w:rPr>
      <w:rFonts w:eastAsia="Times New Roman" w:cs="Times New Roman"/>
      <w:b/>
      <w:szCs w:val="20"/>
      <w:lang w:val="en-US" w:eastAsia="en-US"/>
    </w:rPr>
  </w:style>
  <w:style w:type="paragraph" w:customStyle="1" w:styleId="samazpaliel">
    <w:name w:val="samaz_paliel"/>
    <w:basedOn w:val="Normal"/>
    <w:qFormat/>
    <w:rsid w:val="008643AC"/>
    <w:pPr>
      <w:widowControl w:val="0"/>
    </w:pPr>
    <w:rPr>
      <w:rFonts w:eastAsia="Times New Roman" w:cs="Times New Roman"/>
      <w:b/>
      <w:szCs w:val="20"/>
      <w:u w:val="single"/>
      <w:lang w:eastAsia="en-US"/>
    </w:rPr>
  </w:style>
  <w:style w:type="paragraph" w:customStyle="1" w:styleId="Tabuluvirsraksti">
    <w:name w:val="Tabulu_virsraksti"/>
    <w:basedOn w:val="Normal"/>
    <w:qFormat/>
    <w:rsid w:val="008643AC"/>
    <w:pPr>
      <w:jc w:val="center"/>
    </w:pPr>
    <w:rPr>
      <w:rFonts w:eastAsia="Times New Roman" w:cs="Times New Roman"/>
      <w:szCs w:val="20"/>
      <w:lang w:eastAsia="en-US"/>
    </w:rPr>
  </w:style>
  <w:style w:type="character" w:customStyle="1" w:styleId="FollowedHyperlink1">
    <w:name w:val="FollowedHyperlink1"/>
    <w:basedOn w:val="DefaultParagraphFont"/>
    <w:uiPriority w:val="99"/>
    <w:semiHidden/>
    <w:unhideWhenUsed/>
    <w:rsid w:val="008643AC"/>
    <w:rPr>
      <w:color w:val="800080"/>
      <w:u w:val="single"/>
    </w:rPr>
  </w:style>
  <w:style w:type="character" w:styleId="FollowedHyperlink">
    <w:name w:val="FollowedHyperlink"/>
    <w:basedOn w:val="DefaultParagraphFont"/>
    <w:uiPriority w:val="99"/>
    <w:semiHidden/>
    <w:unhideWhenUsed/>
    <w:rsid w:val="008643AC"/>
    <w:rPr>
      <w:color w:val="954F72" w:themeColor="followedHyperlink"/>
      <w:u w:val="single"/>
    </w:rPr>
  </w:style>
  <w:style w:type="table" w:customStyle="1" w:styleId="TableGrid3">
    <w:name w:val="Table Grid3"/>
    <w:basedOn w:val="TableNormal"/>
    <w:next w:val="TableGrid"/>
    <w:uiPriority w:val="39"/>
    <w:rsid w:val="005D361F"/>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D73A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v213">
    <w:name w:val="tv213"/>
    <w:basedOn w:val="Normal"/>
    <w:rsid w:val="00A7117E"/>
    <w:pPr>
      <w:spacing w:before="100" w:beforeAutospacing="1" w:after="100" w:afterAutospacing="1"/>
    </w:pPr>
    <w:rPr>
      <w:rFonts w:eastAsia="Times New Roman" w:cs="Times New Roman"/>
      <w:szCs w:val="24"/>
    </w:rPr>
  </w:style>
  <w:style w:type="table" w:customStyle="1" w:styleId="PlainTable411">
    <w:name w:val="Plain Table 411"/>
    <w:basedOn w:val="TableNormal"/>
    <w:uiPriority w:val="44"/>
    <w:rsid w:val="00A22921"/>
    <w:rPr>
      <w:rFonts w:ascii="Times New Roman" w:eastAsiaTheme="minorHAnsi" w:hAnsi="Times New Roman"/>
      <w:sz w:val="28"/>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Style3">
    <w:name w:val="Style3"/>
    <w:basedOn w:val="Heading3"/>
    <w:link w:val="Style3Char"/>
    <w:qFormat/>
    <w:rsid w:val="00D576BB"/>
    <w:pPr>
      <w:spacing w:line="259" w:lineRule="auto"/>
    </w:pPr>
    <w:rPr>
      <w:rFonts w:asciiTheme="majorHAnsi" w:eastAsiaTheme="majorEastAsia" w:hAnsiTheme="majorHAnsi" w:cstheme="majorBidi"/>
      <w:color w:val="1F4D78" w:themeColor="accent1" w:themeShade="7F"/>
      <w:szCs w:val="32"/>
      <w:lang w:eastAsia="en-US"/>
    </w:rPr>
  </w:style>
  <w:style w:type="character" w:customStyle="1" w:styleId="Style3Char">
    <w:name w:val="Style3 Char"/>
    <w:basedOn w:val="Heading3Char"/>
    <w:link w:val="Style3"/>
    <w:rsid w:val="00D576BB"/>
    <w:rPr>
      <w:rFonts w:asciiTheme="majorHAnsi" w:eastAsiaTheme="majorEastAsia" w:hAnsiTheme="majorHAnsi" w:cstheme="majorBidi"/>
      <w:b/>
      <w:bCs/>
      <w:color w:val="1F4D78" w:themeColor="accent1" w:themeShade="7F"/>
      <w:sz w:val="32"/>
      <w:szCs w:val="32"/>
      <w:lang w:eastAsia="en-US"/>
    </w:rPr>
  </w:style>
  <w:style w:type="paragraph" w:customStyle="1" w:styleId="Style2">
    <w:name w:val="Style2"/>
    <w:basedOn w:val="Heading2"/>
    <w:link w:val="Style2Char"/>
    <w:qFormat/>
    <w:rsid w:val="00D576BB"/>
    <w:pPr>
      <w:spacing w:line="259" w:lineRule="auto"/>
    </w:pPr>
    <w:rPr>
      <w:lang w:eastAsia="en-US"/>
    </w:rPr>
  </w:style>
  <w:style w:type="character" w:customStyle="1" w:styleId="Style2Char">
    <w:name w:val="Style2 Char"/>
    <w:basedOn w:val="Heading2Char"/>
    <w:link w:val="Style2"/>
    <w:rsid w:val="00D576BB"/>
    <w:rPr>
      <w:rFonts w:ascii="Times New Roman" w:eastAsiaTheme="majorEastAsia" w:hAnsi="Times New Roman" w:cstheme="majorBidi"/>
      <w:b/>
      <w:bCs/>
      <w:smallCaps w:val="0"/>
      <w:color w:val="000000" w:themeColor="text1"/>
      <w:sz w:val="32"/>
      <w:szCs w:val="28"/>
      <w:lang w:eastAsia="en-US"/>
    </w:rPr>
  </w:style>
  <w:style w:type="paragraph" w:customStyle="1" w:styleId="Style1">
    <w:name w:val="Style1"/>
    <w:basedOn w:val="Heading1"/>
    <w:link w:val="Style1Char"/>
    <w:qFormat/>
    <w:rsid w:val="00D576BB"/>
    <w:pPr>
      <w:pBdr>
        <w:bottom w:val="single" w:sz="4" w:space="1" w:color="595959" w:themeColor="text1" w:themeTint="A6"/>
      </w:pBdr>
      <w:spacing w:after="160" w:line="259" w:lineRule="auto"/>
      <w:jc w:val="right"/>
    </w:pPr>
    <w:rPr>
      <w:rFonts w:asciiTheme="majorHAnsi" w:hAnsiTheme="majorHAnsi"/>
      <w:color w:val="2E74B5" w:themeColor="accent1" w:themeShade="BF"/>
      <w:szCs w:val="44"/>
      <w:lang w:eastAsia="en-US"/>
    </w:rPr>
  </w:style>
  <w:style w:type="character" w:customStyle="1" w:styleId="Style1Char">
    <w:name w:val="Style1 Char"/>
    <w:basedOn w:val="Heading1Char"/>
    <w:link w:val="Style1"/>
    <w:rsid w:val="00D576BB"/>
    <w:rPr>
      <w:rFonts w:asciiTheme="majorHAnsi" w:eastAsiaTheme="majorEastAsia" w:hAnsiTheme="majorHAnsi" w:cstheme="majorBidi"/>
      <w:b/>
      <w:bCs/>
      <w:smallCaps w:val="0"/>
      <w:color w:val="2E74B5" w:themeColor="accent1" w:themeShade="BF"/>
      <w:sz w:val="36"/>
      <w:szCs w:val="44"/>
      <w:lang w:eastAsia="en-US"/>
    </w:rPr>
  </w:style>
  <w:style w:type="character" w:customStyle="1" w:styleId="FootnoteTextChar1">
    <w:name w:val="Footnote Text Char1"/>
    <w:aliases w:val="Footnote Char1,Fußnote Char1,Fußnote Char Char Char Char1,single space Char1,ft Rakstz. Rakstz. Char1,ft Rakstz. Char1,ft Char1,-E Fußnotentext Char1,Fußnotentext Ursprung Char1,Vēres teksts Char Char Char Char Char Char1,Char Char"/>
    <w:basedOn w:val="DefaultParagraphFont"/>
    <w:uiPriority w:val="99"/>
    <w:semiHidden/>
    <w:rsid w:val="00D576BB"/>
    <w:rPr>
      <w:sz w:val="20"/>
      <w:szCs w:val="20"/>
    </w:rPr>
  </w:style>
  <w:style w:type="paragraph" w:customStyle="1" w:styleId="Tabulasvirsraksts">
    <w:name w:val="Tabulas virsraksts"/>
    <w:basedOn w:val="Normal"/>
    <w:link w:val="TabulasvirsrakstsChar"/>
    <w:qFormat/>
    <w:rsid w:val="00D576BB"/>
    <w:pPr>
      <w:spacing w:before="240" w:after="240" w:line="259" w:lineRule="auto"/>
      <w:jc w:val="center"/>
    </w:pPr>
    <w:rPr>
      <w:rFonts w:eastAsiaTheme="minorHAnsi" w:cs="Times New Roman"/>
      <w:b/>
      <w:szCs w:val="24"/>
      <w:lang w:eastAsia="en-US"/>
    </w:rPr>
  </w:style>
  <w:style w:type="character" w:customStyle="1" w:styleId="TabulasvirsrakstsChar">
    <w:name w:val="Tabulas virsraksts Char"/>
    <w:basedOn w:val="DefaultParagraphFont"/>
    <w:link w:val="Tabulasvirsraksts"/>
    <w:rsid w:val="00D576BB"/>
    <w:rPr>
      <w:rFonts w:ascii="Times New Roman" w:eastAsiaTheme="minorHAnsi" w:hAnsi="Times New Roman" w:cs="Times New Roman"/>
      <w:b/>
      <w:sz w:val="24"/>
      <w:szCs w:val="24"/>
      <w:lang w:eastAsia="en-US"/>
    </w:rPr>
  </w:style>
  <w:style w:type="character" w:customStyle="1" w:styleId="UnresolvedMention1">
    <w:name w:val="Unresolved Mention1"/>
    <w:basedOn w:val="DefaultParagraphFont"/>
    <w:uiPriority w:val="99"/>
    <w:semiHidden/>
    <w:unhideWhenUsed/>
    <w:rsid w:val="00651B6D"/>
    <w:rPr>
      <w:color w:val="605E5C"/>
      <w:shd w:val="clear" w:color="auto" w:fill="E1DFDD"/>
    </w:rPr>
  </w:style>
  <w:style w:type="paragraph" w:customStyle="1" w:styleId="H5">
    <w:name w:val="H5"/>
    <w:basedOn w:val="Heading5"/>
    <w:link w:val="H5Char"/>
    <w:autoRedefine/>
    <w:qFormat/>
    <w:rsid w:val="00651B6D"/>
    <w:pPr>
      <w:spacing w:before="120"/>
      <w:jc w:val="center"/>
    </w:pPr>
    <w:rPr>
      <w:rFonts w:ascii="Times New Roman" w:hAnsi="Times New Roman" w:cs="Times New Roman"/>
      <w:color w:val="auto"/>
      <w:szCs w:val="20"/>
      <w:u w:val="single"/>
      <w:lang w:eastAsia="en-US"/>
    </w:rPr>
  </w:style>
  <w:style w:type="character" w:customStyle="1" w:styleId="H5Char">
    <w:name w:val="H5 Char"/>
    <w:basedOn w:val="DefaultParagraphFont"/>
    <w:link w:val="H5"/>
    <w:rsid w:val="00651B6D"/>
    <w:rPr>
      <w:rFonts w:ascii="Times New Roman" w:eastAsiaTheme="majorEastAsia" w:hAnsi="Times New Roman" w:cs="Times New Roman"/>
      <w:sz w:val="24"/>
      <w:szCs w:val="20"/>
      <w:u w:val="single"/>
      <w:lang w:eastAsia="en-US"/>
    </w:rPr>
  </w:style>
  <w:style w:type="character" w:customStyle="1" w:styleId="UnresolvedMention2">
    <w:name w:val="Unresolved Mention2"/>
    <w:basedOn w:val="DefaultParagraphFont"/>
    <w:uiPriority w:val="99"/>
    <w:semiHidden/>
    <w:unhideWhenUsed/>
    <w:rsid w:val="003128A0"/>
    <w:rPr>
      <w:color w:val="605E5C"/>
      <w:shd w:val="clear" w:color="auto" w:fill="E1DFDD"/>
    </w:rPr>
  </w:style>
  <w:style w:type="paragraph" w:customStyle="1" w:styleId="xxmsonormal">
    <w:name w:val="x_x_msonormal"/>
    <w:basedOn w:val="Normal"/>
    <w:rsid w:val="00806752"/>
    <w:pPr>
      <w:spacing w:before="100" w:beforeAutospacing="1" w:after="100" w:afterAutospacing="1"/>
      <w:ind w:firstLine="0"/>
      <w:jc w:val="left"/>
    </w:pPr>
    <w:rPr>
      <w:rFonts w:eastAsia="Times New Roman" w:cs="Times New Roman"/>
      <w:szCs w:val="24"/>
    </w:rPr>
  </w:style>
  <w:style w:type="character" w:customStyle="1" w:styleId="UnresolvedMention3">
    <w:name w:val="Unresolved Mention3"/>
    <w:basedOn w:val="DefaultParagraphFont"/>
    <w:uiPriority w:val="99"/>
    <w:semiHidden/>
    <w:unhideWhenUsed/>
    <w:rsid w:val="00380E24"/>
    <w:rPr>
      <w:color w:val="605E5C"/>
      <w:shd w:val="clear" w:color="auto" w:fill="E1DFDD"/>
    </w:rPr>
  </w:style>
  <w:style w:type="character" w:customStyle="1" w:styleId="normaltextrun">
    <w:name w:val="normaltextrun"/>
    <w:basedOn w:val="DefaultParagraphFont"/>
    <w:rsid w:val="00C030DA"/>
  </w:style>
  <w:style w:type="paragraph" w:customStyle="1" w:styleId="paragraph">
    <w:name w:val="paragraph"/>
    <w:basedOn w:val="Normal"/>
    <w:rsid w:val="00C030DA"/>
    <w:pPr>
      <w:spacing w:before="100" w:beforeAutospacing="1" w:after="100" w:afterAutospacing="1"/>
      <w:ind w:firstLine="0"/>
      <w:jc w:val="left"/>
    </w:pPr>
    <w:rPr>
      <w:rFonts w:eastAsia="Times New Roman" w:cs="Times New Roman"/>
      <w:szCs w:val="24"/>
    </w:rPr>
  </w:style>
  <w:style w:type="character" w:customStyle="1" w:styleId="eop">
    <w:name w:val="eop"/>
    <w:basedOn w:val="DefaultParagraphFont"/>
    <w:rsid w:val="00C030DA"/>
  </w:style>
  <w:style w:type="numbering" w:customStyle="1" w:styleId="NoList3">
    <w:name w:val="No List3"/>
    <w:next w:val="NoList"/>
    <w:uiPriority w:val="99"/>
    <w:semiHidden/>
    <w:unhideWhenUsed/>
    <w:rsid w:val="007C4935"/>
  </w:style>
  <w:style w:type="table" w:customStyle="1" w:styleId="TableGrid5">
    <w:name w:val="Table Grid5"/>
    <w:basedOn w:val="TableNormal"/>
    <w:next w:val="TableGrid"/>
    <w:uiPriority w:val="59"/>
    <w:rsid w:val="007C4935"/>
    <w:pPr>
      <w:ind w:left="425"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ulasteksts">
    <w:name w:val="Tabulas teksts"/>
    <w:basedOn w:val="Normal"/>
    <w:qFormat/>
    <w:rsid w:val="007C4935"/>
    <w:pPr>
      <w:keepNext/>
      <w:keepLines/>
      <w:ind w:left="425" w:firstLine="0"/>
      <w:jc w:val="left"/>
    </w:pPr>
    <w:rPr>
      <w:rFonts w:cs="Times New Roman"/>
      <w:noProof/>
      <w:sz w:val="18"/>
      <w:szCs w:val="24"/>
    </w:rPr>
  </w:style>
  <w:style w:type="paragraph" w:customStyle="1" w:styleId="Tabulascipari">
    <w:name w:val="Tabulas cipari"/>
    <w:basedOn w:val="Normal"/>
    <w:qFormat/>
    <w:rsid w:val="007C4935"/>
    <w:pPr>
      <w:ind w:left="425" w:firstLine="0"/>
      <w:jc w:val="right"/>
    </w:pPr>
    <w:rPr>
      <w:rFonts w:cs="Times New Roman"/>
      <w:noProof/>
      <w:sz w:val="18"/>
      <w:szCs w:val="24"/>
    </w:rPr>
  </w:style>
  <w:style w:type="paragraph" w:customStyle="1" w:styleId="Heading51">
    <w:name w:val="Heading 51"/>
    <w:basedOn w:val="Normal"/>
    <w:next w:val="Normal"/>
    <w:uiPriority w:val="9"/>
    <w:unhideWhenUsed/>
    <w:qFormat/>
    <w:rsid w:val="007C4935"/>
    <w:pPr>
      <w:keepNext/>
      <w:keepLines/>
      <w:spacing w:before="200"/>
      <w:ind w:left="425"/>
      <w:outlineLvl w:val="4"/>
    </w:pPr>
    <w:rPr>
      <w:rFonts w:ascii="Calibri Light" w:eastAsia="Times New Roman" w:hAnsi="Calibri Light" w:cs="Times New Roman"/>
      <w:color w:val="323E4F"/>
      <w:szCs w:val="24"/>
    </w:rPr>
  </w:style>
  <w:style w:type="paragraph" w:customStyle="1" w:styleId="Heading61">
    <w:name w:val="Heading 61"/>
    <w:basedOn w:val="Normal"/>
    <w:next w:val="Normal"/>
    <w:uiPriority w:val="9"/>
    <w:semiHidden/>
    <w:unhideWhenUsed/>
    <w:qFormat/>
    <w:rsid w:val="007C4935"/>
    <w:pPr>
      <w:keepNext/>
      <w:keepLines/>
      <w:spacing w:before="200"/>
      <w:ind w:left="425"/>
      <w:outlineLvl w:val="5"/>
    </w:pPr>
    <w:rPr>
      <w:rFonts w:ascii="Calibri Light" w:eastAsia="Times New Roman" w:hAnsi="Calibri Light" w:cs="Times New Roman"/>
      <w:i/>
      <w:iCs/>
      <w:color w:val="323E4F"/>
      <w:szCs w:val="24"/>
    </w:rPr>
  </w:style>
  <w:style w:type="paragraph" w:customStyle="1" w:styleId="Heading71">
    <w:name w:val="Heading 71"/>
    <w:basedOn w:val="Normal"/>
    <w:next w:val="Normal"/>
    <w:uiPriority w:val="9"/>
    <w:semiHidden/>
    <w:unhideWhenUsed/>
    <w:qFormat/>
    <w:rsid w:val="007C4935"/>
    <w:pPr>
      <w:keepNext/>
      <w:keepLines/>
      <w:spacing w:before="200"/>
      <w:ind w:left="425"/>
      <w:outlineLvl w:val="6"/>
    </w:pPr>
    <w:rPr>
      <w:rFonts w:ascii="Calibri Light" w:eastAsia="Times New Roman" w:hAnsi="Calibri Light" w:cs="Times New Roman"/>
      <w:i/>
      <w:iCs/>
      <w:color w:val="404040"/>
      <w:szCs w:val="24"/>
    </w:rPr>
  </w:style>
  <w:style w:type="paragraph" w:customStyle="1" w:styleId="Heading81">
    <w:name w:val="Heading 81"/>
    <w:basedOn w:val="Normal"/>
    <w:next w:val="Normal"/>
    <w:uiPriority w:val="9"/>
    <w:semiHidden/>
    <w:unhideWhenUsed/>
    <w:qFormat/>
    <w:rsid w:val="007C4935"/>
    <w:pPr>
      <w:keepNext/>
      <w:keepLines/>
      <w:spacing w:before="200"/>
      <w:ind w:left="425"/>
      <w:outlineLvl w:val="7"/>
    </w:pPr>
    <w:rPr>
      <w:rFonts w:ascii="Calibri Light" w:eastAsia="Times New Roman" w:hAnsi="Calibri Light" w:cs="Times New Roman"/>
      <w:color w:val="404040"/>
      <w:sz w:val="20"/>
      <w:szCs w:val="20"/>
    </w:rPr>
  </w:style>
  <w:style w:type="paragraph" w:customStyle="1" w:styleId="Heading91">
    <w:name w:val="Heading 91"/>
    <w:basedOn w:val="Normal"/>
    <w:next w:val="Normal"/>
    <w:uiPriority w:val="9"/>
    <w:semiHidden/>
    <w:unhideWhenUsed/>
    <w:qFormat/>
    <w:rsid w:val="007C4935"/>
    <w:pPr>
      <w:keepNext/>
      <w:keepLines/>
      <w:spacing w:before="200"/>
      <w:ind w:left="425"/>
      <w:outlineLvl w:val="8"/>
    </w:pPr>
    <w:rPr>
      <w:rFonts w:ascii="Calibri Light" w:eastAsia="Times New Roman" w:hAnsi="Calibri Light" w:cs="Times New Roman"/>
      <w:i/>
      <w:iCs/>
      <w:color w:val="404040"/>
      <w:sz w:val="20"/>
      <w:szCs w:val="20"/>
    </w:rPr>
  </w:style>
  <w:style w:type="numbering" w:customStyle="1" w:styleId="NoList11">
    <w:name w:val="No List11"/>
    <w:next w:val="NoList"/>
    <w:uiPriority w:val="99"/>
    <w:semiHidden/>
    <w:unhideWhenUsed/>
    <w:rsid w:val="007C4935"/>
  </w:style>
  <w:style w:type="paragraph" w:customStyle="1" w:styleId="Caption1">
    <w:name w:val="Caption1"/>
    <w:basedOn w:val="Normal"/>
    <w:next w:val="Normal"/>
    <w:uiPriority w:val="35"/>
    <w:semiHidden/>
    <w:unhideWhenUsed/>
    <w:qFormat/>
    <w:rsid w:val="007C4935"/>
    <w:pPr>
      <w:spacing w:after="200"/>
      <w:ind w:left="425"/>
    </w:pPr>
    <w:rPr>
      <w:rFonts w:eastAsia="Times New Roman" w:cs="Times New Roman"/>
      <w:i/>
      <w:iCs/>
      <w:color w:val="44546A"/>
      <w:sz w:val="18"/>
      <w:szCs w:val="18"/>
    </w:rPr>
  </w:style>
  <w:style w:type="paragraph" w:customStyle="1" w:styleId="Zmjumanosaukums">
    <w:name w:val="Zīmējuma nosaukums"/>
    <w:basedOn w:val="Normal"/>
    <w:qFormat/>
    <w:rsid w:val="007C4935"/>
    <w:pPr>
      <w:ind w:left="425" w:firstLine="0"/>
      <w:jc w:val="center"/>
    </w:pPr>
    <w:rPr>
      <w:rFonts w:eastAsia="Calibri" w:cs="Times New Roman"/>
      <w:b/>
      <w:i/>
      <w:szCs w:val="24"/>
      <w:lang w:eastAsia="en-US"/>
    </w:rPr>
  </w:style>
  <w:style w:type="paragraph" w:customStyle="1" w:styleId="CommentSubject1">
    <w:name w:val="Comment Subject1"/>
    <w:basedOn w:val="Normal"/>
    <w:next w:val="Normal"/>
    <w:uiPriority w:val="99"/>
    <w:semiHidden/>
    <w:unhideWhenUsed/>
    <w:rsid w:val="007C4935"/>
    <w:pPr>
      <w:ind w:left="425"/>
    </w:pPr>
    <w:rPr>
      <w:rFonts w:eastAsia="Times New Roman" w:cs="Times New Roman"/>
      <w:b/>
      <w:bCs/>
      <w:sz w:val="20"/>
      <w:szCs w:val="20"/>
    </w:rPr>
  </w:style>
  <w:style w:type="paragraph" w:customStyle="1" w:styleId="Revision1">
    <w:name w:val="Revision1"/>
    <w:next w:val="Revision"/>
    <w:hidden/>
    <w:uiPriority w:val="99"/>
    <w:semiHidden/>
    <w:rsid w:val="007C4935"/>
    <w:pPr>
      <w:ind w:left="425" w:firstLine="720"/>
      <w:jc w:val="both"/>
    </w:pPr>
    <w:rPr>
      <w:rFonts w:eastAsia="Times New Roman"/>
    </w:rPr>
  </w:style>
  <w:style w:type="table" w:customStyle="1" w:styleId="ListTable2-Accent11">
    <w:name w:val="List Table 2 - Accent 11"/>
    <w:basedOn w:val="TableNormal"/>
    <w:next w:val="ListTable2-Accent1"/>
    <w:uiPriority w:val="47"/>
    <w:rsid w:val="007C4935"/>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
    <w:name w:val="No List111"/>
    <w:next w:val="NoList"/>
    <w:uiPriority w:val="99"/>
    <w:semiHidden/>
    <w:unhideWhenUsed/>
    <w:rsid w:val="007C4935"/>
  </w:style>
  <w:style w:type="table" w:customStyle="1" w:styleId="TableGrid11">
    <w:name w:val="Table Grid11"/>
    <w:basedOn w:val="TableNormal"/>
    <w:next w:val="TableGrid"/>
    <w:uiPriority w:val="39"/>
    <w:rsid w:val="007C4935"/>
    <w:pPr>
      <w:ind w:left="425" w:firstLine="720"/>
      <w:jc w:val="both"/>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7C4935"/>
  </w:style>
  <w:style w:type="table" w:customStyle="1" w:styleId="TableGrid21">
    <w:name w:val="Table Grid21"/>
    <w:basedOn w:val="TableNormal"/>
    <w:next w:val="TableGrid"/>
    <w:uiPriority w:val="39"/>
    <w:rsid w:val="007C4935"/>
    <w:pPr>
      <w:ind w:left="425" w:firstLine="720"/>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2">
    <w:name w:val="FollowedHyperlink2"/>
    <w:basedOn w:val="DefaultParagraphFont"/>
    <w:uiPriority w:val="99"/>
    <w:semiHidden/>
    <w:unhideWhenUsed/>
    <w:rsid w:val="007C4935"/>
    <w:rPr>
      <w:color w:val="954F72"/>
      <w:u w:val="single"/>
    </w:rPr>
  </w:style>
  <w:style w:type="table" w:customStyle="1" w:styleId="TableGrid31">
    <w:name w:val="Table Grid31"/>
    <w:basedOn w:val="TableNormal"/>
    <w:next w:val="TableGrid"/>
    <w:uiPriority w:val="39"/>
    <w:rsid w:val="007C4935"/>
    <w:pPr>
      <w:ind w:left="425" w:firstLine="720"/>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7C4935"/>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11">
    <w:name w:val="Plain Table 4111"/>
    <w:basedOn w:val="TableNormal"/>
    <w:uiPriority w:val="44"/>
    <w:rsid w:val="007C4935"/>
    <w:pPr>
      <w:ind w:left="425" w:firstLine="720"/>
      <w:jc w:val="both"/>
    </w:pPr>
    <w:rPr>
      <w:rFonts w:ascii="Times New Roman" w:eastAsia="Calibri" w:hAnsi="Times New Roman"/>
      <w:sz w:val="28"/>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Heading4Char1">
    <w:name w:val="Heading 4 Char1"/>
    <w:basedOn w:val="DefaultParagraphFont"/>
    <w:uiPriority w:val="9"/>
    <w:semiHidden/>
    <w:rsid w:val="007C4935"/>
    <w:rPr>
      <w:rFonts w:ascii="Calibri Light" w:eastAsia="Times New Roman" w:hAnsi="Calibri Light" w:cs="Times New Roman"/>
      <w:i/>
      <w:iCs/>
      <w:color w:val="2F5496"/>
    </w:rPr>
  </w:style>
  <w:style w:type="character" w:customStyle="1" w:styleId="Heading5Char1">
    <w:name w:val="Heading 5 Char1"/>
    <w:basedOn w:val="DefaultParagraphFont"/>
    <w:uiPriority w:val="9"/>
    <w:semiHidden/>
    <w:rsid w:val="007C4935"/>
    <w:rPr>
      <w:rFonts w:ascii="Calibri Light" w:eastAsia="Times New Roman" w:hAnsi="Calibri Light" w:cs="Times New Roman"/>
      <w:color w:val="2F5496"/>
    </w:rPr>
  </w:style>
  <w:style w:type="character" w:customStyle="1" w:styleId="Heading6Char1">
    <w:name w:val="Heading 6 Char1"/>
    <w:basedOn w:val="DefaultParagraphFont"/>
    <w:uiPriority w:val="9"/>
    <w:semiHidden/>
    <w:rsid w:val="007C4935"/>
    <w:rPr>
      <w:rFonts w:ascii="Calibri Light" w:eastAsia="Times New Roman" w:hAnsi="Calibri Light" w:cs="Times New Roman"/>
      <w:color w:val="1F3763"/>
    </w:rPr>
  </w:style>
  <w:style w:type="character" w:customStyle="1" w:styleId="Heading7Char1">
    <w:name w:val="Heading 7 Char1"/>
    <w:basedOn w:val="DefaultParagraphFont"/>
    <w:uiPriority w:val="9"/>
    <w:semiHidden/>
    <w:rsid w:val="007C4935"/>
    <w:rPr>
      <w:rFonts w:ascii="Calibri Light" w:eastAsia="Times New Roman" w:hAnsi="Calibri Light" w:cs="Times New Roman"/>
      <w:i/>
      <w:iCs/>
      <w:color w:val="1F3763"/>
    </w:rPr>
  </w:style>
  <w:style w:type="character" w:customStyle="1" w:styleId="Heading8Char1">
    <w:name w:val="Heading 8 Char1"/>
    <w:basedOn w:val="DefaultParagraphFont"/>
    <w:uiPriority w:val="9"/>
    <w:semiHidden/>
    <w:rsid w:val="007C4935"/>
    <w:rPr>
      <w:rFonts w:ascii="Calibri Light" w:eastAsia="Times New Roman" w:hAnsi="Calibri Light" w:cs="Times New Roman"/>
      <w:color w:val="272727"/>
      <w:sz w:val="21"/>
      <w:szCs w:val="21"/>
    </w:rPr>
  </w:style>
  <w:style w:type="character" w:customStyle="1" w:styleId="Heading9Char1">
    <w:name w:val="Heading 9 Char1"/>
    <w:basedOn w:val="DefaultParagraphFont"/>
    <w:uiPriority w:val="9"/>
    <w:semiHidden/>
    <w:rsid w:val="007C4935"/>
    <w:rPr>
      <w:rFonts w:ascii="Calibri Light" w:eastAsia="Times New Roman" w:hAnsi="Calibri Light" w:cs="Times New Roman"/>
      <w:i/>
      <w:iCs/>
      <w:color w:val="272727"/>
      <w:sz w:val="21"/>
      <w:szCs w:val="21"/>
    </w:rPr>
  </w:style>
  <w:style w:type="character" w:customStyle="1" w:styleId="CommentSubjectChar1">
    <w:name w:val="Comment Subject Char1"/>
    <w:basedOn w:val="DefaultParagraphFont"/>
    <w:uiPriority w:val="99"/>
    <w:semiHidden/>
    <w:rsid w:val="007C4935"/>
    <w:rPr>
      <w:b/>
      <w:bCs/>
      <w:sz w:val="20"/>
      <w:szCs w:val="20"/>
    </w:rPr>
  </w:style>
  <w:style w:type="character" w:customStyle="1" w:styleId="BalloonTextChar1">
    <w:name w:val="Balloon Text Char1"/>
    <w:basedOn w:val="DefaultParagraphFont"/>
    <w:uiPriority w:val="99"/>
    <w:semiHidden/>
    <w:rsid w:val="007C4935"/>
    <w:rPr>
      <w:rFonts w:ascii="Segoe UI" w:hAnsi="Segoe UI" w:cs="Segoe UI"/>
      <w:sz w:val="18"/>
      <w:szCs w:val="18"/>
    </w:rPr>
  </w:style>
  <w:style w:type="table" w:customStyle="1" w:styleId="ListTable2-Accent12">
    <w:name w:val="List Table 2 - Accent 12"/>
    <w:basedOn w:val="TableNormal"/>
    <w:next w:val="ListTable2-Accent1"/>
    <w:uiPriority w:val="47"/>
    <w:rsid w:val="007C4935"/>
    <w:pPr>
      <w:ind w:left="425" w:firstLine="720"/>
      <w:jc w:val="both"/>
    </w:pPr>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Piezme">
    <w:name w:val="Piezīme"/>
    <w:basedOn w:val="Normal"/>
    <w:qFormat/>
    <w:rsid w:val="007C4935"/>
    <w:pPr>
      <w:spacing w:after="0"/>
      <w:ind w:left="425" w:firstLine="0"/>
    </w:pPr>
    <w:rPr>
      <w:rFonts w:eastAsia="Calibri" w:cs="Times New Roman"/>
      <w:sz w:val="18"/>
      <w:szCs w:val="18"/>
      <w:lang w:eastAsia="en-US"/>
    </w:rPr>
  </w:style>
  <w:style w:type="numbering" w:customStyle="1" w:styleId="NoList4">
    <w:name w:val="No List4"/>
    <w:next w:val="NoList"/>
    <w:uiPriority w:val="99"/>
    <w:semiHidden/>
    <w:unhideWhenUsed/>
    <w:rsid w:val="007E409E"/>
  </w:style>
  <w:style w:type="numbering" w:customStyle="1" w:styleId="NoList12">
    <w:name w:val="No List12"/>
    <w:next w:val="NoList"/>
    <w:uiPriority w:val="99"/>
    <w:semiHidden/>
    <w:unhideWhenUsed/>
    <w:rsid w:val="007E409E"/>
  </w:style>
  <w:style w:type="table" w:customStyle="1" w:styleId="ListTable2-Accent111">
    <w:name w:val="List Table 2 - Accent 111"/>
    <w:basedOn w:val="TableNormal"/>
    <w:next w:val="ListTable2-Accent1"/>
    <w:uiPriority w:val="47"/>
    <w:rsid w:val="007E409E"/>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
    <w:name w:val="No List112"/>
    <w:next w:val="NoList"/>
    <w:uiPriority w:val="99"/>
    <w:semiHidden/>
    <w:unhideWhenUsed/>
    <w:rsid w:val="007E409E"/>
  </w:style>
  <w:style w:type="numbering" w:customStyle="1" w:styleId="NoList22">
    <w:name w:val="No List22"/>
    <w:next w:val="NoList"/>
    <w:uiPriority w:val="99"/>
    <w:semiHidden/>
    <w:unhideWhenUsed/>
    <w:rsid w:val="007E409E"/>
  </w:style>
  <w:style w:type="table" w:customStyle="1" w:styleId="TableGrid42">
    <w:name w:val="Table Grid42"/>
    <w:basedOn w:val="TableNormal"/>
    <w:next w:val="TableGrid"/>
    <w:uiPriority w:val="39"/>
    <w:rsid w:val="007E40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3">
    <w:name w:val="List Table 2 - Accent 13"/>
    <w:basedOn w:val="TableNormal"/>
    <w:next w:val="ListTable2-Accent1"/>
    <w:uiPriority w:val="47"/>
    <w:rsid w:val="007E409E"/>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odyTextIndent">
    <w:name w:val="Body Text Indent"/>
    <w:basedOn w:val="Normal"/>
    <w:link w:val="BodyTextIndentChar"/>
    <w:uiPriority w:val="99"/>
    <w:semiHidden/>
    <w:unhideWhenUsed/>
    <w:rsid w:val="005218A4"/>
    <w:pPr>
      <w:ind w:left="360"/>
    </w:pPr>
  </w:style>
  <w:style w:type="character" w:customStyle="1" w:styleId="BodyTextIndentChar">
    <w:name w:val="Body Text Indent Char"/>
    <w:basedOn w:val="DefaultParagraphFont"/>
    <w:link w:val="BodyTextIndent"/>
    <w:uiPriority w:val="99"/>
    <w:rsid w:val="005218A4"/>
    <w:rPr>
      <w:rFonts w:ascii="Times New Roman" w:hAnsi="Times New Roman"/>
      <w:sz w:val="24"/>
    </w:rPr>
  </w:style>
  <w:style w:type="table" w:customStyle="1" w:styleId="TableGrid6">
    <w:name w:val="Table Grid6"/>
    <w:basedOn w:val="TableNormal"/>
    <w:next w:val="TableGrid"/>
    <w:uiPriority w:val="59"/>
    <w:rsid w:val="00D7377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C35A62"/>
    <w:pPr>
      <w:spacing w:before="120" w:after="120"/>
      <w:ind w:left="284" w:firstLine="720"/>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9522E"/>
    <w:rPr>
      <w:rFonts w:ascii="Times New Roman" w:eastAsia="Calibri" w:hAnsi="Times New Roman" w:cs="Times New Roman"/>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style>
  <w:style w:type="numbering" w:customStyle="1" w:styleId="NoList5">
    <w:name w:val="No List5"/>
    <w:next w:val="NoList"/>
    <w:uiPriority w:val="99"/>
    <w:semiHidden/>
    <w:unhideWhenUsed/>
    <w:rsid w:val="005E539C"/>
  </w:style>
  <w:style w:type="table" w:customStyle="1" w:styleId="TableGrid8">
    <w:name w:val="Table Grid8"/>
    <w:basedOn w:val="TableNormal"/>
    <w:next w:val="TableGrid"/>
    <w:uiPriority w:val="39"/>
    <w:rsid w:val="005E539C"/>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E539C"/>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Normal"/>
    <w:rsid w:val="005E539C"/>
    <w:pPr>
      <w:spacing w:before="100" w:beforeAutospacing="1" w:after="100" w:afterAutospacing="1"/>
      <w:ind w:firstLine="0"/>
      <w:jc w:val="left"/>
    </w:pPr>
    <w:rPr>
      <w:rFonts w:eastAsia="Times New Roman" w:cs="Times New Roman"/>
      <w:szCs w:val="24"/>
    </w:rPr>
  </w:style>
  <w:style w:type="table" w:customStyle="1" w:styleId="TableGrid9">
    <w:name w:val="Table Grid9"/>
    <w:basedOn w:val="TableNormal"/>
    <w:next w:val="TableGrid"/>
    <w:uiPriority w:val="39"/>
    <w:rsid w:val="00C032A1"/>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C032A1"/>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4">
    <w:name w:val="List Table 2 - Accent 14"/>
    <w:basedOn w:val="TableNormal"/>
    <w:next w:val="ListTable2-Accent1"/>
    <w:uiPriority w:val="47"/>
    <w:rsid w:val="008E24F6"/>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6">
    <w:name w:val="No List6"/>
    <w:next w:val="NoList"/>
    <w:uiPriority w:val="99"/>
    <w:semiHidden/>
    <w:unhideWhenUsed/>
    <w:rsid w:val="00357E15"/>
  </w:style>
  <w:style w:type="paragraph" w:customStyle="1" w:styleId="Heading11">
    <w:name w:val="Heading 11"/>
    <w:basedOn w:val="Normal"/>
    <w:next w:val="Normal"/>
    <w:uiPriority w:val="9"/>
    <w:qFormat/>
    <w:rsid w:val="00357E15"/>
    <w:pPr>
      <w:keepNext/>
      <w:keepLines/>
      <w:spacing w:before="360"/>
      <w:ind w:firstLine="0"/>
      <w:outlineLvl w:val="0"/>
    </w:pPr>
    <w:rPr>
      <w:rFonts w:eastAsia="Times New Roman" w:cs="Times New Roman"/>
      <w:b/>
      <w:bCs/>
      <w:smallCaps/>
      <w:color w:val="000000"/>
      <w:sz w:val="36"/>
      <w:szCs w:val="36"/>
      <w:lang w:eastAsia="en-US"/>
    </w:rPr>
  </w:style>
  <w:style w:type="paragraph" w:customStyle="1" w:styleId="Heading21">
    <w:name w:val="Heading 21"/>
    <w:basedOn w:val="Normal"/>
    <w:next w:val="Normal"/>
    <w:uiPriority w:val="9"/>
    <w:unhideWhenUsed/>
    <w:qFormat/>
    <w:rsid w:val="00357E15"/>
    <w:pPr>
      <w:keepNext/>
      <w:keepLines/>
      <w:spacing w:before="360"/>
      <w:ind w:firstLine="0"/>
      <w:outlineLvl w:val="1"/>
    </w:pPr>
    <w:rPr>
      <w:rFonts w:eastAsia="Times New Roman" w:cs="Times New Roman"/>
      <w:b/>
      <w:bCs/>
      <w:smallCaps/>
      <w:color w:val="000000"/>
      <w:sz w:val="32"/>
      <w:szCs w:val="28"/>
    </w:rPr>
  </w:style>
  <w:style w:type="paragraph" w:customStyle="1" w:styleId="Heading31">
    <w:name w:val="Heading 31"/>
    <w:basedOn w:val="Normal"/>
    <w:next w:val="Normal"/>
    <w:uiPriority w:val="9"/>
    <w:unhideWhenUsed/>
    <w:qFormat/>
    <w:rsid w:val="00357E15"/>
    <w:pPr>
      <w:keepNext/>
      <w:keepLines/>
      <w:spacing w:before="200"/>
      <w:ind w:left="3623" w:hanging="504"/>
      <w:jc w:val="center"/>
      <w:outlineLvl w:val="2"/>
    </w:pPr>
    <w:rPr>
      <w:rFonts w:eastAsia="Calibri" w:cs="Times New Roman"/>
      <w:b/>
      <w:bCs/>
      <w:color w:val="000000"/>
      <w:sz w:val="28"/>
      <w:szCs w:val="28"/>
    </w:rPr>
  </w:style>
  <w:style w:type="paragraph" w:customStyle="1" w:styleId="Heading41">
    <w:name w:val="Heading 41"/>
    <w:basedOn w:val="Normal"/>
    <w:next w:val="Normal"/>
    <w:unhideWhenUsed/>
    <w:qFormat/>
    <w:rsid w:val="00357E15"/>
    <w:pPr>
      <w:keepNext/>
      <w:keepLines/>
      <w:spacing w:before="200"/>
      <w:ind w:firstLine="0"/>
      <w:outlineLvl w:val="3"/>
    </w:pPr>
    <w:rPr>
      <w:rFonts w:ascii="Calibri Light" w:eastAsia="Times New Roman" w:hAnsi="Calibri Light" w:cs="Times New Roman"/>
      <w:b/>
      <w:bCs/>
      <w:i/>
      <w:iCs/>
      <w:color w:val="000000"/>
    </w:rPr>
  </w:style>
  <w:style w:type="numbering" w:customStyle="1" w:styleId="NoList13">
    <w:name w:val="No List13"/>
    <w:next w:val="NoList"/>
    <w:uiPriority w:val="99"/>
    <w:semiHidden/>
    <w:unhideWhenUsed/>
    <w:rsid w:val="00357E15"/>
  </w:style>
  <w:style w:type="character" w:customStyle="1" w:styleId="Heading1Char1">
    <w:name w:val="Heading 1 Char1"/>
    <w:basedOn w:val="DefaultParagraphFont"/>
    <w:uiPriority w:val="9"/>
    <w:rsid w:val="00357E15"/>
    <w:rPr>
      <w:rFonts w:ascii="Calibri Light" w:eastAsia="Times New Roman" w:hAnsi="Calibri Light" w:cs="Times New Roman"/>
      <w:color w:val="2F5496"/>
      <w:sz w:val="32"/>
      <w:szCs w:val="32"/>
    </w:rPr>
  </w:style>
  <w:style w:type="paragraph" w:customStyle="1" w:styleId="Title1">
    <w:name w:val="Title1"/>
    <w:basedOn w:val="Normal"/>
    <w:next w:val="Normal"/>
    <w:uiPriority w:val="10"/>
    <w:qFormat/>
    <w:rsid w:val="00357E15"/>
    <w:pPr>
      <w:contextualSpacing/>
    </w:pPr>
    <w:rPr>
      <w:rFonts w:ascii="Calibri Light" w:eastAsia="Times New Roman" w:hAnsi="Calibri Light" w:cs="Times New Roman"/>
      <w:color w:val="000000"/>
      <w:sz w:val="56"/>
      <w:szCs w:val="56"/>
    </w:rPr>
  </w:style>
  <w:style w:type="paragraph" w:customStyle="1" w:styleId="Subtitle1">
    <w:name w:val="Subtitle1"/>
    <w:basedOn w:val="Normal"/>
    <w:next w:val="Normal"/>
    <w:uiPriority w:val="11"/>
    <w:qFormat/>
    <w:rsid w:val="00357E15"/>
    <w:pPr>
      <w:numPr>
        <w:ilvl w:val="1"/>
      </w:numPr>
      <w:ind w:firstLine="720"/>
    </w:pPr>
    <w:rPr>
      <w:rFonts w:eastAsia="Times New Roman"/>
      <w:color w:val="5A5A5A"/>
      <w:spacing w:val="10"/>
    </w:rPr>
  </w:style>
  <w:style w:type="character" w:customStyle="1" w:styleId="Strong1">
    <w:name w:val="Strong1"/>
    <w:basedOn w:val="DefaultParagraphFont"/>
    <w:uiPriority w:val="22"/>
    <w:qFormat/>
    <w:rsid w:val="00357E15"/>
    <w:rPr>
      <w:b/>
      <w:bCs/>
      <w:color w:val="000000"/>
    </w:rPr>
  </w:style>
  <w:style w:type="paragraph" w:customStyle="1" w:styleId="Quote1">
    <w:name w:val="Quote1"/>
    <w:basedOn w:val="Normal"/>
    <w:next w:val="Normal"/>
    <w:uiPriority w:val="29"/>
    <w:qFormat/>
    <w:rsid w:val="00357E15"/>
    <w:pPr>
      <w:spacing w:before="160"/>
      <w:ind w:left="720" w:right="720"/>
    </w:pPr>
    <w:rPr>
      <w:rFonts w:eastAsia="Times New Roman"/>
      <w:i/>
      <w:iCs/>
      <w:color w:val="000000"/>
    </w:rPr>
  </w:style>
  <w:style w:type="paragraph" w:customStyle="1" w:styleId="IntenseQuote1">
    <w:name w:val="Intense Quote1"/>
    <w:basedOn w:val="Normal"/>
    <w:next w:val="Normal"/>
    <w:uiPriority w:val="30"/>
    <w:qFormat/>
    <w:rsid w:val="00357E15"/>
    <w:pPr>
      <w:pBdr>
        <w:top w:val="single" w:sz="24" w:space="1" w:color="F2F2F2"/>
        <w:bottom w:val="single" w:sz="24" w:space="1" w:color="F2F2F2"/>
      </w:pBdr>
      <w:shd w:val="clear" w:color="auto" w:fill="F2F2F2"/>
      <w:spacing w:before="240" w:after="240"/>
      <w:ind w:left="936" w:right="936"/>
      <w:jc w:val="center"/>
    </w:pPr>
    <w:rPr>
      <w:rFonts w:eastAsia="Times New Roman"/>
      <w:color w:val="000000"/>
    </w:rPr>
  </w:style>
  <w:style w:type="character" w:customStyle="1" w:styleId="SubtleEmphasis1">
    <w:name w:val="Subtle Emphasis1"/>
    <w:basedOn w:val="DefaultParagraphFont"/>
    <w:uiPriority w:val="19"/>
    <w:qFormat/>
    <w:rsid w:val="00357E15"/>
    <w:rPr>
      <w:i/>
      <w:iCs/>
      <w:color w:val="404040"/>
    </w:rPr>
  </w:style>
  <w:style w:type="character" w:customStyle="1" w:styleId="SubtleReference1">
    <w:name w:val="Subtle Reference1"/>
    <w:basedOn w:val="DefaultParagraphFont"/>
    <w:uiPriority w:val="31"/>
    <w:qFormat/>
    <w:rsid w:val="00357E15"/>
    <w:rPr>
      <w:smallCaps/>
      <w:color w:val="404040"/>
      <w:u w:val="single" w:color="7F7F7F"/>
    </w:rPr>
  </w:style>
  <w:style w:type="character" w:customStyle="1" w:styleId="Hyperlink1">
    <w:name w:val="Hyperlink1"/>
    <w:basedOn w:val="DefaultParagraphFont"/>
    <w:uiPriority w:val="99"/>
    <w:unhideWhenUsed/>
    <w:rsid w:val="00357E15"/>
    <w:rPr>
      <w:color w:val="0563C1"/>
      <w:u w:val="single"/>
    </w:rPr>
  </w:style>
  <w:style w:type="table" w:customStyle="1" w:styleId="TableGrid10">
    <w:name w:val="Table Grid10"/>
    <w:basedOn w:val="TableNormal"/>
    <w:next w:val="TableGrid"/>
    <w:uiPriority w:val="59"/>
    <w:rsid w:val="00357E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2">
    <w:name w:val="List Table 2 - Accent 112"/>
    <w:basedOn w:val="TableNormal"/>
    <w:next w:val="ListTable2-Accent1"/>
    <w:uiPriority w:val="47"/>
    <w:rsid w:val="00357E15"/>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3">
    <w:name w:val="No List113"/>
    <w:next w:val="NoList"/>
    <w:uiPriority w:val="99"/>
    <w:semiHidden/>
    <w:unhideWhenUsed/>
    <w:rsid w:val="00357E15"/>
  </w:style>
  <w:style w:type="numbering" w:customStyle="1" w:styleId="NoList23">
    <w:name w:val="No List23"/>
    <w:next w:val="NoList"/>
    <w:uiPriority w:val="99"/>
    <w:semiHidden/>
    <w:unhideWhenUsed/>
    <w:rsid w:val="00357E15"/>
  </w:style>
  <w:style w:type="table" w:customStyle="1" w:styleId="TableGrid43">
    <w:name w:val="Table Grid43"/>
    <w:basedOn w:val="TableNormal"/>
    <w:next w:val="TableGrid"/>
    <w:uiPriority w:val="39"/>
    <w:rsid w:val="00357E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357E15"/>
    <w:rPr>
      <w:rFonts w:ascii="Calibri Light" w:eastAsia="Times New Roman" w:hAnsi="Calibri Light" w:cs="Times New Roman"/>
      <w:color w:val="2F5496"/>
      <w:sz w:val="26"/>
      <w:szCs w:val="26"/>
    </w:rPr>
  </w:style>
  <w:style w:type="character" w:customStyle="1" w:styleId="Heading3Char1">
    <w:name w:val="Heading 3 Char1"/>
    <w:basedOn w:val="DefaultParagraphFont"/>
    <w:uiPriority w:val="9"/>
    <w:semiHidden/>
    <w:rsid w:val="00357E15"/>
    <w:rPr>
      <w:rFonts w:ascii="Calibri Light" w:eastAsia="Times New Roman" w:hAnsi="Calibri Light" w:cs="Times New Roman"/>
      <w:color w:val="1F3763"/>
      <w:sz w:val="24"/>
      <w:szCs w:val="24"/>
    </w:rPr>
  </w:style>
  <w:style w:type="character" w:customStyle="1" w:styleId="TitleChar1">
    <w:name w:val="Title Char1"/>
    <w:basedOn w:val="DefaultParagraphFont"/>
    <w:uiPriority w:val="10"/>
    <w:rsid w:val="00357E15"/>
    <w:rPr>
      <w:rFonts w:ascii="Calibri Light" w:eastAsia="Times New Roman" w:hAnsi="Calibri Light" w:cs="Times New Roman"/>
      <w:spacing w:val="-10"/>
      <w:kern w:val="28"/>
      <w:sz w:val="56"/>
      <w:szCs w:val="56"/>
    </w:rPr>
  </w:style>
  <w:style w:type="character" w:customStyle="1" w:styleId="SubtitleChar1">
    <w:name w:val="Subtitle Char1"/>
    <w:basedOn w:val="DefaultParagraphFont"/>
    <w:uiPriority w:val="11"/>
    <w:rsid w:val="00357E15"/>
    <w:rPr>
      <w:rFonts w:eastAsia="Times New Roman"/>
      <w:color w:val="5A5A5A"/>
      <w:spacing w:val="15"/>
    </w:rPr>
  </w:style>
  <w:style w:type="character" w:customStyle="1" w:styleId="QuoteChar1">
    <w:name w:val="Quote Char1"/>
    <w:basedOn w:val="DefaultParagraphFont"/>
    <w:uiPriority w:val="29"/>
    <w:rsid w:val="00357E15"/>
    <w:rPr>
      <w:i/>
      <w:iCs/>
      <w:color w:val="404040"/>
    </w:rPr>
  </w:style>
  <w:style w:type="character" w:customStyle="1" w:styleId="IntenseQuoteChar1">
    <w:name w:val="Intense Quote Char1"/>
    <w:basedOn w:val="DefaultParagraphFont"/>
    <w:uiPriority w:val="30"/>
    <w:rsid w:val="00357E15"/>
    <w:rPr>
      <w:i/>
      <w:iCs/>
      <w:color w:val="4472C4"/>
    </w:rPr>
  </w:style>
  <w:style w:type="table" w:customStyle="1" w:styleId="ListTable2-Accent15">
    <w:name w:val="List Table 2 - Accent 15"/>
    <w:basedOn w:val="TableNormal"/>
    <w:next w:val="ListTable2-Accent1"/>
    <w:uiPriority w:val="47"/>
    <w:rsid w:val="00357E15"/>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abvirsr">
    <w:name w:val="tab_virsr"/>
    <w:basedOn w:val="Normal"/>
    <w:rsid w:val="00272E4E"/>
    <w:pPr>
      <w:keepNext/>
      <w:keepLines/>
      <w:spacing w:after="0"/>
      <w:ind w:firstLine="0"/>
      <w:jc w:val="center"/>
    </w:pPr>
    <w:rPr>
      <w:rFonts w:ascii="Garamond" w:eastAsia="Times New Roman" w:hAnsi="Garamond" w:cs="Times New Roman"/>
      <w:b/>
      <w:sz w:val="22"/>
      <w:szCs w:val="20"/>
      <w:lang w:val="en-US" w:eastAsia="en-US"/>
    </w:rPr>
  </w:style>
  <w:style w:type="numbering" w:customStyle="1" w:styleId="NoList7">
    <w:name w:val="No List7"/>
    <w:next w:val="NoList"/>
    <w:uiPriority w:val="99"/>
    <w:semiHidden/>
    <w:unhideWhenUsed/>
    <w:rsid w:val="005E41CA"/>
  </w:style>
  <w:style w:type="numbering" w:customStyle="1" w:styleId="NoList14">
    <w:name w:val="No List14"/>
    <w:next w:val="NoList"/>
    <w:uiPriority w:val="99"/>
    <w:semiHidden/>
    <w:unhideWhenUsed/>
    <w:rsid w:val="005E41CA"/>
  </w:style>
  <w:style w:type="table" w:customStyle="1" w:styleId="TableGrid14">
    <w:name w:val="Table Grid14"/>
    <w:basedOn w:val="TableNormal"/>
    <w:next w:val="TableGrid"/>
    <w:uiPriority w:val="59"/>
    <w:rsid w:val="005E41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3">
    <w:name w:val="List Table 2 - Accent 113"/>
    <w:basedOn w:val="TableNormal"/>
    <w:next w:val="ListTable2-Accent1"/>
    <w:uiPriority w:val="47"/>
    <w:rsid w:val="005E41CA"/>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4">
    <w:name w:val="No List114"/>
    <w:next w:val="NoList"/>
    <w:uiPriority w:val="99"/>
    <w:semiHidden/>
    <w:unhideWhenUsed/>
    <w:rsid w:val="005E41CA"/>
  </w:style>
  <w:style w:type="numbering" w:customStyle="1" w:styleId="NoList24">
    <w:name w:val="No List24"/>
    <w:next w:val="NoList"/>
    <w:uiPriority w:val="99"/>
    <w:semiHidden/>
    <w:unhideWhenUsed/>
    <w:rsid w:val="005E41CA"/>
  </w:style>
  <w:style w:type="table" w:customStyle="1" w:styleId="TableGrid44">
    <w:name w:val="Table Grid44"/>
    <w:basedOn w:val="TableNormal"/>
    <w:next w:val="TableGrid"/>
    <w:uiPriority w:val="39"/>
    <w:rsid w:val="005E41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6">
    <w:name w:val="List Table 2 - Accent 16"/>
    <w:basedOn w:val="TableNormal"/>
    <w:next w:val="ListTable2-Accent1"/>
    <w:uiPriority w:val="47"/>
    <w:rsid w:val="005E41CA"/>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semiHidden/>
    <w:unhideWhenUsed/>
    <w:rsid w:val="002A1F38"/>
    <w:rPr>
      <w:color w:val="605E5C"/>
      <w:shd w:val="clear" w:color="auto" w:fill="E1DFDD"/>
    </w:rPr>
  </w:style>
  <w:style w:type="numbering" w:customStyle="1" w:styleId="NoList8">
    <w:name w:val="No List8"/>
    <w:next w:val="NoList"/>
    <w:uiPriority w:val="99"/>
    <w:semiHidden/>
    <w:unhideWhenUsed/>
    <w:rsid w:val="00C74C27"/>
  </w:style>
  <w:style w:type="numbering" w:customStyle="1" w:styleId="NoList15">
    <w:name w:val="No List15"/>
    <w:next w:val="NoList"/>
    <w:uiPriority w:val="99"/>
    <w:semiHidden/>
    <w:unhideWhenUsed/>
    <w:rsid w:val="00C74C27"/>
  </w:style>
  <w:style w:type="table" w:customStyle="1" w:styleId="TableGrid15">
    <w:name w:val="Table Grid15"/>
    <w:basedOn w:val="TableNormal"/>
    <w:next w:val="TableGrid"/>
    <w:uiPriority w:val="39"/>
    <w:rsid w:val="00C74C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4">
    <w:name w:val="List Table 2 - Accent 114"/>
    <w:basedOn w:val="TableNormal"/>
    <w:next w:val="ListTable2-Accent1"/>
    <w:uiPriority w:val="47"/>
    <w:rsid w:val="00C74C27"/>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5">
    <w:name w:val="No List115"/>
    <w:next w:val="NoList"/>
    <w:uiPriority w:val="99"/>
    <w:semiHidden/>
    <w:unhideWhenUsed/>
    <w:rsid w:val="00C74C27"/>
  </w:style>
  <w:style w:type="numbering" w:customStyle="1" w:styleId="NoList25">
    <w:name w:val="No List25"/>
    <w:next w:val="NoList"/>
    <w:uiPriority w:val="99"/>
    <w:semiHidden/>
    <w:unhideWhenUsed/>
    <w:rsid w:val="00C74C27"/>
  </w:style>
  <w:style w:type="table" w:customStyle="1" w:styleId="TableGrid45">
    <w:name w:val="Table Grid45"/>
    <w:basedOn w:val="TableNormal"/>
    <w:next w:val="TableGrid"/>
    <w:uiPriority w:val="39"/>
    <w:rsid w:val="00C74C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74C27"/>
  </w:style>
  <w:style w:type="table" w:customStyle="1" w:styleId="TableGrid51">
    <w:name w:val="Table Grid51"/>
    <w:basedOn w:val="TableNormal"/>
    <w:next w:val="TableGrid"/>
    <w:uiPriority w:val="59"/>
    <w:rsid w:val="00C74C27"/>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C74C27"/>
  </w:style>
  <w:style w:type="table" w:customStyle="1" w:styleId="ListTable2-Accent1111">
    <w:name w:val="List Table 2 - Accent 1111"/>
    <w:basedOn w:val="TableNormal"/>
    <w:next w:val="ListTable2-Accent1"/>
    <w:uiPriority w:val="47"/>
    <w:rsid w:val="00C74C27"/>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11">
    <w:name w:val="No List11111"/>
    <w:next w:val="NoList"/>
    <w:uiPriority w:val="99"/>
    <w:semiHidden/>
    <w:unhideWhenUsed/>
    <w:rsid w:val="00C74C27"/>
  </w:style>
  <w:style w:type="numbering" w:customStyle="1" w:styleId="NoList211">
    <w:name w:val="No List211"/>
    <w:next w:val="NoList"/>
    <w:uiPriority w:val="99"/>
    <w:semiHidden/>
    <w:unhideWhenUsed/>
    <w:rsid w:val="00C74C27"/>
  </w:style>
  <w:style w:type="numbering" w:customStyle="1" w:styleId="NoList41">
    <w:name w:val="No List41"/>
    <w:next w:val="NoList"/>
    <w:uiPriority w:val="99"/>
    <w:semiHidden/>
    <w:unhideWhenUsed/>
    <w:rsid w:val="00C74C27"/>
  </w:style>
  <w:style w:type="numbering" w:customStyle="1" w:styleId="NoList121">
    <w:name w:val="No List121"/>
    <w:next w:val="NoList"/>
    <w:uiPriority w:val="99"/>
    <w:semiHidden/>
    <w:unhideWhenUsed/>
    <w:rsid w:val="00C74C27"/>
  </w:style>
  <w:style w:type="table" w:customStyle="1" w:styleId="ListTable2-Accent11111">
    <w:name w:val="List Table 2 - Accent 11111"/>
    <w:basedOn w:val="TableNormal"/>
    <w:next w:val="ListTable2-Accent1"/>
    <w:uiPriority w:val="47"/>
    <w:rsid w:val="00C74C27"/>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1">
    <w:name w:val="No List1121"/>
    <w:next w:val="NoList"/>
    <w:uiPriority w:val="99"/>
    <w:semiHidden/>
    <w:unhideWhenUsed/>
    <w:rsid w:val="00C74C27"/>
  </w:style>
  <w:style w:type="numbering" w:customStyle="1" w:styleId="NoList221">
    <w:name w:val="No List221"/>
    <w:next w:val="NoList"/>
    <w:uiPriority w:val="99"/>
    <w:semiHidden/>
    <w:unhideWhenUsed/>
    <w:rsid w:val="00C74C27"/>
  </w:style>
  <w:style w:type="character" w:customStyle="1" w:styleId="Heading4Char2">
    <w:name w:val="Heading 4 Char2"/>
    <w:basedOn w:val="DefaultParagraphFont"/>
    <w:uiPriority w:val="9"/>
    <w:semiHidden/>
    <w:rsid w:val="00C74C27"/>
    <w:rPr>
      <w:rFonts w:ascii="Calibri Light" w:eastAsia="Times New Roman" w:hAnsi="Calibri Light" w:cs="Times New Roman"/>
      <w:i/>
      <w:iCs/>
      <w:color w:val="2F5496"/>
    </w:rPr>
  </w:style>
  <w:style w:type="character" w:customStyle="1" w:styleId="Heading5Char2">
    <w:name w:val="Heading 5 Char2"/>
    <w:basedOn w:val="DefaultParagraphFont"/>
    <w:uiPriority w:val="9"/>
    <w:semiHidden/>
    <w:rsid w:val="00C74C27"/>
    <w:rPr>
      <w:rFonts w:ascii="Calibri Light" w:eastAsia="Times New Roman" w:hAnsi="Calibri Light" w:cs="Times New Roman"/>
      <w:color w:val="2F5496"/>
    </w:rPr>
  </w:style>
  <w:style w:type="character" w:customStyle="1" w:styleId="Heading6Char2">
    <w:name w:val="Heading 6 Char2"/>
    <w:basedOn w:val="DefaultParagraphFont"/>
    <w:uiPriority w:val="9"/>
    <w:semiHidden/>
    <w:rsid w:val="00C74C27"/>
    <w:rPr>
      <w:rFonts w:ascii="Calibri Light" w:eastAsia="Times New Roman" w:hAnsi="Calibri Light" w:cs="Times New Roman"/>
      <w:color w:val="1F3763"/>
    </w:rPr>
  </w:style>
  <w:style w:type="character" w:customStyle="1" w:styleId="Heading7Char2">
    <w:name w:val="Heading 7 Char2"/>
    <w:basedOn w:val="DefaultParagraphFont"/>
    <w:uiPriority w:val="9"/>
    <w:semiHidden/>
    <w:rsid w:val="00C74C27"/>
    <w:rPr>
      <w:rFonts w:ascii="Calibri Light" w:eastAsia="Times New Roman" w:hAnsi="Calibri Light" w:cs="Times New Roman"/>
      <w:i/>
      <w:iCs/>
      <w:color w:val="1F3763"/>
    </w:rPr>
  </w:style>
  <w:style w:type="character" w:customStyle="1" w:styleId="Heading8Char2">
    <w:name w:val="Heading 8 Char2"/>
    <w:basedOn w:val="DefaultParagraphFont"/>
    <w:uiPriority w:val="9"/>
    <w:semiHidden/>
    <w:rsid w:val="00C74C27"/>
    <w:rPr>
      <w:rFonts w:ascii="Calibri Light" w:eastAsia="Times New Roman" w:hAnsi="Calibri Light" w:cs="Times New Roman"/>
      <w:color w:val="272727"/>
      <w:sz w:val="21"/>
      <w:szCs w:val="21"/>
    </w:rPr>
  </w:style>
  <w:style w:type="character" w:customStyle="1" w:styleId="Heading9Char2">
    <w:name w:val="Heading 9 Char2"/>
    <w:basedOn w:val="DefaultParagraphFont"/>
    <w:uiPriority w:val="9"/>
    <w:semiHidden/>
    <w:rsid w:val="00C74C27"/>
    <w:rPr>
      <w:rFonts w:ascii="Calibri Light" w:eastAsia="Times New Roman" w:hAnsi="Calibri Light" w:cs="Times New Roman"/>
      <w:i/>
      <w:iCs/>
      <w:color w:val="272727"/>
      <w:sz w:val="21"/>
      <w:szCs w:val="21"/>
    </w:rPr>
  </w:style>
  <w:style w:type="table" w:customStyle="1" w:styleId="ListTable2-Accent17">
    <w:name w:val="List Table 2 - Accent 17"/>
    <w:basedOn w:val="TableNormal"/>
    <w:next w:val="ListTable2-Accent1"/>
    <w:uiPriority w:val="47"/>
    <w:rsid w:val="00C74C27"/>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pakTmasvirsraksts">
    <w:name w:val="apakšTēmas virsraksts"/>
    <w:basedOn w:val="Normal"/>
    <w:link w:val="apakTmasvirsrakstsChar"/>
    <w:qFormat/>
    <w:rsid w:val="00C74C27"/>
    <w:rPr>
      <w:rFonts w:eastAsia="Calibri" w:cs="Arial"/>
      <w:b/>
      <w:bCs/>
      <w:noProof/>
      <w:szCs w:val="24"/>
      <w:lang w:eastAsia="en-US"/>
    </w:rPr>
  </w:style>
  <w:style w:type="character" w:customStyle="1" w:styleId="apakTmasvirsrakstsChar">
    <w:name w:val="apakšTēmas virsraksts Char"/>
    <w:basedOn w:val="DefaultParagraphFont"/>
    <w:link w:val="apakTmasvirsraksts"/>
    <w:rsid w:val="00C74C27"/>
    <w:rPr>
      <w:rFonts w:ascii="Times New Roman" w:eastAsia="Calibri" w:hAnsi="Times New Roman" w:cs="Arial"/>
      <w:b/>
      <w:bCs/>
      <w:noProof/>
      <w:sz w:val="24"/>
      <w:szCs w:val="24"/>
      <w:lang w:eastAsia="en-US"/>
    </w:rPr>
  </w:style>
  <w:style w:type="paragraph" w:styleId="TOC4">
    <w:name w:val="toc 4"/>
    <w:basedOn w:val="Normal"/>
    <w:next w:val="Normal"/>
    <w:autoRedefine/>
    <w:uiPriority w:val="39"/>
    <w:unhideWhenUsed/>
    <w:rsid w:val="00C74C27"/>
    <w:pPr>
      <w:spacing w:after="100" w:line="259" w:lineRule="auto"/>
      <w:ind w:left="660" w:firstLine="0"/>
      <w:jc w:val="left"/>
    </w:pPr>
    <w:rPr>
      <w:rFonts w:asciiTheme="minorHAnsi" w:hAnsiTheme="minorHAnsi"/>
      <w:kern w:val="2"/>
      <w:sz w:val="22"/>
      <w14:ligatures w14:val="standardContextual"/>
    </w:rPr>
  </w:style>
  <w:style w:type="paragraph" w:styleId="TOC5">
    <w:name w:val="toc 5"/>
    <w:basedOn w:val="Normal"/>
    <w:next w:val="Normal"/>
    <w:autoRedefine/>
    <w:uiPriority w:val="39"/>
    <w:unhideWhenUsed/>
    <w:rsid w:val="00C74C27"/>
    <w:pPr>
      <w:spacing w:after="100" w:line="259" w:lineRule="auto"/>
      <w:ind w:left="880" w:firstLine="0"/>
      <w:jc w:val="left"/>
    </w:pPr>
    <w:rPr>
      <w:rFonts w:asciiTheme="minorHAnsi" w:hAnsiTheme="minorHAnsi"/>
      <w:kern w:val="2"/>
      <w:sz w:val="22"/>
      <w14:ligatures w14:val="standardContextual"/>
    </w:rPr>
  </w:style>
  <w:style w:type="paragraph" w:styleId="TOC6">
    <w:name w:val="toc 6"/>
    <w:basedOn w:val="Normal"/>
    <w:next w:val="Normal"/>
    <w:autoRedefine/>
    <w:uiPriority w:val="39"/>
    <w:unhideWhenUsed/>
    <w:rsid w:val="00C74C27"/>
    <w:pPr>
      <w:spacing w:after="100" w:line="259" w:lineRule="auto"/>
      <w:ind w:left="1100" w:firstLine="0"/>
      <w:jc w:val="left"/>
    </w:pPr>
    <w:rPr>
      <w:rFonts w:asciiTheme="minorHAnsi" w:hAnsiTheme="minorHAnsi"/>
      <w:kern w:val="2"/>
      <w:sz w:val="22"/>
      <w14:ligatures w14:val="standardContextual"/>
    </w:rPr>
  </w:style>
  <w:style w:type="paragraph" w:styleId="TOC7">
    <w:name w:val="toc 7"/>
    <w:basedOn w:val="Normal"/>
    <w:next w:val="Normal"/>
    <w:autoRedefine/>
    <w:uiPriority w:val="39"/>
    <w:unhideWhenUsed/>
    <w:rsid w:val="00C74C27"/>
    <w:pPr>
      <w:spacing w:after="100" w:line="259" w:lineRule="auto"/>
      <w:ind w:left="1320" w:firstLine="0"/>
      <w:jc w:val="left"/>
    </w:pPr>
    <w:rPr>
      <w:rFonts w:asciiTheme="minorHAnsi" w:hAnsiTheme="minorHAnsi"/>
      <w:kern w:val="2"/>
      <w:sz w:val="22"/>
      <w14:ligatures w14:val="standardContextual"/>
    </w:rPr>
  </w:style>
  <w:style w:type="paragraph" w:styleId="TOC8">
    <w:name w:val="toc 8"/>
    <w:basedOn w:val="Normal"/>
    <w:next w:val="Normal"/>
    <w:autoRedefine/>
    <w:uiPriority w:val="39"/>
    <w:unhideWhenUsed/>
    <w:rsid w:val="00C74C27"/>
    <w:pPr>
      <w:spacing w:after="100" w:line="259" w:lineRule="auto"/>
      <w:ind w:left="1540" w:firstLine="0"/>
      <w:jc w:val="left"/>
    </w:pPr>
    <w:rPr>
      <w:rFonts w:asciiTheme="minorHAnsi" w:hAnsiTheme="minorHAnsi"/>
      <w:kern w:val="2"/>
      <w:sz w:val="22"/>
      <w14:ligatures w14:val="standardContextual"/>
    </w:rPr>
  </w:style>
  <w:style w:type="paragraph" w:styleId="TOC9">
    <w:name w:val="toc 9"/>
    <w:basedOn w:val="Normal"/>
    <w:next w:val="Normal"/>
    <w:autoRedefine/>
    <w:uiPriority w:val="39"/>
    <w:unhideWhenUsed/>
    <w:rsid w:val="00C74C27"/>
    <w:pPr>
      <w:spacing w:after="100" w:line="259" w:lineRule="auto"/>
      <w:ind w:left="1760" w:firstLine="0"/>
      <w:jc w:val="left"/>
    </w:pPr>
    <w:rPr>
      <w:rFonts w:asciiTheme="minorHAnsi" w:hAnsiTheme="minorHAnsi"/>
      <w:kern w:val="2"/>
      <w:sz w:val="22"/>
      <w14:ligatures w14:val="standardContextual"/>
    </w:rPr>
  </w:style>
  <w:style w:type="numbering" w:customStyle="1" w:styleId="NoList9">
    <w:name w:val="No List9"/>
    <w:next w:val="NoList"/>
    <w:uiPriority w:val="99"/>
    <w:semiHidden/>
    <w:unhideWhenUsed/>
    <w:rsid w:val="00632442"/>
  </w:style>
  <w:style w:type="numbering" w:customStyle="1" w:styleId="NoList16">
    <w:name w:val="No List16"/>
    <w:next w:val="NoList"/>
    <w:uiPriority w:val="99"/>
    <w:semiHidden/>
    <w:unhideWhenUsed/>
    <w:rsid w:val="00632442"/>
  </w:style>
  <w:style w:type="table" w:customStyle="1" w:styleId="TableGrid16">
    <w:name w:val="Table Grid16"/>
    <w:basedOn w:val="TableNormal"/>
    <w:next w:val="TableGrid"/>
    <w:uiPriority w:val="39"/>
    <w:rsid w:val="006324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5">
    <w:name w:val="List Table 2 - Accent 115"/>
    <w:basedOn w:val="TableNormal"/>
    <w:next w:val="ListTable2-Accent1"/>
    <w:uiPriority w:val="47"/>
    <w:rsid w:val="00632442"/>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6">
    <w:name w:val="No List116"/>
    <w:next w:val="NoList"/>
    <w:uiPriority w:val="99"/>
    <w:semiHidden/>
    <w:unhideWhenUsed/>
    <w:rsid w:val="00632442"/>
  </w:style>
  <w:style w:type="numbering" w:customStyle="1" w:styleId="NoList26">
    <w:name w:val="No List26"/>
    <w:next w:val="NoList"/>
    <w:uiPriority w:val="99"/>
    <w:semiHidden/>
    <w:unhideWhenUsed/>
    <w:rsid w:val="00632442"/>
  </w:style>
  <w:style w:type="table" w:customStyle="1" w:styleId="TableGrid46">
    <w:name w:val="Table Grid46"/>
    <w:basedOn w:val="TableNormal"/>
    <w:next w:val="TableGrid"/>
    <w:uiPriority w:val="39"/>
    <w:rsid w:val="006324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632442"/>
  </w:style>
  <w:style w:type="table" w:customStyle="1" w:styleId="TableGrid52">
    <w:name w:val="Table Grid52"/>
    <w:basedOn w:val="TableNormal"/>
    <w:next w:val="TableGrid"/>
    <w:uiPriority w:val="59"/>
    <w:rsid w:val="00632442"/>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632442"/>
  </w:style>
  <w:style w:type="table" w:customStyle="1" w:styleId="ListTable2-Accent1112">
    <w:name w:val="List Table 2 - Accent 1112"/>
    <w:basedOn w:val="TableNormal"/>
    <w:next w:val="ListTable2-Accent1"/>
    <w:uiPriority w:val="47"/>
    <w:rsid w:val="00632442"/>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12">
    <w:name w:val="No List11112"/>
    <w:next w:val="NoList"/>
    <w:uiPriority w:val="99"/>
    <w:semiHidden/>
    <w:unhideWhenUsed/>
    <w:rsid w:val="00632442"/>
  </w:style>
  <w:style w:type="numbering" w:customStyle="1" w:styleId="NoList212">
    <w:name w:val="No List212"/>
    <w:next w:val="NoList"/>
    <w:uiPriority w:val="99"/>
    <w:semiHidden/>
    <w:unhideWhenUsed/>
    <w:rsid w:val="00632442"/>
  </w:style>
  <w:style w:type="numbering" w:customStyle="1" w:styleId="NoList42">
    <w:name w:val="No List42"/>
    <w:next w:val="NoList"/>
    <w:uiPriority w:val="99"/>
    <w:semiHidden/>
    <w:unhideWhenUsed/>
    <w:rsid w:val="00632442"/>
  </w:style>
  <w:style w:type="numbering" w:customStyle="1" w:styleId="NoList122">
    <w:name w:val="No List122"/>
    <w:next w:val="NoList"/>
    <w:uiPriority w:val="99"/>
    <w:semiHidden/>
    <w:unhideWhenUsed/>
    <w:rsid w:val="00632442"/>
  </w:style>
  <w:style w:type="table" w:customStyle="1" w:styleId="ListTable2-Accent11112">
    <w:name w:val="List Table 2 - Accent 11112"/>
    <w:basedOn w:val="TableNormal"/>
    <w:next w:val="ListTable2-Accent1"/>
    <w:uiPriority w:val="47"/>
    <w:rsid w:val="00632442"/>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2">
    <w:name w:val="No List1122"/>
    <w:next w:val="NoList"/>
    <w:uiPriority w:val="99"/>
    <w:semiHidden/>
    <w:unhideWhenUsed/>
    <w:rsid w:val="00632442"/>
  </w:style>
  <w:style w:type="numbering" w:customStyle="1" w:styleId="NoList222">
    <w:name w:val="No List222"/>
    <w:next w:val="NoList"/>
    <w:uiPriority w:val="99"/>
    <w:semiHidden/>
    <w:unhideWhenUsed/>
    <w:rsid w:val="00632442"/>
  </w:style>
  <w:style w:type="table" w:customStyle="1" w:styleId="ListTable2-Accent18">
    <w:name w:val="List Table 2 - Accent 18"/>
    <w:basedOn w:val="TableNormal"/>
    <w:next w:val="ListTable2-Accent1"/>
    <w:uiPriority w:val="47"/>
    <w:rsid w:val="00632442"/>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abulasgalvenesrinda">
    <w:name w:val="Tabulas galvenes rinda"/>
    <w:basedOn w:val="Normal"/>
    <w:autoRedefine/>
    <w:qFormat/>
    <w:rsid w:val="000E5D6A"/>
    <w:pPr>
      <w:keepNext/>
      <w:keepLines/>
      <w:spacing w:after="0"/>
      <w:ind w:firstLine="0"/>
      <w:contextualSpacing/>
      <w:jc w:val="center"/>
    </w:pPr>
    <w:rPr>
      <w:rFonts w:eastAsia="Times New Roman" w:cs="Times New Roman"/>
      <w:b/>
      <w:bCs/>
      <w:sz w:val="20"/>
      <w:szCs w:val="24"/>
    </w:rPr>
  </w:style>
  <w:style w:type="paragraph" w:customStyle="1" w:styleId="Tabulasnosaukums">
    <w:name w:val="Tabulas nosaukums"/>
    <w:basedOn w:val="Normal"/>
    <w:link w:val="TabulasnosaukumsChar"/>
    <w:qFormat/>
    <w:rsid w:val="001E19C6"/>
    <w:pPr>
      <w:keepNext/>
      <w:keepLines/>
      <w:spacing w:before="240" w:after="0"/>
      <w:ind w:firstLine="0"/>
      <w:jc w:val="right"/>
    </w:pPr>
    <w:rPr>
      <w:rFonts w:eastAsia="Calibri" w:cs="Times New Roman"/>
      <w:b/>
      <w:i/>
      <w:szCs w:val="24"/>
    </w:rPr>
  </w:style>
  <w:style w:type="character" w:customStyle="1" w:styleId="TabulasnosaukumsChar">
    <w:name w:val="Tabulas nosaukums Char"/>
    <w:basedOn w:val="DefaultParagraphFont"/>
    <w:link w:val="Tabulasnosaukums"/>
    <w:rsid w:val="001E19C6"/>
    <w:rPr>
      <w:rFonts w:ascii="Times New Roman" w:eastAsia="Calibri" w:hAnsi="Times New Roman" w:cs="Times New Roman"/>
      <w:b/>
      <w:i/>
      <w:sz w:val="24"/>
      <w:szCs w:val="24"/>
    </w:rPr>
  </w:style>
  <w:style w:type="paragraph" w:customStyle="1" w:styleId="Zmjums">
    <w:name w:val="Zīmējums"/>
    <w:basedOn w:val="Normal"/>
    <w:qFormat/>
    <w:rsid w:val="00C64805"/>
    <w:pPr>
      <w:keepNext/>
      <w:spacing w:before="240" w:after="0"/>
      <w:ind w:firstLine="0"/>
      <w:jc w:val="center"/>
    </w:pPr>
    <w:rPr>
      <w:rFonts w:eastAsiaTheme="minorHAnsi" w:cs="Times New Roman"/>
      <w:noProof/>
    </w:rPr>
  </w:style>
  <w:style w:type="paragraph" w:customStyle="1" w:styleId="boldparagraphheader">
    <w:name w:val="bold_paragraph_header"/>
    <w:basedOn w:val="Normal"/>
    <w:next w:val="Normal"/>
    <w:rsid w:val="007356F8"/>
    <w:pPr>
      <w:spacing w:after="0"/>
      <w:ind w:firstLine="0"/>
      <w:contextualSpacing/>
      <w:jc w:val="center"/>
    </w:pPr>
    <w:rPr>
      <w:rFonts w:eastAsia="Times New Roman" w:cs="Times New Roman"/>
      <w:b/>
      <w:color w:val="333333"/>
      <w:sz w:val="28"/>
      <w:szCs w:val="20"/>
    </w:rPr>
  </w:style>
  <w:style w:type="table" w:customStyle="1" w:styleId="GridTable6Colorful-Accent1131">
    <w:name w:val="Grid Table 6 Colorful - Accent 1131"/>
    <w:basedOn w:val="TableNormal"/>
    <w:uiPriority w:val="51"/>
    <w:rsid w:val="00F067FC"/>
    <w:rPr>
      <w:rFonts w:ascii="Calibri" w:eastAsia="Times New Roman" w:hAnsi="Calibri"/>
      <w:color w:val="2E74B5"/>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0">
    <w:name w:val="No List10"/>
    <w:next w:val="NoList"/>
    <w:uiPriority w:val="99"/>
    <w:semiHidden/>
    <w:unhideWhenUsed/>
    <w:rsid w:val="0070161D"/>
  </w:style>
  <w:style w:type="paragraph" w:customStyle="1" w:styleId="msonormal0">
    <w:name w:val="msonormal"/>
    <w:basedOn w:val="Normal"/>
    <w:rsid w:val="0070161D"/>
    <w:pPr>
      <w:spacing w:before="100" w:beforeAutospacing="1" w:after="100" w:afterAutospacing="1"/>
    </w:pPr>
    <w:rPr>
      <w:rFonts w:eastAsia="Times New Roman" w:cs="Times New Roman"/>
      <w:szCs w:val="24"/>
    </w:rPr>
  </w:style>
  <w:style w:type="table" w:customStyle="1" w:styleId="TableGrid17">
    <w:name w:val="Table Grid17"/>
    <w:basedOn w:val="TableNormal"/>
    <w:next w:val="TableGrid"/>
    <w:uiPriority w:val="39"/>
    <w:rsid w:val="0070161D"/>
    <w:rPr>
      <w:rFonts w:ascii="Calibri" w:eastAsia="Times New Roma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9">
    <w:name w:val="List Table 2 - Accent 19"/>
    <w:basedOn w:val="TableNormal"/>
    <w:next w:val="ListTable2-Accent1"/>
    <w:uiPriority w:val="47"/>
    <w:rsid w:val="0070161D"/>
    <w:rPr>
      <w:rFonts w:ascii="Calibri" w:eastAsia="Calibri" w:hAnsi="Calibri" w:cs="Times New Roman"/>
      <w:lang w:eastAsia="en-US"/>
    </w:rPr>
    <w:tblPr>
      <w:tblStyleRowBandSize w:val="1"/>
      <w:tblStyleColBandSize w:val="1"/>
      <w:tblInd w:w="0" w:type="nil"/>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2-Accent116">
    <w:name w:val="List Table 2 - Accent 116"/>
    <w:basedOn w:val="TableNormal"/>
    <w:uiPriority w:val="47"/>
    <w:rsid w:val="0070161D"/>
    <w:rPr>
      <w:rFonts w:ascii="Calibri" w:eastAsia="Times New Roman" w:hAnsi="Calibri" w:cs="Times New Roman"/>
      <w:lang w:eastAsia="en-US"/>
    </w:rPr>
    <w:tblPr>
      <w:tblStyleRowBandSize w:val="1"/>
      <w:tblStyleColBandSize w:val="1"/>
      <w:tblInd w:w="0" w:type="nil"/>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7">
    <w:name w:val="Table Grid47"/>
    <w:basedOn w:val="TableNormal"/>
    <w:uiPriority w:val="39"/>
    <w:rsid w:val="0070161D"/>
    <w:rPr>
      <w:rFonts w:ascii="Calibri" w:eastAsia="Times New Roma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12">
    <w:name w:val="Plain Table 4112"/>
    <w:basedOn w:val="TableNormal"/>
    <w:uiPriority w:val="44"/>
    <w:rsid w:val="0070161D"/>
    <w:rPr>
      <w:rFonts w:ascii="Times New Roman" w:eastAsia="Calibri" w:hAnsi="Times New Roman" w:cs="Times New Roman"/>
      <w:sz w:val="28"/>
      <w:lang w:eastAsia="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53">
    <w:name w:val="Table Grid53"/>
    <w:basedOn w:val="TableNormal"/>
    <w:uiPriority w:val="59"/>
    <w:rsid w:val="0070161D"/>
    <w:pPr>
      <w:ind w:left="425" w:firstLine="720"/>
      <w:jc w:val="both"/>
    </w:pPr>
    <w:rPr>
      <w:rFonts w:ascii="Calibri" w:eastAsia="Times New Roma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13">
    <w:name w:val="List Table 2 - Accent 1113"/>
    <w:basedOn w:val="TableNormal"/>
    <w:uiPriority w:val="47"/>
    <w:rsid w:val="0070161D"/>
    <w:pPr>
      <w:ind w:left="425" w:firstLine="720"/>
      <w:jc w:val="both"/>
    </w:pPr>
    <w:rPr>
      <w:rFonts w:ascii="Calibri" w:eastAsia="Times New Roman" w:hAnsi="Calibri" w:cs="Times New Roman"/>
      <w:lang w:eastAsia="en-US"/>
    </w:rPr>
    <w:tblPr>
      <w:tblStyleRowBandSize w:val="1"/>
      <w:tblStyleColBandSize w:val="1"/>
      <w:tblInd w:w="0" w:type="nil"/>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11">
    <w:name w:val="Table Grid411"/>
    <w:basedOn w:val="TableNormal"/>
    <w:uiPriority w:val="39"/>
    <w:rsid w:val="0070161D"/>
    <w:pPr>
      <w:ind w:left="425" w:firstLine="720"/>
      <w:jc w:val="both"/>
    </w:pPr>
    <w:rPr>
      <w:rFonts w:ascii="Calibri" w:eastAsia="Times New Roma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111">
    <w:name w:val="Plain Table 41111"/>
    <w:basedOn w:val="TableNormal"/>
    <w:uiPriority w:val="44"/>
    <w:rsid w:val="0070161D"/>
    <w:pPr>
      <w:ind w:left="425" w:firstLine="720"/>
      <w:jc w:val="both"/>
    </w:pPr>
    <w:rPr>
      <w:rFonts w:ascii="Times New Roman" w:eastAsia="Calibri" w:hAnsi="Times New Roman" w:cs="Times New Roman"/>
      <w:sz w:val="28"/>
      <w:lang w:eastAsia="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ListTable2-Accent121">
    <w:name w:val="List Table 2 - Accent 121"/>
    <w:basedOn w:val="TableNormal"/>
    <w:uiPriority w:val="47"/>
    <w:rsid w:val="0070161D"/>
    <w:pPr>
      <w:ind w:left="425" w:firstLine="720"/>
      <w:jc w:val="both"/>
    </w:pPr>
    <w:rPr>
      <w:rFonts w:ascii="Calibri" w:eastAsia="Calibri" w:hAnsi="Calibri" w:cs="Times New Roman"/>
      <w:lang w:eastAsia="en-US"/>
    </w:rPr>
    <w:tblPr>
      <w:tblStyleRowBandSize w:val="1"/>
      <w:tblStyleColBandSize w:val="1"/>
      <w:tblInd w:w="0" w:type="nil"/>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2-Accent11113">
    <w:name w:val="List Table 2 - Accent 11113"/>
    <w:basedOn w:val="TableNormal"/>
    <w:uiPriority w:val="47"/>
    <w:rsid w:val="0070161D"/>
    <w:rPr>
      <w:rFonts w:ascii="Calibri" w:eastAsia="Times New Roman" w:hAnsi="Calibri" w:cs="Times New Roman"/>
      <w:lang w:eastAsia="en-US"/>
    </w:rPr>
    <w:tblPr>
      <w:tblStyleRowBandSize w:val="1"/>
      <w:tblStyleColBandSize w:val="1"/>
      <w:tblInd w:w="0" w:type="nil"/>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21">
    <w:name w:val="Table Grid421"/>
    <w:basedOn w:val="TableNormal"/>
    <w:uiPriority w:val="39"/>
    <w:rsid w:val="0070161D"/>
    <w:rPr>
      <w:rFonts w:ascii="Calibri" w:eastAsia="Times New Roma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31">
    <w:name w:val="List Table 2 - Accent 131"/>
    <w:basedOn w:val="TableNormal"/>
    <w:uiPriority w:val="47"/>
    <w:rsid w:val="0070161D"/>
    <w:rPr>
      <w:rFonts w:ascii="Calibri" w:eastAsia="Calibri" w:hAnsi="Calibri" w:cs="Times New Roman"/>
      <w:lang w:eastAsia="en-US"/>
    </w:rPr>
    <w:tblPr>
      <w:tblStyleRowBandSize w:val="1"/>
      <w:tblStyleColBandSize w:val="1"/>
      <w:tblInd w:w="0" w:type="nil"/>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7">
    <w:name w:val="No List17"/>
    <w:next w:val="NoList"/>
    <w:uiPriority w:val="99"/>
    <w:semiHidden/>
    <w:unhideWhenUsed/>
    <w:rsid w:val="00830FA2"/>
  </w:style>
  <w:style w:type="numbering" w:customStyle="1" w:styleId="NoList18">
    <w:name w:val="No List18"/>
    <w:next w:val="NoList"/>
    <w:uiPriority w:val="99"/>
    <w:semiHidden/>
    <w:unhideWhenUsed/>
    <w:rsid w:val="00830FA2"/>
  </w:style>
  <w:style w:type="table" w:customStyle="1" w:styleId="TableGrid18">
    <w:name w:val="Table Grid18"/>
    <w:basedOn w:val="TableNormal"/>
    <w:next w:val="TableGrid"/>
    <w:uiPriority w:val="59"/>
    <w:rsid w:val="00830F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7">
    <w:name w:val="List Table 2 - Accent 117"/>
    <w:basedOn w:val="TableNormal"/>
    <w:next w:val="ListTable2-Accent1"/>
    <w:uiPriority w:val="47"/>
    <w:rsid w:val="00830FA2"/>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7">
    <w:name w:val="No List117"/>
    <w:next w:val="NoList"/>
    <w:uiPriority w:val="99"/>
    <w:semiHidden/>
    <w:unhideWhenUsed/>
    <w:rsid w:val="00830FA2"/>
  </w:style>
  <w:style w:type="numbering" w:customStyle="1" w:styleId="NoList27">
    <w:name w:val="No List27"/>
    <w:next w:val="NoList"/>
    <w:uiPriority w:val="99"/>
    <w:semiHidden/>
    <w:unhideWhenUsed/>
    <w:rsid w:val="00830FA2"/>
  </w:style>
  <w:style w:type="table" w:customStyle="1" w:styleId="TableGrid48">
    <w:name w:val="Table Grid48"/>
    <w:basedOn w:val="TableNormal"/>
    <w:next w:val="TableGrid"/>
    <w:uiPriority w:val="39"/>
    <w:rsid w:val="00830F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0">
    <w:name w:val="List Table 2 - Accent 110"/>
    <w:basedOn w:val="TableNormal"/>
    <w:next w:val="ListTable2-Accent1"/>
    <w:uiPriority w:val="47"/>
    <w:rsid w:val="00830FA2"/>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9">
    <w:name w:val="No List19"/>
    <w:next w:val="NoList"/>
    <w:uiPriority w:val="99"/>
    <w:semiHidden/>
    <w:unhideWhenUsed/>
    <w:rsid w:val="002C253E"/>
  </w:style>
  <w:style w:type="numbering" w:customStyle="1" w:styleId="NoList110">
    <w:name w:val="No List110"/>
    <w:next w:val="NoList"/>
    <w:uiPriority w:val="99"/>
    <w:semiHidden/>
    <w:unhideWhenUsed/>
    <w:rsid w:val="002C253E"/>
  </w:style>
  <w:style w:type="table" w:customStyle="1" w:styleId="TableGrid19">
    <w:name w:val="Table Grid19"/>
    <w:basedOn w:val="TableNormal"/>
    <w:next w:val="TableGrid"/>
    <w:uiPriority w:val="39"/>
    <w:rsid w:val="002C25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8">
    <w:name w:val="List Table 2 - Accent 118"/>
    <w:basedOn w:val="TableNormal"/>
    <w:next w:val="ListTable2-Accent1"/>
    <w:uiPriority w:val="47"/>
    <w:rsid w:val="002C253E"/>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8">
    <w:name w:val="No List118"/>
    <w:next w:val="NoList"/>
    <w:uiPriority w:val="99"/>
    <w:semiHidden/>
    <w:unhideWhenUsed/>
    <w:rsid w:val="002C253E"/>
  </w:style>
  <w:style w:type="numbering" w:customStyle="1" w:styleId="NoList28">
    <w:name w:val="No List28"/>
    <w:next w:val="NoList"/>
    <w:uiPriority w:val="99"/>
    <w:semiHidden/>
    <w:unhideWhenUsed/>
    <w:rsid w:val="002C253E"/>
  </w:style>
  <w:style w:type="table" w:customStyle="1" w:styleId="TableGrid49">
    <w:name w:val="Table Grid49"/>
    <w:basedOn w:val="TableNormal"/>
    <w:next w:val="TableGrid"/>
    <w:uiPriority w:val="39"/>
    <w:rsid w:val="002C25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C253E"/>
  </w:style>
  <w:style w:type="table" w:customStyle="1" w:styleId="TableGrid54">
    <w:name w:val="Table Grid54"/>
    <w:basedOn w:val="TableNormal"/>
    <w:next w:val="TableGrid"/>
    <w:uiPriority w:val="59"/>
    <w:rsid w:val="002C253E"/>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uiPriority w:val="99"/>
    <w:semiHidden/>
    <w:unhideWhenUsed/>
    <w:rsid w:val="002C253E"/>
  </w:style>
  <w:style w:type="table" w:customStyle="1" w:styleId="ListTable2-Accent1114">
    <w:name w:val="List Table 2 - Accent 1114"/>
    <w:basedOn w:val="TableNormal"/>
    <w:next w:val="ListTable2-Accent1"/>
    <w:uiPriority w:val="47"/>
    <w:rsid w:val="002C253E"/>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13">
    <w:name w:val="No List11113"/>
    <w:next w:val="NoList"/>
    <w:uiPriority w:val="99"/>
    <w:semiHidden/>
    <w:unhideWhenUsed/>
    <w:rsid w:val="002C253E"/>
  </w:style>
  <w:style w:type="numbering" w:customStyle="1" w:styleId="NoList213">
    <w:name w:val="No List213"/>
    <w:next w:val="NoList"/>
    <w:uiPriority w:val="99"/>
    <w:semiHidden/>
    <w:unhideWhenUsed/>
    <w:rsid w:val="002C253E"/>
  </w:style>
  <w:style w:type="numbering" w:customStyle="1" w:styleId="NoList43">
    <w:name w:val="No List43"/>
    <w:next w:val="NoList"/>
    <w:uiPriority w:val="99"/>
    <w:semiHidden/>
    <w:unhideWhenUsed/>
    <w:rsid w:val="002C253E"/>
  </w:style>
  <w:style w:type="numbering" w:customStyle="1" w:styleId="NoList123">
    <w:name w:val="No List123"/>
    <w:next w:val="NoList"/>
    <w:uiPriority w:val="99"/>
    <w:semiHidden/>
    <w:unhideWhenUsed/>
    <w:rsid w:val="002C253E"/>
  </w:style>
  <w:style w:type="table" w:customStyle="1" w:styleId="ListTable2-Accent11114">
    <w:name w:val="List Table 2 - Accent 11114"/>
    <w:basedOn w:val="TableNormal"/>
    <w:next w:val="ListTable2-Accent1"/>
    <w:uiPriority w:val="47"/>
    <w:rsid w:val="002C253E"/>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3">
    <w:name w:val="No List1123"/>
    <w:next w:val="NoList"/>
    <w:uiPriority w:val="99"/>
    <w:semiHidden/>
    <w:unhideWhenUsed/>
    <w:rsid w:val="002C253E"/>
  </w:style>
  <w:style w:type="numbering" w:customStyle="1" w:styleId="NoList223">
    <w:name w:val="No List223"/>
    <w:next w:val="NoList"/>
    <w:uiPriority w:val="99"/>
    <w:semiHidden/>
    <w:unhideWhenUsed/>
    <w:rsid w:val="002C253E"/>
  </w:style>
  <w:style w:type="table" w:customStyle="1" w:styleId="ListTable2-Accent119">
    <w:name w:val="List Table 2 - Accent 119"/>
    <w:basedOn w:val="TableNormal"/>
    <w:next w:val="ListTable2-Accent1"/>
    <w:uiPriority w:val="47"/>
    <w:rsid w:val="002C253E"/>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nt5">
    <w:name w:val="font5"/>
    <w:basedOn w:val="Normal"/>
    <w:rsid w:val="002C253E"/>
    <w:pPr>
      <w:spacing w:before="100" w:beforeAutospacing="1" w:after="100" w:afterAutospacing="1"/>
      <w:ind w:firstLine="0"/>
      <w:jc w:val="left"/>
    </w:pPr>
    <w:rPr>
      <w:rFonts w:eastAsia="Times New Roman" w:cs="Times New Roman"/>
      <w:sz w:val="20"/>
      <w:szCs w:val="20"/>
    </w:rPr>
  </w:style>
  <w:style w:type="paragraph" w:customStyle="1" w:styleId="font6">
    <w:name w:val="font6"/>
    <w:basedOn w:val="Normal"/>
    <w:rsid w:val="002C253E"/>
    <w:pPr>
      <w:spacing w:before="100" w:beforeAutospacing="1" w:after="100" w:afterAutospacing="1"/>
      <w:ind w:firstLine="0"/>
      <w:jc w:val="left"/>
    </w:pPr>
    <w:rPr>
      <w:rFonts w:eastAsia="Times New Roman" w:cs="Times New Roman"/>
      <w:i/>
      <w:iCs/>
      <w:sz w:val="20"/>
      <w:szCs w:val="20"/>
    </w:rPr>
  </w:style>
  <w:style w:type="paragraph" w:customStyle="1" w:styleId="xl76">
    <w:name w:val="xl76"/>
    <w:basedOn w:val="Normal"/>
    <w:rsid w:val="002C253E"/>
    <w:pPr>
      <w:spacing w:before="100" w:beforeAutospacing="1" w:after="100" w:afterAutospacing="1"/>
      <w:ind w:firstLine="0"/>
      <w:jc w:val="left"/>
    </w:pPr>
    <w:rPr>
      <w:rFonts w:ascii="Aptos Narrow" w:eastAsia="Times New Roman" w:hAnsi="Aptos Narrow" w:cs="Times New Roman"/>
      <w:sz w:val="22"/>
    </w:rPr>
  </w:style>
  <w:style w:type="paragraph" w:customStyle="1" w:styleId="xl77">
    <w:name w:val="xl77"/>
    <w:basedOn w:val="Normal"/>
    <w:rsid w:val="002C253E"/>
    <w:pPr>
      <w:spacing w:before="100" w:beforeAutospacing="1" w:after="100" w:afterAutospacing="1"/>
      <w:ind w:firstLine="0"/>
      <w:jc w:val="left"/>
    </w:pPr>
    <w:rPr>
      <w:rFonts w:eastAsia="Times New Roman" w:cs="Times New Roman"/>
      <w:sz w:val="20"/>
      <w:szCs w:val="20"/>
    </w:rPr>
  </w:style>
  <w:style w:type="paragraph" w:customStyle="1" w:styleId="xl78">
    <w:name w:val="xl78"/>
    <w:basedOn w:val="Normal"/>
    <w:rsid w:val="002C253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rPr>
  </w:style>
  <w:style w:type="paragraph" w:customStyle="1" w:styleId="xl79">
    <w:name w:val="xl79"/>
    <w:basedOn w:val="Normal"/>
    <w:rsid w:val="002C253E"/>
    <w:pPr>
      <w:pBdr>
        <w:top w:val="single" w:sz="4" w:space="0" w:color="auto"/>
        <w:left w:val="single" w:sz="8" w:space="0" w:color="auto"/>
        <w:bottom w:val="single" w:sz="4" w:space="0" w:color="auto"/>
      </w:pBdr>
      <w:spacing w:before="100" w:beforeAutospacing="1" w:after="100" w:afterAutospacing="1"/>
      <w:ind w:firstLine="0"/>
      <w:jc w:val="center"/>
      <w:textAlignment w:val="center"/>
    </w:pPr>
    <w:rPr>
      <w:rFonts w:eastAsia="Times New Roman" w:cs="Times New Roman"/>
      <w:sz w:val="20"/>
      <w:szCs w:val="20"/>
    </w:rPr>
  </w:style>
  <w:style w:type="paragraph" w:customStyle="1" w:styleId="xl80">
    <w:name w:val="xl80"/>
    <w:basedOn w:val="Normal"/>
    <w:rsid w:val="002C253E"/>
    <w:pPr>
      <w:pBdr>
        <w:top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sz w:val="20"/>
      <w:szCs w:val="20"/>
    </w:rPr>
  </w:style>
  <w:style w:type="paragraph" w:customStyle="1" w:styleId="xl81">
    <w:name w:val="xl81"/>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sz w:val="16"/>
      <w:szCs w:val="16"/>
    </w:rPr>
  </w:style>
  <w:style w:type="paragraph" w:customStyle="1" w:styleId="xl82">
    <w:name w:val="xl82"/>
    <w:basedOn w:val="Normal"/>
    <w:rsid w:val="002C253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16"/>
      <w:szCs w:val="16"/>
    </w:rPr>
  </w:style>
  <w:style w:type="paragraph" w:customStyle="1" w:styleId="xl83">
    <w:name w:val="xl83"/>
    <w:basedOn w:val="Normal"/>
    <w:rsid w:val="002C253E"/>
    <w:pPr>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sz w:val="16"/>
      <w:szCs w:val="16"/>
    </w:rPr>
  </w:style>
  <w:style w:type="paragraph" w:customStyle="1" w:styleId="xl84">
    <w:name w:val="xl84"/>
    <w:basedOn w:val="Normal"/>
    <w:rsid w:val="002C253E"/>
    <w:pPr>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sz w:val="16"/>
      <w:szCs w:val="16"/>
    </w:rPr>
  </w:style>
  <w:style w:type="paragraph" w:customStyle="1" w:styleId="xl85">
    <w:name w:val="xl85"/>
    <w:basedOn w:val="Normal"/>
    <w:rsid w:val="002C253E"/>
    <w:pPr>
      <w:spacing w:before="100" w:beforeAutospacing="1" w:after="100" w:afterAutospacing="1"/>
      <w:ind w:firstLine="0"/>
      <w:jc w:val="center"/>
    </w:pPr>
    <w:rPr>
      <w:rFonts w:eastAsia="Times New Roman" w:cs="Times New Roman"/>
      <w:sz w:val="16"/>
      <w:szCs w:val="16"/>
    </w:rPr>
  </w:style>
  <w:style w:type="paragraph" w:customStyle="1" w:styleId="xl86">
    <w:name w:val="xl86"/>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2"/>
    </w:rPr>
  </w:style>
  <w:style w:type="paragraph" w:customStyle="1" w:styleId="xl87">
    <w:name w:val="xl87"/>
    <w:basedOn w:val="Normal"/>
    <w:rsid w:val="002C253E"/>
    <w:pPr>
      <w:pBdr>
        <w:top w:val="single" w:sz="4" w:space="0" w:color="auto"/>
        <w:left w:val="single" w:sz="4" w:space="0" w:color="auto"/>
        <w:right w:val="single" w:sz="8" w:space="0" w:color="auto"/>
      </w:pBdr>
      <w:spacing w:before="100" w:beforeAutospacing="1" w:after="100" w:afterAutospacing="1"/>
      <w:ind w:firstLine="0"/>
      <w:jc w:val="right"/>
    </w:pPr>
    <w:rPr>
      <w:rFonts w:eastAsia="Times New Roman" w:cs="Times New Roman"/>
      <w:b/>
      <w:bCs/>
      <w:sz w:val="20"/>
      <w:szCs w:val="20"/>
    </w:rPr>
  </w:style>
  <w:style w:type="paragraph" w:customStyle="1" w:styleId="xl88">
    <w:name w:val="xl88"/>
    <w:basedOn w:val="Normal"/>
    <w:rsid w:val="002C253E"/>
    <w:pPr>
      <w:pBdr>
        <w:left w:val="single" w:sz="8" w:space="0" w:color="auto"/>
      </w:pBdr>
      <w:spacing w:before="100" w:beforeAutospacing="1" w:after="100" w:afterAutospacing="1"/>
      <w:ind w:firstLine="0"/>
      <w:jc w:val="right"/>
    </w:pPr>
    <w:rPr>
      <w:rFonts w:eastAsia="Times New Roman" w:cs="Times New Roman"/>
      <w:b/>
      <w:bCs/>
      <w:sz w:val="20"/>
      <w:szCs w:val="20"/>
    </w:rPr>
  </w:style>
  <w:style w:type="paragraph" w:customStyle="1" w:styleId="xl89">
    <w:name w:val="xl89"/>
    <w:basedOn w:val="Normal"/>
    <w:rsid w:val="002C253E"/>
    <w:pPr>
      <w:pBdr>
        <w:left w:val="single" w:sz="4" w:space="0" w:color="auto"/>
        <w:right w:val="single" w:sz="4" w:space="0" w:color="auto"/>
      </w:pBdr>
      <w:spacing w:before="100" w:beforeAutospacing="1" w:after="100" w:afterAutospacing="1"/>
      <w:ind w:firstLine="0"/>
      <w:jc w:val="right"/>
    </w:pPr>
    <w:rPr>
      <w:rFonts w:eastAsia="Times New Roman" w:cs="Times New Roman"/>
      <w:b/>
      <w:bCs/>
      <w:sz w:val="20"/>
      <w:szCs w:val="20"/>
    </w:rPr>
  </w:style>
  <w:style w:type="paragraph" w:customStyle="1" w:styleId="xl90">
    <w:name w:val="xl90"/>
    <w:basedOn w:val="Normal"/>
    <w:rsid w:val="002C253E"/>
    <w:pPr>
      <w:spacing w:before="100" w:beforeAutospacing="1" w:after="100" w:afterAutospacing="1"/>
      <w:ind w:firstLine="0"/>
      <w:jc w:val="left"/>
    </w:pPr>
    <w:rPr>
      <w:rFonts w:eastAsia="Times New Roman" w:cs="Times New Roman"/>
      <w:sz w:val="22"/>
    </w:rPr>
  </w:style>
  <w:style w:type="paragraph" w:customStyle="1" w:styleId="xl91">
    <w:name w:val="xl91"/>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sz w:val="22"/>
    </w:rPr>
  </w:style>
  <w:style w:type="paragraph" w:customStyle="1" w:styleId="xl92">
    <w:name w:val="xl92"/>
    <w:basedOn w:val="Normal"/>
    <w:rsid w:val="002C253E"/>
    <w:pPr>
      <w:pBdr>
        <w:top w:val="single" w:sz="4" w:space="0" w:color="auto"/>
        <w:left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93">
    <w:name w:val="xl93"/>
    <w:basedOn w:val="Normal"/>
    <w:rsid w:val="002C253E"/>
    <w:pPr>
      <w:pBdr>
        <w:top w:val="single" w:sz="4" w:space="0" w:color="auto"/>
        <w:left w:val="single" w:sz="8" w:space="0" w:color="auto"/>
      </w:pBdr>
      <w:spacing w:before="100" w:beforeAutospacing="1" w:after="100" w:afterAutospacing="1"/>
      <w:ind w:firstLine="0"/>
      <w:jc w:val="center"/>
    </w:pPr>
    <w:rPr>
      <w:rFonts w:eastAsia="Times New Roman" w:cs="Times New Roman"/>
      <w:sz w:val="20"/>
      <w:szCs w:val="20"/>
    </w:rPr>
  </w:style>
  <w:style w:type="paragraph" w:customStyle="1" w:styleId="xl94">
    <w:name w:val="xl94"/>
    <w:basedOn w:val="Normal"/>
    <w:rsid w:val="002C253E"/>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sz w:val="20"/>
      <w:szCs w:val="20"/>
    </w:rPr>
  </w:style>
  <w:style w:type="paragraph" w:customStyle="1" w:styleId="xl95">
    <w:name w:val="xl95"/>
    <w:basedOn w:val="Normal"/>
    <w:rsid w:val="002C253E"/>
    <w:pPr>
      <w:pBdr>
        <w:top w:val="single" w:sz="4" w:space="0" w:color="auto"/>
        <w:left w:val="single" w:sz="8" w:space="14" w:color="auto"/>
        <w:bottom w:val="single" w:sz="4" w:space="0" w:color="auto"/>
        <w:right w:val="single" w:sz="8" w:space="0" w:color="auto"/>
      </w:pBdr>
      <w:spacing w:before="100" w:beforeAutospacing="1" w:after="100" w:afterAutospacing="1"/>
      <w:ind w:firstLineChars="100" w:firstLine="0"/>
      <w:jc w:val="left"/>
    </w:pPr>
    <w:rPr>
      <w:rFonts w:eastAsia="Times New Roman" w:cs="Times New Roman"/>
      <w:i/>
      <w:iCs/>
      <w:sz w:val="20"/>
      <w:szCs w:val="20"/>
    </w:rPr>
  </w:style>
  <w:style w:type="paragraph" w:customStyle="1" w:styleId="xl96">
    <w:name w:val="xl96"/>
    <w:basedOn w:val="Normal"/>
    <w:rsid w:val="002C253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97">
    <w:name w:val="xl97"/>
    <w:basedOn w:val="Normal"/>
    <w:rsid w:val="002C253E"/>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98">
    <w:name w:val="xl98"/>
    <w:basedOn w:val="Normal"/>
    <w:rsid w:val="002C253E"/>
    <w:pPr>
      <w:pBdr>
        <w:top w:val="single" w:sz="4" w:space="0" w:color="auto"/>
        <w:left w:val="single" w:sz="8" w:space="0" w:color="auto"/>
        <w:bottom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99">
    <w:name w:val="xl99"/>
    <w:basedOn w:val="Normal"/>
    <w:rsid w:val="002C253E"/>
    <w:pPr>
      <w:pBdr>
        <w:top w:val="single" w:sz="4" w:space="0" w:color="auto"/>
        <w:bottom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00">
    <w:name w:val="xl100"/>
    <w:basedOn w:val="Normal"/>
    <w:rsid w:val="002C253E"/>
    <w:pPr>
      <w:pBdr>
        <w:top w:val="single" w:sz="4" w:space="0" w:color="auto"/>
        <w:left w:val="single" w:sz="8" w:space="27" w:color="auto"/>
        <w:bottom w:val="single" w:sz="4" w:space="0" w:color="auto"/>
        <w:right w:val="single" w:sz="8" w:space="0" w:color="auto"/>
      </w:pBdr>
      <w:spacing w:before="100" w:beforeAutospacing="1" w:after="100" w:afterAutospacing="1"/>
      <w:ind w:firstLineChars="200" w:firstLine="0"/>
      <w:jc w:val="left"/>
    </w:pPr>
    <w:rPr>
      <w:rFonts w:eastAsia="Times New Roman" w:cs="Times New Roman"/>
      <w:sz w:val="20"/>
      <w:szCs w:val="20"/>
    </w:rPr>
  </w:style>
  <w:style w:type="paragraph" w:customStyle="1" w:styleId="xl101">
    <w:name w:val="xl101"/>
    <w:basedOn w:val="Normal"/>
    <w:rsid w:val="002C253E"/>
    <w:pPr>
      <w:pBdr>
        <w:top w:val="single" w:sz="4" w:space="0" w:color="auto"/>
        <w:left w:val="single" w:sz="8" w:space="0" w:color="auto"/>
        <w:bottom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102">
    <w:name w:val="xl102"/>
    <w:basedOn w:val="Normal"/>
    <w:rsid w:val="002C253E"/>
    <w:pPr>
      <w:pBdr>
        <w:top w:val="single" w:sz="4" w:space="0" w:color="auto"/>
        <w:left w:val="single" w:sz="8" w:space="27" w:color="auto"/>
        <w:bottom w:val="single" w:sz="4" w:space="0" w:color="auto"/>
        <w:right w:val="single" w:sz="8" w:space="0" w:color="auto"/>
      </w:pBdr>
      <w:spacing w:before="100" w:beforeAutospacing="1" w:after="100" w:afterAutospacing="1"/>
      <w:ind w:firstLineChars="200" w:firstLine="0"/>
      <w:jc w:val="left"/>
      <w:textAlignment w:val="top"/>
    </w:pPr>
    <w:rPr>
      <w:rFonts w:eastAsia="Times New Roman" w:cs="Times New Roman"/>
      <w:sz w:val="20"/>
      <w:szCs w:val="20"/>
    </w:rPr>
  </w:style>
  <w:style w:type="paragraph" w:customStyle="1" w:styleId="xl103">
    <w:name w:val="xl103"/>
    <w:basedOn w:val="Normal"/>
    <w:rsid w:val="002C253E"/>
    <w:pPr>
      <w:spacing w:before="100" w:beforeAutospacing="1" w:after="100" w:afterAutospacing="1"/>
      <w:ind w:firstLine="0"/>
      <w:jc w:val="left"/>
    </w:pPr>
    <w:rPr>
      <w:rFonts w:eastAsia="Times New Roman" w:cs="Times New Roman"/>
      <w:sz w:val="20"/>
      <w:szCs w:val="20"/>
    </w:rPr>
  </w:style>
  <w:style w:type="paragraph" w:customStyle="1" w:styleId="xl104">
    <w:name w:val="xl104"/>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textAlignment w:val="top"/>
    </w:pPr>
    <w:rPr>
      <w:rFonts w:eastAsia="Times New Roman" w:cs="Times New Roman"/>
      <w:sz w:val="20"/>
      <w:szCs w:val="20"/>
    </w:rPr>
  </w:style>
  <w:style w:type="paragraph" w:customStyle="1" w:styleId="xl105">
    <w:name w:val="xl105"/>
    <w:basedOn w:val="Normal"/>
    <w:rsid w:val="002C253E"/>
    <w:pPr>
      <w:pBdr>
        <w:top w:val="single" w:sz="4" w:space="0" w:color="auto"/>
        <w:left w:val="single" w:sz="8" w:space="14" w:color="auto"/>
        <w:bottom w:val="single" w:sz="4" w:space="0" w:color="auto"/>
        <w:right w:val="single" w:sz="8" w:space="0" w:color="auto"/>
      </w:pBdr>
      <w:spacing w:before="100" w:beforeAutospacing="1" w:after="100" w:afterAutospacing="1"/>
      <w:ind w:firstLineChars="100" w:firstLine="0"/>
      <w:jc w:val="left"/>
    </w:pPr>
    <w:rPr>
      <w:rFonts w:eastAsia="Times New Roman" w:cs="Times New Roman"/>
      <w:sz w:val="20"/>
      <w:szCs w:val="20"/>
    </w:rPr>
  </w:style>
  <w:style w:type="paragraph" w:customStyle="1" w:styleId="xl106">
    <w:name w:val="xl106"/>
    <w:basedOn w:val="Normal"/>
    <w:rsid w:val="002C253E"/>
    <w:pPr>
      <w:pBdr>
        <w:top w:val="single" w:sz="4" w:space="0" w:color="auto"/>
        <w:bottom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07">
    <w:name w:val="xl107"/>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sz w:val="20"/>
      <w:szCs w:val="20"/>
    </w:rPr>
  </w:style>
  <w:style w:type="paragraph" w:customStyle="1" w:styleId="xl108">
    <w:name w:val="xl108"/>
    <w:basedOn w:val="Normal"/>
    <w:rsid w:val="002C253E"/>
    <w:pPr>
      <w:pBdr>
        <w:top w:val="single" w:sz="4" w:space="0" w:color="auto"/>
        <w:left w:val="single" w:sz="8" w:space="0" w:color="auto"/>
        <w:bottom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109">
    <w:name w:val="xl109"/>
    <w:basedOn w:val="Normal"/>
    <w:rsid w:val="002C253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110">
    <w:name w:val="xl110"/>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2"/>
    </w:rPr>
  </w:style>
  <w:style w:type="paragraph" w:customStyle="1" w:styleId="xl111">
    <w:name w:val="xl111"/>
    <w:basedOn w:val="Normal"/>
    <w:rsid w:val="002C253E"/>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eastAsia="Times New Roman" w:cs="Times New Roman"/>
      <w:b/>
      <w:bCs/>
      <w:sz w:val="20"/>
      <w:szCs w:val="20"/>
    </w:rPr>
  </w:style>
  <w:style w:type="paragraph" w:customStyle="1" w:styleId="xl112">
    <w:name w:val="xl112"/>
    <w:basedOn w:val="Normal"/>
    <w:rsid w:val="002C253E"/>
    <w:pPr>
      <w:pBdr>
        <w:top w:val="single" w:sz="4" w:space="0" w:color="auto"/>
        <w:left w:val="single" w:sz="8" w:space="0" w:color="auto"/>
        <w:bottom w:val="single" w:sz="4" w:space="0" w:color="auto"/>
      </w:pBdr>
      <w:spacing w:before="100" w:beforeAutospacing="1" w:after="100" w:afterAutospacing="1"/>
      <w:ind w:firstLine="0"/>
      <w:jc w:val="right"/>
    </w:pPr>
    <w:rPr>
      <w:rFonts w:eastAsia="Times New Roman" w:cs="Times New Roman"/>
      <w:b/>
      <w:bCs/>
      <w:sz w:val="20"/>
      <w:szCs w:val="20"/>
    </w:rPr>
  </w:style>
  <w:style w:type="paragraph" w:customStyle="1" w:styleId="xl113">
    <w:name w:val="xl113"/>
    <w:basedOn w:val="Normal"/>
    <w:rsid w:val="002C253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Times New Roman"/>
      <w:b/>
      <w:bCs/>
      <w:sz w:val="20"/>
      <w:szCs w:val="20"/>
    </w:rPr>
  </w:style>
  <w:style w:type="paragraph" w:customStyle="1" w:styleId="xl114">
    <w:name w:val="xl114"/>
    <w:basedOn w:val="Normal"/>
    <w:rsid w:val="002C253E"/>
    <w:pPr>
      <w:pBdr>
        <w:left w:val="single" w:sz="8" w:space="0" w:color="auto"/>
        <w:bottom w:val="single" w:sz="4" w:space="0" w:color="auto"/>
        <w:right w:val="single" w:sz="8" w:space="0" w:color="auto"/>
      </w:pBdr>
      <w:spacing w:before="100" w:beforeAutospacing="1" w:after="100" w:afterAutospacing="1"/>
      <w:ind w:firstLine="0"/>
      <w:jc w:val="left"/>
      <w:textAlignment w:val="top"/>
    </w:pPr>
    <w:rPr>
      <w:rFonts w:eastAsia="Times New Roman" w:cs="Times New Roman"/>
      <w:sz w:val="22"/>
    </w:rPr>
  </w:style>
  <w:style w:type="paragraph" w:customStyle="1" w:styleId="xl115">
    <w:name w:val="xl115"/>
    <w:basedOn w:val="Normal"/>
    <w:rsid w:val="002C253E"/>
    <w:pPr>
      <w:pBdr>
        <w:left w:val="single" w:sz="4" w:space="0" w:color="auto"/>
        <w:bottom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16">
    <w:name w:val="xl116"/>
    <w:basedOn w:val="Normal"/>
    <w:rsid w:val="002C253E"/>
    <w:pPr>
      <w:spacing w:before="100" w:beforeAutospacing="1" w:after="100" w:afterAutospacing="1"/>
      <w:ind w:firstLine="0"/>
      <w:jc w:val="left"/>
    </w:pPr>
    <w:rPr>
      <w:rFonts w:eastAsia="Times New Roman" w:cs="Times New Roman"/>
      <w:sz w:val="22"/>
    </w:rPr>
  </w:style>
  <w:style w:type="paragraph" w:customStyle="1" w:styleId="xl117">
    <w:name w:val="xl117"/>
    <w:basedOn w:val="Normal"/>
    <w:rsid w:val="002C253E"/>
    <w:pPr>
      <w:pBdr>
        <w:top w:val="single" w:sz="4" w:space="0" w:color="auto"/>
        <w:left w:val="single" w:sz="8" w:space="27" w:color="auto"/>
        <w:bottom w:val="single" w:sz="4" w:space="0" w:color="auto"/>
        <w:right w:val="single" w:sz="8" w:space="0" w:color="auto"/>
      </w:pBdr>
      <w:spacing w:before="100" w:beforeAutospacing="1" w:after="100" w:afterAutospacing="1"/>
      <w:ind w:firstLineChars="200" w:firstLine="0"/>
      <w:jc w:val="left"/>
      <w:textAlignment w:val="top"/>
    </w:pPr>
    <w:rPr>
      <w:rFonts w:eastAsia="Times New Roman" w:cs="Times New Roman"/>
      <w:sz w:val="20"/>
      <w:szCs w:val="20"/>
    </w:rPr>
  </w:style>
  <w:style w:type="paragraph" w:customStyle="1" w:styleId="xl118">
    <w:name w:val="xl118"/>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textAlignment w:val="top"/>
    </w:pPr>
    <w:rPr>
      <w:rFonts w:eastAsia="Times New Roman" w:cs="Times New Roman"/>
      <w:sz w:val="22"/>
    </w:rPr>
  </w:style>
  <w:style w:type="paragraph" w:customStyle="1" w:styleId="xl119">
    <w:name w:val="xl119"/>
    <w:basedOn w:val="Normal"/>
    <w:rsid w:val="002C253E"/>
    <w:pPr>
      <w:pBdr>
        <w:right w:val="single" w:sz="8" w:space="0" w:color="auto"/>
      </w:pBdr>
      <w:spacing w:before="100" w:beforeAutospacing="1" w:after="100" w:afterAutospacing="1"/>
      <w:ind w:firstLine="0"/>
      <w:jc w:val="left"/>
    </w:pPr>
    <w:rPr>
      <w:rFonts w:eastAsia="Times New Roman" w:cs="Times New Roman"/>
      <w:sz w:val="20"/>
      <w:szCs w:val="20"/>
    </w:rPr>
  </w:style>
  <w:style w:type="paragraph" w:customStyle="1" w:styleId="xl120">
    <w:name w:val="xl120"/>
    <w:basedOn w:val="Normal"/>
    <w:rsid w:val="002C253E"/>
    <w:pPr>
      <w:pBdr>
        <w:left w:val="single" w:sz="8" w:space="0" w:color="auto"/>
      </w:pBdr>
      <w:spacing w:before="100" w:beforeAutospacing="1" w:after="100" w:afterAutospacing="1"/>
      <w:ind w:firstLine="0"/>
      <w:jc w:val="left"/>
    </w:pPr>
    <w:rPr>
      <w:rFonts w:eastAsia="Times New Roman" w:cs="Times New Roman"/>
      <w:sz w:val="20"/>
      <w:szCs w:val="20"/>
    </w:rPr>
  </w:style>
  <w:style w:type="paragraph" w:customStyle="1" w:styleId="xl121">
    <w:name w:val="xl121"/>
    <w:basedOn w:val="Normal"/>
    <w:rsid w:val="002C253E"/>
    <w:pPr>
      <w:pBdr>
        <w:left w:val="single" w:sz="4" w:space="0" w:color="auto"/>
        <w:right w:val="single" w:sz="4" w:space="0" w:color="auto"/>
      </w:pBdr>
      <w:spacing w:before="100" w:beforeAutospacing="1" w:after="100" w:afterAutospacing="1"/>
      <w:ind w:firstLine="0"/>
      <w:jc w:val="left"/>
    </w:pPr>
    <w:rPr>
      <w:rFonts w:eastAsia="Times New Roman" w:cs="Times New Roman"/>
      <w:sz w:val="20"/>
      <w:szCs w:val="20"/>
    </w:rPr>
  </w:style>
  <w:style w:type="paragraph" w:customStyle="1" w:styleId="xl122">
    <w:name w:val="xl122"/>
    <w:basedOn w:val="Normal"/>
    <w:rsid w:val="002C253E"/>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2"/>
    </w:rPr>
  </w:style>
  <w:style w:type="paragraph" w:customStyle="1" w:styleId="xl123">
    <w:name w:val="xl123"/>
    <w:basedOn w:val="Normal"/>
    <w:rsid w:val="002C253E"/>
    <w:pPr>
      <w:pBdr>
        <w:top w:val="single" w:sz="4" w:space="0" w:color="auto"/>
        <w:left w:val="single" w:sz="8" w:space="27" w:color="auto"/>
        <w:bottom w:val="single" w:sz="4" w:space="0" w:color="auto"/>
        <w:right w:val="single" w:sz="8" w:space="0" w:color="auto"/>
      </w:pBdr>
      <w:spacing w:before="100" w:beforeAutospacing="1" w:after="100" w:afterAutospacing="1"/>
      <w:ind w:firstLineChars="200" w:firstLine="0"/>
      <w:jc w:val="left"/>
      <w:textAlignment w:val="center"/>
    </w:pPr>
    <w:rPr>
      <w:rFonts w:eastAsia="Times New Roman" w:cs="Times New Roman"/>
      <w:sz w:val="20"/>
      <w:szCs w:val="20"/>
    </w:rPr>
  </w:style>
  <w:style w:type="paragraph" w:customStyle="1" w:styleId="xl124">
    <w:name w:val="xl124"/>
    <w:basedOn w:val="Normal"/>
    <w:rsid w:val="002C253E"/>
    <w:pPr>
      <w:pBdr>
        <w:top w:val="single" w:sz="4" w:space="0" w:color="auto"/>
        <w:left w:val="single" w:sz="8" w:space="27" w:color="auto"/>
        <w:right w:val="single" w:sz="8" w:space="0" w:color="auto"/>
      </w:pBdr>
      <w:spacing w:before="100" w:beforeAutospacing="1" w:after="100" w:afterAutospacing="1"/>
      <w:ind w:firstLineChars="200" w:firstLine="0"/>
      <w:jc w:val="left"/>
      <w:textAlignment w:val="center"/>
    </w:pPr>
    <w:rPr>
      <w:rFonts w:eastAsia="Times New Roman" w:cs="Times New Roman"/>
      <w:sz w:val="20"/>
      <w:szCs w:val="20"/>
    </w:rPr>
  </w:style>
  <w:style w:type="paragraph" w:customStyle="1" w:styleId="xl125">
    <w:name w:val="xl125"/>
    <w:basedOn w:val="Normal"/>
    <w:rsid w:val="002C253E"/>
    <w:pPr>
      <w:pBdr>
        <w:top w:val="single" w:sz="4" w:space="0" w:color="auto"/>
        <w:lef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26">
    <w:name w:val="xl126"/>
    <w:basedOn w:val="Normal"/>
    <w:rsid w:val="002C253E"/>
    <w:pPr>
      <w:pBdr>
        <w:top w:val="single" w:sz="4" w:space="0" w:color="auto"/>
        <w:left w:val="single" w:sz="4" w:space="0" w:color="auto"/>
        <w:right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127">
    <w:name w:val="xl127"/>
    <w:basedOn w:val="Normal"/>
    <w:rsid w:val="002C253E"/>
    <w:pPr>
      <w:pBdr>
        <w:top w:val="single" w:sz="4"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28">
    <w:name w:val="xl128"/>
    <w:basedOn w:val="Normal"/>
    <w:rsid w:val="002C253E"/>
    <w:pPr>
      <w:pBdr>
        <w:top w:val="single" w:sz="4" w:space="0" w:color="auto"/>
        <w:left w:val="single" w:sz="8" w:space="14" w:color="auto"/>
        <w:right w:val="single" w:sz="8" w:space="0" w:color="auto"/>
      </w:pBdr>
      <w:spacing w:before="100" w:beforeAutospacing="1" w:after="100" w:afterAutospacing="1"/>
      <w:ind w:firstLineChars="100" w:firstLine="0"/>
      <w:jc w:val="left"/>
    </w:pPr>
    <w:rPr>
      <w:rFonts w:eastAsia="Times New Roman" w:cs="Times New Roman"/>
      <w:sz w:val="20"/>
      <w:szCs w:val="20"/>
    </w:rPr>
  </w:style>
  <w:style w:type="paragraph" w:customStyle="1" w:styleId="xl129">
    <w:name w:val="xl129"/>
    <w:basedOn w:val="Normal"/>
    <w:rsid w:val="002C253E"/>
    <w:pPr>
      <w:pBdr>
        <w:top w:val="single" w:sz="4" w:space="0" w:color="auto"/>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sz w:val="20"/>
      <w:szCs w:val="20"/>
    </w:rPr>
  </w:style>
  <w:style w:type="paragraph" w:customStyle="1" w:styleId="xl130">
    <w:name w:val="xl130"/>
    <w:basedOn w:val="Normal"/>
    <w:rsid w:val="002C253E"/>
    <w:pPr>
      <w:pBdr>
        <w:top w:val="single" w:sz="4" w:space="0" w:color="auto"/>
        <w:left w:val="single" w:sz="8" w:space="0" w:color="auto"/>
        <w:bottom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31">
    <w:name w:val="xl131"/>
    <w:basedOn w:val="Normal"/>
    <w:rsid w:val="002C253E"/>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pPr>
    <w:rPr>
      <w:rFonts w:eastAsia="Times New Roman" w:cs="Times New Roman"/>
      <w:sz w:val="20"/>
      <w:szCs w:val="20"/>
    </w:rPr>
  </w:style>
  <w:style w:type="paragraph" w:customStyle="1" w:styleId="xl132">
    <w:name w:val="xl132"/>
    <w:basedOn w:val="Normal"/>
    <w:rsid w:val="002C253E"/>
    <w:pPr>
      <w:pBdr>
        <w:top w:val="single" w:sz="4" w:space="0" w:color="auto"/>
        <w:bottom w:val="single" w:sz="8" w:space="0" w:color="auto"/>
        <w:right w:val="single" w:sz="8" w:space="0" w:color="auto"/>
      </w:pBdr>
      <w:spacing w:before="100" w:beforeAutospacing="1" w:after="100" w:afterAutospacing="1"/>
      <w:ind w:firstLine="0"/>
      <w:jc w:val="right"/>
    </w:pPr>
    <w:rPr>
      <w:rFonts w:eastAsia="Times New Roman" w:cs="Times New Roman"/>
      <w:sz w:val="20"/>
      <w:szCs w:val="20"/>
    </w:rPr>
  </w:style>
  <w:style w:type="paragraph" w:customStyle="1" w:styleId="xl133">
    <w:name w:val="xl133"/>
    <w:basedOn w:val="Normal"/>
    <w:rsid w:val="002C253E"/>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sz w:val="20"/>
      <w:szCs w:val="20"/>
    </w:rPr>
  </w:style>
  <w:style w:type="paragraph" w:customStyle="1" w:styleId="xl134">
    <w:name w:val="xl134"/>
    <w:basedOn w:val="Normal"/>
    <w:rsid w:val="002C253E"/>
    <w:pPr>
      <w:pBdr>
        <w:top w:val="single" w:sz="8"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b/>
      <w:bCs/>
      <w:sz w:val="20"/>
      <w:szCs w:val="20"/>
    </w:rPr>
  </w:style>
  <w:style w:type="paragraph" w:customStyle="1" w:styleId="xl135">
    <w:name w:val="xl135"/>
    <w:basedOn w:val="Normal"/>
    <w:rsid w:val="002C253E"/>
    <w:pPr>
      <w:pBdr>
        <w:top w:val="single" w:sz="8" w:space="0" w:color="auto"/>
        <w:left w:val="single" w:sz="4" w:space="0" w:color="auto"/>
        <w:bottom w:val="single" w:sz="8" w:space="0" w:color="auto"/>
      </w:pBdr>
      <w:spacing w:before="100" w:beforeAutospacing="1" w:after="100" w:afterAutospacing="1"/>
      <w:ind w:firstLine="0"/>
      <w:jc w:val="center"/>
    </w:pPr>
    <w:rPr>
      <w:rFonts w:eastAsia="Times New Roman" w:cs="Times New Roman"/>
      <w:b/>
      <w:bCs/>
      <w:sz w:val="20"/>
      <w:szCs w:val="20"/>
    </w:rPr>
  </w:style>
  <w:style w:type="paragraph" w:customStyle="1" w:styleId="xl136">
    <w:name w:val="xl136"/>
    <w:basedOn w:val="Normal"/>
    <w:rsid w:val="002C253E"/>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sz w:val="20"/>
      <w:szCs w:val="20"/>
    </w:rPr>
  </w:style>
  <w:style w:type="paragraph" w:customStyle="1" w:styleId="xl137">
    <w:name w:val="xl137"/>
    <w:basedOn w:val="Normal"/>
    <w:rsid w:val="002C253E"/>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b/>
      <w:bCs/>
      <w:sz w:val="20"/>
      <w:szCs w:val="20"/>
    </w:rPr>
  </w:style>
  <w:style w:type="paragraph" w:customStyle="1" w:styleId="xl138">
    <w:name w:val="xl138"/>
    <w:basedOn w:val="Normal"/>
    <w:rsid w:val="002C253E"/>
    <w:pPr>
      <w:spacing w:before="100" w:beforeAutospacing="1" w:after="100" w:afterAutospacing="1"/>
      <w:ind w:firstLine="0"/>
      <w:jc w:val="left"/>
    </w:pPr>
    <w:rPr>
      <w:rFonts w:ascii="Aptos Narrow" w:eastAsia="Times New Roman" w:hAnsi="Aptos Narrow" w:cs="Times New Roman"/>
      <w:sz w:val="20"/>
      <w:szCs w:val="20"/>
    </w:rPr>
  </w:style>
  <w:style w:type="paragraph" w:customStyle="1" w:styleId="xl139">
    <w:name w:val="xl139"/>
    <w:basedOn w:val="Normal"/>
    <w:rsid w:val="002C253E"/>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20"/>
      <w:szCs w:val="20"/>
    </w:rPr>
  </w:style>
  <w:style w:type="paragraph" w:customStyle="1" w:styleId="xl140">
    <w:name w:val="xl140"/>
    <w:basedOn w:val="Normal"/>
    <w:rsid w:val="002C253E"/>
    <w:pPr>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sz w:val="20"/>
      <w:szCs w:val="20"/>
    </w:rPr>
  </w:style>
  <w:style w:type="paragraph" w:customStyle="1" w:styleId="xl141">
    <w:name w:val="xl141"/>
    <w:basedOn w:val="Normal"/>
    <w:rsid w:val="002C253E"/>
    <w:pPr>
      <w:pBdr>
        <w:top w:val="single" w:sz="8" w:space="0" w:color="auto"/>
        <w:left w:val="single" w:sz="8" w:space="0" w:color="auto"/>
        <w:bottom w:val="single" w:sz="4" w:space="0" w:color="auto"/>
      </w:pBdr>
      <w:spacing w:before="100" w:beforeAutospacing="1" w:after="100" w:afterAutospacing="1"/>
      <w:ind w:firstLine="0"/>
      <w:jc w:val="center"/>
      <w:textAlignment w:val="center"/>
    </w:pPr>
    <w:rPr>
      <w:rFonts w:eastAsia="Times New Roman" w:cs="Times New Roman"/>
      <w:b/>
      <w:bCs/>
      <w:sz w:val="20"/>
      <w:szCs w:val="20"/>
    </w:rPr>
  </w:style>
  <w:style w:type="paragraph" w:customStyle="1" w:styleId="xl142">
    <w:name w:val="xl142"/>
    <w:basedOn w:val="Normal"/>
    <w:rsid w:val="002C253E"/>
    <w:pPr>
      <w:pBdr>
        <w:top w:val="single" w:sz="8" w:space="0" w:color="auto"/>
        <w:bottom w:val="single" w:sz="4" w:space="0" w:color="auto"/>
      </w:pBdr>
      <w:spacing w:before="100" w:beforeAutospacing="1" w:after="100" w:afterAutospacing="1"/>
      <w:ind w:firstLine="0"/>
      <w:jc w:val="center"/>
      <w:textAlignment w:val="center"/>
    </w:pPr>
    <w:rPr>
      <w:rFonts w:ascii="Arial" w:eastAsia="Times New Roman" w:hAnsi="Arial" w:cs="Arial"/>
      <w:b/>
      <w:bCs/>
      <w:sz w:val="20"/>
      <w:szCs w:val="20"/>
    </w:rPr>
  </w:style>
  <w:style w:type="paragraph" w:customStyle="1" w:styleId="xl143">
    <w:name w:val="xl143"/>
    <w:basedOn w:val="Normal"/>
    <w:rsid w:val="002C253E"/>
    <w:pPr>
      <w:pBdr>
        <w:top w:val="single" w:sz="8" w:space="0" w:color="auto"/>
        <w:bottom w:val="single" w:sz="4" w:space="0" w:color="auto"/>
        <w:right w:val="single" w:sz="8" w:space="0" w:color="auto"/>
      </w:pBdr>
      <w:spacing w:before="100" w:beforeAutospacing="1" w:after="100" w:afterAutospacing="1"/>
      <w:ind w:firstLine="0"/>
      <w:jc w:val="center"/>
      <w:textAlignment w:val="center"/>
    </w:pPr>
    <w:rPr>
      <w:rFonts w:ascii="Arial" w:eastAsia="Times New Roman" w:hAnsi="Arial" w:cs="Arial"/>
      <w:b/>
      <w:bCs/>
      <w:sz w:val="20"/>
      <w:szCs w:val="20"/>
    </w:rPr>
  </w:style>
  <w:style w:type="paragraph" w:customStyle="1" w:styleId="teksts">
    <w:name w:val="teksts"/>
    <w:rsid w:val="00854F1A"/>
    <w:pPr>
      <w:spacing w:after="120"/>
      <w:jc w:val="both"/>
    </w:pPr>
    <w:rPr>
      <w:rFonts w:ascii="Garamond" w:eastAsia="Times New Roman" w:hAnsi="Garamond" w:cs="Times New Roman"/>
      <w:sz w:val="24"/>
      <w:szCs w:val="20"/>
      <w:lang w:eastAsia="en-US"/>
    </w:rPr>
  </w:style>
  <w:style w:type="character" w:customStyle="1" w:styleId="ui-provider">
    <w:name w:val="ui-provider"/>
    <w:basedOn w:val="DefaultParagraphFont"/>
    <w:rsid w:val="00E51BB0"/>
  </w:style>
  <w:style w:type="table" w:customStyle="1" w:styleId="TableGrid20">
    <w:name w:val="Table Grid20"/>
    <w:basedOn w:val="TableNormal"/>
    <w:next w:val="TableGrid"/>
    <w:uiPriority w:val="39"/>
    <w:rsid w:val="005E58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97575B"/>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510A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20">
    <w:name w:val="List Table 2 - Accent 120"/>
    <w:basedOn w:val="TableNormal"/>
    <w:next w:val="ListTable2-Accent1"/>
    <w:uiPriority w:val="47"/>
    <w:rsid w:val="00510AA8"/>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91">
    <w:name w:val="Table Grid91"/>
    <w:basedOn w:val="TableNormal"/>
    <w:next w:val="TableGrid"/>
    <w:uiPriority w:val="39"/>
    <w:rsid w:val="00012C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961262"/>
  </w:style>
  <w:style w:type="numbering" w:customStyle="1" w:styleId="NoList119">
    <w:name w:val="No List119"/>
    <w:next w:val="NoList"/>
    <w:uiPriority w:val="99"/>
    <w:semiHidden/>
    <w:unhideWhenUsed/>
    <w:rsid w:val="00961262"/>
  </w:style>
  <w:style w:type="table" w:customStyle="1" w:styleId="TableGrid24">
    <w:name w:val="Table Grid24"/>
    <w:basedOn w:val="TableNormal"/>
    <w:next w:val="TableGrid"/>
    <w:uiPriority w:val="59"/>
    <w:rsid w:val="009612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10">
    <w:name w:val="List Table 2 - Accent 1110"/>
    <w:basedOn w:val="TableNormal"/>
    <w:next w:val="ListTable2-Accent1"/>
    <w:uiPriority w:val="47"/>
    <w:rsid w:val="00961262"/>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0">
    <w:name w:val="No List1110"/>
    <w:next w:val="NoList"/>
    <w:uiPriority w:val="99"/>
    <w:semiHidden/>
    <w:unhideWhenUsed/>
    <w:rsid w:val="00961262"/>
  </w:style>
  <w:style w:type="numbering" w:customStyle="1" w:styleId="NoList29">
    <w:name w:val="No List29"/>
    <w:next w:val="NoList"/>
    <w:uiPriority w:val="99"/>
    <w:semiHidden/>
    <w:unhideWhenUsed/>
    <w:rsid w:val="00961262"/>
  </w:style>
  <w:style w:type="table" w:customStyle="1" w:styleId="TableGrid410">
    <w:name w:val="Table Grid410"/>
    <w:basedOn w:val="TableNormal"/>
    <w:next w:val="TableGrid"/>
    <w:uiPriority w:val="39"/>
    <w:rsid w:val="009612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22">
    <w:name w:val="List Table 2 - Accent 122"/>
    <w:basedOn w:val="TableNormal"/>
    <w:next w:val="ListTable2-Accent1"/>
    <w:uiPriority w:val="47"/>
    <w:rsid w:val="00961262"/>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30">
    <w:name w:val="No List30"/>
    <w:next w:val="NoList"/>
    <w:uiPriority w:val="99"/>
    <w:semiHidden/>
    <w:unhideWhenUsed/>
    <w:rsid w:val="003160BE"/>
  </w:style>
  <w:style w:type="numbering" w:customStyle="1" w:styleId="NoList120">
    <w:name w:val="No List120"/>
    <w:next w:val="NoList"/>
    <w:uiPriority w:val="99"/>
    <w:semiHidden/>
    <w:unhideWhenUsed/>
    <w:rsid w:val="003160BE"/>
  </w:style>
  <w:style w:type="table" w:customStyle="1" w:styleId="TableGrid25">
    <w:name w:val="Table Grid25"/>
    <w:basedOn w:val="TableNormal"/>
    <w:next w:val="TableGrid"/>
    <w:uiPriority w:val="39"/>
    <w:rsid w:val="00316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2-Accent1115">
    <w:name w:val="List Table 2 - Accent 1115"/>
    <w:basedOn w:val="TableNormal"/>
    <w:next w:val="ListTable2-Accent1"/>
    <w:uiPriority w:val="47"/>
    <w:rsid w:val="003160BE"/>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4">
    <w:name w:val="No List1114"/>
    <w:next w:val="NoList"/>
    <w:uiPriority w:val="99"/>
    <w:semiHidden/>
    <w:unhideWhenUsed/>
    <w:rsid w:val="003160BE"/>
  </w:style>
  <w:style w:type="numbering" w:customStyle="1" w:styleId="NoList210">
    <w:name w:val="No List210"/>
    <w:next w:val="NoList"/>
    <w:uiPriority w:val="99"/>
    <w:semiHidden/>
    <w:unhideWhenUsed/>
    <w:rsid w:val="003160BE"/>
  </w:style>
  <w:style w:type="table" w:customStyle="1" w:styleId="TableGrid412">
    <w:name w:val="Table Grid412"/>
    <w:basedOn w:val="TableNormal"/>
    <w:next w:val="TableGrid"/>
    <w:uiPriority w:val="39"/>
    <w:rsid w:val="00316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160BE"/>
  </w:style>
  <w:style w:type="table" w:customStyle="1" w:styleId="TableGrid55">
    <w:name w:val="Table Grid55"/>
    <w:basedOn w:val="TableNormal"/>
    <w:next w:val="TableGrid"/>
    <w:uiPriority w:val="59"/>
    <w:rsid w:val="003160BE"/>
    <w:pPr>
      <w:ind w:left="425"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160BE"/>
  </w:style>
  <w:style w:type="table" w:customStyle="1" w:styleId="ListTable2-Accent1116">
    <w:name w:val="List Table 2 - Accent 1116"/>
    <w:basedOn w:val="TableNormal"/>
    <w:next w:val="ListTable2-Accent1"/>
    <w:uiPriority w:val="47"/>
    <w:rsid w:val="003160BE"/>
    <w:pPr>
      <w:ind w:left="425" w:firstLine="720"/>
      <w:jc w:val="both"/>
    </w:pPr>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114">
    <w:name w:val="No List11114"/>
    <w:next w:val="NoList"/>
    <w:uiPriority w:val="99"/>
    <w:semiHidden/>
    <w:unhideWhenUsed/>
    <w:rsid w:val="003160BE"/>
  </w:style>
  <w:style w:type="numbering" w:customStyle="1" w:styleId="NoList214">
    <w:name w:val="No List214"/>
    <w:next w:val="NoList"/>
    <w:uiPriority w:val="99"/>
    <w:semiHidden/>
    <w:unhideWhenUsed/>
    <w:rsid w:val="003160BE"/>
  </w:style>
  <w:style w:type="numbering" w:customStyle="1" w:styleId="NoList44">
    <w:name w:val="No List44"/>
    <w:next w:val="NoList"/>
    <w:uiPriority w:val="99"/>
    <w:semiHidden/>
    <w:unhideWhenUsed/>
    <w:rsid w:val="003160BE"/>
  </w:style>
  <w:style w:type="numbering" w:customStyle="1" w:styleId="NoList124">
    <w:name w:val="No List124"/>
    <w:next w:val="NoList"/>
    <w:uiPriority w:val="99"/>
    <w:semiHidden/>
    <w:unhideWhenUsed/>
    <w:rsid w:val="003160BE"/>
  </w:style>
  <w:style w:type="table" w:customStyle="1" w:styleId="ListTable2-Accent11115">
    <w:name w:val="List Table 2 - Accent 11115"/>
    <w:basedOn w:val="TableNormal"/>
    <w:next w:val="ListTable2-Accent1"/>
    <w:uiPriority w:val="47"/>
    <w:rsid w:val="003160BE"/>
    <w:rPr>
      <w:rFonts w:eastAsia="Times New Roman"/>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24">
    <w:name w:val="No List1124"/>
    <w:next w:val="NoList"/>
    <w:uiPriority w:val="99"/>
    <w:semiHidden/>
    <w:unhideWhenUsed/>
    <w:rsid w:val="003160BE"/>
  </w:style>
  <w:style w:type="numbering" w:customStyle="1" w:styleId="NoList224">
    <w:name w:val="No List224"/>
    <w:next w:val="NoList"/>
    <w:uiPriority w:val="99"/>
    <w:semiHidden/>
    <w:unhideWhenUsed/>
    <w:rsid w:val="003160BE"/>
  </w:style>
  <w:style w:type="table" w:customStyle="1" w:styleId="ListTable2-Accent123">
    <w:name w:val="List Table 2 - Accent 123"/>
    <w:basedOn w:val="TableNormal"/>
    <w:next w:val="ListTable2-Accent1"/>
    <w:uiPriority w:val="47"/>
    <w:rsid w:val="003160BE"/>
    <w:rPr>
      <w:rFonts w:eastAsia="Calibri"/>
      <w:lang w:eastAsia="en-U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0">
    <w:name w:val="TableGrid"/>
    <w:rsid w:val="00CF3B09"/>
    <w:rPr>
      <w:kern w:val="2"/>
      <w:sz w:val="24"/>
      <w:szCs w:val="24"/>
      <w14:ligatures w14:val="standardContextual"/>
    </w:rPr>
    <w:tblPr>
      <w:tblCellMar>
        <w:top w:w="0" w:type="dxa"/>
        <w:left w:w="0" w:type="dxa"/>
        <w:bottom w:w="0" w:type="dxa"/>
        <w:right w:w="0" w:type="dxa"/>
      </w:tblCellMar>
    </w:tblPr>
  </w:style>
  <w:style w:type="paragraph" w:customStyle="1" w:styleId="Style4">
    <w:name w:val="Style4"/>
    <w:basedOn w:val="Normal"/>
    <w:link w:val="Style4Char"/>
    <w:qFormat/>
    <w:rsid w:val="008B0630"/>
    <w:rPr>
      <w:rFonts w:eastAsia="Calibri" w:cs="Arial"/>
      <w:b/>
      <w:bCs/>
      <w:noProof/>
      <w:szCs w:val="24"/>
    </w:rPr>
  </w:style>
  <w:style w:type="character" w:customStyle="1" w:styleId="Style4Char">
    <w:name w:val="Style4 Char"/>
    <w:basedOn w:val="DefaultParagraphFont"/>
    <w:link w:val="Style4"/>
    <w:rsid w:val="008B0630"/>
    <w:rPr>
      <w:rFonts w:ascii="Times New Roman" w:eastAsia="Calibri" w:hAnsi="Times New Roman" w:cs="Arial"/>
      <w:b/>
      <w:bCs/>
      <w:noProof/>
      <w:sz w:val="24"/>
      <w:szCs w:val="24"/>
    </w:rPr>
  </w:style>
  <w:style w:type="character" w:customStyle="1" w:styleId="cf01">
    <w:name w:val="cf01"/>
    <w:basedOn w:val="DefaultParagraphFont"/>
    <w:rsid w:val="008B0630"/>
    <w:rPr>
      <w:rFonts w:ascii="Segoe UI" w:hAnsi="Segoe UI" w:cs="Segoe UI" w:hint="default"/>
      <w:b/>
      <w:bCs/>
      <w:sz w:val="18"/>
      <w:szCs w:val="18"/>
    </w:rPr>
  </w:style>
  <w:style w:type="paragraph" w:customStyle="1" w:styleId="pf0">
    <w:name w:val="pf0"/>
    <w:basedOn w:val="Normal"/>
    <w:rsid w:val="008B0630"/>
    <w:pPr>
      <w:spacing w:before="100" w:beforeAutospacing="1" w:after="100" w:afterAutospacing="1"/>
      <w:ind w:firstLine="0"/>
      <w:jc w:val="left"/>
    </w:pPr>
    <w:rPr>
      <w:rFonts w:eastAsia="Times New Roman" w:cs="Times New Roman"/>
      <w:szCs w:val="24"/>
    </w:rPr>
  </w:style>
  <w:style w:type="character" w:customStyle="1" w:styleId="cf11">
    <w:name w:val="cf11"/>
    <w:basedOn w:val="DefaultParagraphFont"/>
    <w:rsid w:val="00E67A69"/>
    <w:rPr>
      <w:rFonts w:ascii="Consolas" w:hAnsi="Consolas" w:hint="default"/>
      <w:b/>
      <w:bCs/>
      <w:sz w:val="22"/>
      <w:szCs w:val="22"/>
    </w:rPr>
  </w:style>
  <w:style w:type="character" w:customStyle="1" w:styleId="cf21">
    <w:name w:val="cf21"/>
    <w:basedOn w:val="DefaultParagraphFont"/>
    <w:rsid w:val="00E67A69"/>
    <w:rPr>
      <w:rFonts w:ascii="Consolas" w:hAnsi="Consolas" w:hint="default"/>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27626">
      <w:bodyDiv w:val="1"/>
      <w:marLeft w:val="0"/>
      <w:marRight w:val="0"/>
      <w:marTop w:val="0"/>
      <w:marBottom w:val="0"/>
      <w:divBdr>
        <w:top w:val="none" w:sz="0" w:space="0" w:color="auto"/>
        <w:left w:val="none" w:sz="0" w:space="0" w:color="auto"/>
        <w:bottom w:val="none" w:sz="0" w:space="0" w:color="auto"/>
        <w:right w:val="none" w:sz="0" w:space="0" w:color="auto"/>
      </w:divBdr>
    </w:div>
    <w:div w:id="62605412">
      <w:bodyDiv w:val="1"/>
      <w:marLeft w:val="0"/>
      <w:marRight w:val="0"/>
      <w:marTop w:val="0"/>
      <w:marBottom w:val="0"/>
      <w:divBdr>
        <w:top w:val="none" w:sz="0" w:space="0" w:color="auto"/>
        <w:left w:val="none" w:sz="0" w:space="0" w:color="auto"/>
        <w:bottom w:val="none" w:sz="0" w:space="0" w:color="auto"/>
        <w:right w:val="none" w:sz="0" w:space="0" w:color="auto"/>
      </w:divBdr>
    </w:div>
    <w:div w:id="190607874">
      <w:bodyDiv w:val="1"/>
      <w:marLeft w:val="0"/>
      <w:marRight w:val="0"/>
      <w:marTop w:val="0"/>
      <w:marBottom w:val="0"/>
      <w:divBdr>
        <w:top w:val="none" w:sz="0" w:space="0" w:color="auto"/>
        <w:left w:val="none" w:sz="0" w:space="0" w:color="auto"/>
        <w:bottom w:val="none" w:sz="0" w:space="0" w:color="auto"/>
        <w:right w:val="none" w:sz="0" w:space="0" w:color="auto"/>
      </w:divBdr>
    </w:div>
    <w:div w:id="198706664">
      <w:bodyDiv w:val="1"/>
      <w:marLeft w:val="0"/>
      <w:marRight w:val="0"/>
      <w:marTop w:val="0"/>
      <w:marBottom w:val="0"/>
      <w:divBdr>
        <w:top w:val="none" w:sz="0" w:space="0" w:color="auto"/>
        <w:left w:val="none" w:sz="0" w:space="0" w:color="auto"/>
        <w:bottom w:val="none" w:sz="0" w:space="0" w:color="auto"/>
        <w:right w:val="none" w:sz="0" w:space="0" w:color="auto"/>
      </w:divBdr>
    </w:div>
    <w:div w:id="259073485">
      <w:bodyDiv w:val="1"/>
      <w:marLeft w:val="0"/>
      <w:marRight w:val="0"/>
      <w:marTop w:val="0"/>
      <w:marBottom w:val="0"/>
      <w:divBdr>
        <w:top w:val="none" w:sz="0" w:space="0" w:color="auto"/>
        <w:left w:val="none" w:sz="0" w:space="0" w:color="auto"/>
        <w:bottom w:val="none" w:sz="0" w:space="0" w:color="auto"/>
        <w:right w:val="none" w:sz="0" w:space="0" w:color="auto"/>
      </w:divBdr>
    </w:div>
    <w:div w:id="268244028">
      <w:bodyDiv w:val="1"/>
      <w:marLeft w:val="0"/>
      <w:marRight w:val="0"/>
      <w:marTop w:val="0"/>
      <w:marBottom w:val="0"/>
      <w:divBdr>
        <w:top w:val="none" w:sz="0" w:space="0" w:color="auto"/>
        <w:left w:val="none" w:sz="0" w:space="0" w:color="auto"/>
        <w:bottom w:val="none" w:sz="0" w:space="0" w:color="auto"/>
        <w:right w:val="none" w:sz="0" w:space="0" w:color="auto"/>
      </w:divBdr>
    </w:div>
    <w:div w:id="269044894">
      <w:bodyDiv w:val="1"/>
      <w:marLeft w:val="0"/>
      <w:marRight w:val="0"/>
      <w:marTop w:val="0"/>
      <w:marBottom w:val="0"/>
      <w:divBdr>
        <w:top w:val="none" w:sz="0" w:space="0" w:color="auto"/>
        <w:left w:val="none" w:sz="0" w:space="0" w:color="auto"/>
        <w:bottom w:val="none" w:sz="0" w:space="0" w:color="auto"/>
        <w:right w:val="none" w:sz="0" w:space="0" w:color="auto"/>
      </w:divBdr>
    </w:div>
    <w:div w:id="270012822">
      <w:bodyDiv w:val="1"/>
      <w:marLeft w:val="0"/>
      <w:marRight w:val="0"/>
      <w:marTop w:val="0"/>
      <w:marBottom w:val="0"/>
      <w:divBdr>
        <w:top w:val="none" w:sz="0" w:space="0" w:color="auto"/>
        <w:left w:val="none" w:sz="0" w:space="0" w:color="auto"/>
        <w:bottom w:val="none" w:sz="0" w:space="0" w:color="auto"/>
        <w:right w:val="none" w:sz="0" w:space="0" w:color="auto"/>
      </w:divBdr>
    </w:div>
    <w:div w:id="271017895">
      <w:bodyDiv w:val="1"/>
      <w:marLeft w:val="0"/>
      <w:marRight w:val="0"/>
      <w:marTop w:val="0"/>
      <w:marBottom w:val="0"/>
      <w:divBdr>
        <w:top w:val="none" w:sz="0" w:space="0" w:color="auto"/>
        <w:left w:val="none" w:sz="0" w:space="0" w:color="auto"/>
        <w:bottom w:val="none" w:sz="0" w:space="0" w:color="auto"/>
        <w:right w:val="none" w:sz="0" w:space="0" w:color="auto"/>
      </w:divBdr>
    </w:div>
    <w:div w:id="277757542">
      <w:bodyDiv w:val="1"/>
      <w:marLeft w:val="0"/>
      <w:marRight w:val="0"/>
      <w:marTop w:val="0"/>
      <w:marBottom w:val="0"/>
      <w:divBdr>
        <w:top w:val="none" w:sz="0" w:space="0" w:color="auto"/>
        <w:left w:val="none" w:sz="0" w:space="0" w:color="auto"/>
        <w:bottom w:val="none" w:sz="0" w:space="0" w:color="auto"/>
        <w:right w:val="none" w:sz="0" w:space="0" w:color="auto"/>
      </w:divBdr>
    </w:div>
    <w:div w:id="278032043">
      <w:bodyDiv w:val="1"/>
      <w:marLeft w:val="0"/>
      <w:marRight w:val="0"/>
      <w:marTop w:val="0"/>
      <w:marBottom w:val="0"/>
      <w:divBdr>
        <w:top w:val="none" w:sz="0" w:space="0" w:color="auto"/>
        <w:left w:val="none" w:sz="0" w:space="0" w:color="auto"/>
        <w:bottom w:val="none" w:sz="0" w:space="0" w:color="auto"/>
        <w:right w:val="none" w:sz="0" w:space="0" w:color="auto"/>
      </w:divBdr>
    </w:div>
    <w:div w:id="280376969">
      <w:bodyDiv w:val="1"/>
      <w:marLeft w:val="0"/>
      <w:marRight w:val="0"/>
      <w:marTop w:val="0"/>
      <w:marBottom w:val="0"/>
      <w:divBdr>
        <w:top w:val="none" w:sz="0" w:space="0" w:color="auto"/>
        <w:left w:val="none" w:sz="0" w:space="0" w:color="auto"/>
        <w:bottom w:val="none" w:sz="0" w:space="0" w:color="auto"/>
        <w:right w:val="none" w:sz="0" w:space="0" w:color="auto"/>
      </w:divBdr>
    </w:div>
    <w:div w:id="291249682">
      <w:bodyDiv w:val="1"/>
      <w:marLeft w:val="0"/>
      <w:marRight w:val="0"/>
      <w:marTop w:val="0"/>
      <w:marBottom w:val="0"/>
      <w:divBdr>
        <w:top w:val="none" w:sz="0" w:space="0" w:color="auto"/>
        <w:left w:val="none" w:sz="0" w:space="0" w:color="auto"/>
        <w:bottom w:val="none" w:sz="0" w:space="0" w:color="auto"/>
        <w:right w:val="none" w:sz="0" w:space="0" w:color="auto"/>
      </w:divBdr>
    </w:div>
    <w:div w:id="319385878">
      <w:bodyDiv w:val="1"/>
      <w:marLeft w:val="0"/>
      <w:marRight w:val="0"/>
      <w:marTop w:val="0"/>
      <w:marBottom w:val="0"/>
      <w:divBdr>
        <w:top w:val="none" w:sz="0" w:space="0" w:color="auto"/>
        <w:left w:val="none" w:sz="0" w:space="0" w:color="auto"/>
        <w:bottom w:val="none" w:sz="0" w:space="0" w:color="auto"/>
        <w:right w:val="none" w:sz="0" w:space="0" w:color="auto"/>
      </w:divBdr>
    </w:div>
    <w:div w:id="327175122">
      <w:bodyDiv w:val="1"/>
      <w:marLeft w:val="0"/>
      <w:marRight w:val="0"/>
      <w:marTop w:val="0"/>
      <w:marBottom w:val="0"/>
      <w:divBdr>
        <w:top w:val="none" w:sz="0" w:space="0" w:color="auto"/>
        <w:left w:val="none" w:sz="0" w:space="0" w:color="auto"/>
        <w:bottom w:val="none" w:sz="0" w:space="0" w:color="auto"/>
        <w:right w:val="none" w:sz="0" w:space="0" w:color="auto"/>
      </w:divBdr>
    </w:div>
    <w:div w:id="379717966">
      <w:bodyDiv w:val="1"/>
      <w:marLeft w:val="0"/>
      <w:marRight w:val="0"/>
      <w:marTop w:val="0"/>
      <w:marBottom w:val="0"/>
      <w:divBdr>
        <w:top w:val="none" w:sz="0" w:space="0" w:color="auto"/>
        <w:left w:val="none" w:sz="0" w:space="0" w:color="auto"/>
        <w:bottom w:val="none" w:sz="0" w:space="0" w:color="auto"/>
        <w:right w:val="none" w:sz="0" w:space="0" w:color="auto"/>
      </w:divBdr>
    </w:div>
    <w:div w:id="412510232">
      <w:bodyDiv w:val="1"/>
      <w:marLeft w:val="0"/>
      <w:marRight w:val="0"/>
      <w:marTop w:val="0"/>
      <w:marBottom w:val="0"/>
      <w:divBdr>
        <w:top w:val="none" w:sz="0" w:space="0" w:color="auto"/>
        <w:left w:val="none" w:sz="0" w:space="0" w:color="auto"/>
        <w:bottom w:val="none" w:sz="0" w:space="0" w:color="auto"/>
        <w:right w:val="none" w:sz="0" w:space="0" w:color="auto"/>
      </w:divBdr>
    </w:div>
    <w:div w:id="413014617">
      <w:bodyDiv w:val="1"/>
      <w:marLeft w:val="0"/>
      <w:marRight w:val="0"/>
      <w:marTop w:val="0"/>
      <w:marBottom w:val="0"/>
      <w:divBdr>
        <w:top w:val="none" w:sz="0" w:space="0" w:color="auto"/>
        <w:left w:val="none" w:sz="0" w:space="0" w:color="auto"/>
        <w:bottom w:val="none" w:sz="0" w:space="0" w:color="auto"/>
        <w:right w:val="none" w:sz="0" w:space="0" w:color="auto"/>
      </w:divBdr>
    </w:div>
    <w:div w:id="446393978">
      <w:bodyDiv w:val="1"/>
      <w:marLeft w:val="0"/>
      <w:marRight w:val="0"/>
      <w:marTop w:val="0"/>
      <w:marBottom w:val="0"/>
      <w:divBdr>
        <w:top w:val="none" w:sz="0" w:space="0" w:color="auto"/>
        <w:left w:val="none" w:sz="0" w:space="0" w:color="auto"/>
        <w:bottom w:val="none" w:sz="0" w:space="0" w:color="auto"/>
        <w:right w:val="none" w:sz="0" w:space="0" w:color="auto"/>
      </w:divBdr>
    </w:div>
    <w:div w:id="449057483">
      <w:bodyDiv w:val="1"/>
      <w:marLeft w:val="0"/>
      <w:marRight w:val="0"/>
      <w:marTop w:val="0"/>
      <w:marBottom w:val="0"/>
      <w:divBdr>
        <w:top w:val="none" w:sz="0" w:space="0" w:color="auto"/>
        <w:left w:val="none" w:sz="0" w:space="0" w:color="auto"/>
        <w:bottom w:val="none" w:sz="0" w:space="0" w:color="auto"/>
        <w:right w:val="none" w:sz="0" w:space="0" w:color="auto"/>
      </w:divBdr>
    </w:div>
    <w:div w:id="449473225">
      <w:bodyDiv w:val="1"/>
      <w:marLeft w:val="0"/>
      <w:marRight w:val="0"/>
      <w:marTop w:val="0"/>
      <w:marBottom w:val="0"/>
      <w:divBdr>
        <w:top w:val="none" w:sz="0" w:space="0" w:color="auto"/>
        <w:left w:val="none" w:sz="0" w:space="0" w:color="auto"/>
        <w:bottom w:val="none" w:sz="0" w:space="0" w:color="auto"/>
        <w:right w:val="none" w:sz="0" w:space="0" w:color="auto"/>
      </w:divBdr>
    </w:div>
    <w:div w:id="491140470">
      <w:bodyDiv w:val="1"/>
      <w:marLeft w:val="0"/>
      <w:marRight w:val="0"/>
      <w:marTop w:val="0"/>
      <w:marBottom w:val="0"/>
      <w:divBdr>
        <w:top w:val="none" w:sz="0" w:space="0" w:color="auto"/>
        <w:left w:val="none" w:sz="0" w:space="0" w:color="auto"/>
        <w:bottom w:val="none" w:sz="0" w:space="0" w:color="auto"/>
        <w:right w:val="none" w:sz="0" w:space="0" w:color="auto"/>
      </w:divBdr>
    </w:div>
    <w:div w:id="512305232">
      <w:bodyDiv w:val="1"/>
      <w:marLeft w:val="0"/>
      <w:marRight w:val="0"/>
      <w:marTop w:val="0"/>
      <w:marBottom w:val="0"/>
      <w:divBdr>
        <w:top w:val="none" w:sz="0" w:space="0" w:color="auto"/>
        <w:left w:val="none" w:sz="0" w:space="0" w:color="auto"/>
        <w:bottom w:val="none" w:sz="0" w:space="0" w:color="auto"/>
        <w:right w:val="none" w:sz="0" w:space="0" w:color="auto"/>
      </w:divBdr>
    </w:div>
    <w:div w:id="557984467">
      <w:bodyDiv w:val="1"/>
      <w:marLeft w:val="0"/>
      <w:marRight w:val="0"/>
      <w:marTop w:val="0"/>
      <w:marBottom w:val="0"/>
      <w:divBdr>
        <w:top w:val="none" w:sz="0" w:space="0" w:color="auto"/>
        <w:left w:val="none" w:sz="0" w:space="0" w:color="auto"/>
        <w:bottom w:val="none" w:sz="0" w:space="0" w:color="auto"/>
        <w:right w:val="none" w:sz="0" w:space="0" w:color="auto"/>
      </w:divBdr>
    </w:div>
    <w:div w:id="561447098">
      <w:bodyDiv w:val="1"/>
      <w:marLeft w:val="0"/>
      <w:marRight w:val="0"/>
      <w:marTop w:val="0"/>
      <w:marBottom w:val="0"/>
      <w:divBdr>
        <w:top w:val="none" w:sz="0" w:space="0" w:color="auto"/>
        <w:left w:val="none" w:sz="0" w:space="0" w:color="auto"/>
        <w:bottom w:val="none" w:sz="0" w:space="0" w:color="auto"/>
        <w:right w:val="none" w:sz="0" w:space="0" w:color="auto"/>
      </w:divBdr>
    </w:div>
    <w:div w:id="562182638">
      <w:bodyDiv w:val="1"/>
      <w:marLeft w:val="0"/>
      <w:marRight w:val="0"/>
      <w:marTop w:val="0"/>
      <w:marBottom w:val="0"/>
      <w:divBdr>
        <w:top w:val="none" w:sz="0" w:space="0" w:color="auto"/>
        <w:left w:val="none" w:sz="0" w:space="0" w:color="auto"/>
        <w:bottom w:val="none" w:sz="0" w:space="0" w:color="auto"/>
        <w:right w:val="none" w:sz="0" w:space="0" w:color="auto"/>
      </w:divBdr>
    </w:div>
    <w:div w:id="565603933">
      <w:bodyDiv w:val="1"/>
      <w:marLeft w:val="0"/>
      <w:marRight w:val="0"/>
      <w:marTop w:val="0"/>
      <w:marBottom w:val="0"/>
      <w:divBdr>
        <w:top w:val="none" w:sz="0" w:space="0" w:color="auto"/>
        <w:left w:val="none" w:sz="0" w:space="0" w:color="auto"/>
        <w:bottom w:val="none" w:sz="0" w:space="0" w:color="auto"/>
        <w:right w:val="none" w:sz="0" w:space="0" w:color="auto"/>
      </w:divBdr>
    </w:div>
    <w:div w:id="584848970">
      <w:bodyDiv w:val="1"/>
      <w:marLeft w:val="0"/>
      <w:marRight w:val="0"/>
      <w:marTop w:val="0"/>
      <w:marBottom w:val="0"/>
      <w:divBdr>
        <w:top w:val="none" w:sz="0" w:space="0" w:color="auto"/>
        <w:left w:val="none" w:sz="0" w:space="0" w:color="auto"/>
        <w:bottom w:val="none" w:sz="0" w:space="0" w:color="auto"/>
        <w:right w:val="none" w:sz="0" w:space="0" w:color="auto"/>
      </w:divBdr>
    </w:div>
    <w:div w:id="623193182">
      <w:bodyDiv w:val="1"/>
      <w:marLeft w:val="0"/>
      <w:marRight w:val="0"/>
      <w:marTop w:val="0"/>
      <w:marBottom w:val="0"/>
      <w:divBdr>
        <w:top w:val="none" w:sz="0" w:space="0" w:color="auto"/>
        <w:left w:val="none" w:sz="0" w:space="0" w:color="auto"/>
        <w:bottom w:val="none" w:sz="0" w:space="0" w:color="auto"/>
        <w:right w:val="none" w:sz="0" w:space="0" w:color="auto"/>
      </w:divBdr>
    </w:div>
    <w:div w:id="636373467">
      <w:bodyDiv w:val="1"/>
      <w:marLeft w:val="0"/>
      <w:marRight w:val="0"/>
      <w:marTop w:val="0"/>
      <w:marBottom w:val="0"/>
      <w:divBdr>
        <w:top w:val="none" w:sz="0" w:space="0" w:color="auto"/>
        <w:left w:val="none" w:sz="0" w:space="0" w:color="auto"/>
        <w:bottom w:val="none" w:sz="0" w:space="0" w:color="auto"/>
        <w:right w:val="none" w:sz="0" w:space="0" w:color="auto"/>
      </w:divBdr>
    </w:div>
    <w:div w:id="657613361">
      <w:bodyDiv w:val="1"/>
      <w:marLeft w:val="0"/>
      <w:marRight w:val="0"/>
      <w:marTop w:val="0"/>
      <w:marBottom w:val="0"/>
      <w:divBdr>
        <w:top w:val="none" w:sz="0" w:space="0" w:color="auto"/>
        <w:left w:val="none" w:sz="0" w:space="0" w:color="auto"/>
        <w:bottom w:val="none" w:sz="0" w:space="0" w:color="auto"/>
        <w:right w:val="none" w:sz="0" w:space="0" w:color="auto"/>
      </w:divBdr>
    </w:div>
    <w:div w:id="660503338">
      <w:bodyDiv w:val="1"/>
      <w:marLeft w:val="0"/>
      <w:marRight w:val="0"/>
      <w:marTop w:val="0"/>
      <w:marBottom w:val="0"/>
      <w:divBdr>
        <w:top w:val="none" w:sz="0" w:space="0" w:color="auto"/>
        <w:left w:val="none" w:sz="0" w:space="0" w:color="auto"/>
        <w:bottom w:val="none" w:sz="0" w:space="0" w:color="auto"/>
        <w:right w:val="none" w:sz="0" w:space="0" w:color="auto"/>
      </w:divBdr>
    </w:div>
    <w:div w:id="666518074">
      <w:bodyDiv w:val="1"/>
      <w:marLeft w:val="0"/>
      <w:marRight w:val="0"/>
      <w:marTop w:val="0"/>
      <w:marBottom w:val="0"/>
      <w:divBdr>
        <w:top w:val="none" w:sz="0" w:space="0" w:color="auto"/>
        <w:left w:val="none" w:sz="0" w:space="0" w:color="auto"/>
        <w:bottom w:val="none" w:sz="0" w:space="0" w:color="auto"/>
        <w:right w:val="none" w:sz="0" w:space="0" w:color="auto"/>
      </w:divBdr>
    </w:div>
    <w:div w:id="669256709">
      <w:bodyDiv w:val="1"/>
      <w:marLeft w:val="0"/>
      <w:marRight w:val="0"/>
      <w:marTop w:val="0"/>
      <w:marBottom w:val="0"/>
      <w:divBdr>
        <w:top w:val="none" w:sz="0" w:space="0" w:color="auto"/>
        <w:left w:val="none" w:sz="0" w:space="0" w:color="auto"/>
        <w:bottom w:val="none" w:sz="0" w:space="0" w:color="auto"/>
        <w:right w:val="none" w:sz="0" w:space="0" w:color="auto"/>
      </w:divBdr>
    </w:div>
    <w:div w:id="674500201">
      <w:bodyDiv w:val="1"/>
      <w:marLeft w:val="0"/>
      <w:marRight w:val="0"/>
      <w:marTop w:val="0"/>
      <w:marBottom w:val="0"/>
      <w:divBdr>
        <w:top w:val="none" w:sz="0" w:space="0" w:color="auto"/>
        <w:left w:val="none" w:sz="0" w:space="0" w:color="auto"/>
        <w:bottom w:val="none" w:sz="0" w:space="0" w:color="auto"/>
        <w:right w:val="none" w:sz="0" w:space="0" w:color="auto"/>
      </w:divBdr>
    </w:div>
    <w:div w:id="696077186">
      <w:bodyDiv w:val="1"/>
      <w:marLeft w:val="0"/>
      <w:marRight w:val="0"/>
      <w:marTop w:val="0"/>
      <w:marBottom w:val="0"/>
      <w:divBdr>
        <w:top w:val="none" w:sz="0" w:space="0" w:color="auto"/>
        <w:left w:val="none" w:sz="0" w:space="0" w:color="auto"/>
        <w:bottom w:val="none" w:sz="0" w:space="0" w:color="auto"/>
        <w:right w:val="none" w:sz="0" w:space="0" w:color="auto"/>
      </w:divBdr>
    </w:div>
    <w:div w:id="701857415">
      <w:bodyDiv w:val="1"/>
      <w:marLeft w:val="0"/>
      <w:marRight w:val="0"/>
      <w:marTop w:val="0"/>
      <w:marBottom w:val="0"/>
      <w:divBdr>
        <w:top w:val="none" w:sz="0" w:space="0" w:color="auto"/>
        <w:left w:val="none" w:sz="0" w:space="0" w:color="auto"/>
        <w:bottom w:val="none" w:sz="0" w:space="0" w:color="auto"/>
        <w:right w:val="none" w:sz="0" w:space="0" w:color="auto"/>
      </w:divBdr>
    </w:div>
    <w:div w:id="716272518">
      <w:bodyDiv w:val="1"/>
      <w:marLeft w:val="0"/>
      <w:marRight w:val="0"/>
      <w:marTop w:val="0"/>
      <w:marBottom w:val="0"/>
      <w:divBdr>
        <w:top w:val="none" w:sz="0" w:space="0" w:color="auto"/>
        <w:left w:val="none" w:sz="0" w:space="0" w:color="auto"/>
        <w:bottom w:val="none" w:sz="0" w:space="0" w:color="auto"/>
        <w:right w:val="none" w:sz="0" w:space="0" w:color="auto"/>
      </w:divBdr>
    </w:div>
    <w:div w:id="718355823">
      <w:bodyDiv w:val="1"/>
      <w:marLeft w:val="0"/>
      <w:marRight w:val="0"/>
      <w:marTop w:val="0"/>
      <w:marBottom w:val="0"/>
      <w:divBdr>
        <w:top w:val="none" w:sz="0" w:space="0" w:color="auto"/>
        <w:left w:val="none" w:sz="0" w:space="0" w:color="auto"/>
        <w:bottom w:val="none" w:sz="0" w:space="0" w:color="auto"/>
        <w:right w:val="none" w:sz="0" w:space="0" w:color="auto"/>
      </w:divBdr>
    </w:div>
    <w:div w:id="718626433">
      <w:bodyDiv w:val="1"/>
      <w:marLeft w:val="0"/>
      <w:marRight w:val="0"/>
      <w:marTop w:val="0"/>
      <w:marBottom w:val="0"/>
      <w:divBdr>
        <w:top w:val="none" w:sz="0" w:space="0" w:color="auto"/>
        <w:left w:val="none" w:sz="0" w:space="0" w:color="auto"/>
        <w:bottom w:val="none" w:sz="0" w:space="0" w:color="auto"/>
        <w:right w:val="none" w:sz="0" w:space="0" w:color="auto"/>
      </w:divBdr>
    </w:div>
    <w:div w:id="723941628">
      <w:bodyDiv w:val="1"/>
      <w:marLeft w:val="0"/>
      <w:marRight w:val="0"/>
      <w:marTop w:val="0"/>
      <w:marBottom w:val="0"/>
      <w:divBdr>
        <w:top w:val="none" w:sz="0" w:space="0" w:color="auto"/>
        <w:left w:val="none" w:sz="0" w:space="0" w:color="auto"/>
        <w:bottom w:val="none" w:sz="0" w:space="0" w:color="auto"/>
        <w:right w:val="none" w:sz="0" w:space="0" w:color="auto"/>
      </w:divBdr>
    </w:div>
    <w:div w:id="751970453">
      <w:bodyDiv w:val="1"/>
      <w:marLeft w:val="0"/>
      <w:marRight w:val="0"/>
      <w:marTop w:val="0"/>
      <w:marBottom w:val="0"/>
      <w:divBdr>
        <w:top w:val="none" w:sz="0" w:space="0" w:color="auto"/>
        <w:left w:val="none" w:sz="0" w:space="0" w:color="auto"/>
        <w:bottom w:val="none" w:sz="0" w:space="0" w:color="auto"/>
        <w:right w:val="none" w:sz="0" w:space="0" w:color="auto"/>
      </w:divBdr>
    </w:div>
    <w:div w:id="780875226">
      <w:bodyDiv w:val="1"/>
      <w:marLeft w:val="0"/>
      <w:marRight w:val="0"/>
      <w:marTop w:val="0"/>
      <w:marBottom w:val="0"/>
      <w:divBdr>
        <w:top w:val="none" w:sz="0" w:space="0" w:color="auto"/>
        <w:left w:val="none" w:sz="0" w:space="0" w:color="auto"/>
        <w:bottom w:val="none" w:sz="0" w:space="0" w:color="auto"/>
        <w:right w:val="none" w:sz="0" w:space="0" w:color="auto"/>
      </w:divBdr>
    </w:div>
    <w:div w:id="824050867">
      <w:bodyDiv w:val="1"/>
      <w:marLeft w:val="0"/>
      <w:marRight w:val="0"/>
      <w:marTop w:val="0"/>
      <w:marBottom w:val="0"/>
      <w:divBdr>
        <w:top w:val="none" w:sz="0" w:space="0" w:color="auto"/>
        <w:left w:val="none" w:sz="0" w:space="0" w:color="auto"/>
        <w:bottom w:val="none" w:sz="0" w:space="0" w:color="auto"/>
        <w:right w:val="none" w:sz="0" w:space="0" w:color="auto"/>
      </w:divBdr>
    </w:div>
    <w:div w:id="831334811">
      <w:bodyDiv w:val="1"/>
      <w:marLeft w:val="0"/>
      <w:marRight w:val="0"/>
      <w:marTop w:val="0"/>
      <w:marBottom w:val="0"/>
      <w:divBdr>
        <w:top w:val="none" w:sz="0" w:space="0" w:color="auto"/>
        <w:left w:val="none" w:sz="0" w:space="0" w:color="auto"/>
        <w:bottom w:val="none" w:sz="0" w:space="0" w:color="auto"/>
        <w:right w:val="none" w:sz="0" w:space="0" w:color="auto"/>
      </w:divBdr>
    </w:div>
    <w:div w:id="849412361">
      <w:bodyDiv w:val="1"/>
      <w:marLeft w:val="0"/>
      <w:marRight w:val="0"/>
      <w:marTop w:val="0"/>
      <w:marBottom w:val="0"/>
      <w:divBdr>
        <w:top w:val="none" w:sz="0" w:space="0" w:color="auto"/>
        <w:left w:val="none" w:sz="0" w:space="0" w:color="auto"/>
        <w:bottom w:val="none" w:sz="0" w:space="0" w:color="auto"/>
        <w:right w:val="none" w:sz="0" w:space="0" w:color="auto"/>
      </w:divBdr>
    </w:div>
    <w:div w:id="854149806">
      <w:bodyDiv w:val="1"/>
      <w:marLeft w:val="0"/>
      <w:marRight w:val="0"/>
      <w:marTop w:val="0"/>
      <w:marBottom w:val="0"/>
      <w:divBdr>
        <w:top w:val="none" w:sz="0" w:space="0" w:color="auto"/>
        <w:left w:val="none" w:sz="0" w:space="0" w:color="auto"/>
        <w:bottom w:val="none" w:sz="0" w:space="0" w:color="auto"/>
        <w:right w:val="none" w:sz="0" w:space="0" w:color="auto"/>
      </w:divBdr>
    </w:div>
    <w:div w:id="858930409">
      <w:bodyDiv w:val="1"/>
      <w:marLeft w:val="0"/>
      <w:marRight w:val="0"/>
      <w:marTop w:val="0"/>
      <w:marBottom w:val="0"/>
      <w:divBdr>
        <w:top w:val="none" w:sz="0" w:space="0" w:color="auto"/>
        <w:left w:val="none" w:sz="0" w:space="0" w:color="auto"/>
        <w:bottom w:val="none" w:sz="0" w:space="0" w:color="auto"/>
        <w:right w:val="none" w:sz="0" w:space="0" w:color="auto"/>
      </w:divBdr>
    </w:div>
    <w:div w:id="883248460">
      <w:bodyDiv w:val="1"/>
      <w:marLeft w:val="0"/>
      <w:marRight w:val="0"/>
      <w:marTop w:val="0"/>
      <w:marBottom w:val="0"/>
      <w:divBdr>
        <w:top w:val="none" w:sz="0" w:space="0" w:color="auto"/>
        <w:left w:val="none" w:sz="0" w:space="0" w:color="auto"/>
        <w:bottom w:val="none" w:sz="0" w:space="0" w:color="auto"/>
        <w:right w:val="none" w:sz="0" w:space="0" w:color="auto"/>
      </w:divBdr>
    </w:div>
    <w:div w:id="905068837">
      <w:bodyDiv w:val="1"/>
      <w:marLeft w:val="0"/>
      <w:marRight w:val="0"/>
      <w:marTop w:val="0"/>
      <w:marBottom w:val="0"/>
      <w:divBdr>
        <w:top w:val="none" w:sz="0" w:space="0" w:color="auto"/>
        <w:left w:val="none" w:sz="0" w:space="0" w:color="auto"/>
        <w:bottom w:val="none" w:sz="0" w:space="0" w:color="auto"/>
        <w:right w:val="none" w:sz="0" w:space="0" w:color="auto"/>
      </w:divBdr>
    </w:div>
    <w:div w:id="914630294">
      <w:bodyDiv w:val="1"/>
      <w:marLeft w:val="0"/>
      <w:marRight w:val="0"/>
      <w:marTop w:val="0"/>
      <w:marBottom w:val="0"/>
      <w:divBdr>
        <w:top w:val="none" w:sz="0" w:space="0" w:color="auto"/>
        <w:left w:val="none" w:sz="0" w:space="0" w:color="auto"/>
        <w:bottom w:val="none" w:sz="0" w:space="0" w:color="auto"/>
        <w:right w:val="none" w:sz="0" w:space="0" w:color="auto"/>
      </w:divBdr>
    </w:div>
    <w:div w:id="941378968">
      <w:bodyDiv w:val="1"/>
      <w:marLeft w:val="0"/>
      <w:marRight w:val="0"/>
      <w:marTop w:val="0"/>
      <w:marBottom w:val="0"/>
      <w:divBdr>
        <w:top w:val="none" w:sz="0" w:space="0" w:color="auto"/>
        <w:left w:val="none" w:sz="0" w:space="0" w:color="auto"/>
        <w:bottom w:val="none" w:sz="0" w:space="0" w:color="auto"/>
        <w:right w:val="none" w:sz="0" w:space="0" w:color="auto"/>
      </w:divBdr>
      <w:divsChild>
        <w:div w:id="1844129730">
          <w:marLeft w:val="0"/>
          <w:marRight w:val="0"/>
          <w:marTop w:val="0"/>
          <w:marBottom w:val="0"/>
          <w:divBdr>
            <w:top w:val="none" w:sz="0" w:space="0" w:color="auto"/>
            <w:left w:val="none" w:sz="0" w:space="0" w:color="auto"/>
            <w:bottom w:val="single" w:sz="6" w:space="0" w:color="D8D8D8"/>
            <w:right w:val="none" w:sz="0" w:space="0" w:color="auto"/>
          </w:divBdr>
        </w:div>
        <w:div w:id="944340312">
          <w:marLeft w:val="0"/>
          <w:marRight w:val="0"/>
          <w:marTop w:val="0"/>
          <w:marBottom w:val="0"/>
          <w:divBdr>
            <w:top w:val="none" w:sz="0" w:space="0" w:color="auto"/>
            <w:left w:val="none" w:sz="0" w:space="0" w:color="auto"/>
            <w:bottom w:val="single" w:sz="6" w:space="0" w:color="D8D8D8"/>
            <w:right w:val="none" w:sz="0" w:space="0" w:color="auto"/>
          </w:divBdr>
        </w:div>
        <w:div w:id="907109144">
          <w:marLeft w:val="0"/>
          <w:marRight w:val="0"/>
          <w:marTop w:val="0"/>
          <w:marBottom w:val="0"/>
          <w:divBdr>
            <w:top w:val="none" w:sz="0" w:space="0" w:color="auto"/>
            <w:left w:val="none" w:sz="0" w:space="0" w:color="auto"/>
            <w:bottom w:val="single" w:sz="6" w:space="0" w:color="D8D8D8"/>
            <w:right w:val="none" w:sz="0" w:space="0" w:color="auto"/>
          </w:divBdr>
        </w:div>
      </w:divsChild>
    </w:div>
    <w:div w:id="1040398008">
      <w:bodyDiv w:val="1"/>
      <w:marLeft w:val="0"/>
      <w:marRight w:val="0"/>
      <w:marTop w:val="0"/>
      <w:marBottom w:val="0"/>
      <w:divBdr>
        <w:top w:val="none" w:sz="0" w:space="0" w:color="auto"/>
        <w:left w:val="none" w:sz="0" w:space="0" w:color="auto"/>
        <w:bottom w:val="none" w:sz="0" w:space="0" w:color="auto"/>
        <w:right w:val="none" w:sz="0" w:space="0" w:color="auto"/>
      </w:divBdr>
    </w:div>
    <w:div w:id="1040469889">
      <w:bodyDiv w:val="1"/>
      <w:marLeft w:val="0"/>
      <w:marRight w:val="0"/>
      <w:marTop w:val="0"/>
      <w:marBottom w:val="0"/>
      <w:divBdr>
        <w:top w:val="none" w:sz="0" w:space="0" w:color="auto"/>
        <w:left w:val="none" w:sz="0" w:space="0" w:color="auto"/>
        <w:bottom w:val="none" w:sz="0" w:space="0" w:color="auto"/>
        <w:right w:val="none" w:sz="0" w:space="0" w:color="auto"/>
      </w:divBdr>
    </w:div>
    <w:div w:id="1056470907">
      <w:bodyDiv w:val="1"/>
      <w:marLeft w:val="0"/>
      <w:marRight w:val="0"/>
      <w:marTop w:val="0"/>
      <w:marBottom w:val="0"/>
      <w:divBdr>
        <w:top w:val="none" w:sz="0" w:space="0" w:color="auto"/>
        <w:left w:val="none" w:sz="0" w:space="0" w:color="auto"/>
        <w:bottom w:val="none" w:sz="0" w:space="0" w:color="auto"/>
        <w:right w:val="none" w:sz="0" w:space="0" w:color="auto"/>
      </w:divBdr>
    </w:div>
    <w:div w:id="1063215626">
      <w:bodyDiv w:val="1"/>
      <w:marLeft w:val="0"/>
      <w:marRight w:val="0"/>
      <w:marTop w:val="0"/>
      <w:marBottom w:val="0"/>
      <w:divBdr>
        <w:top w:val="none" w:sz="0" w:space="0" w:color="auto"/>
        <w:left w:val="none" w:sz="0" w:space="0" w:color="auto"/>
        <w:bottom w:val="none" w:sz="0" w:space="0" w:color="auto"/>
        <w:right w:val="none" w:sz="0" w:space="0" w:color="auto"/>
      </w:divBdr>
    </w:div>
    <w:div w:id="1207067559">
      <w:bodyDiv w:val="1"/>
      <w:marLeft w:val="0"/>
      <w:marRight w:val="0"/>
      <w:marTop w:val="0"/>
      <w:marBottom w:val="0"/>
      <w:divBdr>
        <w:top w:val="none" w:sz="0" w:space="0" w:color="auto"/>
        <w:left w:val="none" w:sz="0" w:space="0" w:color="auto"/>
        <w:bottom w:val="none" w:sz="0" w:space="0" w:color="auto"/>
        <w:right w:val="none" w:sz="0" w:space="0" w:color="auto"/>
      </w:divBdr>
    </w:div>
    <w:div w:id="1254626063">
      <w:bodyDiv w:val="1"/>
      <w:marLeft w:val="0"/>
      <w:marRight w:val="0"/>
      <w:marTop w:val="0"/>
      <w:marBottom w:val="0"/>
      <w:divBdr>
        <w:top w:val="none" w:sz="0" w:space="0" w:color="auto"/>
        <w:left w:val="none" w:sz="0" w:space="0" w:color="auto"/>
        <w:bottom w:val="none" w:sz="0" w:space="0" w:color="auto"/>
        <w:right w:val="none" w:sz="0" w:space="0" w:color="auto"/>
      </w:divBdr>
    </w:div>
    <w:div w:id="1268463191">
      <w:bodyDiv w:val="1"/>
      <w:marLeft w:val="0"/>
      <w:marRight w:val="0"/>
      <w:marTop w:val="0"/>
      <w:marBottom w:val="0"/>
      <w:divBdr>
        <w:top w:val="none" w:sz="0" w:space="0" w:color="auto"/>
        <w:left w:val="none" w:sz="0" w:space="0" w:color="auto"/>
        <w:bottom w:val="none" w:sz="0" w:space="0" w:color="auto"/>
        <w:right w:val="none" w:sz="0" w:space="0" w:color="auto"/>
      </w:divBdr>
    </w:div>
    <w:div w:id="1270506521">
      <w:bodyDiv w:val="1"/>
      <w:marLeft w:val="0"/>
      <w:marRight w:val="0"/>
      <w:marTop w:val="0"/>
      <w:marBottom w:val="0"/>
      <w:divBdr>
        <w:top w:val="none" w:sz="0" w:space="0" w:color="auto"/>
        <w:left w:val="none" w:sz="0" w:space="0" w:color="auto"/>
        <w:bottom w:val="none" w:sz="0" w:space="0" w:color="auto"/>
        <w:right w:val="none" w:sz="0" w:space="0" w:color="auto"/>
      </w:divBdr>
    </w:div>
    <w:div w:id="1317994622">
      <w:bodyDiv w:val="1"/>
      <w:marLeft w:val="0"/>
      <w:marRight w:val="0"/>
      <w:marTop w:val="0"/>
      <w:marBottom w:val="0"/>
      <w:divBdr>
        <w:top w:val="none" w:sz="0" w:space="0" w:color="auto"/>
        <w:left w:val="none" w:sz="0" w:space="0" w:color="auto"/>
        <w:bottom w:val="none" w:sz="0" w:space="0" w:color="auto"/>
        <w:right w:val="none" w:sz="0" w:space="0" w:color="auto"/>
      </w:divBdr>
    </w:div>
    <w:div w:id="1321692281">
      <w:bodyDiv w:val="1"/>
      <w:marLeft w:val="0"/>
      <w:marRight w:val="0"/>
      <w:marTop w:val="0"/>
      <w:marBottom w:val="0"/>
      <w:divBdr>
        <w:top w:val="none" w:sz="0" w:space="0" w:color="auto"/>
        <w:left w:val="none" w:sz="0" w:space="0" w:color="auto"/>
        <w:bottom w:val="none" w:sz="0" w:space="0" w:color="auto"/>
        <w:right w:val="none" w:sz="0" w:space="0" w:color="auto"/>
      </w:divBdr>
    </w:div>
    <w:div w:id="1341815551">
      <w:bodyDiv w:val="1"/>
      <w:marLeft w:val="0"/>
      <w:marRight w:val="0"/>
      <w:marTop w:val="0"/>
      <w:marBottom w:val="0"/>
      <w:divBdr>
        <w:top w:val="none" w:sz="0" w:space="0" w:color="auto"/>
        <w:left w:val="none" w:sz="0" w:space="0" w:color="auto"/>
        <w:bottom w:val="none" w:sz="0" w:space="0" w:color="auto"/>
        <w:right w:val="none" w:sz="0" w:space="0" w:color="auto"/>
      </w:divBdr>
      <w:divsChild>
        <w:div w:id="997347489">
          <w:marLeft w:val="446"/>
          <w:marRight w:val="0"/>
          <w:marTop w:val="0"/>
          <w:marBottom w:val="0"/>
          <w:divBdr>
            <w:top w:val="none" w:sz="0" w:space="0" w:color="auto"/>
            <w:left w:val="none" w:sz="0" w:space="0" w:color="auto"/>
            <w:bottom w:val="none" w:sz="0" w:space="0" w:color="auto"/>
            <w:right w:val="none" w:sz="0" w:space="0" w:color="auto"/>
          </w:divBdr>
        </w:div>
      </w:divsChild>
    </w:div>
    <w:div w:id="1352410870">
      <w:bodyDiv w:val="1"/>
      <w:marLeft w:val="0"/>
      <w:marRight w:val="0"/>
      <w:marTop w:val="0"/>
      <w:marBottom w:val="0"/>
      <w:divBdr>
        <w:top w:val="none" w:sz="0" w:space="0" w:color="auto"/>
        <w:left w:val="none" w:sz="0" w:space="0" w:color="auto"/>
        <w:bottom w:val="none" w:sz="0" w:space="0" w:color="auto"/>
        <w:right w:val="none" w:sz="0" w:space="0" w:color="auto"/>
      </w:divBdr>
    </w:div>
    <w:div w:id="1353337988">
      <w:bodyDiv w:val="1"/>
      <w:marLeft w:val="0"/>
      <w:marRight w:val="0"/>
      <w:marTop w:val="0"/>
      <w:marBottom w:val="0"/>
      <w:divBdr>
        <w:top w:val="none" w:sz="0" w:space="0" w:color="auto"/>
        <w:left w:val="none" w:sz="0" w:space="0" w:color="auto"/>
        <w:bottom w:val="none" w:sz="0" w:space="0" w:color="auto"/>
        <w:right w:val="none" w:sz="0" w:space="0" w:color="auto"/>
      </w:divBdr>
    </w:div>
    <w:div w:id="1362590867">
      <w:bodyDiv w:val="1"/>
      <w:marLeft w:val="0"/>
      <w:marRight w:val="0"/>
      <w:marTop w:val="0"/>
      <w:marBottom w:val="0"/>
      <w:divBdr>
        <w:top w:val="none" w:sz="0" w:space="0" w:color="auto"/>
        <w:left w:val="none" w:sz="0" w:space="0" w:color="auto"/>
        <w:bottom w:val="none" w:sz="0" w:space="0" w:color="auto"/>
        <w:right w:val="none" w:sz="0" w:space="0" w:color="auto"/>
      </w:divBdr>
    </w:div>
    <w:div w:id="1392390946">
      <w:bodyDiv w:val="1"/>
      <w:marLeft w:val="0"/>
      <w:marRight w:val="0"/>
      <w:marTop w:val="0"/>
      <w:marBottom w:val="0"/>
      <w:divBdr>
        <w:top w:val="none" w:sz="0" w:space="0" w:color="auto"/>
        <w:left w:val="none" w:sz="0" w:space="0" w:color="auto"/>
        <w:bottom w:val="none" w:sz="0" w:space="0" w:color="auto"/>
        <w:right w:val="none" w:sz="0" w:space="0" w:color="auto"/>
      </w:divBdr>
    </w:div>
    <w:div w:id="1402210682">
      <w:bodyDiv w:val="1"/>
      <w:marLeft w:val="0"/>
      <w:marRight w:val="0"/>
      <w:marTop w:val="0"/>
      <w:marBottom w:val="0"/>
      <w:divBdr>
        <w:top w:val="none" w:sz="0" w:space="0" w:color="auto"/>
        <w:left w:val="none" w:sz="0" w:space="0" w:color="auto"/>
        <w:bottom w:val="none" w:sz="0" w:space="0" w:color="auto"/>
        <w:right w:val="none" w:sz="0" w:space="0" w:color="auto"/>
      </w:divBdr>
    </w:div>
    <w:div w:id="1413041532">
      <w:bodyDiv w:val="1"/>
      <w:marLeft w:val="0"/>
      <w:marRight w:val="0"/>
      <w:marTop w:val="0"/>
      <w:marBottom w:val="0"/>
      <w:divBdr>
        <w:top w:val="none" w:sz="0" w:space="0" w:color="auto"/>
        <w:left w:val="none" w:sz="0" w:space="0" w:color="auto"/>
        <w:bottom w:val="none" w:sz="0" w:space="0" w:color="auto"/>
        <w:right w:val="none" w:sz="0" w:space="0" w:color="auto"/>
      </w:divBdr>
    </w:div>
    <w:div w:id="1417944854">
      <w:bodyDiv w:val="1"/>
      <w:marLeft w:val="0"/>
      <w:marRight w:val="0"/>
      <w:marTop w:val="0"/>
      <w:marBottom w:val="0"/>
      <w:divBdr>
        <w:top w:val="none" w:sz="0" w:space="0" w:color="auto"/>
        <w:left w:val="none" w:sz="0" w:space="0" w:color="auto"/>
        <w:bottom w:val="none" w:sz="0" w:space="0" w:color="auto"/>
        <w:right w:val="none" w:sz="0" w:space="0" w:color="auto"/>
      </w:divBdr>
    </w:div>
    <w:div w:id="1473522522">
      <w:bodyDiv w:val="1"/>
      <w:marLeft w:val="0"/>
      <w:marRight w:val="0"/>
      <w:marTop w:val="0"/>
      <w:marBottom w:val="0"/>
      <w:divBdr>
        <w:top w:val="none" w:sz="0" w:space="0" w:color="auto"/>
        <w:left w:val="none" w:sz="0" w:space="0" w:color="auto"/>
        <w:bottom w:val="none" w:sz="0" w:space="0" w:color="auto"/>
        <w:right w:val="none" w:sz="0" w:space="0" w:color="auto"/>
      </w:divBdr>
    </w:div>
    <w:div w:id="1478648647">
      <w:bodyDiv w:val="1"/>
      <w:marLeft w:val="0"/>
      <w:marRight w:val="0"/>
      <w:marTop w:val="0"/>
      <w:marBottom w:val="0"/>
      <w:divBdr>
        <w:top w:val="none" w:sz="0" w:space="0" w:color="auto"/>
        <w:left w:val="none" w:sz="0" w:space="0" w:color="auto"/>
        <w:bottom w:val="none" w:sz="0" w:space="0" w:color="auto"/>
        <w:right w:val="none" w:sz="0" w:space="0" w:color="auto"/>
      </w:divBdr>
    </w:div>
    <w:div w:id="1529955105">
      <w:bodyDiv w:val="1"/>
      <w:marLeft w:val="0"/>
      <w:marRight w:val="0"/>
      <w:marTop w:val="0"/>
      <w:marBottom w:val="0"/>
      <w:divBdr>
        <w:top w:val="none" w:sz="0" w:space="0" w:color="auto"/>
        <w:left w:val="none" w:sz="0" w:space="0" w:color="auto"/>
        <w:bottom w:val="none" w:sz="0" w:space="0" w:color="auto"/>
        <w:right w:val="none" w:sz="0" w:space="0" w:color="auto"/>
      </w:divBdr>
    </w:div>
    <w:div w:id="1546018595">
      <w:bodyDiv w:val="1"/>
      <w:marLeft w:val="0"/>
      <w:marRight w:val="0"/>
      <w:marTop w:val="0"/>
      <w:marBottom w:val="0"/>
      <w:divBdr>
        <w:top w:val="none" w:sz="0" w:space="0" w:color="auto"/>
        <w:left w:val="none" w:sz="0" w:space="0" w:color="auto"/>
        <w:bottom w:val="none" w:sz="0" w:space="0" w:color="auto"/>
        <w:right w:val="none" w:sz="0" w:space="0" w:color="auto"/>
      </w:divBdr>
    </w:div>
    <w:div w:id="1560242460">
      <w:bodyDiv w:val="1"/>
      <w:marLeft w:val="0"/>
      <w:marRight w:val="0"/>
      <w:marTop w:val="0"/>
      <w:marBottom w:val="0"/>
      <w:divBdr>
        <w:top w:val="none" w:sz="0" w:space="0" w:color="auto"/>
        <w:left w:val="none" w:sz="0" w:space="0" w:color="auto"/>
        <w:bottom w:val="none" w:sz="0" w:space="0" w:color="auto"/>
        <w:right w:val="none" w:sz="0" w:space="0" w:color="auto"/>
      </w:divBdr>
    </w:div>
    <w:div w:id="1589847894">
      <w:bodyDiv w:val="1"/>
      <w:marLeft w:val="0"/>
      <w:marRight w:val="0"/>
      <w:marTop w:val="0"/>
      <w:marBottom w:val="0"/>
      <w:divBdr>
        <w:top w:val="none" w:sz="0" w:space="0" w:color="auto"/>
        <w:left w:val="none" w:sz="0" w:space="0" w:color="auto"/>
        <w:bottom w:val="none" w:sz="0" w:space="0" w:color="auto"/>
        <w:right w:val="none" w:sz="0" w:space="0" w:color="auto"/>
      </w:divBdr>
    </w:div>
    <w:div w:id="1618373516">
      <w:bodyDiv w:val="1"/>
      <w:marLeft w:val="0"/>
      <w:marRight w:val="0"/>
      <w:marTop w:val="0"/>
      <w:marBottom w:val="0"/>
      <w:divBdr>
        <w:top w:val="none" w:sz="0" w:space="0" w:color="auto"/>
        <w:left w:val="none" w:sz="0" w:space="0" w:color="auto"/>
        <w:bottom w:val="none" w:sz="0" w:space="0" w:color="auto"/>
        <w:right w:val="none" w:sz="0" w:space="0" w:color="auto"/>
      </w:divBdr>
    </w:div>
    <w:div w:id="1628898865">
      <w:bodyDiv w:val="1"/>
      <w:marLeft w:val="0"/>
      <w:marRight w:val="0"/>
      <w:marTop w:val="0"/>
      <w:marBottom w:val="0"/>
      <w:divBdr>
        <w:top w:val="none" w:sz="0" w:space="0" w:color="auto"/>
        <w:left w:val="none" w:sz="0" w:space="0" w:color="auto"/>
        <w:bottom w:val="none" w:sz="0" w:space="0" w:color="auto"/>
        <w:right w:val="none" w:sz="0" w:space="0" w:color="auto"/>
      </w:divBdr>
    </w:div>
    <w:div w:id="1633487707">
      <w:bodyDiv w:val="1"/>
      <w:marLeft w:val="0"/>
      <w:marRight w:val="0"/>
      <w:marTop w:val="0"/>
      <w:marBottom w:val="0"/>
      <w:divBdr>
        <w:top w:val="none" w:sz="0" w:space="0" w:color="auto"/>
        <w:left w:val="none" w:sz="0" w:space="0" w:color="auto"/>
        <w:bottom w:val="none" w:sz="0" w:space="0" w:color="auto"/>
        <w:right w:val="none" w:sz="0" w:space="0" w:color="auto"/>
      </w:divBdr>
    </w:div>
    <w:div w:id="1659650139">
      <w:bodyDiv w:val="1"/>
      <w:marLeft w:val="0"/>
      <w:marRight w:val="0"/>
      <w:marTop w:val="0"/>
      <w:marBottom w:val="0"/>
      <w:divBdr>
        <w:top w:val="none" w:sz="0" w:space="0" w:color="auto"/>
        <w:left w:val="none" w:sz="0" w:space="0" w:color="auto"/>
        <w:bottom w:val="none" w:sz="0" w:space="0" w:color="auto"/>
        <w:right w:val="none" w:sz="0" w:space="0" w:color="auto"/>
      </w:divBdr>
    </w:div>
    <w:div w:id="1671829188">
      <w:bodyDiv w:val="1"/>
      <w:marLeft w:val="0"/>
      <w:marRight w:val="0"/>
      <w:marTop w:val="0"/>
      <w:marBottom w:val="0"/>
      <w:divBdr>
        <w:top w:val="none" w:sz="0" w:space="0" w:color="auto"/>
        <w:left w:val="none" w:sz="0" w:space="0" w:color="auto"/>
        <w:bottom w:val="none" w:sz="0" w:space="0" w:color="auto"/>
        <w:right w:val="none" w:sz="0" w:space="0" w:color="auto"/>
      </w:divBdr>
    </w:div>
    <w:div w:id="1686397229">
      <w:bodyDiv w:val="1"/>
      <w:marLeft w:val="0"/>
      <w:marRight w:val="0"/>
      <w:marTop w:val="0"/>
      <w:marBottom w:val="0"/>
      <w:divBdr>
        <w:top w:val="none" w:sz="0" w:space="0" w:color="auto"/>
        <w:left w:val="none" w:sz="0" w:space="0" w:color="auto"/>
        <w:bottom w:val="none" w:sz="0" w:space="0" w:color="auto"/>
        <w:right w:val="none" w:sz="0" w:space="0" w:color="auto"/>
      </w:divBdr>
    </w:div>
    <w:div w:id="1703095822">
      <w:bodyDiv w:val="1"/>
      <w:marLeft w:val="0"/>
      <w:marRight w:val="0"/>
      <w:marTop w:val="0"/>
      <w:marBottom w:val="0"/>
      <w:divBdr>
        <w:top w:val="none" w:sz="0" w:space="0" w:color="auto"/>
        <w:left w:val="none" w:sz="0" w:space="0" w:color="auto"/>
        <w:bottom w:val="none" w:sz="0" w:space="0" w:color="auto"/>
        <w:right w:val="none" w:sz="0" w:space="0" w:color="auto"/>
      </w:divBdr>
    </w:div>
    <w:div w:id="1754273884">
      <w:bodyDiv w:val="1"/>
      <w:marLeft w:val="0"/>
      <w:marRight w:val="0"/>
      <w:marTop w:val="0"/>
      <w:marBottom w:val="0"/>
      <w:divBdr>
        <w:top w:val="none" w:sz="0" w:space="0" w:color="auto"/>
        <w:left w:val="none" w:sz="0" w:space="0" w:color="auto"/>
        <w:bottom w:val="none" w:sz="0" w:space="0" w:color="auto"/>
        <w:right w:val="none" w:sz="0" w:space="0" w:color="auto"/>
      </w:divBdr>
    </w:div>
    <w:div w:id="1774468958">
      <w:bodyDiv w:val="1"/>
      <w:marLeft w:val="0"/>
      <w:marRight w:val="0"/>
      <w:marTop w:val="0"/>
      <w:marBottom w:val="0"/>
      <w:divBdr>
        <w:top w:val="none" w:sz="0" w:space="0" w:color="auto"/>
        <w:left w:val="none" w:sz="0" w:space="0" w:color="auto"/>
        <w:bottom w:val="none" w:sz="0" w:space="0" w:color="auto"/>
        <w:right w:val="none" w:sz="0" w:space="0" w:color="auto"/>
      </w:divBdr>
    </w:div>
    <w:div w:id="1790078946">
      <w:bodyDiv w:val="1"/>
      <w:marLeft w:val="0"/>
      <w:marRight w:val="0"/>
      <w:marTop w:val="0"/>
      <w:marBottom w:val="0"/>
      <w:divBdr>
        <w:top w:val="none" w:sz="0" w:space="0" w:color="auto"/>
        <w:left w:val="none" w:sz="0" w:space="0" w:color="auto"/>
        <w:bottom w:val="none" w:sz="0" w:space="0" w:color="auto"/>
        <w:right w:val="none" w:sz="0" w:space="0" w:color="auto"/>
      </w:divBdr>
      <w:divsChild>
        <w:div w:id="50345720">
          <w:marLeft w:val="0"/>
          <w:marRight w:val="0"/>
          <w:marTop w:val="0"/>
          <w:marBottom w:val="0"/>
          <w:divBdr>
            <w:top w:val="none" w:sz="0" w:space="0" w:color="auto"/>
            <w:left w:val="none" w:sz="0" w:space="0" w:color="auto"/>
            <w:bottom w:val="none" w:sz="0" w:space="0" w:color="auto"/>
            <w:right w:val="none" w:sz="0" w:space="0" w:color="auto"/>
          </w:divBdr>
          <w:divsChild>
            <w:div w:id="746460962">
              <w:marLeft w:val="0"/>
              <w:marRight w:val="0"/>
              <w:marTop w:val="0"/>
              <w:marBottom w:val="0"/>
              <w:divBdr>
                <w:top w:val="none" w:sz="0" w:space="0" w:color="auto"/>
                <w:left w:val="none" w:sz="0" w:space="0" w:color="auto"/>
                <w:bottom w:val="none" w:sz="0" w:space="0" w:color="auto"/>
                <w:right w:val="none" w:sz="0" w:space="0" w:color="auto"/>
              </w:divBdr>
              <w:divsChild>
                <w:div w:id="1699429011">
                  <w:marLeft w:val="-240"/>
                  <w:marRight w:val="-240"/>
                  <w:marTop w:val="0"/>
                  <w:marBottom w:val="0"/>
                  <w:divBdr>
                    <w:top w:val="none" w:sz="0" w:space="0" w:color="auto"/>
                    <w:left w:val="none" w:sz="0" w:space="0" w:color="auto"/>
                    <w:bottom w:val="none" w:sz="0" w:space="0" w:color="auto"/>
                    <w:right w:val="none" w:sz="0" w:space="0" w:color="auto"/>
                  </w:divBdr>
                  <w:divsChild>
                    <w:div w:id="1558857879">
                      <w:marLeft w:val="0"/>
                      <w:marRight w:val="0"/>
                      <w:marTop w:val="0"/>
                      <w:marBottom w:val="0"/>
                      <w:divBdr>
                        <w:top w:val="none" w:sz="0" w:space="0" w:color="auto"/>
                        <w:left w:val="none" w:sz="0" w:space="0" w:color="auto"/>
                        <w:bottom w:val="none" w:sz="0" w:space="0" w:color="auto"/>
                        <w:right w:val="none" w:sz="0" w:space="0" w:color="auto"/>
                      </w:divBdr>
                      <w:divsChild>
                        <w:div w:id="83304659">
                          <w:marLeft w:val="0"/>
                          <w:marRight w:val="0"/>
                          <w:marTop w:val="0"/>
                          <w:marBottom w:val="0"/>
                          <w:divBdr>
                            <w:top w:val="none" w:sz="0" w:space="0" w:color="auto"/>
                            <w:left w:val="none" w:sz="0" w:space="0" w:color="auto"/>
                            <w:bottom w:val="none" w:sz="0" w:space="0" w:color="auto"/>
                            <w:right w:val="none" w:sz="0" w:space="0" w:color="auto"/>
                          </w:divBdr>
                          <w:divsChild>
                            <w:div w:id="1257903476">
                              <w:marLeft w:val="165"/>
                              <w:marRight w:val="165"/>
                              <w:marTop w:val="0"/>
                              <w:marBottom w:val="0"/>
                              <w:divBdr>
                                <w:top w:val="none" w:sz="0" w:space="0" w:color="auto"/>
                                <w:left w:val="none" w:sz="0" w:space="0" w:color="auto"/>
                                <w:bottom w:val="none" w:sz="0" w:space="0" w:color="auto"/>
                                <w:right w:val="none" w:sz="0" w:space="0" w:color="auto"/>
                              </w:divBdr>
                              <w:divsChild>
                                <w:div w:id="2054847829">
                                  <w:marLeft w:val="0"/>
                                  <w:marRight w:val="0"/>
                                  <w:marTop w:val="0"/>
                                  <w:marBottom w:val="0"/>
                                  <w:divBdr>
                                    <w:top w:val="none" w:sz="0" w:space="0" w:color="auto"/>
                                    <w:left w:val="none" w:sz="0" w:space="0" w:color="auto"/>
                                    <w:bottom w:val="none" w:sz="0" w:space="0" w:color="auto"/>
                                    <w:right w:val="none" w:sz="0" w:space="0" w:color="auto"/>
                                  </w:divBdr>
                                  <w:divsChild>
                                    <w:div w:id="1581329831">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 w:id="111291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4669021">
      <w:bodyDiv w:val="1"/>
      <w:marLeft w:val="0"/>
      <w:marRight w:val="0"/>
      <w:marTop w:val="0"/>
      <w:marBottom w:val="0"/>
      <w:divBdr>
        <w:top w:val="none" w:sz="0" w:space="0" w:color="auto"/>
        <w:left w:val="none" w:sz="0" w:space="0" w:color="auto"/>
        <w:bottom w:val="none" w:sz="0" w:space="0" w:color="auto"/>
        <w:right w:val="none" w:sz="0" w:space="0" w:color="auto"/>
      </w:divBdr>
    </w:div>
    <w:div w:id="1848788647">
      <w:bodyDiv w:val="1"/>
      <w:marLeft w:val="0"/>
      <w:marRight w:val="0"/>
      <w:marTop w:val="0"/>
      <w:marBottom w:val="0"/>
      <w:divBdr>
        <w:top w:val="none" w:sz="0" w:space="0" w:color="auto"/>
        <w:left w:val="none" w:sz="0" w:space="0" w:color="auto"/>
        <w:bottom w:val="none" w:sz="0" w:space="0" w:color="auto"/>
        <w:right w:val="none" w:sz="0" w:space="0" w:color="auto"/>
      </w:divBdr>
    </w:div>
    <w:div w:id="1872960733">
      <w:bodyDiv w:val="1"/>
      <w:marLeft w:val="0"/>
      <w:marRight w:val="0"/>
      <w:marTop w:val="0"/>
      <w:marBottom w:val="0"/>
      <w:divBdr>
        <w:top w:val="none" w:sz="0" w:space="0" w:color="auto"/>
        <w:left w:val="none" w:sz="0" w:space="0" w:color="auto"/>
        <w:bottom w:val="none" w:sz="0" w:space="0" w:color="auto"/>
        <w:right w:val="none" w:sz="0" w:space="0" w:color="auto"/>
      </w:divBdr>
    </w:div>
    <w:div w:id="1902908197">
      <w:bodyDiv w:val="1"/>
      <w:marLeft w:val="0"/>
      <w:marRight w:val="0"/>
      <w:marTop w:val="0"/>
      <w:marBottom w:val="0"/>
      <w:divBdr>
        <w:top w:val="none" w:sz="0" w:space="0" w:color="auto"/>
        <w:left w:val="none" w:sz="0" w:space="0" w:color="auto"/>
        <w:bottom w:val="none" w:sz="0" w:space="0" w:color="auto"/>
        <w:right w:val="none" w:sz="0" w:space="0" w:color="auto"/>
      </w:divBdr>
    </w:div>
    <w:div w:id="1916695945">
      <w:bodyDiv w:val="1"/>
      <w:marLeft w:val="0"/>
      <w:marRight w:val="0"/>
      <w:marTop w:val="0"/>
      <w:marBottom w:val="0"/>
      <w:divBdr>
        <w:top w:val="none" w:sz="0" w:space="0" w:color="auto"/>
        <w:left w:val="none" w:sz="0" w:space="0" w:color="auto"/>
        <w:bottom w:val="none" w:sz="0" w:space="0" w:color="auto"/>
        <w:right w:val="none" w:sz="0" w:space="0" w:color="auto"/>
      </w:divBdr>
    </w:div>
    <w:div w:id="1935818917">
      <w:bodyDiv w:val="1"/>
      <w:marLeft w:val="0"/>
      <w:marRight w:val="0"/>
      <w:marTop w:val="0"/>
      <w:marBottom w:val="0"/>
      <w:divBdr>
        <w:top w:val="none" w:sz="0" w:space="0" w:color="auto"/>
        <w:left w:val="none" w:sz="0" w:space="0" w:color="auto"/>
        <w:bottom w:val="none" w:sz="0" w:space="0" w:color="auto"/>
        <w:right w:val="none" w:sz="0" w:space="0" w:color="auto"/>
      </w:divBdr>
    </w:div>
    <w:div w:id="1958369383">
      <w:bodyDiv w:val="1"/>
      <w:marLeft w:val="0"/>
      <w:marRight w:val="0"/>
      <w:marTop w:val="0"/>
      <w:marBottom w:val="0"/>
      <w:divBdr>
        <w:top w:val="none" w:sz="0" w:space="0" w:color="auto"/>
        <w:left w:val="none" w:sz="0" w:space="0" w:color="auto"/>
        <w:bottom w:val="none" w:sz="0" w:space="0" w:color="auto"/>
        <w:right w:val="none" w:sz="0" w:space="0" w:color="auto"/>
      </w:divBdr>
    </w:div>
    <w:div w:id="1959213132">
      <w:bodyDiv w:val="1"/>
      <w:marLeft w:val="0"/>
      <w:marRight w:val="0"/>
      <w:marTop w:val="0"/>
      <w:marBottom w:val="0"/>
      <w:divBdr>
        <w:top w:val="none" w:sz="0" w:space="0" w:color="auto"/>
        <w:left w:val="none" w:sz="0" w:space="0" w:color="auto"/>
        <w:bottom w:val="none" w:sz="0" w:space="0" w:color="auto"/>
        <w:right w:val="none" w:sz="0" w:space="0" w:color="auto"/>
      </w:divBdr>
    </w:div>
    <w:div w:id="1973363704">
      <w:bodyDiv w:val="1"/>
      <w:marLeft w:val="0"/>
      <w:marRight w:val="0"/>
      <w:marTop w:val="0"/>
      <w:marBottom w:val="0"/>
      <w:divBdr>
        <w:top w:val="none" w:sz="0" w:space="0" w:color="auto"/>
        <w:left w:val="none" w:sz="0" w:space="0" w:color="auto"/>
        <w:bottom w:val="none" w:sz="0" w:space="0" w:color="auto"/>
        <w:right w:val="none" w:sz="0" w:space="0" w:color="auto"/>
      </w:divBdr>
    </w:div>
    <w:div w:id="1979646637">
      <w:bodyDiv w:val="1"/>
      <w:marLeft w:val="0"/>
      <w:marRight w:val="0"/>
      <w:marTop w:val="0"/>
      <w:marBottom w:val="0"/>
      <w:divBdr>
        <w:top w:val="none" w:sz="0" w:space="0" w:color="auto"/>
        <w:left w:val="none" w:sz="0" w:space="0" w:color="auto"/>
        <w:bottom w:val="none" w:sz="0" w:space="0" w:color="auto"/>
        <w:right w:val="none" w:sz="0" w:space="0" w:color="auto"/>
      </w:divBdr>
    </w:div>
    <w:div w:id="1986735925">
      <w:bodyDiv w:val="1"/>
      <w:marLeft w:val="0"/>
      <w:marRight w:val="0"/>
      <w:marTop w:val="0"/>
      <w:marBottom w:val="0"/>
      <w:divBdr>
        <w:top w:val="none" w:sz="0" w:space="0" w:color="auto"/>
        <w:left w:val="none" w:sz="0" w:space="0" w:color="auto"/>
        <w:bottom w:val="none" w:sz="0" w:space="0" w:color="auto"/>
        <w:right w:val="none" w:sz="0" w:space="0" w:color="auto"/>
      </w:divBdr>
    </w:div>
    <w:div w:id="1988240941">
      <w:bodyDiv w:val="1"/>
      <w:marLeft w:val="0"/>
      <w:marRight w:val="0"/>
      <w:marTop w:val="0"/>
      <w:marBottom w:val="0"/>
      <w:divBdr>
        <w:top w:val="none" w:sz="0" w:space="0" w:color="auto"/>
        <w:left w:val="none" w:sz="0" w:space="0" w:color="auto"/>
        <w:bottom w:val="none" w:sz="0" w:space="0" w:color="auto"/>
        <w:right w:val="none" w:sz="0" w:space="0" w:color="auto"/>
      </w:divBdr>
    </w:div>
    <w:div w:id="2007711456">
      <w:bodyDiv w:val="1"/>
      <w:marLeft w:val="0"/>
      <w:marRight w:val="0"/>
      <w:marTop w:val="0"/>
      <w:marBottom w:val="0"/>
      <w:divBdr>
        <w:top w:val="none" w:sz="0" w:space="0" w:color="auto"/>
        <w:left w:val="none" w:sz="0" w:space="0" w:color="auto"/>
        <w:bottom w:val="none" w:sz="0" w:space="0" w:color="auto"/>
        <w:right w:val="none" w:sz="0" w:space="0" w:color="auto"/>
      </w:divBdr>
    </w:div>
    <w:div w:id="2026205893">
      <w:bodyDiv w:val="1"/>
      <w:marLeft w:val="0"/>
      <w:marRight w:val="0"/>
      <w:marTop w:val="0"/>
      <w:marBottom w:val="0"/>
      <w:divBdr>
        <w:top w:val="none" w:sz="0" w:space="0" w:color="auto"/>
        <w:left w:val="none" w:sz="0" w:space="0" w:color="auto"/>
        <w:bottom w:val="none" w:sz="0" w:space="0" w:color="auto"/>
        <w:right w:val="none" w:sz="0" w:space="0" w:color="auto"/>
      </w:divBdr>
    </w:div>
    <w:div w:id="2039041136">
      <w:bodyDiv w:val="1"/>
      <w:marLeft w:val="0"/>
      <w:marRight w:val="0"/>
      <w:marTop w:val="0"/>
      <w:marBottom w:val="0"/>
      <w:divBdr>
        <w:top w:val="none" w:sz="0" w:space="0" w:color="auto"/>
        <w:left w:val="none" w:sz="0" w:space="0" w:color="auto"/>
        <w:bottom w:val="none" w:sz="0" w:space="0" w:color="auto"/>
        <w:right w:val="none" w:sz="0" w:space="0" w:color="auto"/>
      </w:divBdr>
    </w:div>
    <w:div w:id="2042394684">
      <w:bodyDiv w:val="1"/>
      <w:marLeft w:val="0"/>
      <w:marRight w:val="0"/>
      <w:marTop w:val="0"/>
      <w:marBottom w:val="0"/>
      <w:divBdr>
        <w:top w:val="none" w:sz="0" w:space="0" w:color="auto"/>
        <w:left w:val="none" w:sz="0" w:space="0" w:color="auto"/>
        <w:bottom w:val="none" w:sz="0" w:space="0" w:color="auto"/>
        <w:right w:val="none" w:sz="0" w:space="0" w:color="auto"/>
      </w:divBdr>
    </w:div>
    <w:div w:id="2063670481">
      <w:bodyDiv w:val="1"/>
      <w:marLeft w:val="0"/>
      <w:marRight w:val="0"/>
      <w:marTop w:val="0"/>
      <w:marBottom w:val="0"/>
      <w:divBdr>
        <w:top w:val="none" w:sz="0" w:space="0" w:color="auto"/>
        <w:left w:val="none" w:sz="0" w:space="0" w:color="auto"/>
        <w:bottom w:val="none" w:sz="0" w:space="0" w:color="auto"/>
        <w:right w:val="none" w:sz="0" w:space="0" w:color="auto"/>
      </w:divBdr>
    </w:div>
    <w:div w:id="2099132773">
      <w:bodyDiv w:val="1"/>
      <w:marLeft w:val="0"/>
      <w:marRight w:val="0"/>
      <w:marTop w:val="0"/>
      <w:marBottom w:val="0"/>
      <w:divBdr>
        <w:top w:val="none" w:sz="0" w:space="0" w:color="auto"/>
        <w:left w:val="none" w:sz="0" w:space="0" w:color="auto"/>
        <w:bottom w:val="none" w:sz="0" w:space="0" w:color="auto"/>
        <w:right w:val="none" w:sz="0" w:space="0" w:color="auto"/>
      </w:divBdr>
    </w:div>
    <w:div w:id="2121410606">
      <w:bodyDiv w:val="1"/>
      <w:marLeft w:val="0"/>
      <w:marRight w:val="0"/>
      <w:marTop w:val="0"/>
      <w:marBottom w:val="0"/>
      <w:divBdr>
        <w:top w:val="none" w:sz="0" w:space="0" w:color="auto"/>
        <w:left w:val="none" w:sz="0" w:space="0" w:color="auto"/>
        <w:bottom w:val="none" w:sz="0" w:space="0" w:color="auto"/>
        <w:right w:val="none" w:sz="0" w:space="0" w:color="auto"/>
      </w:divBdr>
    </w:div>
    <w:div w:id="21356339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8.xml"/><Relationship Id="rId21" Type="http://schemas.openxmlformats.org/officeDocument/2006/relationships/chart" Target="charts/chart13.xml"/><Relationship Id="rId34" Type="http://schemas.openxmlformats.org/officeDocument/2006/relationships/chart" Target="charts/chart26.xml"/><Relationship Id="rId42" Type="http://schemas.openxmlformats.org/officeDocument/2006/relationships/image" Target="media/image6.png"/><Relationship Id="rId47" Type="http://schemas.openxmlformats.org/officeDocument/2006/relationships/image" Target="media/image7.emf"/><Relationship Id="rId50" Type="http://schemas.openxmlformats.org/officeDocument/2006/relationships/footer" Target="footer3.xml"/><Relationship Id="rId55" Type="http://schemas.openxmlformats.org/officeDocument/2006/relationships/chart" Target="charts/chart31.xml"/><Relationship Id="rId63" Type="http://schemas.openxmlformats.org/officeDocument/2006/relationships/image" Target="media/image1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chart" Target="charts/chart21.xml"/><Relationship Id="rId11" Type="http://schemas.openxmlformats.org/officeDocument/2006/relationships/chart" Target="charts/chart4.xml"/><Relationship Id="rId24" Type="http://schemas.openxmlformats.org/officeDocument/2006/relationships/chart" Target="charts/chart16.xml"/><Relationship Id="rId32" Type="http://schemas.openxmlformats.org/officeDocument/2006/relationships/chart" Target="charts/chart24.xml"/><Relationship Id="rId37" Type="http://schemas.openxmlformats.org/officeDocument/2006/relationships/image" Target="media/image3.emf"/><Relationship Id="rId40" Type="http://schemas.openxmlformats.org/officeDocument/2006/relationships/image" Target="media/image4.png"/><Relationship Id="rId45" Type="http://schemas.openxmlformats.org/officeDocument/2006/relationships/header" Target="header2.xml"/><Relationship Id="rId53" Type="http://schemas.openxmlformats.org/officeDocument/2006/relationships/image" Target="media/image9.png"/><Relationship Id="rId58" Type="http://schemas.openxmlformats.org/officeDocument/2006/relationships/chart" Target="charts/chart34.xml"/><Relationship Id="rId5" Type="http://schemas.openxmlformats.org/officeDocument/2006/relationships/webSettings" Target="webSettings.xml"/><Relationship Id="rId61" Type="http://schemas.openxmlformats.org/officeDocument/2006/relationships/image" Target="media/image12.png"/><Relationship Id="rId19" Type="http://schemas.openxmlformats.org/officeDocument/2006/relationships/chart" Target="charts/chart12.xml"/><Relationship Id="rId14" Type="http://schemas.openxmlformats.org/officeDocument/2006/relationships/chart" Target="charts/chart7.xm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chart" Target="charts/chart22.xml"/><Relationship Id="rId35" Type="http://schemas.openxmlformats.org/officeDocument/2006/relationships/chart" Target="charts/chart27.xml"/><Relationship Id="rId43" Type="http://schemas.openxmlformats.org/officeDocument/2006/relationships/header" Target="header1.xml"/><Relationship Id="rId48" Type="http://schemas.openxmlformats.org/officeDocument/2006/relationships/image" Target="media/image8.emf"/><Relationship Id="rId56" Type="http://schemas.openxmlformats.org/officeDocument/2006/relationships/chart" Target="charts/chart32.xml"/><Relationship Id="rId64" Type="http://schemas.openxmlformats.org/officeDocument/2006/relationships/fontTable" Target="fontTable.xml"/><Relationship Id="rId8" Type="http://schemas.openxmlformats.org/officeDocument/2006/relationships/chart" Target="charts/chart1.xml"/><Relationship Id="rId51" Type="http://schemas.openxmlformats.org/officeDocument/2006/relationships/header" Target="header4.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7.xml"/><Relationship Id="rId33" Type="http://schemas.openxmlformats.org/officeDocument/2006/relationships/chart" Target="charts/chart25.xml"/><Relationship Id="rId38" Type="http://schemas.openxmlformats.org/officeDocument/2006/relationships/chart" Target="charts/chart29.xml"/><Relationship Id="rId46" Type="http://schemas.openxmlformats.org/officeDocument/2006/relationships/footer" Target="footer2.xml"/><Relationship Id="rId59" Type="http://schemas.openxmlformats.org/officeDocument/2006/relationships/image" Target="media/image10.png"/><Relationship Id="rId20" Type="http://schemas.openxmlformats.org/officeDocument/2006/relationships/image" Target="media/image1.png"/><Relationship Id="rId41" Type="http://schemas.openxmlformats.org/officeDocument/2006/relationships/image" Target="media/image5.png"/><Relationship Id="rId54" Type="http://schemas.openxmlformats.org/officeDocument/2006/relationships/chart" Target="charts/chart30.xml"/><Relationship Id="rId62"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chart" Target="charts/chart28.xml"/><Relationship Id="rId49" Type="http://schemas.openxmlformats.org/officeDocument/2006/relationships/header" Target="header3.xml"/><Relationship Id="rId57" Type="http://schemas.openxmlformats.org/officeDocument/2006/relationships/chart" Target="charts/chart33.xml"/><Relationship Id="rId10" Type="http://schemas.openxmlformats.org/officeDocument/2006/relationships/chart" Target="charts/chart3.xml"/><Relationship Id="rId31" Type="http://schemas.openxmlformats.org/officeDocument/2006/relationships/chart" Target="charts/chart23.xml"/><Relationship Id="rId44" Type="http://schemas.openxmlformats.org/officeDocument/2006/relationships/footer" Target="footer1.xml"/><Relationship Id="rId52" Type="http://schemas.openxmlformats.org/officeDocument/2006/relationships/footer" Target="footer4.xml"/><Relationship Id="rId60" Type="http://schemas.openxmlformats.org/officeDocument/2006/relationships/image" Target="media/image11.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chart" Target="charts/chart6.xml"/><Relationship Id="rId18" Type="http://schemas.openxmlformats.org/officeDocument/2006/relationships/chart" Target="charts/chart11.xml"/><Relationship Id="rId39" Type="http://schemas.openxmlformats.org/officeDocument/2006/relationships/hyperlink" Target="https://likumi.lv/ta/id/340396-par-valsts-budzetu-2023-gadam-un-budzeta-ietvaru-2023-2024-un-2025-gadam"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fm.gov.lv/lv/fsp-2025-2028-gadam" TargetMode="External"/><Relationship Id="rId13" Type="http://schemas.openxmlformats.org/officeDocument/2006/relationships/hyperlink" Target="https://tools.csb.gov.lv/isk/lv" TargetMode="External"/><Relationship Id="rId18" Type="http://schemas.openxmlformats.org/officeDocument/2006/relationships/hyperlink" Target="https://ec.europa.eu/eurostat/databrowser/view/gov_10a_exp/default/table?lang=en" TargetMode="External"/><Relationship Id="rId3" Type="http://schemas.openxmlformats.org/officeDocument/2006/relationships/hyperlink" Target="https://www.mk.gov.lv/lv/media/16704/download?attachment" TargetMode="External"/><Relationship Id="rId21" Type="http://schemas.openxmlformats.org/officeDocument/2006/relationships/hyperlink" Target="https://data.europa.eu/data/datasets/dxhij18bl61dkx4xdskolw?locale=lv" TargetMode="External"/><Relationship Id="rId7" Type="http://schemas.openxmlformats.org/officeDocument/2006/relationships/hyperlink" Target="https://tapportals.mk.gov.lv/legal_acts/1b22acf1-7d8a-413f-95b0-5e23c60029bc" TargetMode="External"/><Relationship Id="rId12" Type="http://schemas.openxmlformats.org/officeDocument/2006/relationships/hyperlink" Target="https://tapportals.mk.gov.lv/legal_acts/1b22acf1-7d8a-413f-95b0-5e23c60029bc" TargetMode="External"/><Relationship Id="rId17" Type="http://schemas.openxmlformats.org/officeDocument/2006/relationships/hyperlink" Target="https://tapportals.mk.gov.lv/legal_acts/1b22acf1-7d8a-413f-95b0-5e23c60029bc" TargetMode="External"/><Relationship Id="rId2" Type="http://schemas.openxmlformats.org/officeDocument/2006/relationships/hyperlink" Target="https://tapportals.mk.gov.lv/legal_acts/1b22acf1-7d8a-413f-95b0-5e23c60029bc" TargetMode="External"/><Relationship Id="rId16" Type="http://schemas.openxmlformats.org/officeDocument/2006/relationships/hyperlink" Target="https://tapportals.mk.gov.lv/legal_acts/11793fd9-6a63-478c-b866-6203ce2c2ab2" TargetMode="External"/><Relationship Id="rId20" Type="http://schemas.openxmlformats.org/officeDocument/2006/relationships/hyperlink" Target="https://tapportals.mk.gov.lv/legal_acts/c633925e-f0b1-4b90-a41a-bea861ebd301" TargetMode="External"/><Relationship Id="rId1" Type="http://schemas.openxmlformats.org/officeDocument/2006/relationships/hyperlink" Target="https://eur-lex.europa.eu/legal-content/LV/TXT/HTML/?uri=OJ:C_202500652" TargetMode="External"/><Relationship Id="rId6" Type="http://schemas.openxmlformats.org/officeDocument/2006/relationships/hyperlink" Target="https://tapportals.mk.gov.lv/legal_acts/b75ce8f5-2802-4b1d-b2a6-5da803f49442" TargetMode="External"/><Relationship Id="rId11" Type="http://schemas.openxmlformats.org/officeDocument/2006/relationships/hyperlink" Target="https://tapportals.mk.gov.lv/legal_acts/1b22acf1-7d8a-413f-95b0-5e23c60029bc" TargetMode="External"/><Relationship Id="rId5" Type="http://schemas.openxmlformats.org/officeDocument/2006/relationships/hyperlink" Target="https://tapportals.mk.gov.lv/legal_acts/f0dbf839-6f49-4542-8632-e3c4b701e03b" TargetMode="External"/><Relationship Id="rId15" Type="http://schemas.openxmlformats.org/officeDocument/2006/relationships/hyperlink" Target="https://tapportals.mk.gov.lv/meetings/protocols/cd13e9b2-cc2e-4358-b9e1-23a0f04ac861" TargetMode="External"/><Relationship Id="rId10" Type="http://schemas.openxmlformats.org/officeDocument/2006/relationships/hyperlink" Target="https://tools.csb.gov.lv/isk/lv" TargetMode="External"/><Relationship Id="rId19" Type="http://schemas.openxmlformats.org/officeDocument/2006/relationships/hyperlink" Target="https://www.fm.gov.lv/lv/valsts-budzeta-2026-gadam-izstrade" TargetMode="External"/><Relationship Id="rId4" Type="http://schemas.openxmlformats.org/officeDocument/2006/relationships/hyperlink" Target="https://tapportals.mk.gov.lv/legal_acts/43d9ef5b-a51b-4f41-8387-e7e17e8e7a97" TargetMode="External"/><Relationship Id="rId9" Type="http://schemas.openxmlformats.org/officeDocument/2006/relationships/hyperlink" Target="https://data.consilium.europa.eu/doc/document/ST-10974-2025-INIT/lv/pdf" TargetMode="External"/><Relationship Id="rId14" Type="http://schemas.openxmlformats.org/officeDocument/2006/relationships/hyperlink" Target="https://tapportals.mk.gov.lv/legal_acts/1b22acf1-7d8a-413f-95b0-5e23c60029bc" TargetMode="External"/><Relationship Id="rId22" Type="http://schemas.openxmlformats.org/officeDocument/2006/relationships/hyperlink" Target="https://www.kase.gov.lv/valsts-parada-vadiba/kas-ir-valsts-parads"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embeddings/oleObject1.bin"/></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https://fmlv.sharepoint.com/sites/TADdoc/Koplietojamie%20dokumenti/S%20disks/Maris%20Katkovskis/Lauksaimniec&#299;ba/LS.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td-jursa\Desktop\BP\Infl&#257;cija_.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5" Type="http://schemas.openxmlformats.org/officeDocument/2006/relationships/chartUserShapes" Target="../drawings/drawing1.xml"/><Relationship Id="rId4" Type="http://schemas.openxmlformats.org/officeDocument/2006/relationships/oleObject" Target="file:///\\fk\tand\TAND\Aleksejs%20Jur&#353;a\MAKRO\Infl&#257;cija\Preses%20rel&#299;zes\Grafiks_infl&#257;cija.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fk\tand\TAND\_Makro_modeli\Infl&#257;cija\Copy%20of%20Inflation_main.xlsx" TargetMode="Externa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2.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8.xml"/><Relationship Id="rId1" Type="http://schemas.microsoft.com/office/2011/relationships/chartStyle" Target="style18.xml"/><Relationship Id="rId5" Type="http://schemas.openxmlformats.org/officeDocument/2006/relationships/chartUserShapes" Target="../drawings/drawing2.xml"/><Relationship Id="rId4" Type="http://schemas.openxmlformats.org/officeDocument/2006/relationships/package" Target="../embeddings/Microsoft_Excel_Worksheet13.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https://fmlv.sharepoint.com/sites/TADdoc/Koplietojamie%20dokumenti/S%20disks/Ieva%20Veja/bud&#382;eta%20paskaidrojumi/2026/disposable%20income%20PPS.xlsx" TargetMode="External"/><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https://fmlv.sharepoint.com/sites/TADdoc/Koplietojamie%20dokumenti/_Prezentacija/Prezentacijas-DATA.xlsx" TargetMode="Externa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https://fmlv.sharepoint.com/sites/TADdoc/Koplietojamie%20dokumenti/_Prezentacija/Prezentacijas-DATA.xlsx" TargetMode="External"/></Relationships>
</file>

<file path=word/charts/_rels/chart23.xml.rels><?xml version="1.0" encoding="UTF-8" standalone="yes"?>
<Relationships xmlns="http://schemas.openxmlformats.org/package/2006/relationships"><Relationship Id="rId2" Type="http://schemas.openxmlformats.org/officeDocument/2006/relationships/oleObject" Target="https://fmlv.sharepoint.com/sites/TADdoc/Koplietojamie%20dokumenti/_Prezentacija/Prezentacijas-DATA.xlsx" TargetMode="External"/><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https://fmlv.sharepoint.com/sites/TADdoc/Koplietojamie%20dokumenti/_Prezentacija/Prezentacijas-DATA.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https://fmlv.sharepoint.com/sites/TADdoc/Koplietojamie%20dokumenti/_Prezentacija/Prezentacijas-DATA.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fk\tand\TAND\Aleksejs%20Jur&#353;a\MAKRO\Forecast\2025\May\Invest&#299;cijas\Invest&#299;ijas_new%20.xlsx" TargetMode="External"/></Relationships>
</file>

<file path=word/charts/_rels/chart27.xml.rels><?xml version="1.0" encoding="UTF-8" standalone="yes"?>
<Relationships xmlns="http://schemas.openxmlformats.org/package/2006/relationships"><Relationship Id="rId2" Type="http://schemas.openxmlformats.org/officeDocument/2006/relationships/oleObject" Target="file:///\\fk\tand\TAND\_Prezentacija\Copy%20of%20Prezentacijas-DATA.xlsx" TargetMode="External"/><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14.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https://fmlv.sharepoint.com/sites/TADdoc/Koplietojamie%20dokumenti/S%20disks/_Makro_modeli/Makro%20Mod/Prognozu%20sal&#299;dzin&#257;jums%202025.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oleObject" Target="file:///\\fk\fpd\TAND\FISK&#256;L&#256;S%20ANAL&#298;ZES%20UN%20PROGNOZ&#274;&#352;ANAS%20NODA&#315;A\_BUD&#381;ETS\2026-2028%20BUD&#381;ETS\16_Bud&#382;eta%20paskaidrojumi\aizsardz&#299;ba.xlsx" TargetMode="Externa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package" Target="../embeddings/Microsoft_Excel_Worksheet15.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oleObject" Target="NULL" TargetMode="Externa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package" Target="../embeddings/Microsoft_Excel_Worksheet16.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package" Target="../embeddings/Microsoft_Excel_Worksheet17.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472490260220604"/>
          <c:y val="3.0598052851182198E-2"/>
          <c:w val="0.50890963786102938"/>
          <c:h val="0.84790818393876011"/>
        </c:manualLayout>
      </c:layout>
      <c:barChart>
        <c:barDir val="bar"/>
        <c:grouping val="clustered"/>
        <c:varyColors val="0"/>
        <c:ser>
          <c:idx val="2"/>
          <c:order val="0"/>
          <c:tx>
            <c:strRef>
              <c:f>nozares!$E$3</c:f>
              <c:strCache>
                <c:ptCount val="1"/>
                <c:pt idx="0">
                  <c:v>2024</c:v>
                </c:pt>
              </c:strCache>
            </c:strRef>
          </c:tx>
          <c:spPr>
            <a:solidFill>
              <a:sysClr val="window" lastClr="FFFFFF">
                <a:lumMod val="65000"/>
              </a:sysClr>
            </a:solidFill>
            <a:ln>
              <a:noFill/>
            </a:ln>
            <a:effectLst/>
          </c:spPr>
          <c:invertIfNegative val="0"/>
          <c:cat>
            <c:strRef>
              <c:f>nozares!$C$4:$C$19</c:f>
              <c:strCache>
                <c:ptCount val="16"/>
                <c:pt idx="0">
                  <c:v>Kopējā pievienotā vērtība</c:v>
                </c:pt>
                <c:pt idx="1">
                  <c:v>Lauksaimniecība, mežs</c:v>
                </c:pt>
                <c:pt idx="2">
                  <c:v>Apstrādes rūpniecība</c:v>
                </c:pt>
                <c:pt idx="3">
                  <c:v>Ieguves rūpn, enerģētika</c:v>
                </c:pt>
                <c:pt idx="4">
                  <c:v>Būvniecība</c:v>
                </c:pt>
                <c:pt idx="5">
                  <c:v>Tirdzniecība</c:v>
                </c:pt>
                <c:pt idx="6">
                  <c:v>Transports</c:v>
                </c:pt>
                <c:pt idx="7">
                  <c:v>Izmitināšana, ēdināšana</c:v>
                </c:pt>
                <c:pt idx="8">
                  <c:v>Informācijas pakalpojumi</c:v>
                </c:pt>
                <c:pt idx="9">
                  <c:v>Finanšu pakalpojumi</c:v>
                </c:pt>
                <c:pt idx="10">
                  <c:v>Nekustamā īpašuma oper</c:v>
                </c:pt>
                <c:pt idx="11">
                  <c:v>Komercpakalpojumi</c:v>
                </c:pt>
                <c:pt idx="12">
                  <c:v>Valsts pārvalde</c:v>
                </c:pt>
                <c:pt idx="13">
                  <c:v>Izglītība</c:v>
                </c:pt>
                <c:pt idx="14">
                  <c:v>Veselība</c:v>
                </c:pt>
                <c:pt idx="15">
                  <c:v>Māksla, izklaide</c:v>
                </c:pt>
              </c:strCache>
            </c:strRef>
          </c:cat>
          <c:val>
            <c:numRef>
              <c:f>nozares!$E$4:$E$19</c:f>
              <c:numCache>
                <c:formatCode>0.0</c:formatCode>
                <c:ptCount val="16"/>
                <c:pt idx="0">
                  <c:v>-0.6</c:v>
                </c:pt>
                <c:pt idx="1">
                  <c:v>3.7</c:v>
                </c:pt>
                <c:pt idx="2">
                  <c:v>-4.5999999999999996</c:v>
                </c:pt>
                <c:pt idx="3">
                  <c:v>0.9</c:v>
                </c:pt>
                <c:pt idx="4">
                  <c:v>-6.9</c:v>
                </c:pt>
                <c:pt idx="5">
                  <c:v>3.4</c:v>
                </c:pt>
                <c:pt idx="6">
                  <c:v>-7.9</c:v>
                </c:pt>
                <c:pt idx="7">
                  <c:v>1.3</c:v>
                </c:pt>
                <c:pt idx="8">
                  <c:v>-1.3</c:v>
                </c:pt>
                <c:pt idx="9">
                  <c:v>3.1</c:v>
                </c:pt>
                <c:pt idx="10">
                  <c:v>-3.1</c:v>
                </c:pt>
                <c:pt idx="11">
                  <c:v>-0.8</c:v>
                </c:pt>
                <c:pt idx="12">
                  <c:v>4</c:v>
                </c:pt>
                <c:pt idx="13">
                  <c:v>-2.6</c:v>
                </c:pt>
                <c:pt idx="14">
                  <c:v>5.0999999999999996</c:v>
                </c:pt>
                <c:pt idx="15">
                  <c:v>5.5</c:v>
                </c:pt>
              </c:numCache>
            </c:numRef>
          </c:val>
          <c:extLst>
            <c:ext xmlns:c16="http://schemas.microsoft.com/office/drawing/2014/chart" uri="{C3380CC4-5D6E-409C-BE32-E72D297353CC}">
              <c16:uniqueId val="{00000000-E5A8-4302-823A-48DDFB82C367}"/>
            </c:ext>
          </c:extLst>
        </c:ser>
        <c:ser>
          <c:idx val="1"/>
          <c:order val="1"/>
          <c:tx>
            <c:strRef>
              <c:f>nozares!$F$3</c:f>
              <c:strCache>
                <c:ptCount val="1"/>
                <c:pt idx="0">
                  <c:v>2025 1.puse</c:v>
                </c:pt>
              </c:strCache>
            </c:strRef>
          </c:tx>
          <c:spPr>
            <a:solidFill>
              <a:srgbClr val="00B050"/>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nozares!$C$4:$C$19</c:f>
              <c:strCache>
                <c:ptCount val="16"/>
                <c:pt idx="0">
                  <c:v>Kopējā pievienotā vērtība</c:v>
                </c:pt>
                <c:pt idx="1">
                  <c:v>Lauksaimniecība, mežs</c:v>
                </c:pt>
                <c:pt idx="2">
                  <c:v>Apstrādes rūpniecība</c:v>
                </c:pt>
                <c:pt idx="3">
                  <c:v>Ieguves rūpn, enerģētika</c:v>
                </c:pt>
                <c:pt idx="4">
                  <c:v>Būvniecība</c:v>
                </c:pt>
                <c:pt idx="5">
                  <c:v>Tirdzniecība</c:v>
                </c:pt>
                <c:pt idx="6">
                  <c:v>Transports</c:v>
                </c:pt>
                <c:pt idx="7">
                  <c:v>Izmitināšana, ēdināšana</c:v>
                </c:pt>
                <c:pt idx="8">
                  <c:v>Informācijas pakalpojumi</c:v>
                </c:pt>
                <c:pt idx="9">
                  <c:v>Finanšu pakalpojumi</c:v>
                </c:pt>
                <c:pt idx="10">
                  <c:v>Nekustamā īpašuma oper</c:v>
                </c:pt>
                <c:pt idx="11">
                  <c:v>Komercpakalpojumi</c:v>
                </c:pt>
                <c:pt idx="12">
                  <c:v>Valsts pārvalde</c:v>
                </c:pt>
                <c:pt idx="13">
                  <c:v>Izglītība</c:v>
                </c:pt>
                <c:pt idx="14">
                  <c:v>Veselība</c:v>
                </c:pt>
                <c:pt idx="15">
                  <c:v>Māksla, izklaide</c:v>
                </c:pt>
              </c:strCache>
            </c:strRef>
          </c:cat>
          <c:val>
            <c:numRef>
              <c:f>nozares!$F$4:$F$19</c:f>
              <c:numCache>
                <c:formatCode>0.0</c:formatCode>
                <c:ptCount val="16"/>
                <c:pt idx="0">
                  <c:v>0.3</c:v>
                </c:pt>
                <c:pt idx="1">
                  <c:v>-1.7</c:v>
                </c:pt>
                <c:pt idx="2">
                  <c:v>1.6</c:v>
                </c:pt>
                <c:pt idx="3">
                  <c:v>-8.1</c:v>
                </c:pt>
                <c:pt idx="4">
                  <c:v>6.5</c:v>
                </c:pt>
                <c:pt idx="5">
                  <c:v>3.1</c:v>
                </c:pt>
                <c:pt idx="6">
                  <c:v>-0.8</c:v>
                </c:pt>
                <c:pt idx="7">
                  <c:v>3.9</c:v>
                </c:pt>
                <c:pt idx="8">
                  <c:v>4.0999999999999996</c:v>
                </c:pt>
                <c:pt idx="9">
                  <c:v>4</c:v>
                </c:pt>
                <c:pt idx="10">
                  <c:v>0</c:v>
                </c:pt>
                <c:pt idx="11">
                  <c:v>0.8</c:v>
                </c:pt>
                <c:pt idx="12">
                  <c:v>0.4</c:v>
                </c:pt>
                <c:pt idx="13">
                  <c:v>0.4</c:v>
                </c:pt>
                <c:pt idx="14">
                  <c:v>-6.9</c:v>
                </c:pt>
                <c:pt idx="15">
                  <c:v>-2.4</c:v>
                </c:pt>
              </c:numCache>
            </c:numRef>
          </c:val>
          <c:extLst>
            <c:ext xmlns:c16="http://schemas.microsoft.com/office/drawing/2014/chart" uri="{C3380CC4-5D6E-409C-BE32-E72D297353CC}">
              <c16:uniqueId val="{00000001-E5A8-4302-823A-48DDFB82C367}"/>
            </c:ext>
          </c:extLst>
        </c:ser>
        <c:dLbls>
          <c:showLegendKey val="0"/>
          <c:showVal val="0"/>
          <c:showCatName val="0"/>
          <c:showSerName val="0"/>
          <c:showPercent val="0"/>
          <c:showBubbleSize val="0"/>
        </c:dLbls>
        <c:gapWidth val="32"/>
        <c:axId val="1182926320"/>
        <c:axId val="1182925488"/>
      </c:barChart>
      <c:catAx>
        <c:axId val="1182926320"/>
        <c:scaling>
          <c:orientation val="maxMin"/>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5488"/>
        <c:crosses val="autoZero"/>
        <c:auto val="1"/>
        <c:lblAlgn val="ctr"/>
        <c:lblOffset val="100"/>
        <c:noMultiLvlLbl val="0"/>
      </c:catAx>
      <c:valAx>
        <c:axId val="1182925488"/>
        <c:scaling>
          <c:orientation val="minMax"/>
          <c:max val="20"/>
          <c:min val="-15"/>
        </c:scaling>
        <c:delete val="0"/>
        <c:axPos val="t"/>
        <c:numFmt formatCode="0" sourceLinked="0"/>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6320"/>
        <c:crosses val="autoZero"/>
        <c:crossBetween val="between"/>
        <c:majorUnit val="5"/>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Verdana" panose="020B0604030504040204" pitchFamily="34" charset="0"/>
          <a:ea typeface="Verdana" panose="020B0604030504040204" pitchFamily="34" charset="0"/>
        </a:defRPr>
      </a:pPr>
      <a:endParaRPr lang="lv-LV"/>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5200285279025439E-2"/>
          <c:y val="4.8798580645466112E-2"/>
          <c:w val="0.95014770006895988"/>
          <c:h val="0.63666744627218619"/>
        </c:manualLayout>
      </c:layout>
      <c:areaChart>
        <c:grouping val="standard"/>
        <c:varyColors val="0"/>
        <c:ser>
          <c:idx val="0"/>
          <c:order val="0"/>
          <c:tx>
            <c:strRef>
              <c:f>Ceturkšņi!$B$12</c:f>
              <c:strCache>
                <c:ptCount val="1"/>
                <c:pt idx="0">
                  <c:v>Būvniecība - pavisam</c:v>
                </c:pt>
              </c:strCache>
            </c:strRef>
          </c:tx>
          <c:spPr>
            <a:pattFill prst="ltDnDiag">
              <a:fgClr>
                <a:schemeClr val="tx1">
                  <a:lumMod val="65000"/>
                  <a:lumOff val="35000"/>
                </a:schemeClr>
              </a:fgClr>
              <a:bgClr>
                <a:schemeClr val="bg1"/>
              </a:bgClr>
            </a:pattFill>
            <a:ln>
              <a:solidFill>
                <a:schemeClr val="tx1"/>
              </a:solidFill>
            </a:ln>
            <a:effectLst/>
          </c:spPr>
          <c:cat>
            <c:multiLvlStrRef>
              <c:f>Ceturkšņi!$BC$10:$BL$11</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Ceturkšņi!$BC$12:$BL$12</c:f>
              <c:numCache>
                <c:formatCode>0.0</c:formatCode>
                <c:ptCount val="10"/>
                <c:pt idx="0">
                  <c:v>14.285714285714292</c:v>
                </c:pt>
                <c:pt idx="1">
                  <c:v>5.6020066889632147</c:v>
                </c:pt>
                <c:pt idx="2">
                  <c:v>3.0032467532467564</c:v>
                </c:pt>
                <c:pt idx="3">
                  <c:v>1.5948963317384255</c:v>
                </c:pt>
                <c:pt idx="4">
                  <c:v>1.819620253164544</c:v>
                </c:pt>
                <c:pt idx="5">
                  <c:v>2.2961203483768742</c:v>
                </c:pt>
                <c:pt idx="6">
                  <c:v>2.1276595744680833</c:v>
                </c:pt>
                <c:pt idx="7">
                  <c:v>1.9623233908948094</c:v>
                </c:pt>
                <c:pt idx="8">
                  <c:v>1.8648018648018763</c:v>
                </c:pt>
                <c:pt idx="9">
                  <c:v>1.7027863777089891</c:v>
                </c:pt>
              </c:numCache>
              <c:extLst/>
            </c:numRef>
          </c:val>
          <c:extLst>
            <c:ext xmlns:c16="http://schemas.microsoft.com/office/drawing/2014/chart" uri="{C3380CC4-5D6E-409C-BE32-E72D297353CC}">
              <c16:uniqueId val="{00000000-EA35-41E7-9716-D2F6A0F5D2EA}"/>
            </c:ext>
          </c:extLst>
        </c:ser>
        <c:dLbls>
          <c:showLegendKey val="0"/>
          <c:showVal val="0"/>
          <c:showCatName val="0"/>
          <c:showSerName val="0"/>
          <c:showPercent val="0"/>
          <c:showBubbleSize val="0"/>
        </c:dLbls>
        <c:axId val="763530784"/>
        <c:axId val="894674464"/>
      </c:areaChart>
      <c:lineChart>
        <c:grouping val="standard"/>
        <c:varyColors val="0"/>
        <c:ser>
          <c:idx val="1"/>
          <c:order val="1"/>
          <c:tx>
            <c:strRef>
              <c:f>Ceturkšņi!$B$13</c:f>
              <c:strCache>
                <c:ptCount val="1"/>
                <c:pt idx="0">
                  <c:v>Strādnieku darba samaksa</c:v>
                </c:pt>
              </c:strCache>
            </c:strRef>
          </c:tx>
          <c:spPr>
            <a:ln w="28575" cap="rnd">
              <a:solidFill>
                <a:schemeClr val="accent6">
                  <a:lumMod val="75000"/>
                </a:schemeClr>
              </a:solidFill>
              <a:round/>
            </a:ln>
            <a:effectLst/>
          </c:spPr>
          <c:marker>
            <c:symbol val="none"/>
          </c:marker>
          <c:cat>
            <c:multiLvlStrRef>
              <c:f>Ceturkšņi!$BC$10:$BL$11</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Ceturkšņi!$BC$13:$BL$13</c:f>
              <c:numCache>
                <c:formatCode>0.0</c:formatCode>
                <c:ptCount val="10"/>
                <c:pt idx="0">
                  <c:v>9.7794822627037377</c:v>
                </c:pt>
                <c:pt idx="1">
                  <c:v>7.720588235294116</c:v>
                </c:pt>
                <c:pt idx="2">
                  <c:v>6.9058295964125591</c:v>
                </c:pt>
                <c:pt idx="3">
                  <c:v>6.8322981366459601</c:v>
                </c:pt>
                <c:pt idx="4">
                  <c:v>6.6375545851528415</c:v>
                </c:pt>
                <c:pt idx="5">
                  <c:v>6.3139931740614372</c:v>
                </c:pt>
                <c:pt idx="6">
                  <c:v>6.2919463087248317</c:v>
                </c:pt>
                <c:pt idx="7">
                  <c:v>5.6478405315614566</c:v>
                </c:pt>
                <c:pt idx="8">
                  <c:v>5.8149058149057993</c:v>
                </c:pt>
                <c:pt idx="9">
                  <c:v>5.3772070626003341</c:v>
                </c:pt>
              </c:numCache>
              <c:extLst/>
            </c:numRef>
          </c:val>
          <c:smooth val="0"/>
          <c:extLst>
            <c:ext xmlns:c16="http://schemas.microsoft.com/office/drawing/2014/chart" uri="{C3380CC4-5D6E-409C-BE32-E72D297353CC}">
              <c16:uniqueId val="{00000001-EA35-41E7-9716-D2F6A0F5D2EA}"/>
            </c:ext>
          </c:extLst>
        </c:ser>
        <c:ser>
          <c:idx val="2"/>
          <c:order val="2"/>
          <c:tx>
            <c:strRef>
              <c:f>Ceturkšņi!$B$14</c:f>
              <c:strCache>
                <c:ptCount val="1"/>
                <c:pt idx="0">
                  <c:v>Mašīnas un meh.</c:v>
                </c:pt>
              </c:strCache>
            </c:strRef>
          </c:tx>
          <c:spPr>
            <a:ln w="28575" cap="rnd">
              <a:solidFill>
                <a:srgbClr val="FFC000"/>
              </a:solidFill>
              <a:round/>
            </a:ln>
            <a:effectLst/>
          </c:spPr>
          <c:marker>
            <c:symbol val="none"/>
          </c:marker>
          <c:cat>
            <c:multiLvlStrRef>
              <c:f>Ceturkšņi!$BC$10:$BL$11</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Ceturkšņi!$BC$14:$BL$14</c:f>
              <c:numCache>
                <c:formatCode>0.0</c:formatCode>
                <c:ptCount val="10"/>
                <c:pt idx="0">
                  <c:v>12.820512820512818</c:v>
                </c:pt>
                <c:pt idx="1">
                  <c:v>6.8610634648370592</c:v>
                </c:pt>
                <c:pt idx="2">
                  <c:v>5.0251256281406995</c:v>
                </c:pt>
                <c:pt idx="3">
                  <c:v>4.0296052631579045</c:v>
                </c:pt>
                <c:pt idx="4">
                  <c:v>3.5714285714285694</c:v>
                </c:pt>
                <c:pt idx="5">
                  <c:v>3.2102728731942278</c:v>
                </c:pt>
                <c:pt idx="6">
                  <c:v>2.7910685805422588</c:v>
                </c:pt>
                <c:pt idx="7">
                  <c:v>2.529644268774689</c:v>
                </c:pt>
                <c:pt idx="8">
                  <c:v>3.0564263322884102</c:v>
                </c:pt>
                <c:pt idx="9">
                  <c:v>1.9440124416796323</c:v>
                </c:pt>
              </c:numCache>
              <c:extLst/>
            </c:numRef>
          </c:val>
          <c:smooth val="0"/>
          <c:extLst>
            <c:ext xmlns:c16="http://schemas.microsoft.com/office/drawing/2014/chart" uri="{C3380CC4-5D6E-409C-BE32-E72D297353CC}">
              <c16:uniqueId val="{00000002-EA35-41E7-9716-D2F6A0F5D2EA}"/>
            </c:ext>
          </c:extLst>
        </c:ser>
        <c:ser>
          <c:idx val="3"/>
          <c:order val="3"/>
          <c:tx>
            <c:strRef>
              <c:f>Ceturkšņi!$B$15</c:f>
              <c:strCache>
                <c:ptCount val="1"/>
                <c:pt idx="0">
                  <c:v>Būvmateriāli</c:v>
                </c:pt>
              </c:strCache>
            </c:strRef>
          </c:tx>
          <c:spPr>
            <a:ln w="28575" cap="rnd">
              <a:solidFill>
                <a:schemeClr val="tx1">
                  <a:lumMod val="95000"/>
                  <a:lumOff val="5000"/>
                </a:schemeClr>
              </a:solidFill>
              <a:round/>
            </a:ln>
            <a:effectLst/>
          </c:spPr>
          <c:marker>
            <c:symbol val="none"/>
          </c:marker>
          <c:cat>
            <c:multiLvlStrRef>
              <c:f>Ceturkšņi!$BC$10:$BL$11</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Ceturkšņi!$BC$15:$BL$15</c:f>
              <c:numCache>
                <c:formatCode>0.0</c:formatCode>
                <c:ptCount val="10"/>
                <c:pt idx="0">
                  <c:v>17.045454545454533</c:v>
                </c:pt>
                <c:pt idx="1">
                  <c:v>4.0316205533596872</c:v>
                </c:pt>
                <c:pt idx="2">
                  <c:v>0.45836516424751039</c:v>
                </c:pt>
                <c:pt idx="3">
                  <c:v>-1.6479400749063586</c:v>
                </c:pt>
                <c:pt idx="4">
                  <c:v>-1.0455563853622181</c:v>
                </c:pt>
                <c:pt idx="5">
                  <c:v>0</c:v>
                </c:pt>
                <c:pt idx="6">
                  <c:v>-0.3041825095057078</c:v>
                </c:pt>
                <c:pt idx="7">
                  <c:v>-0.22848438690023443</c:v>
                </c:pt>
                <c:pt idx="8">
                  <c:v>-0.75471698113207708</c:v>
                </c:pt>
                <c:pt idx="9">
                  <c:v>-0.53191489361701372</c:v>
                </c:pt>
              </c:numCache>
              <c:extLst/>
            </c:numRef>
          </c:val>
          <c:smooth val="0"/>
          <c:extLst>
            <c:ext xmlns:c16="http://schemas.microsoft.com/office/drawing/2014/chart" uri="{C3380CC4-5D6E-409C-BE32-E72D297353CC}">
              <c16:uniqueId val="{00000003-EA35-41E7-9716-D2F6A0F5D2EA}"/>
            </c:ext>
          </c:extLst>
        </c:ser>
        <c:dLbls>
          <c:showLegendKey val="0"/>
          <c:showVal val="0"/>
          <c:showCatName val="0"/>
          <c:showSerName val="0"/>
          <c:showPercent val="0"/>
          <c:showBubbleSize val="0"/>
        </c:dLbls>
        <c:marker val="1"/>
        <c:smooth val="0"/>
        <c:axId val="763530784"/>
        <c:axId val="894674464"/>
      </c:lineChart>
      <c:catAx>
        <c:axId val="763530784"/>
        <c:scaling>
          <c:orientation val="minMax"/>
        </c:scaling>
        <c:delete val="0"/>
        <c:axPos val="b"/>
        <c:numFmt formatCode="General" sourceLinked="1"/>
        <c:majorTickMark val="none"/>
        <c:minorTickMark val="none"/>
        <c:tickLblPos val="low"/>
        <c:spPr>
          <a:noFill/>
          <a:ln w="9525" cap="flat" cmpd="sng" algn="ctr">
            <a:solidFill>
              <a:sysClr val="windowText" lastClr="000000">
                <a:lumMod val="50000"/>
                <a:lumOff val="50000"/>
              </a:sys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894674464"/>
        <c:crosses val="autoZero"/>
        <c:auto val="1"/>
        <c:lblAlgn val="ctr"/>
        <c:lblOffset val="100"/>
        <c:noMultiLvlLbl val="0"/>
      </c:catAx>
      <c:valAx>
        <c:axId val="8946744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763530784"/>
        <c:crosses val="autoZero"/>
        <c:crossBetween val="between"/>
      </c:valAx>
      <c:spPr>
        <a:noFill/>
        <a:ln>
          <a:noFill/>
        </a:ln>
        <a:effectLst/>
      </c:spPr>
    </c:plotArea>
    <c:legend>
      <c:legendPos val="b"/>
      <c:layout>
        <c:manualLayout>
          <c:xMode val="edge"/>
          <c:yMode val="edge"/>
          <c:x val="0"/>
          <c:y val="0.9030236881955912"/>
          <c:w val="1"/>
          <c:h val="9.697631180440877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888271017091007E-2"/>
          <c:y val="7.228822236635242E-2"/>
          <c:w val="0.91866697429462363"/>
          <c:h val="0.59027083622688281"/>
        </c:manualLayout>
      </c:layout>
      <c:barChart>
        <c:barDir val="col"/>
        <c:grouping val="stacked"/>
        <c:varyColors val="0"/>
        <c:ser>
          <c:idx val="6"/>
          <c:order val="0"/>
          <c:tx>
            <c:strRef>
              <c:f>Atļaujas!$B$66</c:f>
              <c:strCache>
                <c:ptCount val="1"/>
                <c:pt idx="0">
                  <c:v>Pārējās</c:v>
                </c:pt>
              </c:strCache>
            </c:strRef>
          </c:tx>
          <c:spPr>
            <a:solidFill>
              <a:srgbClr val="0070C0"/>
            </a:solidFill>
            <a:ln>
              <a:solidFill>
                <a:schemeClr val="accent1"/>
              </a:solidFill>
            </a:ln>
            <a:effectLst/>
          </c:spPr>
          <c:invertIfNegative val="0"/>
          <c:cat>
            <c:multiLvlStrRef>
              <c:f>Atļaujas!$CE$50:$CN$51</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Atļaujas!$CE$66:$CN$66</c:f>
              <c:numCache>
                <c:formatCode>0</c:formatCode>
                <c:ptCount val="10"/>
                <c:pt idx="0">
                  <c:v>84.900000000000034</c:v>
                </c:pt>
                <c:pt idx="1">
                  <c:v>81.800000000000068</c:v>
                </c:pt>
                <c:pt idx="2">
                  <c:v>75.89999999999992</c:v>
                </c:pt>
                <c:pt idx="3">
                  <c:v>61.100000000000023</c:v>
                </c:pt>
                <c:pt idx="4">
                  <c:v>76.199999999999989</c:v>
                </c:pt>
                <c:pt idx="5">
                  <c:v>99.100000000000136</c:v>
                </c:pt>
                <c:pt idx="6">
                  <c:v>77.100000000000023</c:v>
                </c:pt>
                <c:pt idx="7">
                  <c:v>95.000000000000057</c:v>
                </c:pt>
                <c:pt idx="8">
                  <c:v>77.900000000000091</c:v>
                </c:pt>
                <c:pt idx="9">
                  <c:v>114.80000000000007</c:v>
                </c:pt>
              </c:numCache>
              <c:extLst/>
            </c:numRef>
          </c:val>
          <c:extLst>
            <c:ext xmlns:c16="http://schemas.microsoft.com/office/drawing/2014/chart" uri="{C3380CC4-5D6E-409C-BE32-E72D297353CC}">
              <c16:uniqueId val="{00000000-8871-419C-A69D-596F38D78466}"/>
            </c:ext>
          </c:extLst>
        </c:ser>
        <c:ser>
          <c:idx val="3"/>
          <c:order val="1"/>
          <c:tx>
            <c:strRef>
              <c:f>Atļaujas!$B$58</c:f>
              <c:strCache>
                <c:ptCount val="1"/>
                <c:pt idx="0">
                  <c:v>Biroju ēkas</c:v>
                </c:pt>
              </c:strCache>
            </c:strRef>
          </c:tx>
          <c:spPr>
            <a:solidFill>
              <a:schemeClr val="accent4">
                <a:lumMod val="60000"/>
                <a:lumOff val="40000"/>
              </a:schemeClr>
            </a:solidFill>
            <a:ln>
              <a:solidFill>
                <a:schemeClr val="accent4">
                  <a:lumMod val="60000"/>
                  <a:lumOff val="40000"/>
                </a:schemeClr>
              </a:solidFill>
            </a:ln>
            <a:effectLst/>
          </c:spPr>
          <c:invertIfNegative val="0"/>
          <c:cat>
            <c:multiLvlStrRef>
              <c:f>Atļaujas!$CE$50:$CN$51</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Atļaujas!$CE$58:$CN$58</c:f>
              <c:numCache>
                <c:formatCode>General</c:formatCode>
                <c:ptCount val="10"/>
                <c:pt idx="0">
                  <c:v>82.2</c:v>
                </c:pt>
                <c:pt idx="1">
                  <c:v>5.7</c:v>
                </c:pt>
                <c:pt idx="2">
                  <c:v>11.9</c:v>
                </c:pt>
                <c:pt idx="3">
                  <c:v>12.3</c:v>
                </c:pt>
                <c:pt idx="4">
                  <c:v>7.7</c:v>
                </c:pt>
                <c:pt idx="5">
                  <c:v>27.5</c:v>
                </c:pt>
                <c:pt idx="6">
                  <c:v>63.7</c:v>
                </c:pt>
                <c:pt idx="7">
                  <c:v>12.5</c:v>
                </c:pt>
                <c:pt idx="8">
                  <c:v>45.2</c:v>
                </c:pt>
                <c:pt idx="9">
                  <c:v>35.200000000000003</c:v>
                </c:pt>
              </c:numCache>
              <c:extLst/>
            </c:numRef>
          </c:val>
          <c:extLst>
            <c:ext xmlns:c16="http://schemas.microsoft.com/office/drawing/2014/chart" uri="{C3380CC4-5D6E-409C-BE32-E72D297353CC}">
              <c16:uniqueId val="{00000001-8871-419C-A69D-596F38D78466}"/>
            </c:ext>
          </c:extLst>
        </c:ser>
        <c:ser>
          <c:idx val="5"/>
          <c:order val="2"/>
          <c:tx>
            <c:strRef>
              <c:f>Atļaujas!$B$61</c:f>
              <c:strCache>
                <c:ptCount val="1"/>
                <c:pt idx="0">
                  <c:v>Ražošanas</c:v>
                </c:pt>
              </c:strCache>
            </c:strRef>
          </c:tx>
          <c:spPr>
            <a:pattFill prst="dkUpDiag">
              <a:fgClr>
                <a:schemeClr val="tx1">
                  <a:lumMod val="65000"/>
                  <a:lumOff val="35000"/>
                </a:schemeClr>
              </a:fgClr>
              <a:bgClr>
                <a:schemeClr val="bg1"/>
              </a:bgClr>
            </a:pattFill>
            <a:ln>
              <a:noFill/>
            </a:ln>
            <a:effectLst/>
          </c:spPr>
          <c:invertIfNegative val="0"/>
          <c:cat>
            <c:multiLvlStrRef>
              <c:f>Atļaujas!$CE$50:$CN$51</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Atļaujas!$CE$61:$CN$61</c:f>
              <c:numCache>
                <c:formatCode>General</c:formatCode>
                <c:ptCount val="10"/>
                <c:pt idx="0">
                  <c:v>116.9</c:v>
                </c:pt>
                <c:pt idx="1">
                  <c:v>95.7</c:v>
                </c:pt>
                <c:pt idx="2">
                  <c:v>103.7</c:v>
                </c:pt>
                <c:pt idx="3">
                  <c:v>158.5</c:v>
                </c:pt>
                <c:pt idx="4">
                  <c:v>43.5</c:v>
                </c:pt>
                <c:pt idx="5">
                  <c:v>174.3</c:v>
                </c:pt>
                <c:pt idx="6">
                  <c:v>193.6</c:v>
                </c:pt>
                <c:pt idx="7">
                  <c:v>142.9</c:v>
                </c:pt>
                <c:pt idx="8">
                  <c:v>79.599999999999994</c:v>
                </c:pt>
                <c:pt idx="9">
                  <c:v>351.6</c:v>
                </c:pt>
              </c:numCache>
              <c:extLst/>
            </c:numRef>
          </c:val>
          <c:extLst>
            <c:ext xmlns:c16="http://schemas.microsoft.com/office/drawing/2014/chart" uri="{C3380CC4-5D6E-409C-BE32-E72D297353CC}">
              <c16:uniqueId val="{00000002-8871-419C-A69D-596F38D78466}"/>
            </c:ext>
          </c:extLst>
        </c:ser>
        <c:ser>
          <c:idx val="0"/>
          <c:order val="3"/>
          <c:tx>
            <c:strRef>
              <c:f>Atļaujas!$B$52</c:f>
              <c:strCache>
                <c:ptCount val="1"/>
                <c:pt idx="0">
                  <c:v>Viena dzīvokļa/vasarnīcas</c:v>
                </c:pt>
              </c:strCache>
            </c:strRef>
          </c:tx>
          <c:spPr>
            <a:pattFill prst="dkUpDiag">
              <a:fgClr>
                <a:schemeClr val="accent6"/>
              </a:fgClr>
              <a:bgClr>
                <a:schemeClr val="bg1"/>
              </a:bgClr>
            </a:pattFill>
            <a:ln>
              <a:noFill/>
            </a:ln>
            <a:effectLst/>
          </c:spPr>
          <c:invertIfNegative val="0"/>
          <c:cat>
            <c:multiLvlStrRef>
              <c:f>Atļaujas!$CE$50:$CN$51</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Atļaujas!$CE$52:$CN$52</c:f>
              <c:numCache>
                <c:formatCode>General</c:formatCode>
                <c:ptCount val="10"/>
                <c:pt idx="0">
                  <c:v>129</c:v>
                </c:pt>
                <c:pt idx="1">
                  <c:v>161</c:v>
                </c:pt>
                <c:pt idx="2">
                  <c:v>162.5</c:v>
                </c:pt>
                <c:pt idx="3">
                  <c:v>114.2</c:v>
                </c:pt>
                <c:pt idx="4">
                  <c:v>124.3</c:v>
                </c:pt>
                <c:pt idx="5">
                  <c:v>183.7</c:v>
                </c:pt>
                <c:pt idx="6">
                  <c:v>149.5</c:v>
                </c:pt>
                <c:pt idx="7">
                  <c:v>127</c:v>
                </c:pt>
                <c:pt idx="8">
                  <c:v>133.69999999999999</c:v>
                </c:pt>
                <c:pt idx="9">
                  <c:v>170.1</c:v>
                </c:pt>
              </c:numCache>
              <c:extLst/>
            </c:numRef>
          </c:val>
          <c:extLst>
            <c:ext xmlns:c16="http://schemas.microsoft.com/office/drawing/2014/chart" uri="{C3380CC4-5D6E-409C-BE32-E72D297353CC}">
              <c16:uniqueId val="{00000003-8871-419C-A69D-596F38D78466}"/>
            </c:ext>
          </c:extLst>
        </c:ser>
        <c:ser>
          <c:idx val="8"/>
          <c:order val="4"/>
          <c:tx>
            <c:strRef>
              <c:f>Atļaujas!$B$55</c:f>
              <c:strCache>
                <c:ptCount val="1"/>
                <c:pt idx="0">
                  <c:v>Vairāku dzīvokļu</c:v>
                </c:pt>
              </c:strCache>
            </c:strRef>
          </c:tx>
          <c:spPr>
            <a:solidFill>
              <a:schemeClr val="accent3">
                <a:lumMod val="60000"/>
              </a:schemeClr>
            </a:solidFill>
            <a:ln>
              <a:noFill/>
            </a:ln>
            <a:effectLst/>
          </c:spPr>
          <c:invertIfNegative val="0"/>
          <c:cat>
            <c:multiLvlStrRef>
              <c:f>Atļaujas!$CE$50:$CN$51</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Atļaujas!$CE$55:$CN$55</c:f>
              <c:numCache>
                <c:formatCode>General</c:formatCode>
                <c:ptCount val="10"/>
                <c:pt idx="0">
                  <c:v>41.2</c:v>
                </c:pt>
                <c:pt idx="1">
                  <c:v>80.5</c:v>
                </c:pt>
                <c:pt idx="2">
                  <c:v>59.9</c:v>
                </c:pt>
                <c:pt idx="3">
                  <c:v>68.8</c:v>
                </c:pt>
                <c:pt idx="4">
                  <c:v>26.3</c:v>
                </c:pt>
                <c:pt idx="5">
                  <c:v>105.4</c:v>
                </c:pt>
                <c:pt idx="6">
                  <c:v>67.2</c:v>
                </c:pt>
                <c:pt idx="7">
                  <c:v>129.4</c:v>
                </c:pt>
                <c:pt idx="8">
                  <c:v>128.6</c:v>
                </c:pt>
                <c:pt idx="9">
                  <c:v>88.7</c:v>
                </c:pt>
              </c:numCache>
              <c:extLst/>
            </c:numRef>
          </c:val>
          <c:extLst>
            <c:ext xmlns:c16="http://schemas.microsoft.com/office/drawing/2014/chart" uri="{C3380CC4-5D6E-409C-BE32-E72D297353CC}">
              <c16:uniqueId val="{00000004-8871-419C-A69D-596F38D78466}"/>
            </c:ext>
          </c:extLst>
        </c:ser>
        <c:ser>
          <c:idx val="9"/>
          <c:order val="5"/>
          <c:tx>
            <c:strRef>
              <c:f>Atļaujas!$B$59</c:f>
              <c:strCache>
                <c:ptCount val="1"/>
                <c:pt idx="0">
                  <c:v>Tirdzniecības</c:v>
                </c:pt>
              </c:strCache>
            </c:strRef>
          </c:tx>
          <c:spPr>
            <a:solidFill>
              <a:schemeClr val="accent4">
                <a:lumMod val="60000"/>
              </a:schemeClr>
            </a:solidFill>
            <a:ln>
              <a:noFill/>
            </a:ln>
            <a:effectLst/>
          </c:spPr>
          <c:invertIfNegative val="0"/>
          <c:cat>
            <c:multiLvlStrRef>
              <c:f>Atļaujas!$CE$50:$CN$51</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Atļaujas!$CE$59:$CN$59</c:f>
              <c:numCache>
                <c:formatCode>General</c:formatCode>
                <c:ptCount val="10"/>
                <c:pt idx="0">
                  <c:v>14.8</c:v>
                </c:pt>
                <c:pt idx="1">
                  <c:v>27.3</c:v>
                </c:pt>
                <c:pt idx="2">
                  <c:v>17.899999999999999</c:v>
                </c:pt>
                <c:pt idx="3">
                  <c:v>45.2</c:v>
                </c:pt>
                <c:pt idx="4">
                  <c:v>60.9</c:v>
                </c:pt>
                <c:pt idx="5">
                  <c:v>41.4</c:v>
                </c:pt>
                <c:pt idx="6">
                  <c:v>15.4</c:v>
                </c:pt>
                <c:pt idx="7">
                  <c:v>7.7</c:v>
                </c:pt>
                <c:pt idx="8">
                  <c:v>42.5</c:v>
                </c:pt>
                <c:pt idx="9">
                  <c:v>43.7</c:v>
                </c:pt>
              </c:numCache>
              <c:extLst/>
            </c:numRef>
          </c:val>
          <c:extLst>
            <c:ext xmlns:c16="http://schemas.microsoft.com/office/drawing/2014/chart" uri="{C3380CC4-5D6E-409C-BE32-E72D297353CC}">
              <c16:uniqueId val="{00000005-8871-419C-A69D-596F38D78466}"/>
            </c:ext>
          </c:extLst>
        </c:ser>
        <c:ser>
          <c:idx val="10"/>
          <c:order val="6"/>
          <c:tx>
            <c:strRef>
              <c:f>Atļaujas!$B$62</c:f>
              <c:strCache>
                <c:ptCount val="1"/>
                <c:pt idx="0">
                  <c:v>Publiskās</c:v>
                </c:pt>
              </c:strCache>
            </c:strRef>
          </c:tx>
          <c:spPr>
            <a:solidFill>
              <a:schemeClr val="accent5">
                <a:lumMod val="60000"/>
              </a:schemeClr>
            </a:solidFill>
            <a:ln>
              <a:noFill/>
            </a:ln>
            <a:effectLst/>
          </c:spPr>
          <c:invertIfNegative val="0"/>
          <c:cat>
            <c:multiLvlStrRef>
              <c:f>Atļaujas!$CE$50:$CN$51</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Atļaujas!$CE$62:$CN$62</c:f>
              <c:numCache>
                <c:formatCode>General</c:formatCode>
                <c:ptCount val="10"/>
                <c:pt idx="0">
                  <c:v>38.6</c:v>
                </c:pt>
                <c:pt idx="1">
                  <c:v>24.7</c:v>
                </c:pt>
                <c:pt idx="2">
                  <c:v>34.4</c:v>
                </c:pt>
                <c:pt idx="3">
                  <c:v>18.7</c:v>
                </c:pt>
                <c:pt idx="4">
                  <c:v>10.9</c:v>
                </c:pt>
                <c:pt idx="5">
                  <c:v>24.1</c:v>
                </c:pt>
                <c:pt idx="6">
                  <c:v>40.4</c:v>
                </c:pt>
                <c:pt idx="7">
                  <c:v>27.8</c:v>
                </c:pt>
                <c:pt idx="8">
                  <c:v>23</c:v>
                </c:pt>
                <c:pt idx="9">
                  <c:v>69.2</c:v>
                </c:pt>
              </c:numCache>
              <c:extLst/>
            </c:numRef>
          </c:val>
          <c:extLst>
            <c:ext xmlns:c16="http://schemas.microsoft.com/office/drawing/2014/chart" uri="{C3380CC4-5D6E-409C-BE32-E72D297353CC}">
              <c16:uniqueId val="{00000006-8871-419C-A69D-596F38D78466}"/>
            </c:ext>
          </c:extLst>
        </c:ser>
        <c:dLbls>
          <c:showLegendKey val="0"/>
          <c:showVal val="0"/>
          <c:showCatName val="0"/>
          <c:showSerName val="0"/>
          <c:showPercent val="0"/>
          <c:showBubbleSize val="0"/>
        </c:dLbls>
        <c:gapWidth val="50"/>
        <c:overlap val="100"/>
        <c:axId val="281642072"/>
        <c:axId val="281639120"/>
      </c:barChart>
      <c:catAx>
        <c:axId val="281642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281639120"/>
        <c:crosses val="autoZero"/>
        <c:auto val="1"/>
        <c:lblAlgn val="ctr"/>
        <c:lblOffset val="100"/>
        <c:noMultiLvlLbl val="0"/>
      </c:catAx>
      <c:valAx>
        <c:axId val="281639120"/>
        <c:scaling>
          <c:orientation val="minMax"/>
          <c:max val="1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281642072"/>
        <c:crosses val="autoZero"/>
        <c:crossBetween val="between"/>
      </c:valAx>
      <c:spPr>
        <a:noFill/>
        <a:ln>
          <a:noFill/>
        </a:ln>
        <a:effectLst/>
      </c:spPr>
    </c:plotArea>
    <c:legend>
      <c:legendPos val="b"/>
      <c:layout>
        <c:manualLayout>
          <c:xMode val="edge"/>
          <c:yMode val="edge"/>
          <c:x val="2.783416219372771E-2"/>
          <c:y val="0.82932339020716028"/>
          <c:w val="0.95890438749334039"/>
          <c:h val="0.1664667357557238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'[Chart in Microsoft Word]Jaunie kredīti'!$B$14</c:f>
              <c:strCache>
                <c:ptCount val="1"/>
                <c:pt idx="0">
                  <c:v>mājsaimniecībām mājokļa iegādei</c:v>
                </c:pt>
              </c:strCache>
            </c:strRef>
          </c:tx>
          <c:spPr>
            <a:solidFill>
              <a:schemeClr val="accent1"/>
            </a:solidFill>
            <a:ln>
              <a:noFill/>
            </a:ln>
            <a:effectLst/>
          </c:spPr>
          <c:invertIfNegative val="0"/>
          <c:cat>
            <c:numRef>
              <c:f>'[Chart in Microsoft Word]Jaunie kredīti'!$AY$13:$DY$13</c:f>
              <c:numCache>
                <c:formatCode>mmm\-yy</c:formatCode>
                <c:ptCount val="7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pt idx="45">
                  <c:v>44835</c:v>
                </c:pt>
                <c:pt idx="46">
                  <c:v>44866</c:v>
                </c:pt>
                <c:pt idx="47">
                  <c:v>44896</c:v>
                </c:pt>
                <c:pt idx="48">
                  <c:v>44927</c:v>
                </c:pt>
                <c:pt idx="49">
                  <c:v>44958</c:v>
                </c:pt>
                <c:pt idx="50">
                  <c:v>44986</c:v>
                </c:pt>
                <c:pt idx="51">
                  <c:v>45017</c:v>
                </c:pt>
                <c:pt idx="52">
                  <c:v>45047</c:v>
                </c:pt>
                <c:pt idx="53">
                  <c:v>45078</c:v>
                </c:pt>
                <c:pt idx="54">
                  <c:v>45108</c:v>
                </c:pt>
                <c:pt idx="55">
                  <c:v>45139</c:v>
                </c:pt>
                <c:pt idx="56">
                  <c:v>45170</c:v>
                </c:pt>
                <c:pt idx="57">
                  <c:v>45200</c:v>
                </c:pt>
                <c:pt idx="58">
                  <c:v>45231</c:v>
                </c:pt>
                <c:pt idx="59">
                  <c:v>45261</c:v>
                </c:pt>
                <c:pt idx="60">
                  <c:v>45292</c:v>
                </c:pt>
                <c:pt idx="61">
                  <c:v>45323</c:v>
                </c:pt>
                <c:pt idx="62">
                  <c:v>45352</c:v>
                </c:pt>
                <c:pt idx="63">
                  <c:v>45383</c:v>
                </c:pt>
                <c:pt idx="64">
                  <c:v>45413</c:v>
                </c:pt>
                <c:pt idx="65">
                  <c:v>45444</c:v>
                </c:pt>
                <c:pt idx="66">
                  <c:v>45474</c:v>
                </c:pt>
                <c:pt idx="67">
                  <c:v>45505</c:v>
                </c:pt>
                <c:pt idx="68">
                  <c:v>45536</c:v>
                </c:pt>
                <c:pt idx="69">
                  <c:v>45566</c:v>
                </c:pt>
                <c:pt idx="70">
                  <c:v>45597</c:v>
                </c:pt>
                <c:pt idx="71">
                  <c:v>45627</c:v>
                </c:pt>
                <c:pt idx="72">
                  <c:v>45658</c:v>
                </c:pt>
                <c:pt idx="73">
                  <c:v>45689</c:v>
                </c:pt>
                <c:pt idx="74">
                  <c:v>45717</c:v>
                </c:pt>
                <c:pt idx="75">
                  <c:v>45748</c:v>
                </c:pt>
                <c:pt idx="76">
                  <c:v>45778</c:v>
                </c:pt>
                <c:pt idx="77">
                  <c:v>45809</c:v>
                </c:pt>
                <c:pt idx="78">
                  <c:v>45839</c:v>
                </c:pt>
              </c:numCache>
            </c:numRef>
          </c:cat>
          <c:val>
            <c:numRef>
              <c:f>'[Chart in Microsoft Word]Jaunie kredīti'!$AY$14:$DY$14</c:f>
              <c:numCache>
                <c:formatCode>#\ ##0.0</c:formatCode>
                <c:ptCount val="79"/>
                <c:pt idx="0">
                  <c:v>46.400000000000006</c:v>
                </c:pt>
                <c:pt idx="1">
                  <c:v>45.7</c:v>
                </c:pt>
                <c:pt idx="2">
                  <c:v>47.599999999999994</c:v>
                </c:pt>
                <c:pt idx="3">
                  <c:v>49.000000000000007</c:v>
                </c:pt>
                <c:pt idx="4">
                  <c:v>52.4</c:v>
                </c:pt>
                <c:pt idx="5">
                  <c:v>46.6</c:v>
                </c:pt>
                <c:pt idx="6">
                  <c:v>50.9</c:v>
                </c:pt>
                <c:pt idx="7">
                  <c:v>47.2</c:v>
                </c:pt>
                <c:pt idx="8">
                  <c:v>47.599999999999994</c:v>
                </c:pt>
                <c:pt idx="9">
                  <c:v>49.300000000000004</c:v>
                </c:pt>
                <c:pt idx="10">
                  <c:v>45.099999999999994</c:v>
                </c:pt>
                <c:pt idx="11">
                  <c:v>42.7</c:v>
                </c:pt>
                <c:pt idx="12">
                  <c:v>41.1</c:v>
                </c:pt>
                <c:pt idx="13">
                  <c:v>43.399999999999991</c:v>
                </c:pt>
                <c:pt idx="14">
                  <c:v>40.999999999999986</c:v>
                </c:pt>
                <c:pt idx="15">
                  <c:v>26.799999999999997</c:v>
                </c:pt>
                <c:pt idx="16">
                  <c:v>27.6</c:v>
                </c:pt>
                <c:pt idx="17">
                  <c:v>39.4</c:v>
                </c:pt>
                <c:pt idx="18">
                  <c:v>53.800000000000004</c:v>
                </c:pt>
                <c:pt idx="19">
                  <c:v>51.2</c:v>
                </c:pt>
                <c:pt idx="20">
                  <c:v>59.3</c:v>
                </c:pt>
                <c:pt idx="21">
                  <c:v>58.099999999999994</c:v>
                </c:pt>
                <c:pt idx="22">
                  <c:v>52.500000000000007</c:v>
                </c:pt>
                <c:pt idx="23">
                  <c:v>51.900000000000006</c:v>
                </c:pt>
                <c:pt idx="24">
                  <c:v>47.9</c:v>
                </c:pt>
                <c:pt idx="25">
                  <c:v>55.999999999999993</c:v>
                </c:pt>
                <c:pt idx="26">
                  <c:v>78</c:v>
                </c:pt>
                <c:pt idx="27">
                  <c:v>74</c:v>
                </c:pt>
                <c:pt idx="28">
                  <c:v>79.699999999999989</c:v>
                </c:pt>
                <c:pt idx="29">
                  <c:v>70.8</c:v>
                </c:pt>
                <c:pt idx="30">
                  <c:v>71.8</c:v>
                </c:pt>
                <c:pt idx="31">
                  <c:v>73.5</c:v>
                </c:pt>
                <c:pt idx="32">
                  <c:v>74.800000000000011</c:v>
                </c:pt>
                <c:pt idx="33">
                  <c:v>74</c:v>
                </c:pt>
                <c:pt idx="34">
                  <c:v>77.400000000000006</c:v>
                </c:pt>
                <c:pt idx="35">
                  <c:v>71.699999999999989</c:v>
                </c:pt>
                <c:pt idx="36">
                  <c:v>57.9</c:v>
                </c:pt>
                <c:pt idx="37">
                  <c:v>70</c:v>
                </c:pt>
                <c:pt idx="38">
                  <c:v>79.599999999999994</c:v>
                </c:pt>
                <c:pt idx="39">
                  <c:v>69.7</c:v>
                </c:pt>
                <c:pt idx="40">
                  <c:v>83.300000000000011</c:v>
                </c:pt>
                <c:pt idx="41">
                  <c:v>81.999999999999986</c:v>
                </c:pt>
                <c:pt idx="42">
                  <c:v>77.2</c:v>
                </c:pt>
                <c:pt idx="43">
                  <c:v>82.8</c:v>
                </c:pt>
                <c:pt idx="44">
                  <c:v>73.7</c:v>
                </c:pt>
                <c:pt idx="45">
                  <c:v>62.099999999999994</c:v>
                </c:pt>
                <c:pt idx="46">
                  <c:v>54.600000000000009</c:v>
                </c:pt>
                <c:pt idx="47">
                  <c:v>56.9</c:v>
                </c:pt>
                <c:pt idx="48">
                  <c:v>50.1</c:v>
                </c:pt>
                <c:pt idx="49">
                  <c:v>53.800000000000004</c:v>
                </c:pt>
                <c:pt idx="50">
                  <c:v>69.699999999999989</c:v>
                </c:pt>
                <c:pt idx="51">
                  <c:v>62.3</c:v>
                </c:pt>
                <c:pt idx="52">
                  <c:v>67.400000000000006</c:v>
                </c:pt>
                <c:pt idx="53">
                  <c:v>71.900000000000006</c:v>
                </c:pt>
                <c:pt idx="54">
                  <c:v>61.3</c:v>
                </c:pt>
                <c:pt idx="55">
                  <c:v>70.800000000000011</c:v>
                </c:pt>
                <c:pt idx="56">
                  <c:v>63.099999999999994</c:v>
                </c:pt>
                <c:pt idx="57">
                  <c:v>61.500000000000014</c:v>
                </c:pt>
                <c:pt idx="58">
                  <c:v>50.600000000000009</c:v>
                </c:pt>
                <c:pt idx="59">
                  <c:v>43.400000000000006</c:v>
                </c:pt>
                <c:pt idx="60">
                  <c:v>49.5</c:v>
                </c:pt>
                <c:pt idx="61">
                  <c:v>57.2</c:v>
                </c:pt>
                <c:pt idx="62">
                  <c:v>57.699999999999996</c:v>
                </c:pt>
                <c:pt idx="63">
                  <c:v>74.3</c:v>
                </c:pt>
                <c:pt idx="64">
                  <c:v>79.099999999999994</c:v>
                </c:pt>
                <c:pt idx="65">
                  <c:v>71.099999999999994</c:v>
                </c:pt>
                <c:pt idx="66">
                  <c:v>91</c:v>
                </c:pt>
                <c:pt idx="67">
                  <c:v>82.4</c:v>
                </c:pt>
                <c:pt idx="68">
                  <c:v>83.899999999999991</c:v>
                </c:pt>
                <c:pt idx="69">
                  <c:v>92.5</c:v>
                </c:pt>
                <c:pt idx="70">
                  <c:v>79.5</c:v>
                </c:pt>
                <c:pt idx="71">
                  <c:v>74.400000000000006</c:v>
                </c:pt>
                <c:pt idx="72">
                  <c:v>82.800000000000011</c:v>
                </c:pt>
                <c:pt idx="73">
                  <c:v>89</c:v>
                </c:pt>
                <c:pt idx="74">
                  <c:v>102.5</c:v>
                </c:pt>
                <c:pt idx="75">
                  <c:v>98.5</c:v>
                </c:pt>
                <c:pt idx="76">
                  <c:v>103.4</c:v>
                </c:pt>
                <c:pt idx="77">
                  <c:v>110.2</c:v>
                </c:pt>
                <c:pt idx="78">
                  <c:v>134.60000000000002</c:v>
                </c:pt>
              </c:numCache>
            </c:numRef>
          </c:val>
          <c:extLst>
            <c:ext xmlns:c16="http://schemas.microsoft.com/office/drawing/2014/chart" uri="{C3380CC4-5D6E-409C-BE32-E72D297353CC}">
              <c16:uniqueId val="{00000000-5B1F-4D55-B9A9-B782CF68AF8F}"/>
            </c:ext>
          </c:extLst>
        </c:ser>
        <c:ser>
          <c:idx val="1"/>
          <c:order val="1"/>
          <c:tx>
            <c:strRef>
              <c:f>'[Chart in Microsoft Word]Jaunie kredīti'!$B$15</c:f>
              <c:strCache>
                <c:ptCount val="1"/>
                <c:pt idx="0">
                  <c:v> patēriņa kredīti mājsaimniecībām</c:v>
                </c:pt>
              </c:strCache>
            </c:strRef>
          </c:tx>
          <c:spPr>
            <a:solidFill>
              <a:schemeClr val="accent2"/>
            </a:solidFill>
            <a:ln>
              <a:noFill/>
            </a:ln>
            <a:effectLst/>
          </c:spPr>
          <c:invertIfNegative val="0"/>
          <c:cat>
            <c:numRef>
              <c:f>'[Chart in Microsoft Word]Jaunie kredīti'!$AY$13:$DY$13</c:f>
              <c:numCache>
                <c:formatCode>mmm\-yy</c:formatCode>
                <c:ptCount val="7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pt idx="45">
                  <c:v>44835</c:v>
                </c:pt>
                <c:pt idx="46">
                  <c:v>44866</c:v>
                </c:pt>
                <c:pt idx="47">
                  <c:v>44896</c:v>
                </c:pt>
                <c:pt idx="48">
                  <c:v>44927</c:v>
                </c:pt>
                <c:pt idx="49">
                  <c:v>44958</c:v>
                </c:pt>
                <c:pt idx="50">
                  <c:v>44986</c:v>
                </c:pt>
                <c:pt idx="51">
                  <c:v>45017</c:v>
                </c:pt>
                <c:pt idx="52">
                  <c:v>45047</c:v>
                </c:pt>
                <c:pt idx="53">
                  <c:v>45078</c:v>
                </c:pt>
                <c:pt idx="54">
                  <c:v>45108</c:v>
                </c:pt>
                <c:pt idx="55">
                  <c:v>45139</c:v>
                </c:pt>
                <c:pt idx="56">
                  <c:v>45170</c:v>
                </c:pt>
                <c:pt idx="57">
                  <c:v>45200</c:v>
                </c:pt>
                <c:pt idx="58">
                  <c:v>45231</c:v>
                </c:pt>
                <c:pt idx="59">
                  <c:v>45261</c:v>
                </c:pt>
                <c:pt idx="60">
                  <c:v>45292</c:v>
                </c:pt>
                <c:pt idx="61">
                  <c:v>45323</c:v>
                </c:pt>
                <c:pt idx="62">
                  <c:v>45352</c:v>
                </c:pt>
                <c:pt idx="63">
                  <c:v>45383</c:v>
                </c:pt>
                <c:pt idx="64">
                  <c:v>45413</c:v>
                </c:pt>
                <c:pt idx="65">
                  <c:v>45444</c:v>
                </c:pt>
                <c:pt idx="66">
                  <c:v>45474</c:v>
                </c:pt>
                <c:pt idx="67">
                  <c:v>45505</c:v>
                </c:pt>
                <c:pt idx="68">
                  <c:v>45536</c:v>
                </c:pt>
                <c:pt idx="69">
                  <c:v>45566</c:v>
                </c:pt>
                <c:pt idx="70">
                  <c:v>45597</c:v>
                </c:pt>
                <c:pt idx="71">
                  <c:v>45627</c:v>
                </c:pt>
                <c:pt idx="72">
                  <c:v>45658</c:v>
                </c:pt>
                <c:pt idx="73">
                  <c:v>45689</c:v>
                </c:pt>
                <c:pt idx="74">
                  <c:v>45717</c:v>
                </c:pt>
                <c:pt idx="75">
                  <c:v>45748</c:v>
                </c:pt>
                <c:pt idx="76">
                  <c:v>45778</c:v>
                </c:pt>
                <c:pt idx="77">
                  <c:v>45809</c:v>
                </c:pt>
                <c:pt idx="78">
                  <c:v>45839</c:v>
                </c:pt>
              </c:numCache>
            </c:numRef>
          </c:cat>
          <c:val>
            <c:numRef>
              <c:f>'[Chart in Microsoft Word]Jaunie kredīti'!$AY$15:$DY$15</c:f>
              <c:numCache>
                <c:formatCode>#\ ##0.0</c:formatCode>
                <c:ptCount val="79"/>
                <c:pt idx="0">
                  <c:v>17.900000000000002</c:v>
                </c:pt>
                <c:pt idx="1">
                  <c:v>17</c:v>
                </c:pt>
                <c:pt idx="2">
                  <c:v>19.399999999999999</c:v>
                </c:pt>
                <c:pt idx="3">
                  <c:v>21</c:v>
                </c:pt>
                <c:pt idx="4">
                  <c:v>23.599999999999998</c:v>
                </c:pt>
                <c:pt idx="5">
                  <c:v>20.599999999999998</c:v>
                </c:pt>
                <c:pt idx="6">
                  <c:v>19.100000000000001</c:v>
                </c:pt>
                <c:pt idx="7">
                  <c:v>18.3</c:v>
                </c:pt>
                <c:pt idx="8">
                  <c:v>17.700000000000003</c:v>
                </c:pt>
                <c:pt idx="9">
                  <c:v>20.5</c:v>
                </c:pt>
                <c:pt idx="10">
                  <c:v>18.400000000000002</c:v>
                </c:pt>
                <c:pt idx="11">
                  <c:v>15.399999999999999</c:v>
                </c:pt>
                <c:pt idx="12">
                  <c:v>15.2</c:v>
                </c:pt>
                <c:pt idx="13">
                  <c:v>15.2</c:v>
                </c:pt>
                <c:pt idx="14">
                  <c:v>13.8</c:v>
                </c:pt>
                <c:pt idx="15">
                  <c:v>8</c:v>
                </c:pt>
                <c:pt idx="16">
                  <c:v>12.2</c:v>
                </c:pt>
                <c:pt idx="17">
                  <c:v>13.7</c:v>
                </c:pt>
                <c:pt idx="18">
                  <c:v>16.3</c:v>
                </c:pt>
                <c:pt idx="19">
                  <c:v>16.5</c:v>
                </c:pt>
                <c:pt idx="20">
                  <c:v>18.5</c:v>
                </c:pt>
                <c:pt idx="21">
                  <c:v>15.900000000000002</c:v>
                </c:pt>
                <c:pt idx="22">
                  <c:v>13.499999999999998</c:v>
                </c:pt>
                <c:pt idx="23">
                  <c:v>12.4</c:v>
                </c:pt>
                <c:pt idx="24">
                  <c:v>11.3</c:v>
                </c:pt>
                <c:pt idx="25">
                  <c:v>11.700000000000001</c:v>
                </c:pt>
                <c:pt idx="26">
                  <c:v>16.299999999999997</c:v>
                </c:pt>
                <c:pt idx="27">
                  <c:v>17.899999999999999</c:v>
                </c:pt>
                <c:pt idx="28">
                  <c:v>17.600000000000001</c:v>
                </c:pt>
                <c:pt idx="29">
                  <c:v>17.400000000000002</c:v>
                </c:pt>
                <c:pt idx="30">
                  <c:v>19.7</c:v>
                </c:pt>
                <c:pt idx="31">
                  <c:v>18.900000000000002</c:v>
                </c:pt>
                <c:pt idx="32">
                  <c:v>23.6</c:v>
                </c:pt>
                <c:pt idx="33">
                  <c:v>20.3</c:v>
                </c:pt>
                <c:pt idx="34">
                  <c:v>22</c:v>
                </c:pt>
                <c:pt idx="35">
                  <c:v>18.900000000000002</c:v>
                </c:pt>
                <c:pt idx="36">
                  <c:v>18.7</c:v>
                </c:pt>
                <c:pt idx="37">
                  <c:v>19.3</c:v>
                </c:pt>
                <c:pt idx="38">
                  <c:v>23.200000000000003</c:v>
                </c:pt>
                <c:pt idx="39">
                  <c:v>25.7</c:v>
                </c:pt>
                <c:pt idx="40">
                  <c:v>28.6</c:v>
                </c:pt>
                <c:pt idx="41">
                  <c:v>28.400000000000002</c:v>
                </c:pt>
                <c:pt idx="42">
                  <c:v>30.099999999999998</c:v>
                </c:pt>
                <c:pt idx="43">
                  <c:v>32.800000000000004</c:v>
                </c:pt>
                <c:pt idx="44">
                  <c:v>30.400000000000002</c:v>
                </c:pt>
                <c:pt idx="45">
                  <c:v>27.400000000000002</c:v>
                </c:pt>
                <c:pt idx="46">
                  <c:v>27.2</c:v>
                </c:pt>
                <c:pt idx="47">
                  <c:v>29.099999999999998</c:v>
                </c:pt>
                <c:pt idx="48">
                  <c:v>24.700000000000003</c:v>
                </c:pt>
                <c:pt idx="49">
                  <c:v>26.3</c:v>
                </c:pt>
                <c:pt idx="50">
                  <c:v>34.799999999999997</c:v>
                </c:pt>
                <c:pt idx="51">
                  <c:v>32.4</c:v>
                </c:pt>
                <c:pt idx="52">
                  <c:v>37.1</c:v>
                </c:pt>
                <c:pt idx="53">
                  <c:v>34.200000000000003</c:v>
                </c:pt>
                <c:pt idx="54">
                  <c:v>34.6</c:v>
                </c:pt>
                <c:pt idx="55">
                  <c:v>36.800000000000004</c:v>
                </c:pt>
                <c:pt idx="56">
                  <c:v>34.099999999999994</c:v>
                </c:pt>
                <c:pt idx="57">
                  <c:v>31.900000000000002</c:v>
                </c:pt>
                <c:pt idx="58">
                  <c:v>31.9</c:v>
                </c:pt>
                <c:pt idx="59">
                  <c:v>32.199999999999996</c:v>
                </c:pt>
                <c:pt idx="60">
                  <c:v>29.2</c:v>
                </c:pt>
                <c:pt idx="61">
                  <c:v>33.299999999999997</c:v>
                </c:pt>
                <c:pt idx="62">
                  <c:v>34.4</c:v>
                </c:pt>
                <c:pt idx="63">
                  <c:v>39.6</c:v>
                </c:pt>
                <c:pt idx="64">
                  <c:v>40.299999999999997</c:v>
                </c:pt>
                <c:pt idx="65">
                  <c:v>37.799999999999997</c:v>
                </c:pt>
                <c:pt idx="66">
                  <c:v>43.800000000000004</c:v>
                </c:pt>
                <c:pt idx="67">
                  <c:v>40.200000000000003</c:v>
                </c:pt>
                <c:pt idx="68">
                  <c:v>38.5</c:v>
                </c:pt>
                <c:pt idx="69">
                  <c:v>35.300000000000004</c:v>
                </c:pt>
                <c:pt idx="70">
                  <c:v>32.4</c:v>
                </c:pt>
                <c:pt idx="71">
                  <c:v>30.299999999999997</c:v>
                </c:pt>
                <c:pt idx="72">
                  <c:v>32.200000000000003</c:v>
                </c:pt>
                <c:pt idx="73">
                  <c:v>33</c:v>
                </c:pt>
                <c:pt idx="74">
                  <c:v>41.8</c:v>
                </c:pt>
                <c:pt idx="75">
                  <c:v>43.7</c:v>
                </c:pt>
                <c:pt idx="76">
                  <c:v>43.3</c:v>
                </c:pt>
                <c:pt idx="77">
                  <c:v>41.5</c:v>
                </c:pt>
                <c:pt idx="78">
                  <c:v>47.3</c:v>
                </c:pt>
              </c:numCache>
            </c:numRef>
          </c:val>
          <c:extLst>
            <c:ext xmlns:c16="http://schemas.microsoft.com/office/drawing/2014/chart" uri="{C3380CC4-5D6E-409C-BE32-E72D297353CC}">
              <c16:uniqueId val="{00000001-5B1F-4D55-B9A9-B782CF68AF8F}"/>
            </c:ext>
          </c:extLst>
        </c:ser>
        <c:ser>
          <c:idx val="2"/>
          <c:order val="2"/>
          <c:tx>
            <c:strRef>
              <c:f>'[Chart in Microsoft Word]Jaunie kredīti'!$B$16</c:f>
              <c:strCache>
                <c:ptCount val="1"/>
                <c:pt idx="0">
                  <c:v> pārējie kredīti mājsaimniecībām</c:v>
                </c:pt>
              </c:strCache>
            </c:strRef>
          </c:tx>
          <c:spPr>
            <a:solidFill>
              <a:schemeClr val="accent3"/>
            </a:solidFill>
            <a:ln>
              <a:noFill/>
            </a:ln>
            <a:effectLst/>
          </c:spPr>
          <c:invertIfNegative val="0"/>
          <c:cat>
            <c:numRef>
              <c:f>'[Chart in Microsoft Word]Jaunie kredīti'!$AY$13:$DY$13</c:f>
              <c:numCache>
                <c:formatCode>mmm\-yy</c:formatCode>
                <c:ptCount val="7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pt idx="45">
                  <c:v>44835</c:v>
                </c:pt>
                <c:pt idx="46">
                  <c:v>44866</c:v>
                </c:pt>
                <c:pt idx="47">
                  <c:v>44896</c:v>
                </c:pt>
                <c:pt idx="48">
                  <c:v>44927</c:v>
                </c:pt>
                <c:pt idx="49">
                  <c:v>44958</c:v>
                </c:pt>
                <c:pt idx="50">
                  <c:v>44986</c:v>
                </c:pt>
                <c:pt idx="51">
                  <c:v>45017</c:v>
                </c:pt>
                <c:pt idx="52">
                  <c:v>45047</c:v>
                </c:pt>
                <c:pt idx="53">
                  <c:v>45078</c:v>
                </c:pt>
                <c:pt idx="54">
                  <c:v>45108</c:v>
                </c:pt>
                <c:pt idx="55">
                  <c:v>45139</c:v>
                </c:pt>
                <c:pt idx="56">
                  <c:v>45170</c:v>
                </c:pt>
                <c:pt idx="57">
                  <c:v>45200</c:v>
                </c:pt>
                <c:pt idx="58">
                  <c:v>45231</c:v>
                </c:pt>
                <c:pt idx="59">
                  <c:v>45261</c:v>
                </c:pt>
                <c:pt idx="60">
                  <c:v>45292</c:v>
                </c:pt>
                <c:pt idx="61">
                  <c:v>45323</c:v>
                </c:pt>
                <c:pt idx="62">
                  <c:v>45352</c:v>
                </c:pt>
                <c:pt idx="63">
                  <c:v>45383</c:v>
                </c:pt>
                <c:pt idx="64">
                  <c:v>45413</c:v>
                </c:pt>
                <c:pt idx="65">
                  <c:v>45444</c:v>
                </c:pt>
                <c:pt idx="66">
                  <c:v>45474</c:v>
                </c:pt>
                <c:pt idx="67">
                  <c:v>45505</c:v>
                </c:pt>
                <c:pt idx="68">
                  <c:v>45536</c:v>
                </c:pt>
                <c:pt idx="69">
                  <c:v>45566</c:v>
                </c:pt>
                <c:pt idx="70">
                  <c:v>45597</c:v>
                </c:pt>
                <c:pt idx="71">
                  <c:v>45627</c:v>
                </c:pt>
                <c:pt idx="72">
                  <c:v>45658</c:v>
                </c:pt>
                <c:pt idx="73">
                  <c:v>45689</c:v>
                </c:pt>
                <c:pt idx="74">
                  <c:v>45717</c:v>
                </c:pt>
                <c:pt idx="75">
                  <c:v>45748</c:v>
                </c:pt>
                <c:pt idx="76">
                  <c:v>45778</c:v>
                </c:pt>
                <c:pt idx="77">
                  <c:v>45809</c:v>
                </c:pt>
                <c:pt idx="78">
                  <c:v>45839</c:v>
                </c:pt>
              </c:numCache>
            </c:numRef>
          </c:cat>
          <c:val>
            <c:numRef>
              <c:f>'[Chart in Microsoft Word]Jaunie kredīti'!$AY$16:$DY$16</c:f>
              <c:numCache>
                <c:formatCode>#\ ##0.0</c:formatCode>
                <c:ptCount val="79"/>
                <c:pt idx="0">
                  <c:v>4.7</c:v>
                </c:pt>
                <c:pt idx="1">
                  <c:v>4.0999999999999996</c:v>
                </c:pt>
                <c:pt idx="2">
                  <c:v>5.6000000000000005</c:v>
                </c:pt>
                <c:pt idx="3">
                  <c:v>5.0999999999999979</c:v>
                </c:pt>
                <c:pt idx="4">
                  <c:v>5.2</c:v>
                </c:pt>
                <c:pt idx="5">
                  <c:v>5.5</c:v>
                </c:pt>
                <c:pt idx="6">
                  <c:v>5.3999999999999986</c:v>
                </c:pt>
                <c:pt idx="7">
                  <c:v>4.6000000000000014</c:v>
                </c:pt>
                <c:pt idx="8">
                  <c:v>6.8999999999999986</c:v>
                </c:pt>
                <c:pt idx="9">
                  <c:v>5.9</c:v>
                </c:pt>
                <c:pt idx="10">
                  <c:v>7.3999999999999995</c:v>
                </c:pt>
                <c:pt idx="11">
                  <c:v>6.1</c:v>
                </c:pt>
                <c:pt idx="12">
                  <c:v>3.5999999999999996</c:v>
                </c:pt>
                <c:pt idx="13">
                  <c:v>5</c:v>
                </c:pt>
                <c:pt idx="14">
                  <c:v>4.5</c:v>
                </c:pt>
                <c:pt idx="15">
                  <c:v>8.6999999999999993</c:v>
                </c:pt>
                <c:pt idx="16">
                  <c:v>6.7999999999999989</c:v>
                </c:pt>
                <c:pt idx="17">
                  <c:v>4.3999999999999995</c:v>
                </c:pt>
                <c:pt idx="18">
                  <c:v>6</c:v>
                </c:pt>
                <c:pt idx="19">
                  <c:v>8.3000000000000007</c:v>
                </c:pt>
                <c:pt idx="20">
                  <c:v>11.4</c:v>
                </c:pt>
                <c:pt idx="21">
                  <c:v>4.7000000000000011</c:v>
                </c:pt>
                <c:pt idx="22">
                  <c:v>3.0000000000000009</c:v>
                </c:pt>
                <c:pt idx="23">
                  <c:v>4.2</c:v>
                </c:pt>
                <c:pt idx="24">
                  <c:v>3.1999999999999993</c:v>
                </c:pt>
                <c:pt idx="25">
                  <c:v>4</c:v>
                </c:pt>
                <c:pt idx="26">
                  <c:v>5.5</c:v>
                </c:pt>
                <c:pt idx="27">
                  <c:v>3.3000000000000007</c:v>
                </c:pt>
                <c:pt idx="28">
                  <c:v>3.3999999999999995</c:v>
                </c:pt>
                <c:pt idx="29">
                  <c:v>3.2</c:v>
                </c:pt>
                <c:pt idx="30">
                  <c:v>3.5999999999999996</c:v>
                </c:pt>
                <c:pt idx="31">
                  <c:v>7.1999999999999993</c:v>
                </c:pt>
                <c:pt idx="32">
                  <c:v>11.500000000000002</c:v>
                </c:pt>
                <c:pt idx="33">
                  <c:v>5.4999999999999991</c:v>
                </c:pt>
                <c:pt idx="34">
                  <c:v>6.3000000000000007</c:v>
                </c:pt>
                <c:pt idx="35">
                  <c:v>4.5</c:v>
                </c:pt>
                <c:pt idx="36">
                  <c:v>5.6</c:v>
                </c:pt>
                <c:pt idx="37">
                  <c:v>4.1999999999999993</c:v>
                </c:pt>
                <c:pt idx="38">
                  <c:v>3.9</c:v>
                </c:pt>
                <c:pt idx="39">
                  <c:v>5.0000000000000009</c:v>
                </c:pt>
                <c:pt idx="40">
                  <c:v>7.3000000000000007</c:v>
                </c:pt>
                <c:pt idx="41">
                  <c:v>7.3000000000000007</c:v>
                </c:pt>
                <c:pt idx="42">
                  <c:v>6.1999999999999993</c:v>
                </c:pt>
                <c:pt idx="43">
                  <c:v>9.8000000000000007</c:v>
                </c:pt>
                <c:pt idx="44">
                  <c:v>12.5</c:v>
                </c:pt>
                <c:pt idx="45">
                  <c:v>5.9</c:v>
                </c:pt>
                <c:pt idx="46">
                  <c:v>5.8999999999999995</c:v>
                </c:pt>
                <c:pt idx="47">
                  <c:v>4.5999999999999996</c:v>
                </c:pt>
                <c:pt idx="48">
                  <c:v>3.0000000000000018</c:v>
                </c:pt>
                <c:pt idx="49">
                  <c:v>4.0999999999999996</c:v>
                </c:pt>
                <c:pt idx="50">
                  <c:v>3.4000000000000004</c:v>
                </c:pt>
                <c:pt idx="51">
                  <c:v>4.3</c:v>
                </c:pt>
                <c:pt idx="52">
                  <c:v>4.8</c:v>
                </c:pt>
                <c:pt idx="53">
                  <c:v>4.1999999999999993</c:v>
                </c:pt>
                <c:pt idx="54">
                  <c:v>4.8</c:v>
                </c:pt>
                <c:pt idx="55">
                  <c:v>8</c:v>
                </c:pt>
                <c:pt idx="56">
                  <c:v>12.5</c:v>
                </c:pt>
                <c:pt idx="57">
                  <c:v>4.9999999999999991</c:v>
                </c:pt>
                <c:pt idx="58">
                  <c:v>4.0999999999999996</c:v>
                </c:pt>
                <c:pt idx="59">
                  <c:v>4.5</c:v>
                </c:pt>
                <c:pt idx="60">
                  <c:v>3.5</c:v>
                </c:pt>
                <c:pt idx="61">
                  <c:v>5.7000000000000011</c:v>
                </c:pt>
                <c:pt idx="62">
                  <c:v>4.5999999999999996</c:v>
                </c:pt>
                <c:pt idx="63">
                  <c:v>6.8000000000000007</c:v>
                </c:pt>
                <c:pt idx="64">
                  <c:v>7.7</c:v>
                </c:pt>
                <c:pt idx="65">
                  <c:v>4.5</c:v>
                </c:pt>
                <c:pt idx="66">
                  <c:v>7.1999999999999993</c:v>
                </c:pt>
                <c:pt idx="67">
                  <c:v>13.500000000000002</c:v>
                </c:pt>
                <c:pt idx="68">
                  <c:v>11.899999999999999</c:v>
                </c:pt>
                <c:pt idx="69">
                  <c:v>6.8999999999999995</c:v>
                </c:pt>
                <c:pt idx="70">
                  <c:v>5.9</c:v>
                </c:pt>
                <c:pt idx="71">
                  <c:v>6.1</c:v>
                </c:pt>
                <c:pt idx="72">
                  <c:v>5.0999999999999996</c:v>
                </c:pt>
                <c:pt idx="73">
                  <c:v>7.5000000000000009</c:v>
                </c:pt>
                <c:pt idx="74">
                  <c:v>13.600000000000001</c:v>
                </c:pt>
                <c:pt idx="75">
                  <c:v>9.3999999999999986</c:v>
                </c:pt>
                <c:pt idx="76">
                  <c:v>7.4000000000000021</c:v>
                </c:pt>
                <c:pt idx="77">
                  <c:v>8.1</c:v>
                </c:pt>
                <c:pt idx="78">
                  <c:v>7</c:v>
                </c:pt>
              </c:numCache>
            </c:numRef>
          </c:val>
          <c:extLst>
            <c:ext xmlns:c16="http://schemas.microsoft.com/office/drawing/2014/chart" uri="{C3380CC4-5D6E-409C-BE32-E72D297353CC}">
              <c16:uniqueId val="{00000002-5B1F-4D55-B9A9-B782CF68AF8F}"/>
            </c:ext>
          </c:extLst>
        </c:ser>
        <c:ser>
          <c:idx val="3"/>
          <c:order val="3"/>
          <c:tx>
            <c:strRef>
              <c:f>'[Chart in Microsoft Word]Jaunie kredīti'!$B$17</c:f>
              <c:strCache>
                <c:ptCount val="1"/>
                <c:pt idx="0">
                  <c:v> kredīti nefinanšu sabiedrībām</c:v>
                </c:pt>
              </c:strCache>
            </c:strRef>
          </c:tx>
          <c:spPr>
            <a:solidFill>
              <a:schemeClr val="accent4"/>
            </a:solidFill>
            <a:ln>
              <a:noFill/>
            </a:ln>
            <a:effectLst/>
          </c:spPr>
          <c:invertIfNegative val="0"/>
          <c:cat>
            <c:numRef>
              <c:f>'[Chart in Microsoft Word]Jaunie kredīti'!$AY$13:$DY$13</c:f>
              <c:numCache>
                <c:formatCode>mmm\-yy</c:formatCode>
                <c:ptCount val="79"/>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pt idx="27">
                  <c:v>44287</c:v>
                </c:pt>
                <c:pt idx="28">
                  <c:v>44317</c:v>
                </c:pt>
                <c:pt idx="29">
                  <c:v>44348</c:v>
                </c:pt>
                <c:pt idx="30">
                  <c:v>44378</c:v>
                </c:pt>
                <c:pt idx="31">
                  <c:v>44409</c:v>
                </c:pt>
                <c:pt idx="32">
                  <c:v>44440</c:v>
                </c:pt>
                <c:pt idx="33">
                  <c:v>44470</c:v>
                </c:pt>
                <c:pt idx="34">
                  <c:v>44501</c:v>
                </c:pt>
                <c:pt idx="35">
                  <c:v>44531</c:v>
                </c:pt>
                <c:pt idx="36">
                  <c:v>44562</c:v>
                </c:pt>
                <c:pt idx="37">
                  <c:v>44593</c:v>
                </c:pt>
                <c:pt idx="38">
                  <c:v>44621</c:v>
                </c:pt>
                <c:pt idx="39">
                  <c:v>44652</c:v>
                </c:pt>
                <c:pt idx="40">
                  <c:v>44682</c:v>
                </c:pt>
                <c:pt idx="41">
                  <c:v>44713</c:v>
                </c:pt>
                <c:pt idx="42">
                  <c:v>44743</c:v>
                </c:pt>
                <c:pt idx="43">
                  <c:v>44774</c:v>
                </c:pt>
                <c:pt idx="44">
                  <c:v>44805</c:v>
                </c:pt>
                <c:pt idx="45">
                  <c:v>44835</c:v>
                </c:pt>
                <c:pt idx="46">
                  <c:v>44866</c:v>
                </c:pt>
                <c:pt idx="47">
                  <c:v>44896</c:v>
                </c:pt>
                <c:pt idx="48">
                  <c:v>44927</c:v>
                </c:pt>
                <c:pt idx="49">
                  <c:v>44958</c:v>
                </c:pt>
                <c:pt idx="50">
                  <c:v>44986</c:v>
                </c:pt>
                <c:pt idx="51">
                  <c:v>45017</c:v>
                </c:pt>
                <c:pt idx="52">
                  <c:v>45047</c:v>
                </c:pt>
                <c:pt idx="53">
                  <c:v>45078</c:v>
                </c:pt>
                <c:pt idx="54">
                  <c:v>45108</c:v>
                </c:pt>
                <c:pt idx="55">
                  <c:v>45139</c:v>
                </c:pt>
                <c:pt idx="56">
                  <c:v>45170</c:v>
                </c:pt>
                <c:pt idx="57">
                  <c:v>45200</c:v>
                </c:pt>
                <c:pt idx="58">
                  <c:v>45231</c:v>
                </c:pt>
                <c:pt idx="59">
                  <c:v>45261</c:v>
                </c:pt>
                <c:pt idx="60">
                  <c:v>45292</c:v>
                </c:pt>
                <c:pt idx="61">
                  <c:v>45323</c:v>
                </c:pt>
                <c:pt idx="62">
                  <c:v>45352</c:v>
                </c:pt>
                <c:pt idx="63">
                  <c:v>45383</c:v>
                </c:pt>
                <c:pt idx="64">
                  <c:v>45413</c:v>
                </c:pt>
                <c:pt idx="65">
                  <c:v>45444</c:v>
                </c:pt>
                <c:pt idx="66">
                  <c:v>45474</c:v>
                </c:pt>
                <c:pt idx="67">
                  <c:v>45505</c:v>
                </c:pt>
                <c:pt idx="68">
                  <c:v>45536</c:v>
                </c:pt>
                <c:pt idx="69">
                  <c:v>45566</c:v>
                </c:pt>
                <c:pt idx="70">
                  <c:v>45597</c:v>
                </c:pt>
                <c:pt idx="71">
                  <c:v>45627</c:v>
                </c:pt>
                <c:pt idx="72">
                  <c:v>45658</c:v>
                </c:pt>
                <c:pt idx="73">
                  <c:v>45689</c:v>
                </c:pt>
                <c:pt idx="74">
                  <c:v>45717</c:v>
                </c:pt>
                <c:pt idx="75">
                  <c:v>45748</c:v>
                </c:pt>
                <c:pt idx="76">
                  <c:v>45778</c:v>
                </c:pt>
                <c:pt idx="77">
                  <c:v>45809</c:v>
                </c:pt>
                <c:pt idx="78">
                  <c:v>45839</c:v>
                </c:pt>
              </c:numCache>
            </c:numRef>
          </c:cat>
          <c:val>
            <c:numRef>
              <c:f>'[Chart in Microsoft Word]Jaunie kredīti'!$AY$17:$DY$17</c:f>
              <c:numCache>
                <c:formatCode>#\ ##0.0</c:formatCode>
                <c:ptCount val="79"/>
                <c:pt idx="0">
                  <c:v>53</c:v>
                </c:pt>
                <c:pt idx="1">
                  <c:v>87.600000000000023</c:v>
                </c:pt>
                <c:pt idx="2">
                  <c:v>118.60000000000002</c:v>
                </c:pt>
                <c:pt idx="3">
                  <c:v>78.800000000000011</c:v>
                </c:pt>
                <c:pt idx="4">
                  <c:v>132.39999999999998</c:v>
                </c:pt>
                <c:pt idx="5">
                  <c:v>76.699999999999989</c:v>
                </c:pt>
                <c:pt idx="6">
                  <c:v>94</c:v>
                </c:pt>
                <c:pt idx="7">
                  <c:v>49.300000000000011</c:v>
                </c:pt>
                <c:pt idx="8">
                  <c:v>112.10000000000002</c:v>
                </c:pt>
                <c:pt idx="9">
                  <c:v>94.9</c:v>
                </c:pt>
                <c:pt idx="10">
                  <c:v>18.099999999999994</c:v>
                </c:pt>
                <c:pt idx="11">
                  <c:v>82.800000000000011</c:v>
                </c:pt>
                <c:pt idx="12">
                  <c:v>72.599999999999994</c:v>
                </c:pt>
                <c:pt idx="13">
                  <c:v>128.70000000000002</c:v>
                </c:pt>
                <c:pt idx="14">
                  <c:v>139</c:v>
                </c:pt>
                <c:pt idx="15">
                  <c:v>33.299999999999955</c:v>
                </c:pt>
                <c:pt idx="16">
                  <c:v>16.800000000000011</c:v>
                </c:pt>
                <c:pt idx="17">
                  <c:v>165</c:v>
                </c:pt>
                <c:pt idx="18">
                  <c:v>48.399999999999977</c:v>
                </c:pt>
                <c:pt idx="19">
                  <c:v>50.199999999999989</c:v>
                </c:pt>
                <c:pt idx="20">
                  <c:v>69</c:v>
                </c:pt>
                <c:pt idx="21">
                  <c:v>76.5</c:v>
                </c:pt>
                <c:pt idx="22">
                  <c:v>101.39999999999998</c:v>
                </c:pt>
                <c:pt idx="23">
                  <c:v>91.599999999999966</c:v>
                </c:pt>
                <c:pt idx="24">
                  <c:v>53.299999999999955</c:v>
                </c:pt>
                <c:pt idx="25">
                  <c:v>43.299999999999955</c:v>
                </c:pt>
                <c:pt idx="26">
                  <c:v>156.30000000000001</c:v>
                </c:pt>
                <c:pt idx="27">
                  <c:v>117</c:v>
                </c:pt>
                <c:pt idx="28">
                  <c:v>71.300000000000068</c:v>
                </c:pt>
                <c:pt idx="29">
                  <c:v>38</c:v>
                </c:pt>
                <c:pt idx="30">
                  <c:v>93.800000000000011</c:v>
                </c:pt>
                <c:pt idx="31">
                  <c:v>169.10000000000002</c:v>
                </c:pt>
                <c:pt idx="32">
                  <c:v>71.699999999999989</c:v>
                </c:pt>
                <c:pt idx="33">
                  <c:v>87.399999999999977</c:v>
                </c:pt>
                <c:pt idx="34">
                  <c:v>117.10000000000002</c:v>
                </c:pt>
                <c:pt idx="35">
                  <c:v>72.399999999999977</c:v>
                </c:pt>
                <c:pt idx="36">
                  <c:v>60.700000000000017</c:v>
                </c:pt>
                <c:pt idx="37">
                  <c:v>65.800000000000011</c:v>
                </c:pt>
                <c:pt idx="38">
                  <c:v>89.399999999999977</c:v>
                </c:pt>
                <c:pt idx="39">
                  <c:v>94.5</c:v>
                </c:pt>
                <c:pt idx="40">
                  <c:v>235.7</c:v>
                </c:pt>
                <c:pt idx="41">
                  <c:v>103.69999999999999</c:v>
                </c:pt>
                <c:pt idx="42">
                  <c:v>227.10000000000002</c:v>
                </c:pt>
                <c:pt idx="43">
                  <c:v>169.7</c:v>
                </c:pt>
                <c:pt idx="44">
                  <c:v>124.00000000000003</c:v>
                </c:pt>
                <c:pt idx="45">
                  <c:v>178.39999999999998</c:v>
                </c:pt>
                <c:pt idx="46">
                  <c:v>297.5</c:v>
                </c:pt>
                <c:pt idx="47">
                  <c:v>107</c:v>
                </c:pt>
                <c:pt idx="48">
                  <c:v>73.399999999999977</c:v>
                </c:pt>
                <c:pt idx="49">
                  <c:v>75.800000000000011</c:v>
                </c:pt>
                <c:pt idx="50">
                  <c:v>116.39999999999998</c:v>
                </c:pt>
                <c:pt idx="51">
                  <c:v>79.100000000000023</c:v>
                </c:pt>
                <c:pt idx="52">
                  <c:v>156.39999999999998</c:v>
                </c:pt>
                <c:pt idx="53">
                  <c:v>148.09999999999997</c:v>
                </c:pt>
                <c:pt idx="54">
                  <c:v>130.20000000000002</c:v>
                </c:pt>
                <c:pt idx="55">
                  <c:v>203.70000000000005</c:v>
                </c:pt>
                <c:pt idx="56">
                  <c:v>140.10000000000002</c:v>
                </c:pt>
                <c:pt idx="57">
                  <c:v>114.5</c:v>
                </c:pt>
                <c:pt idx="58">
                  <c:v>128.20000000000002</c:v>
                </c:pt>
                <c:pt idx="59">
                  <c:v>109.5</c:v>
                </c:pt>
                <c:pt idx="60">
                  <c:v>74.899999999999977</c:v>
                </c:pt>
                <c:pt idx="61">
                  <c:v>87.199999999999989</c:v>
                </c:pt>
                <c:pt idx="62">
                  <c:v>75.699999999999989</c:v>
                </c:pt>
                <c:pt idx="63">
                  <c:v>126.69999999999999</c:v>
                </c:pt>
                <c:pt idx="64">
                  <c:v>109.40000000000003</c:v>
                </c:pt>
                <c:pt idx="65">
                  <c:v>150</c:v>
                </c:pt>
                <c:pt idx="66">
                  <c:v>140.30000000000001</c:v>
                </c:pt>
                <c:pt idx="67">
                  <c:v>215.7</c:v>
                </c:pt>
                <c:pt idx="68">
                  <c:v>138.09999999999997</c:v>
                </c:pt>
                <c:pt idx="69">
                  <c:v>122.60000000000001</c:v>
                </c:pt>
                <c:pt idx="70">
                  <c:v>120.39999999999998</c:v>
                </c:pt>
                <c:pt idx="71">
                  <c:v>394.59999999999997</c:v>
                </c:pt>
                <c:pt idx="72">
                  <c:v>68.5</c:v>
                </c:pt>
                <c:pt idx="73">
                  <c:v>230</c:v>
                </c:pt>
                <c:pt idx="74">
                  <c:v>161.30000000000001</c:v>
                </c:pt>
                <c:pt idx="75">
                  <c:v>136.5</c:v>
                </c:pt>
                <c:pt idx="76">
                  <c:v>284.39999999999998</c:v>
                </c:pt>
                <c:pt idx="77">
                  <c:v>188.39999999999998</c:v>
                </c:pt>
                <c:pt idx="78">
                  <c:v>217.29999999999995</c:v>
                </c:pt>
              </c:numCache>
            </c:numRef>
          </c:val>
          <c:extLst>
            <c:ext xmlns:c16="http://schemas.microsoft.com/office/drawing/2014/chart" uri="{C3380CC4-5D6E-409C-BE32-E72D297353CC}">
              <c16:uniqueId val="{00000003-5B1F-4D55-B9A9-B782CF68AF8F}"/>
            </c:ext>
          </c:extLst>
        </c:ser>
        <c:dLbls>
          <c:showLegendKey val="0"/>
          <c:showVal val="0"/>
          <c:showCatName val="0"/>
          <c:showSerName val="0"/>
          <c:showPercent val="0"/>
          <c:showBubbleSize val="0"/>
        </c:dLbls>
        <c:gapWidth val="0"/>
        <c:overlap val="100"/>
        <c:axId val="1602556559"/>
        <c:axId val="1602560719"/>
      </c:barChart>
      <c:catAx>
        <c:axId val="1602556559"/>
        <c:scaling>
          <c:orientation val="minMax"/>
        </c:scaling>
        <c:delete val="0"/>
        <c:axPos val="b"/>
        <c:majorGridlines>
          <c:spPr>
            <a:ln w="9525" cap="flat" cmpd="sng" algn="ctr">
              <a:solidFill>
                <a:schemeClr val="tx1">
                  <a:lumMod val="15000"/>
                  <a:lumOff val="85000"/>
                </a:schemeClr>
              </a:solidFill>
              <a:round/>
            </a:ln>
            <a:effectLst/>
          </c:spPr>
        </c:majorGridlines>
        <c:numFmt formatCode="mmm\-yy"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602560719"/>
        <c:crosses val="autoZero"/>
        <c:auto val="0"/>
        <c:lblAlgn val="ctr"/>
        <c:lblOffset val="100"/>
        <c:tickMarkSkip val="12"/>
        <c:noMultiLvlLbl val="1"/>
      </c:catAx>
      <c:valAx>
        <c:axId val="1602560719"/>
        <c:scaling>
          <c:orientation val="minMax"/>
        </c:scaling>
        <c:delete val="0"/>
        <c:axPos val="l"/>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602556559"/>
        <c:crosses val="autoZero"/>
        <c:crossBetween val="between"/>
      </c:valAx>
      <c:spPr>
        <a:noFill/>
        <a:ln w="25400" cap="flat" cmpd="sng">
          <a:solidFill>
            <a:schemeClr val="bg1"/>
          </a:solidFill>
          <a:miter lim="800000"/>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25400"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6186850610615822E-2"/>
          <c:y val="2.7322404371584699E-2"/>
          <c:w val="0.89351011908635392"/>
          <c:h val="0.68732584656426143"/>
        </c:manualLayout>
      </c:layout>
      <c:lineChart>
        <c:grouping val="standard"/>
        <c:varyColors val="0"/>
        <c:ser>
          <c:idx val="0"/>
          <c:order val="0"/>
          <c:tx>
            <c:strRef>
              <c:f>Cenas!$A$7</c:f>
              <c:strCache>
                <c:ptCount val="1"/>
                <c:pt idx="0">
                  <c:v>Graudi</c:v>
                </c:pt>
              </c:strCache>
            </c:strRef>
          </c:tx>
          <c:spPr>
            <a:ln w="28575" cap="rnd">
              <a:solidFill>
                <a:srgbClr val="EE0000"/>
              </a:solidFill>
              <a:round/>
            </a:ln>
            <a:effectLst/>
          </c:spPr>
          <c:marker>
            <c:symbol val="none"/>
          </c:marker>
          <c:cat>
            <c:multiLvlStrRef>
              <c:f>Cenas!$V$3:$AQ$4</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2020</c:v>
                  </c:pt>
                  <c:pt idx="4">
                    <c:v>2021</c:v>
                  </c:pt>
                  <c:pt idx="8">
                    <c:v>2022</c:v>
                  </c:pt>
                  <c:pt idx="12">
                    <c:v>2023</c:v>
                  </c:pt>
                  <c:pt idx="16">
                    <c:v>2024</c:v>
                  </c:pt>
                  <c:pt idx="20">
                    <c:v>2025</c:v>
                  </c:pt>
                </c:lvl>
              </c:multiLvlStrCache>
            </c:multiLvlStrRef>
          </c:cat>
          <c:val>
            <c:numRef>
              <c:f>Cenas!$V$7:$AQ$7</c:f>
              <c:numCache>
                <c:formatCode>0.0</c:formatCode>
                <c:ptCount val="22"/>
                <c:pt idx="0">
                  <c:v>107.9</c:v>
                </c:pt>
                <c:pt idx="1">
                  <c:v>112.2</c:v>
                </c:pt>
                <c:pt idx="2">
                  <c:v>95.8</c:v>
                </c:pt>
                <c:pt idx="3">
                  <c:v>108.6</c:v>
                </c:pt>
                <c:pt idx="4">
                  <c:v>117.9</c:v>
                </c:pt>
                <c:pt idx="5">
                  <c:v>121.5</c:v>
                </c:pt>
                <c:pt idx="6">
                  <c:v>114.4</c:v>
                </c:pt>
                <c:pt idx="7">
                  <c:v>138.1</c:v>
                </c:pt>
                <c:pt idx="8">
                  <c:v>177.7</c:v>
                </c:pt>
                <c:pt idx="9">
                  <c:v>213.9</c:v>
                </c:pt>
                <c:pt idx="10" formatCode="General">
                  <c:v>170.9</c:v>
                </c:pt>
                <c:pt idx="11" formatCode="General">
                  <c:v>175.3</c:v>
                </c:pt>
                <c:pt idx="12" formatCode="General">
                  <c:v>158.6</c:v>
                </c:pt>
                <c:pt idx="13" formatCode="General">
                  <c:v>135.6</c:v>
                </c:pt>
                <c:pt idx="14" formatCode="General">
                  <c:v>117.8</c:v>
                </c:pt>
                <c:pt idx="15" formatCode="General">
                  <c:v>128.19999999999999</c:v>
                </c:pt>
                <c:pt idx="16" formatCode="General">
                  <c:v>113</c:v>
                </c:pt>
                <c:pt idx="17" formatCode="General">
                  <c:v>132.5</c:v>
                </c:pt>
                <c:pt idx="18" formatCode="General">
                  <c:v>114.1</c:v>
                </c:pt>
                <c:pt idx="19" formatCode="General">
                  <c:v>121.1</c:v>
                </c:pt>
                <c:pt idx="20" formatCode="General">
                  <c:v>123.9</c:v>
                </c:pt>
                <c:pt idx="21" formatCode="General">
                  <c:v>119.8</c:v>
                </c:pt>
              </c:numCache>
            </c:numRef>
          </c:val>
          <c:smooth val="1"/>
          <c:extLst>
            <c:ext xmlns:c16="http://schemas.microsoft.com/office/drawing/2014/chart" uri="{C3380CC4-5D6E-409C-BE32-E72D297353CC}">
              <c16:uniqueId val="{00000000-A0A2-4909-814B-4BA495DD4B7C}"/>
            </c:ext>
          </c:extLst>
        </c:ser>
        <c:ser>
          <c:idx val="2"/>
          <c:order val="2"/>
          <c:tx>
            <c:strRef>
              <c:f>Cenas!$A$27</c:f>
              <c:strCache>
                <c:ptCount val="1"/>
                <c:pt idx="0">
                  <c:v>Piens</c:v>
                </c:pt>
              </c:strCache>
            </c:strRef>
          </c:tx>
          <c:spPr>
            <a:ln w="28575" cap="rnd">
              <a:solidFill>
                <a:sysClr val="window" lastClr="FFFFFF">
                  <a:lumMod val="50000"/>
                </a:sysClr>
              </a:solidFill>
              <a:round/>
            </a:ln>
            <a:effectLst/>
          </c:spPr>
          <c:marker>
            <c:symbol val="none"/>
          </c:marker>
          <c:cat>
            <c:multiLvlStrRef>
              <c:f>Cenas!$V$3:$AQ$4</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2020</c:v>
                  </c:pt>
                  <c:pt idx="4">
                    <c:v>2021</c:v>
                  </c:pt>
                  <c:pt idx="8">
                    <c:v>2022</c:v>
                  </c:pt>
                  <c:pt idx="12">
                    <c:v>2023</c:v>
                  </c:pt>
                  <c:pt idx="16">
                    <c:v>2024</c:v>
                  </c:pt>
                  <c:pt idx="20">
                    <c:v>2025</c:v>
                  </c:pt>
                </c:lvl>
              </c:multiLvlStrCache>
            </c:multiLvlStrRef>
          </c:cat>
          <c:val>
            <c:numRef>
              <c:f>Cenas!$V$27:$AQ$27</c:f>
              <c:numCache>
                <c:formatCode>0.0</c:formatCode>
                <c:ptCount val="22"/>
                <c:pt idx="0">
                  <c:v>108.6</c:v>
                </c:pt>
                <c:pt idx="1">
                  <c:v>94.1</c:v>
                </c:pt>
                <c:pt idx="2">
                  <c:v>96</c:v>
                </c:pt>
                <c:pt idx="3">
                  <c:v>102.9</c:v>
                </c:pt>
                <c:pt idx="4">
                  <c:v>105.4</c:v>
                </c:pt>
                <c:pt idx="5">
                  <c:v>108.4</c:v>
                </c:pt>
                <c:pt idx="6">
                  <c:v>110.6</c:v>
                </c:pt>
                <c:pt idx="7">
                  <c:v>128.69999999999999</c:v>
                </c:pt>
                <c:pt idx="8">
                  <c:v>151.6</c:v>
                </c:pt>
                <c:pt idx="9">
                  <c:v>167.6</c:v>
                </c:pt>
                <c:pt idx="10" formatCode="General">
                  <c:v>176.4</c:v>
                </c:pt>
                <c:pt idx="11" formatCode="General">
                  <c:v>173.9</c:v>
                </c:pt>
                <c:pt idx="12" formatCode="General">
                  <c:v>132.30000000000001</c:v>
                </c:pt>
                <c:pt idx="13" formatCode="General">
                  <c:v>122.2</c:v>
                </c:pt>
                <c:pt idx="14" formatCode="General">
                  <c:v>123.5</c:v>
                </c:pt>
                <c:pt idx="15" formatCode="General">
                  <c:v>131</c:v>
                </c:pt>
                <c:pt idx="16" formatCode="General">
                  <c:v>140.30000000000001</c:v>
                </c:pt>
                <c:pt idx="17" formatCode="General">
                  <c:v>139.1</c:v>
                </c:pt>
                <c:pt idx="18" formatCode="General">
                  <c:v>138.69999999999999</c:v>
                </c:pt>
                <c:pt idx="19" formatCode="General">
                  <c:v>161.80000000000001</c:v>
                </c:pt>
                <c:pt idx="20" formatCode="General">
                  <c:v>173.6</c:v>
                </c:pt>
                <c:pt idx="21" formatCode="General">
                  <c:v>171.7</c:v>
                </c:pt>
              </c:numCache>
            </c:numRef>
          </c:val>
          <c:smooth val="1"/>
          <c:extLst>
            <c:ext xmlns:c16="http://schemas.microsoft.com/office/drawing/2014/chart" uri="{C3380CC4-5D6E-409C-BE32-E72D297353CC}">
              <c16:uniqueId val="{00000001-A0A2-4909-814B-4BA495DD4B7C}"/>
            </c:ext>
          </c:extLst>
        </c:ser>
        <c:ser>
          <c:idx val="1"/>
          <c:order val="1"/>
          <c:tx>
            <c:strRef>
              <c:f>Cenas!$A$20</c:f>
              <c:strCache>
                <c:ptCount val="1"/>
                <c:pt idx="0">
                  <c:v>Lauksaimniecības dzīvnieki</c:v>
                </c:pt>
              </c:strCache>
            </c:strRef>
          </c:tx>
          <c:spPr>
            <a:ln w="28575" cap="rnd">
              <a:solidFill>
                <a:srgbClr val="0070C0"/>
              </a:solidFill>
              <a:round/>
            </a:ln>
            <a:effectLst/>
          </c:spPr>
          <c:marker>
            <c:symbol val="none"/>
          </c:marker>
          <c:cat>
            <c:multiLvlStrRef>
              <c:f>Cenas!$V$3:$AQ$4</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2020</c:v>
                  </c:pt>
                  <c:pt idx="4">
                    <c:v>2021</c:v>
                  </c:pt>
                  <c:pt idx="8">
                    <c:v>2022</c:v>
                  </c:pt>
                  <c:pt idx="12">
                    <c:v>2023</c:v>
                  </c:pt>
                  <c:pt idx="16">
                    <c:v>2024</c:v>
                  </c:pt>
                  <c:pt idx="20">
                    <c:v>2025</c:v>
                  </c:pt>
                </c:lvl>
              </c:multiLvlStrCache>
            </c:multiLvlStrRef>
          </c:cat>
          <c:val>
            <c:numRef>
              <c:f>Cenas!$V$20:$AQ$20</c:f>
              <c:numCache>
                <c:formatCode>0.0</c:formatCode>
                <c:ptCount val="22"/>
                <c:pt idx="0">
                  <c:v>108.6</c:v>
                </c:pt>
                <c:pt idx="1">
                  <c:v>102.7</c:v>
                </c:pt>
                <c:pt idx="2">
                  <c:v>97.5</c:v>
                </c:pt>
                <c:pt idx="3">
                  <c:v>91.2</c:v>
                </c:pt>
                <c:pt idx="4">
                  <c:v>96.3</c:v>
                </c:pt>
                <c:pt idx="5">
                  <c:v>106.6</c:v>
                </c:pt>
                <c:pt idx="6">
                  <c:v>105.9</c:v>
                </c:pt>
                <c:pt idx="7">
                  <c:v>102.5</c:v>
                </c:pt>
                <c:pt idx="8">
                  <c:v>116.3</c:v>
                </c:pt>
                <c:pt idx="9">
                  <c:v>137.30000000000001</c:v>
                </c:pt>
                <c:pt idx="10" formatCode="General">
                  <c:v>142.4</c:v>
                </c:pt>
                <c:pt idx="11" formatCode="General">
                  <c:v>138.4</c:v>
                </c:pt>
                <c:pt idx="12" formatCode="General">
                  <c:v>146.5</c:v>
                </c:pt>
                <c:pt idx="13" formatCode="General">
                  <c:v>158.80000000000001</c:v>
                </c:pt>
                <c:pt idx="14" formatCode="General">
                  <c:v>149.1</c:v>
                </c:pt>
                <c:pt idx="15" formatCode="General">
                  <c:v>147.4</c:v>
                </c:pt>
                <c:pt idx="16" formatCode="General">
                  <c:v>163.5</c:v>
                </c:pt>
                <c:pt idx="17" formatCode="General">
                  <c:v>162.19999999999999</c:v>
                </c:pt>
                <c:pt idx="18" formatCode="General">
                  <c:v>159.19999999999999</c:v>
                </c:pt>
                <c:pt idx="19" formatCode="General">
                  <c:v>156.9</c:v>
                </c:pt>
                <c:pt idx="20" formatCode="General">
                  <c:v>167.5</c:v>
                </c:pt>
                <c:pt idx="21" formatCode="General">
                  <c:v>203</c:v>
                </c:pt>
              </c:numCache>
            </c:numRef>
          </c:val>
          <c:smooth val="1"/>
          <c:extLst>
            <c:ext xmlns:c16="http://schemas.microsoft.com/office/drawing/2014/chart" uri="{C3380CC4-5D6E-409C-BE32-E72D297353CC}">
              <c16:uniqueId val="{00000002-A0A2-4909-814B-4BA495DD4B7C}"/>
            </c:ext>
          </c:extLst>
        </c:ser>
        <c:ser>
          <c:idx val="3"/>
          <c:order val="3"/>
          <c:tx>
            <c:strRef>
              <c:f>Cenas!$A$16</c:f>
              <c:strCache>
                <c:ptCount val="1"/>
                <c:pt idx="0">
                  <c:v>Kartupeļi</c:v>
                </c:pt>
              </c:strCache>
            </c:strRef>
          </c:tx>
          <c:spPr>
            <a:ln w="28575" cap="rnd">
              <a:solidFill>
                <a:srgbClr val="00B050"/>
              </a:solidFill>
              <a:round/>
            </a:ln>
            <a:effectLst/>
          </c:spPr>
          <c:marker>
            <c:symbol val="none"/>
          </c:marker>
          <c:cat>
            <c:multiLvlStrRef>
              <c:f>Cenas!$V$3:$AQ$4</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2020</c:v>
                  </c:pt>
                  <c:pt idx="4">
                    <c:v>2021</c:v>
                  </c:pt>
                  <c:pt idx="8">
                    <c:v>2022</c:v>
                  </c:pt>
                  <c:pt idx="12">
                    <c:v>2023</c:v>
                  </c:pt>
                  <c:pt idx="16">
                    <c:v>2024</c:v>
                  </c:pt>
                  <c:pt idx="20">
                    <c:v>2025</c:v>
                  </c:pt>
                </c:lvl>
              </c:multiLvlStrCache>
            </c:multiLvlStrRef>
          </c:cat>
          <c:val>
            <c:numRef>
              <c:f>Cenas!$V$16:$AQ$16</c:f>
              <c:numCache>
                <c:formatCode>0.0</c:formatCode>
                <c:ptCount val="22"/>
                <c:pt idx="0">
                  <c:v>103</c:v>
                </c:pt>
                <c:pt idx="1">
                  <c:v>103.2</c:v>
                </c:pt>
                <c:pt idx="2">
                  <c:v>104.5</c:v>
                </c:pt>
                <c:pt idx="3">
                  <c:v>94.1</c:v>
                </c:pt>
                <c:pt idx="4">
                  <c:v>92.7</c:v>
                </c:pt>
                <c:pt idx="5">
                  <c:v>98.9</c:v>
                </c:pt>
                <c:pt idx="6">
                  <c:v>152.1</c:v>
                </c:pt>
                <c:pt idx="7">
                  <c:v>129.30000000000001</c:v>
                </c:pt>
                <c:pt idx="8">
                  <c:v>168.5</c:v>
                </c:pt>
                <c:pt idx="9">
                  <c:v>147.1</c:v>
                </c:pt>
                <c:pt idx="10" formatCode="General">
                  <c:v>165.8</c:v>
                </c:pt>
                <c:pt idx="11" formatCode="General">
                  <c:v>152.9</c:v>
                </c:pt>
                <c:pt idx="12" formatCode="General">
                  <c:v>166.4</c:v>
                </c:pt>
                <c:pt idx="13" formatCode="General">
                  <c:v>176.5</c:v>
                </c:pt>
                <c:pt idx="14" formatCode="General">
                  <c:v>195.3</c:v>
                </c:pt>
                <c:pt idx="15" formatCode="General">
                  <c:v>142.6</c:v>
                </c:pt>
                <c:pt idx="16" formatCode="General">
                  <c:v>179.9</c:v>
                </c:pt>
                <c:pt idx="17" formatCode="General">
                  <c:v>212.8</c:v>
                </c:pt>
                <c:pt idx="18" formatCode="General">
                  <c:v>194.9</c:v>
                </c:pt>
                <c:pt idx="19" formatCode="General">
                  <c:v>158.5</c:v>
                </c:pt>
                <c:pt idx="20" formatCode="General">
                  <c:v>178.8</c:v>
                </c:pt>
                <c:pt idx="21" formatCode="General">
                  <c:v>194.1</c:v>
                </c:pt>
              </c:numCache>
            </c:numRef>
          </c:val>
          <c:smooth val="1"/>
          <c:extLst>
            <c:ext xmlns:c16="http://schemas.microsoft.com/office/drawing/2014/chart" uri="{C3380CC4-5D6E-409C-BE32-E72D297353CC}">
              <c16:uniqueId val="{00000003-A0A2-4909-814B-4BA495DD4B7C}"/>
            </c:ext>
          </c:extLst>
        </c:ser>
        <c:ser>
          <c:idx val="4"/>
          <c:order val="4"/>
          <c:tx>
            <c:strRef>
              <c:f>Cenas!$A$17</c:f>
              <c:strCache>
                <c:ptCount val="1"/>
                <c:pt idx="0">
                  <c:v>Augļi un ogas</c:v>
                </c:pt>
              </c:strCache>
            </c:strRef>
          </c:tx>
          <c:spPr>
            <a:ln w="28575" cap="rnd">
              <a:solidFill>
                <a:srgbClr val="FFC000"/>
              </a:solidFill>
              <a:round/>
            </a:ln>
            <a:effectLst/>
          </c:spPr>
          <c:marker>
            <c:symbol val="none"/>
          </c:marker>
          <c:cat>
            <c:multiLvlStrRef>
              <c:f>Cenas!$V$3:$AQ$4</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2020</c:v>
                  </c:pt>
                  <c:pt idx="4">
                    <c:v>2021</c:v>
                  </c:pt>
                  <c:pt idx="8">
                    <c:v>2022</c:v>
                  </c:pt>
                  <c:pt idx="12">
                    <c:v>2023</c:v>
                  </c:pt>
                  <c:pt idx="16">
                    <c:v>2024</c:v>
                  </c:pt>
                  <c:pt idx="20">
                    <c:v>2025</c:v>
                  </c:pt>
                </c:lvl>
              </c:multiLvlStrCache>
            </c:multiLvlStrRef>
          </c:cat>
          <c:val>
            <c:numRef>
              <c:f>Cenas!$V$17:$AQ$17</c:f>
              <c:numCache>
                <c:formatCode>0.0</c:formatCode>
                <c:ptCount val="22"/>
                <c:pt idx="0">
                  <c:v>111.7</c:v>
                </c:pt>
                <c:pt idx="1">
                  <c:v>99.9</c:v>
                </c:pt>
                <c:pt idx="2">
                  <c:v>101.9</c:v>
                </c:pt>
                <c:pt idx="3">
                  <c:v>94.8</c:v>
                </c:pt>
                <c:pt idx="4">
                  <c:v>88.8</c:v>
                </c:pt>
                <c:pt idx="5">
                  <c:v>96.2</c:v>
                </c:pt>
                <c:pt idx="6">
                  <c:v>117</c:v>
                </c:pt>
                <c:pt idx="7">
                  <c:v>119.4</c:v>
                </c:pt>
                <c:pt idx="8">
                  <c:v>120.6</c:v>
                </c:pt>
                <c:pt idx="9">
                  <c:v>153.9</c:v>
                </c:pt>
                <c:pt idx="10" formatCode="General">
                  <c:v>110.3</c:v>
                </c:pt>
                <c:pt idx="11" formatCode="General">
                  <c:v>149.5</c:v>
                </c:pt>
                <c:pt idx="12" formatCode="General">
                  <c:v>105.5</c:v>
                </c:pt>
                <c:pt idx="13" formatCode="General">
                  <c:v>170.7</c:v>
                </c:pt>
                <c:pt idx="14" formatCode="General">
                  <c:v>155.4</c:v>
                </c:pt>
                <c:pt idx="15" formatCode="General">
                  <c:v>151.1</c:v>
                </c:pt>
                <c:pt idx="16" formatCode="General">
                  <c:v>125.6</c:v>
                </c:pt>
                <c:pt idx="17" formatCode="General">
                  <c:v>190.9</c:v>
                </c:pt>
                <c:pt idx="18" formatCode="General">
                  <c:v>128.80000000000001</c:v>
                </c:pt>
                <c:pt idx="19" formatCode="General">
                  <c:v>106.7</c:v>
                </c:pt>
                <c:pt idx="20" formatCode="General">
                  <c:v>116.2</c:v>
                </c:pt>
                <c:pt idx="21" formatCode="General">
                  <c:v>174.6</c:v>
                </c:pt>
              </c:numCache>
            </c:numRef>
          </c:val>
          <c:smooth val="1"/>
          <c:extLst>
            <c:ext xmlns:c16="http://schemas.microsoft.com/office/drawing/2014/chart" uri="{C3380CC4-5D6E-409C-BE32-E72D297353CC}">
              <c16:uniqueId val="{00000004-A0A2-4909-814B-4BA495DD4B7C}"/>
            </c:ext>
          </c:extLst>
        </c:ser>
        <c:dLbls>
          <c:showLegendKey val="0"/>
          <c:showVal val="0"/>
          <c:showCatName val="0"/>
          <c:showSerName val="0"/>
          <c:showPercent val="0"/>
          <c:showBubbleSize val="0"/>
        </c:dLbls>
        <c:smooth val="0"/>
        <c:axId val="956682448"/>
        <c:axId val="956676208"/>
      </c:lineChart>
      <c:catAx>
        <c:axId val="95668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56676208"/>
        <c:crosses val="autoZero"/>
        <c:auto val="1"/>
        <c:lblAlgn val="ctr"/>
        <c:lblOffset val="100"/>
        <c:noMultiLvlLbl val="0"/>
      </c:catAx>
      <c:valAx>
        <c:axId val="956676208"/>
        <c:scaling>
          <c:orientation val="minMax"/>
          <c:min val="7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56682448"/>
        <c:crosses val="autoZero"/>
        <c:crossBetween val="between"/>
      </c:valAx>
      <c:spPr>
        <a:noFill/>
        <a:ln>
          <a:noFill/>
        </a:ln>
        <a:effectLst/>
      </c:spPr>
    </c:plotArea>
    <c:legend>
      <c:legendPos val="b"/>
      <c:layout>
        <c:manualLayout>
          <c:xMode val="edge"/>
          <c:yMode val="edge"/>
          <c:x val="0"/>
          <c:y val="0.8792564863818253"/>
          <c:w val="1"/>
          <c:h val="0.120743513618174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8568257281092875E-2"/>
          <c:y val="4.0160642570281124E-2"/>
          <c:w val="0.94902210416469024"/>
          <c:h val="0.65608949757512514"/>
        </c:manualLayout>
      </c:layout>
      <c:barChart>
        <c:barDir val="col"/>
        <c:grouping val="clustered"/>
        <c:varyColors val="0"/>
        <c:ser>
          <c:idx val="0"/>
          <c:order val="0"/>
          <c:tx>
            <c:strRef>
              <c:f>Sheet1!$C$2</c:f>
              <c:strCache>
                <c:ptCount val="1"/>
                <c:pt idx="0">
                  <c:v>2023</c:v>
                </c:pt>
              </c:strCache>
            </c:strRef>
          </c:tx>
          <c:spPr>
            <a:solidFill>
              <a:schemeClr val="tx2">
                <a:lumMod val="75000"/>
                <a:lumOff val="25000"/>
              </a:schemeClr>
            </a:solidFill>
            <a:ln>
              <a:noFill/>
            </a:ln>
            <a:effectLst/>
          </c:spPr>
          <c:invertIfNegative val="0"/>
          <c:dPt>
            <c:idx val="6"/>
            <c:invertIfNegative val="0"/>
            <c:bubble3D val="0"/>
            <c:spPr>
              <a:solidFill>
                <a:schemeClr val="tx2">
                  <a:lumMod val="75000"/>
                  <a:lumOff val="25000"/>
                </a:schemeClr>
              </a:solidFill>
              <a:ln>
                <a:solidFill>
                  <a:srgbClr val="EE0000"/>
                </a:solidFill>
              </a:ln>
              <a:effectLst/>
            </c:spPr>
            <c:extLst>
              <c:ext xmlns:c16="http://schemas.microsoft.com/office/drawing/2014/chart" uri="{C3380CC4-5D6E-409C-BE32-E72D297353CC}">
                <c16:uniqueId val="{00000001-04EE-4E83-8AB9-978215E7166D}"/>
              </c:ext>
            </c:extLst>
          </c:dPt>
          <c:cat>
            <c:strRef>
              <c:f>Sheet1!$B$3:$B$31</c:f>
              <c:strCache>
                <c:ptCount val="29"/>
                <c:pt idx="0">
                  <c:v>Ungārija</c:v>
                </c:pt>
                <c:pt idx="1">
                  <c:v>Čehija</c:v>
                </c:pt>
                <c:pt idx="2">
                  <c:v>Slovākija</c:v>
                </c:pt>
                <c:pt idx="3">
                  <c:v>Polija</c:v>
                </c:pt>
                <c:pt idx="4">
                  <c:v>Rumānija</c:v>
                </c:pt>
                <c:pt idx="5">
                  <c:v>Igaunija</c:v>
                </c:pt>
                <c:pt idx="6">
                  <c:v>Latvija</c:v>
                </c:pt>
                <c:pt idx="7">
                  <c:v>Lietuva</c:v>
                </c:pt>
                <c:pt idx="8">
                  <c:v>Bulgārija</c:v>
                </c:pt>
                <c:pt idx="9">
                  <c:v>Horvātija</c:v>
                </c:pt>
                <c:pt idx="10">
                  <c:v>Austrija</c:v>
                </c:pt>
                <c:pt idx="11">
                  <c:v>Slovēnija</c:v>
                </c:pt>
                <c:pt idx="12">
                  <c:v>ES(27)</c:v>
                </c:pt>
                <c:pt idx="13">
                  <c:v>Vācija</c:v>
                </c:pt>
                <c:pt idx="14">
                  <c:v>Itālija</c:v>
                </c:pt>
                <c:pt idx="15">
                  <c:v>Zviedrija</c:v>
                </c:pt>
                <c:pt idx="16">
                  <c:v>Frāncija</c:v>
                </c:pt>
                <c:pt idx="17">
                  <c:v>Malta</c:v>
                </c:pt>
                <c:pt idx="18">
                  <c:v>Eirozona</c:v>
                </c:pt>
                <c:pt idx="19">
                  <c:v>Portugāle</c:v>
                </c:pt>
                <c:pt idx="20">
                  <c:v>Īrija</c:v>
                </c:pt>
                <c:pt idx="21">
                  <c:v>Somija</c:v>
                </c:pt>
                <c:pt idx="22">
                  <c:v>Grieķija</c:v>
                </c:pt>
                <c:pt idx="23">
                  <c:v>Nīderlande</c:v>
                </c:pt>
                <c:pt idx="24">
                  <c:v>Kipra</c:v>
                </c:pt>
                <c:pt idx="25">
                  <c:v>Dānija</c:v>
                </c:pt>
                <c:pt idx="26">
                  <c:v>Spānija</c:v>
                </c:pt>
                <c:pt idx="27">
                  <c:v>Luksemburga</c:v>
                </c:pt>
                <c:pt idx="28">
                  <c:v>Beļģija</c:v>
                </c:pt>
              </c:strCache>
            </c:strRef>
          </c:cat>
          <c:val>
            <c:numRef>
              <c:f>Sheet1!$C$3:$C$31</c:f>
              <c:numCache>
                <c:formatCode>0.0</c:formatCode>
                <c:ptCount val="29"/>
                <c:pt idx="0">
                  <c:v>17</c:v>
                </c:pt>
                <c:pt idx="1">
                  <c:v>12</c:v>
                </c:pt>
                <c:pt idx="2">
                  <c:v>11</c:v>
                </c:pt>
                <c:pt idx="3">
                  <c:v>10.9</c:v>
                </c:pt>
                <c:pt idx="4">
                  <c:v>9.6999999999999993</c:v>
                </c:pt>
                <c:pt idx="5">
                  <c:v>9.1</c:v>
                </c:pt>
                <c:pt idx="6">
                  <c:v>9.1</c:v>
                </c:pt>
                <c:pt idx="7">
                  <c:v>8.6999999999999993</c:v>
                </c:pt>
                <c:pt idx="8">
                  <c:v>8.6</c:v>
                </c:pt>
                <c:pt idx="9">
                  <c:v>8.4</c:v>
                </c:pt>
                <c:pt idx="10">
                  <c:v>7.7</c:v>
                </c:pt>
                <c:pt idx="11">
                  <c:v>7.2</c:v>
                </c:pt>
                <c:pt idx="12">
                  <c:v>6.4</c:v>
                </c:pt>
                <c:pt idx="13">
                  <c:v>6</c:v>
                </c:pt>
                <c:pt idx="14">
                  <c:v>5.9</c:v>
                </c:pt>
                <c:pt idx="15">
                  <c:v>5.9</c:v>
                </c:pt>
                <c:pt idx="16">
                  <c:v>5.7</c:v>
                </c:pt>
                <c:pt idx="17">
                  <c:v>5.6</c:v>
                </c:pt>
                <c:pt idx="18">
                  <c:v>5.4</c:v>
                </c:pt>
                <c:pt idx="19">
                  <c:v>5.3</c:v>
                </c:pt>
                <c:pt idx="20">
                  <c:v>5.2</c:v>
                </c:pt>
                <c:pt idx="21">
                  <c:v>4.3</c:v>
                </c:pt>
                <c:pt idx="22">
                  <c:v>4.2</c:v>
                </c:pt>
                <c:pt idx="23">
                  <c:v>4.0999999999999996</c:v>
                </c:pt>
                <c:pt idx="24">
                  <c:v>3.9</c:v>
                </c:pt>
                <c:pt idx="25">
                  <c:v>3.4</c:v>
                </c:pt>
                <c:pt idx="26">
                  <c:v>3.4</c:v>
                </c:pt>
                <c:pt idx="27">
                  <c:v>2.9</c:v>
                </c:pt>
                <c:pt idx="28">
                  <c:v>2.2999999999999998</c:v>
                </c:pt>
              </c:numCache>
            </c:numRef>
          </c:val>
          <c:extLst>
            <c:ext xmlns:c16="http://schemas.microsoft.com/office/drawing/2014/chart" uri="{C3380CC4-5D6E-409C-BE32-E72D297353CC}">
              <c16:uniqueId val="{00000002-04EE-4E83-8AB9-978215E7166D}"/>
            </c:ext>
          </c:extLst>
        </c:ser>
        <c:dLbls>
          <c:showLegendKey val="0"/>
          <c:showVal val="0"/>
          <c:showCatName val="0"/>
          <c:showSerName val="0"/>
          <c:showPercent val="0"/>
          <c:showBubbleSize val="0"/>
        </c:dLbls>
        <c:gapWidth val="30"/>
        <c:axId val="1948408751"/>
        <c:axId val="1948410831"/>
      </c:barChart>
      <c:lineChart>
        <c:grouping val="standard"/>
        <c:varyColors val="0"/>
        <c:ser>
          <c:idx val="1"/>
          <c:order val="1"/>
          <c:tx>
            <c:strRef>
              <c:f>Sheet1!$D$2</c:f>
              <c:strCache>
                <c:ptCount val="1"/>
                <c:pt idx="0">
                  <c:v>2024</c:v>
                </c:pt>
              </c:strCache>
            </c:strRef>
          </c:tx>
          <c:spPr>
            <a:ln w="28575" cap="rnd">
              <a:solidFill>
                <a:schemeClr val="accent1">
                  <a:alpha val="0"/>
                </a:schemeClr>
              </a:solidFill>
              <a:round/>
            </a:ln>
            <a:effectLst/>
          </c:spPr>
          <c:marker>
            <c:symbol val="circle"/>
            <c:size val="8"/>
            <c:spPr>
              <a:solidFill>
                <a:schemeClr val="accent2"/>
              </a:solidFill>
              <a:ln w="9525">
                <a:solidFill>
                  <a:schemeClr val="accent2"/>
                </a:solidFill>
              </a:ln>
              <a:effectLst/>
            </c:spPr>
          </c:marker>
          <c:cat>
            <c:strRef>
              <c:f>Sheet1!$B$3:$B$31</c:f>
              <c:strCache>
                <c:ptCount val="29"/>
                <c:pt idx="0">
                  <c:v>Ungārija</c:v>
                </c:pt>
                <c:pt idx="1">
                  <c:v>Čehija</c:v>
                </c:pt>
                <c:pt idx="2">
                  <c:v>Slovākija</c:v>
                </c:pt>
                <c:pt idx="3">
                  <c:v>Polija</c:v>
                </c:pt>
                <c:pt idx="4">
                  <c:v>Rumānija</c:v>
                </c:pt>
                <c:pt idx="5">
                  <c:v>Igaunija</c:v>
                </c:pt>
                <c:pt idx="6">
                  <c:v>Latvija</c:v>
                </c:pt>
                <c:pt idx="7">
                  <c:v>Lietuva</c:v>
                </c:pt>
                <c:pt idx="8">
                  <c:v>Bulgārija</c:v>
                </c:pt>
                <c:pt idx="9">
                  <c:v>Horvātija</c:v>
                </c:pt>
                <c:pt idx="10">
                  <c:v>Austrija</c:v>
                </c:pt>
                <c:pt idx="11">
                  <c:v>Slovēnija</c:v>
                </c:pt>
                <c:pt idx="12">
                  <c:v>ES(27)</c:v>
                </c:pt>
                <c:pt idx="13">
                  <c:v>Vācija</c:v>
                </c:pt>
                <c:pt idx="14">
                  <c:v>Itālija</c:v>
                </c:pt>
                <c:pt idx="15">
                  <c:v>Zviedrija</c:v>
                </c:pt>
                <c:pt idx="16">
                  <c:v>Frāncija</c:v>
                </c:pt>
                <c:pt idx="17">
                  <c:v>Malta</c:v>
                </c:pt>
                <c:pt idx="18">
                  <c:v>Eirozona</c:v>
                </c:pt>
                <c:pt idx="19">
                  <c:v>Portugāle</c:v>
                </c:pt>
                <c:pt idx="20">
                  <c:v>Īrija</c:v>
                </c:pt>
                <c:pt idx="21">
                  <c:v>Somija</c:v>
                </c:pt>
                <c:pt idx="22">
                  <c:v>Grieķija</c:v>
                </c:pt>
                <c:pt idx="23">
                  <c:v>Nīderlande</c:v>
                </c:pt>
                <c:pt idx="24">
                  <c:v>Kipra</c:v>
                </c:pt>
                <c:pt idx="25">
                  <c:v>Dānija</c:v>
                </c:pt>
                <c:pt idx="26">
                  <c:v>Spānija</c:v>
                </c:pt>
                <c:pt idx="27">
                  <c:v>Luksemburga</c:v>
                </c:pt>
                <c:pt idx="28">
                  <c:v>Beļģija</c:v>
                </c:pt>
              </c:strCache>
            </c:strRef>
          </c:cat>
          <c:val>
            <c:numRef>
              <c:f>Sheet1!$D$3:$D$31</c:f>
              <c:numCache>
                <c:formatCode>0.0</c:formatCode>
                <c:ptCount val="29"/>
                <c:pt idx="0">
                  <c:v>3.7</c:v>
                </c:pt>
                <c:pt idx="1">
                  <c:v>2.7</c:v>
                </c:pt>
                <c:pt idx="2">
                  <c:v>3.2</c:v>
                </c:pt>
                <c:pt idx="3">
                  <c:v>3.7</c:v>
                </c:pt>
                <c:pt idx="4">
                  <c:v>5.8</c:v>
                </c:pt>
                <c:pt idx="5">
                  <c:v>3.7</c:v>
                </c:pt>
                <c:pt idx="6">
                  <c:v>1.3</c:v>
                </c:pt>
                <c:pt idx="7">
                  <c:v>0.9</c:v>
                </c:pt>
                <c:pt idx="8">
                  <c:v>2.6</c:v>
                </c:pt>
                <c:pt idx="9">
                  <c:v>4</c:v>
                </c:pt>
                <c:pt idx="10">
                  <c:v>2.9</c:v>
                </c:pt>
                <c:pt idx="11">
                  <c:v>2</c:v>
                </c:pt>
                <c:pt idx="12">
                  <c:v>2.6</c:v>
                </c:pt>
                <c:pt idx="13">
                  <c:v>2.5</c:v>
                </c:pt>
                <c:pt idx="14">
                  <c:v>1.1000000000000001</c:v>
                </c:pt>
                <c:pt idx="15">
                  <c:v>2</c:v>
                </c:pt>
                <c:pt idx="16">
                  <c:v>2.2999999999999998</c:v>
                </c:pt>
                <c:pt idx="17">
                  <c:v>2.4</c:v>
                </c:pt>
                <c:pt idx="18">
                  <c:v>2.4</c:v>
                </c:pt>
                <c:pt idx="19">
                  <c:v>2.7</c:v>
                </c:pt>
                <c:pt idx="20">
                  <c:v>1.3</c:v>
                </c:pt>
                <c:pt idx="21">
                  <c:v>1</c:v>
                </c:pt>
                <c:pt idx="22">
                  <c:v>3</c:v>
                </c:pt>
                <c:pt idx="23">
                  <c:v>3.2</c:v>
                </c:pt>
                <c:pt idx="24">
                  <c:v>2.2999999999999998</c:v>
                </c:pt>
                <c:pt idx="25">
                  <c:v>1.3</c:v>
                </c:pt>
                <c:pt idx="26">
                  <c:v>2.9</c:v>
                </c:pt>
                <c:pt idx="27">
                  <c:v>2.2999999999999998</c:v>
                </c:pt>
                <c:pt idx="28">
                  <c:v>4.3</c:v>
                </c:pt>
              </c:numCache>
            </c:numRef>
          </c:val>
          <c:smooth val="0"/>
          <c:extLst>
            <c:ext xmlns:c16="http://schemas.microsoft.com/office/drawing/2014/chart" uri="{C3380CC4-5D6E-409C-BE32-E72D297353CC}">
              <c16:uniqueId val="{00000003-04EE-4E83-8AB9-978215E7166D}"/>
            </c:ext>
          </c:extLst>
        </c:ser>
        <c:ser>
          <c:idx val="2"/>
          <c:order val="2"/>
          <c:tx>
            <c:strRef>
              <c:f>Sheet1!$E$2</c:f>
              <c:strCache>
                <c:ptCount val="1"/>
                <c:pt idx="0">
                  <c:v>Jan-Aug 2025</c:v>
                </c:pt>
              </c:strCache>
            </c:strRef>
          </c:tx>
          <c:spPr>
            <a:ln w="28575" cap="rnd">
              <a:solidFill>
                <a:schemeClr val="accent1">
                  <a:alpha val="0"/>
                </a:schemeClr>
              </a:solidFill>
              <a:round/>
            </a:ln>
            <a:effectLst/>
          </c:spPr>
          <c:marker>
            <c:symbol val="star"/>
            <c:size val="8"/>
            <c:spPr>
              <a:noFill/>
              <a:ln w="9525">
                <a:solidFill>
                  <a:srgbClr val="FFFF00"/>
                </a:solidFill>
              </a:ln>
              <a:effectLst/>
            </c:spPr>
          </c:marker>
          <c:cat>
            <c:strRef>
              <c:f>Sheet1!$B$3:$B$31</c:f>
              <c:strCache>
                <c:ptCount val="29"/>
                <c:pt idx="0">
                  <c:v>Ungārija</c:v>
                </c:pt>
                <c:pt idx="1">
                  <c:v>Čehija</c:v>
                </c:pt>
                <c:pt idx="2">
                  <c:v>Slovākija</c:v>
                </c:pt>
                <c:pt idx="3">
                  <c:v>Polija</c:v>
                </c:pt>
                <c:pt idx="4">
                  <c:v>Rumānija</c:v>
                </c:pt>
                <c:pt idx="5">
                  <c:v>Igaunija</c:v>
                </c:pt>
                <c:pt idx="6">
                  <c:v>Latvija</c:v>
                </c:pt>
                <c:pt idx="7">
                  <c:v>Lietuva</c:v>
                </c:pt>
                <c:pt idx="8">
                  <c:v>Bulgārija</c:v>
                </c:pt>
                <c:pt idx="9">
                  <c:v>Horvātija</c:v>
                </c:pt>
                <c:pt idx="10">
                  <c:v>Austrija</c:v>
                </c:pt>
                <c:pt idx="11">
                  <c:v>Slovēnija</c:v>
                </c:pt>
                <c:pt idx="12">
                  <c:v>ES(27)</c:v>
                </c:pt>
                <c:pt idx="13">
                  <c:v>Vācija</c:v>
                </c:pt>
                <c:pt idx="14">
                  <c:v>Itālija</c:v>
                </c:pt>
                <c:pt idx="15">
                  <c:v>Zviedrija</c:v>
                </c:pt>
                <c:pt idx="16">
                  <c:v>Frāncija</c:v>
                </c:pt>
                <c:pt idx="17">
                  <c:v>Malta</c:v>
                </c:pt>
                <c:pt idx="18">
                  <c:v>Eirozona</c:v>
                </c:pt>
                <c:pt idx="19">
                  <c:v>Portugāle</c:v>
                </c:pt>
                <c:pt idx="20">
                  <c:v>Īrija</c:v>
                </c:pt>
                <c:pt idx="21">
                  <c:v>Somija</c:v>
                </c:pt>
                <c:pt idx="22">
                  <c:v>Grieķija</c:v>
                </c:pt>
                <c:pt idx="23">
                  <c:v>Nīderlande</c:v>
                </c:pt>
                <c:pt idx="24">
                  <c:v>Kipra</c:v>
                </c:pt>
                <c:pt idx="25">
                  <c:v>Dānija</c:v>
                </c:pt>
                <c:pt idx="26">
                  <c:v>Spānija</c:v>
                </c:pt>
                <c:pt idx="27">
                  <c:v>Luksemburga</c:v>
                </c:pt>
                <c:pt idx="28">
                  <c:v>Beļģija</c:v>
                </c:pt>
              </c:strCache>
            </c:strRef>
          </c:cat>
          <c:val>
            <c:numRef>
              <c:f>Sheet1!$E$3:$E$31</c:f>
              <c:numCache>
                <c:formatCode>0.0</c:formatCode>
                <c:ptCount val="29"/>
                <c:pt idx="0">
                  <c:v>4.7336073300403614</c:v>
                </c:pt>
                <c:pt idx="1">
                  <c:v>2.4981449418748412</c:v>
                </c:pt>
                <c:pt idx="2">
                  <c:v>4.3061319388999468</c:v>
                </c:pt>
                <c:pt idx="3">
                  <c:v>3.6611143992559358</c:v>
                </c:pt>
                <c:pt idx="4">
                  <c:v>5.8479090007896826</c:v>
                </c:pt>
                <c:pt idx="5">
                  <c:v>4.902373474079587</c:v>
                </c:pt>
                <c:pt idx="6">
                  <c:v>3.754139643990595</c:v>
                </c:pt>
                <c:pt idx="7">
                  <c:v>3.3890000747390312</c:v>
                </c:pt>
                <c:pt idx="8">
                  <c:v>3.4269330542028937</c:v>
                </c:pt>
                <c:pt idx="9">
                  <c:v>4.4872895093159588</c:v>
                </c:pt>
                <c:pt idx="10">
                  <c:v>3.4011953679492035</c:v>
                </c:pt>
                <c:pt idx="11">
                  <c:v>2.3723629519253433</c:v>
                </c:pt>
                <c:pt idx="12">
                  <c:v>2.4707412223666965</c:v>
                </c:pt>
                <c:pt idx="13">
                  <c:v>2.2360489986389269</c:v>
                </c:pt>
                <c:pt idx="14">
                  <c:v>1.8069815195071892</c:v>
                </c:pt>
                <c:pt idx="15">
                  <c:v>2.5916856159990744</c:v>
                </c:pt>
                <c:pt idx="16">
                  <c:v>0.97181927001968405</c:v>
                </c:pt>
                <c:pt idx="17">
                  <c:v>2.3851922705117432</c:v>
                </c:pt>
                <c:pt idx="18">
                  <c:v>2.1432762787552044</c:v>
                </c:pt>
                <c:pt idx="19">
                  <c:v>2.2397187760178396</c:v>
                </c:pt>
                <c:pt idx="20">
                  <c:v>1.6760946993505013</c:v>
                </c:pt>
                <c:pt idx="21">
                  <c:v>1.8805991992557058</c:v>
                </c:pt>
                <c:pt idx="22">
                  <c:v>3.2012919160254385</c:v>
                </c:pt>
                <c:pt idx="23">
                  <c:v>3.0795584316710976</c:v>
                </c:pt>
                <c:pt idx="24">
                  <c:v>1.2000687595350215</c:v>
                </c:pt>
                <c:pt idx="25">
                  <c:v>1.7230510611472973</c:v>
                </c:pt>
                <c:pt idx="26">
                  <c:v>2.4843773814967158</c:v>
                </c:pt>
                <c:pt idx="27">
                  <c:v>2.1749375795922807</c:v>
                </c:pt>
                <c:pt idx="28">
                  <c:v>3.2882344504469705</c:v>
                </c:pt>
              </c:numCache>
            </c:numRef>
          </c:val>
          <c:smooth val="0"/>
          <c:extLst>
            <c:ext xmlns:c16="http://schemas.microsoft.com/office/drawing/2014/chart" uri="{C3380CC4-5D6E-409C-BE32-E72D297353CC}">
              <c16:uniqueId val="{00000004-04EE-4E83-8AB9-978215E7166D}"/>
            </c:ext>
          </c:extLst>
        </c:ser>
        <c:dLbls>
          <c:showLegendKey val="0"/>
          <c:showVal val="0"/>
          <c:showCatName val="0"/>
          <c:showSerName val="0"/>
          <c:showPercent val="0"/>
          <c:showBubbleSize val="0"/>
        </c:dLbls>
        <c:marker val="1"/>
        <c:smooth val="0"/>
        <c:axId val="1948408751"/>
        <c:axId val="1948410831"/>
      </c:lineChart>
      <c:catAx>
        <c:axId val="1948408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948410831"/>
        <c:crosses val="autoZero"/>
        <c:auto val="1"/>
        <c:lblAlgn val="ctr"/>
        <c:lblOffset val="100"/>
        <c:noMultiLvlLbl val="0"/>
      </c:catAx>
      <c:valAx>
        <c:axId val="1948410831"/>
        <c:scaling>
          <c:orientation val="minMax"/>
          <c:max val="18"/>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948408751"/>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6240229586686276E-2"/>
          <c:y val="3.3086858766310123E-2"/>
          <c:w val="0.85398243488794667"/>
          <c:h val="0.66370607028754003"/>
        </c:manualLayout>
      </c:layout>
      <c:barChart>
        <c:barDir val="col"/>
        <c:grouping val="stacked"/>
        <c:varyColors val="0"/>
        <c:ser>
          <c:idx val="0"/>
          <c:order val="0"/>
          <c:tx>
            <c:strRef>
              <c:f>PCI020m6!$FN$314</c:f>
              <c:strCache>
                <c:ptCount val="1"/>
                <c:pt idx="0">
                  <c:v>Pārtika</c:v>
                </c:pt>
              </c:strCache>
            </c:strRef>
          </c:tx>
          <c:spPr>
            <a:solidFill>
              <a:schemeClr val="accent1">
                <a:lumMod val="20000"/>
                <a:lumOff val="80000"/>
              </a:schemeClr>
            </a:solidFill>
            <a:ln>
              <a:noFill/>
            </a:ln>
            <a:effectLst/>
          </c:spPr>
          <c:invertIfNegative val="0"/>
          <c:cat>
            <c:multiLvlStrRef>
              <c:f>PCI020m6!$ES$2:$FL$3</c:f>
              <c:multiLvlStrCache>
                <c:ptCount val="20"/>
                <c:lvl>
                  <c:pt idx="0">
                    <c:v>Jan</c:v>
                  </c:pt>
                  <c:pt idx="1">
                    <c:v>Feb</c:v>
                  </c:pt>
                  <c:pt idx="2">
                    <c:v>Mar</c:v>
                  </c:pt>
                  <c:pt idx="3">
                    <c:v>Apr</c:v>
                  </c:pt>
                  <c:pt idx="4">
                    <c:v>Mai</c:v>
                  </c:pt>
                  <c:pt idx="5">
                    <c:v>Jūn</c:v>
                  </c:pt>
                  <c:pt idx="6">
                    <c:v> Jūl</c:v>
                  </c:pt>
                  <c:pt idx="7">
                    <c:v>Aug</c:v>
                  </c:pt>
                  <c:pt idx="8">
                    <c:v>Sep</c:v>
                  </c:pt>
                  <c:pt idx="9">
                    <c:v>Okt</c:v>
                  </c:pt>
                  <c:pt idx="10">
                    <c:v>Nov</c:v>
                  </c:pt>
                  <c:pt idx="11">
                    <c:v>Dec</c:v>
                  </c:pt>
                  <c:pt idx="12">
                    <c:v>Jan</c:v>
                  </c:pt>
                  <c:pt idx="13">
                    <c:v>Feb</c:v>
                  </c:pt>
                  <c:pt idx="14">
                    <c:v>Mar</c:v>
                  </c:pt>
                  <c:pt idx="15">
                    <c:v>Apr</c:v>
                  </c:pt>
                  <c:pt idx="16">
                    <c:v>Mai</c:v>
                  </c:pt>
                  <c:pt idx="17">
                    <c:v>Jūn</c:v>
                  </c:pt>
                  <c:pt idx="18">
                    <c:v>Jūl</c:v>
                  </c:pt>
                  <c:pt idx="19">
                    <c:v>Aug</c:v>
                  </c:pt>
                </c:lvl>
                <c:lvl>
                  <c:pt idx="0">
                    <c:v>2024</c:v>
                  </c:pt>
                  <c:pt idx="12">
                    <c:v>2025</c:v>
                  </c:pt>
                </c:lvl>
              </c:multiLvlStrCache>
            </c:multiLvlStrRef>
          </c:cat>
          <c:val>
            <c:numRef>
              <c:f>PCI020m6!$ES$314:$FL$314</c:f>
              <c:numCache>
                <c:formatCode>0.0</c:formatCode>
                <c:ptCount val="20"/>
                <c:pt idx="0">
                  <c:v>0.75980000000000003</c:v>
                </c:pt>
                <c:pt idx="1">
                  <c:v>0.39300000000000002</c:v>
                </c:pt>
                <c:pt idx="2">
                  <c:v>0.18340000000000001</c:v>
                </c:pt>
                <c:pt idx="3">
                  <c:v>0.15720000000000001</c:v>
                </c:pt>
                <c:pt idx="4">
                  <c:v>0.20960000000000001</c:v>
                </c:pt>
                <c:pt idx="5">
                  <c:v>0.39300000000000002</c:v>
                </c:pt>
                <c:pt idx="6">
                  <c:v>0.62880000000000003</c:v>
                </c:pt>
                <c:pt idx="7">
                  <c:v>0.91700000000000004</c:v>
                </c:pt>
                <c:pt idx="8">
                  <c:v>1.179</c:v>
                </c:pt>
                <c:pt idx="9">
                  <c:v>1.4410000000000001</c:v>
                </c:pt>
                <c:pt idx="10">
                  <c:v>1.1266</c:v>
                </c:pt>
                <c:pt idx="11">
                  <c:v>1.4410000000000001</c:v>
                </c:pt>
                <c:pt idx="12">
                  <c:v>1.2189999999999999</c:v>
                </c:pt>
                <c:pt idx="13">
                  <c:v>1.5105000000000002</c:v>
                </c:pt>
                <c:pt idx="14">
                  <c:v>1.6960000000000002</c:v>
                </c:pt>
                <c:pt idx="15">
                  <c:v>1.9345000000000001</c:v>
                </c:pt>
                <c:pt idx="16">
                  <c:v>1.9875</c:v>
                </c:pt>
                <c:pt idx="17">
                  <c:v>1.6695</c:v>
                </c:pt>
                <c:pt idx="18">
                  <c:v>1.8285000000000002</c:v>
                </c:pt>
                <c:pt idx="19">
                  <c:v>1.9875</c:v>
                </c:pt>
              </c:numCache>
            </c:numRef>
          </c:val>
          <c:extLst>
            <c:ext xmlns:c16="http://schemas.microsoft.com/office/drawing/2014/chart" uri="{C3380CC4-5D6E-409C-BE32-E72D297353CC}">
              <c16:uniqueId val="{00000000-4156-4876-A51E-6A08AAF822F4}"/>
            </c:ext>
          </c:extLst>
        </c:ser>
        <c:ser>
          <c:idx val="1"/>
          <c:order val="1"/>
          <c:tx>
            <c:strRef>
              <c:f>PCI020m6!$FN$315</c:f>
              <c:strCache>
                <c:ptCount val="1"/>
                <c:pt idx="0">
                  <c:v>Enerģija*</c:v>
                </c:pt>
              </c:strCache>
            </c:strRef>
          </c:tx>
          <c:spPr>
            <a:solidFill>
              <a:schemeClr val="accent2">
                <a:lumMod val="60000"/>
                <a:lumOff val="40000"/>
              </a:schemeClr>
            </a:solidFill>
            <a:ln>
              <a:noFill/>
            </a:ln>
            <a:effectLst/>
          </c:spPr>
          <c:invertIfNegative val="0"/>
          <c:cat>
            <c:multiLvlStrRef>
              <c:f>PCI020m6!$ES$2:$FL$3</c:f>
              <c:multiLvlStrCache>
                <c:ptCount val="20"/>
                <c:lvl>
                  <c:pt idx="0">
                    <c:v>Jan</c:v>
                  </c:pt>
                  <c:pt idx="1">
                    <c:v>Feb</c:v>
                  </c:pt>
                  <c:pt idx="2">
                    <c:v>Mar</c:v>
                  </c:pt>
                  <c:pt idx="3">
                    <c:v>Apr</c:v>
                  </c:pt>
                  <c:pt idx="4">
                    <c:v>Mai</c:v>
                  </c:pt>
                  <c:pt idx="5">
                    <c:v>Jūn</c:v>
                  </c:pt>
                  <c:pt idx="6">
                    <c:v> Jūl</c:v>
                  </c:pt>
                  <c:pt idx="7">
                    <c:v>Aug</c:v>
                  </c:pt>
                  <c:pt idx="8">
                    <c:v>Sep</c:v>
                  </c:pt>
                  <c:pt idx="9">
                    <c:v>Okt</c:v>
                  </c:pt>
                  <c:pt idx="10">
                    <c:v>Nov</c:v>
                  </c:pt>
                  <c:pt idx="11">
                    <c:v>Dec</c:v>
                  </c:pt>
                  <c:pt idx="12">
                    <c:v>Jan</c:v>
                  </c:pt>
                  <c:pt idx="13">
                    <c:v>Feb</c:v>
                  </c:pt>
                  <c:pt idx="14">
                    <c:v>Mar</c:v>
                  </c:pt>
                  <c:pt idx="15">
                    <c:v>Apr</c:v>
                  </c:pt>
                  <c:pt idx="16">
                    <c:v>Mai</c:v>
                  </c:pt>
                  <c:pt idx="17">
                    <c:v>Jūn</c:v>
                  </c:pt>
                  <c:pt idx="18">
                    <c:v>Jūl</c:v>
                  </c:pt>
                  <c:pt idx="19">
                    <c:v>Aug</c:v>
                  </c:pt>
                </c:lvl>
                <c:lvl>
                  <c:pt idx="0">
                    <c:v>2024</c:v>
                  </c:pt>
                  <c:pt idx="12">
                    <c:v>2025</c:v>
                  </c:pt>
                </c:lvl>
              </c:multiLvlStrCache>
            </c:multiLvlStrRef>
          </c:cat>
          <c:val>
            <c:numRef>
              <c:f>PCI020m6!$ES$315:$FL$315</c:f>
              <c:numCache>
                <c:formatCode>0.0</c:formatCode>
                <c:ptCount val="20"/>
                <c:pt idx="0">
                  <c:v>-1.7407999999999999</c:v>
                </c:pt>
                <c:pt idx="1">
                  <c:v>-1.8688</c:v>
                </c:pt>
                <c:pt idx="2">
                  <c:v>-1.7407999999999999</c:v>
                </c:pt>
                <c:pt idx="3">
                  <c:v>-1.5872000000000002</c:v>
                </c:pt>
                <c:pt idx="4">
                  <c:v>-2.8544</c:v>
                </c:pt>
                <c:pt idx="5">
                  <c:v>-2.0735999999999999</c:v>
                </c:pt>
                <c:pt idx="6">
                  <c:v>-2.6111999999999997</c:v>
                </c:pt>
                <c:pt idx="7">
                  <c:v>-2.3552</c:v>
                </c:pt>
                <c:pt idx="8">
                  <c:v>-1.4079999999999999</c:v>
                </c:pt>
                <c:pt idx="9">
                  <c:v>-1.0495999999999999</c:v>
                </c:pt>
                <c:pt idx="10">
                  <c:v>-0.79360000000000008</c:v>
                </c:pt>
                <c:pt idx="11">
                  <c:v>-0.70399999999999996</c:v>
                </c:pt>
                <c:pt idx="12">
                  <c:v>-0.45200000000000001</c:v>
                </c:pt>
                <c:pt idx="13">
                  <c:v>-0.19209999999999999</c:v>
                </c:pt>
                <c:pt idx="14">
                  <c:v>-0.2034</c:v>
                </c:pt>
                <c:pt idx="15">
                  <c:v>-0.18080000000000002</c:v>
                </c:pt>
                <c:pt idx="16">
                  <c:v>0.1469</c:v>
                </c:pt>
                <c:pt idx="17">
                  <c:v>0.19209999999999999</c:v>
                </c:pt>
                <c:pt idx="18">
                  <c:v>0.2034</c:v>
                </c:pt>
                <c:pt idx="19">
                  <c:v>0.24860000000000002</c:v>
                </c:pt>
              </c:numCache>
            </c:numRef>
          </c:val>
          <c:extLst>
            <c:ext xmlns:c16="http://schemas.microsoft.com/office/drawing/2014/chart" uri="{C3380CC4-5D6E-409C-BE32-E72D297353CC}">
              <c16:uniqueId val="{00000001-4156-4876-A51E-6A08AAF822F4}"/>
            </c:ext>
          </c:extLst>
        </c:ser>
        <c:ser>
          <c:idx val="2"/>
          <c:order val="2"/>
          <c:tx>
            <c:strRef>
              <c:f>PCI020m6!$FN$316</c:f>
              <c:strCache>
                <c:ptCount val="1"/>
                <c:pt idx="0">
                  <c:v>Degviela</c:v>
                </c:pt>
              </c:strCache>
            </c:strRef>
          </c:tx>
          <c:spPr>
            <a:solidFill>
              <a:schemeClr val="accent6"/>
            </a:solidFill>
            <a:ln>
              <a:noFill/>
            </a:ln>
            <a:effectLst/>
          </c:spPr>
          <c:invertIfNegative val="0"/>
          <c:cat>
            <c:multiLvlStrRef>
              <c:f>PCI020m6!$ES$2:$FL$3</c:f>
              <c:multiLvlStrCache>
                <c:ptCount val="20"/>
                <c:lvl>
                  <c:pt idx="0">
                    <c:v>Jan</c:v>
                  </c:pt>
                  <c:pt idx="1">
                    <c:v>Feb</c:v>
                  </c:pt>
                  <c:pt idx="2">
                    <c:v>Mar</c:v>
                  </c:pt>
                  <c:pt idx="3">
                    <c:v>Apr</c:v>
                  </c:pt>
                  <c:pt idx="4">
                    <c:v>Mai</c:v>
                  </c:pt>
                  <c:pt idx="5">
                    <c:v>Jūn</c:v>
                  </c:pt>
                  <c:pt idx="6">
                    <c:v> Jūl</c:v>
                  </c:pt>
                  <c:pt idx="7">
                    <c:v>Aug</c:v>
                  </c:pt>
                  <c:pt idx="8">
                    <c:v>Sep</c:v>
                  </c:pt>
                  <c:pt idx="9">
                    <c:v>Okt</c:v>
                  </c:pt>
                  <c:pt idx="10">
                    <c:v>Nov</c:v>
                  </c:pt>
                  <c:pt idx="11">
                    <c:v>Dec</c:v>
                  </c:pt>
                  <c:pt idx="12">
                    <c:v>Jan</c:v>
                  </c:pt>
                  <c:pt idx="13">
                    <c:v>Feb</c:v>
                  </c:pt>
                  <c:pt idx="14">
                    <c:v>Mar</c:v>
                  </c:pt>
                  <c:pt idx="15">
                    <c:v>Apr</c:v>
                  </c:pt>
                  <c:pt idx="16">
                    <c:v>Mai</c:v>
                  </c:pt>
                  <c:pt idx="17">
                    <c:v>Jūn</c:v>
                  </c:pt>
                  <c:pt idx="18">
                    <c:v>Jūl</c:v>
                  </c:pt>
                  <c:pt idx="19">
                    <c:v>Aug</c:v>
                  </c:pt>
                </c:lvl>
                <c:lvl>
                  <c:pt idx="0">
                    <c:v>2024</c:v>
                  </c:pt>
                  <c:pt idx="12">
                    <c:v>2025</c:v>
                  </c:pt>
                </c:lvl>
              </c:multiLvlStrCache>
            </c:multiLvlStrRef>
          </c:cat>
          <c:val>
            <c:numRef>
              <c:f>PCI020m6!$ES$316:$FL$316</c:f>
              <c:numCache>
                <c:formatCode>0.0</c:formatCode>
                <c:ptCount val="20"/>
                <c:pt idx="0">
                  <c:v>-0.44729999999999992</c:v>
                </c:pt>
                <c:pt idx="1">
                  <c:v>-0.1278</c:v>
                </c:pt>
                <c:pt idx="2">
                  <c:v>0.19170000000000001</c:v>
                </c:pt>
                <c:pt idx="3">
                  <c:v>0.31949999999999995</c:v>
                </c:pt>
                <c:pt idx="4">
                  <c:v>0.63190000000000002</c:v>
                </c:pt>
                <c:pt idx="5">
                  <c:v>0.48279999999999995</c:v>
                </c:pt>
                <c:pt idx="6">
                  <c:v>0.42599999999999993</c:v>
                </c:pt>
                <c:pt idx="7">
                  <c:v>-0.31240000000000001</c:v>
                </c:pt>
                <c:pt idx="8">
                  <c:v>-0.93009999999999993</c:v>
                </c:pt>
                <c:pt idx="9">
                  <c:v>-0.80940000000000001</c:v>
                </c:pt>
                <c:pt idx="10">
                  <c:v>-0.58930000000000005</c:v>
                </c:pt>
                <c:pt idx="11">
                  <c:v>-5.6799999999999996E-2</c:v>
                </c:pt>
                <c:pt idx="12">
                  <c:v>0.1235</c:v>
                </c:pt>
                <c:pt idx="13">
                  <c:v>-7.1500000000000008E-2</c:v>
                </c:pt>
                <c:pt idx="14">
                  <c:v>-0.40949999999999998</c:v>
                </c:pt>
                <c:pt idx="15">
                  <c:v>-0.41600000000000004</c:v>
                </c:pt>
                <c:pt idx="16">
                  <c:v>-0.64350000000000007</c:v>
                </c:pt>
                <c:pt idx="17">
                  <c:v>-0.24050000000000002</c:v>
                </c:pt>
                <c:pt idx="18">
                  <c:v>-0.16250000000000001</c:v>
                </c:pt>
                <c:pt idx="19">
                  <c:v>-4.5499999999999999E-2</c:v>
                </c:pt>
              </c:numCache>
            </c:numRef>
          </c:val>
          <c:extLst>
            <c:ext xmlns:c16="http://schemas.microsoft.com/office/drawing/2014/chart" uri="{C3380CC4-5D6E-409C-BE32-E72D297353CC}">
              <c16:uniqueId val="{00000002-4156-4876-A51E-6A08AAF822F4}"/>
            </c:ext>
          </c:extLst>
        </c:ser>
        <c:ser>
          <c:idx val="3"/>
          <c:order val="3"/>
          <c:tx>
            <c:strRef>
              <c:f>PCI020m6!$FN$317</c:f>
              <c:strCache>
                <c:ptCount val="1"/>
                <c:pt idx="0">
                  <c:v>Pārējās preces 
un pakalpojumi</c:v>
                </c:pt>
              </c:strCache>
            </c:strRef>
          </c:tx>
          <c:spPr>
            <a:solidFill>
              <a:schemeClr val="bg1">
                <a:lumMod val="75000"/>
              </a:schemeClr>
            </a:solidFill>
            <a:ln>
              <a:noFill/>
            </a:ln>
            <a:effectLst/>
          </c:spPr>
          <c:invertIfNegative val="0"/>
          <c:cat>
            <c:multiLvlStrRef>
              <c:f>PCI020m6!$ES$2:$FL$3</c:f>
              <c:multiLvlStrCache>
                <c:ptCount val="20"/>
                <c:lvl>
                  <c:pt idx="0">
                    <c:v>Jan</c:v>
                  </c:pt>
                  <c:pt idx="1">
                    <c:v>Feb</c:v>
                  </c:pt>
                  <c:pt idx="2">
                    <c:v>Mar</c:v>
                  </c:pt>
                  <c:pt idx="3">
                    <c:v>Apr</c:v>
                  </c:pt>
                  <c:pt idx="4">
                    <c:v>Mai</c:v>
                  </c:pt>
                  <c:pt idx="5">
                    <c:v>Jūn</c:v>
                  </c:pt>
                  <c:pt idx="6">
                    <c:v> Jūl</c:v>
                  </c:pt>
                  <c:pt idx="7">
                    <c:v>Aug</c:v>
                  </c:pt>
                  <c:pt idx="8">
                    <c:v>Sep</c:v>
                  </c:pt>
                  <c:pt idx="9">
                    <c:v>Okt</c:v>
                  </c:pt>
                  <c:pt idx="10">
                    <c:v>Nov</c:v>
                  </c:pt>
                  <c:pt idx="11">
                    <c:v>Dec</c:v>
                  </c:pt>
                  <c:pt idx="12">
                    <c:v>Jan</c:v>
                  </c:pt>
                  <c:pt idx="13">
                    <c:v>Feb</c:v>
                  </c:pt>
                  <c:pt idx="14">
                    <c:v>Mar</c:v>
                  </c:pt>
                  <c:pt idx="15">
                    <c:v>Apr</c:v>
                  </c:pt>
                  <c:pt idx="16">
                    <c:v>Mai</c:v>
                  </c:pt>
                  <c:pt idx="17">
                    <c:v>Jūn</c:v>
                  </c:pt>
                  <c:pt idx="18">
                    <c:v>Jūl</c:v>
                  </c:pt>
                  <c:pt idx="19">
                    <c:v>Aug</c:v>
                  </c:pt>
                </c:lvl>
                <c:lvl>
                  <c:pt idx="0">
                    <c:v>2024</c:v>
                  </c:pt>
                  <c:pt idx="12">
                    <c:v>2025</c:v>
                  </c:pt>
                </c:lvl>
              </c:multiLvlStrCache>
            </c:multiLvlStrRef>
          </c:cat>
          <c:val>
            <c:numRef>
              <c:f>PCI020m6!$ES$317:$FL$317</c:f>
              <c:numCache>
                <c:formatCode>0.0</c:formatCode>
                <c:ptCount val="20"/>
                <c:pt idx="0">
                  <c:v>2.3282999999999996</c:v>
                </c:pt>
                <c:pt idx="1">
                  <c:v>2.0036</c:v>
                </c:pt>
                <c:pt idx="2">
                  <c:v>2.2656999999999998</c:v>
                </c:pt>
                <c:pt idx="3">
                  <c:v>2.2105000000000001</c:v>
                </c:pt>
                <c:pt idx="4">
                  <c:v>2.1129000000000002</c:v>
                </c:pt>
                <c:pt idx="5">
                  <c:v>2.5977999999999994</c:v>
                </c:pt>
                <c:pt idx="6">
                  <c:v>2.2563999999999993</c:v>
                </c:pt>
                <c:pt idx="7">
                  <c:v>2.4505999999999997</c:v>
                </c:pt>
                <c:pt idx="8">
                  <c:v>2.5590999999999999</c:v>
                </c:pt>
                <c:pt idx="9">
                  <c:v>2.4179999999999997</c:v>
                </c:pt>
                <c:pt idx="10">
                  <c:v>2.4563000000000001</c:v>
                </c:pt>
                <c:pt idx="11">
                  <c:v>2.6197999999999997</c:v>
                </c:pt>
                <c:pt idx="12">
                  <c:v>2.1095000000000002</c:v>
                </c:pt>
                <c:pt idx="13">
                  <c:v>2.4530999999999996</c:v>
                </c:pt>
                <c:pt idx="14">
                  <c:v>2.2168999999999999</c:v>
                </c:pt>
                <c:pt idx="15">
                  <c:v>2.5622999999999996</c:v>
                </c:pt>
                <c:pt idx="16">
                  <c:v>2.1091000000000002</c:v>
                </c:pt>
                <c:pt idx="17">
                  <c:v>2.1788999999999996</c:v>
                </c:pt>
                <c:pt idx="18">
                  <c:v>1.9305999999999996</c:v>
                </c:pt>
                <c:pt idx="19">
                  <c:v>1.9094</c:v>
                </c:pt>
              </c:numCache>
            </c:numRef>
          </c:val>
          <c:extLst>
            <c:ext xmlns:c16="http://schemas.microsoft.com/office/drawing/2014/chart" uri="{C3380CC4-5D6E-409C-BE32-E72D297353CC}">
              <c16:uniqueId val="{00000003-4156-4876-A51E-6A08AAF822F4}"/>
            </c:ext>
          </c:extLst>
        </c:ser>
        <c:dLbls>
          <c:showLegendKey val="0"/>
          <c:showVal val="0"/>
          <c:showCatName val="0"/>
          <c:showSerName val="0"/>
          <c:showPercent val="0"/>
          <c:showBubbleSize val="0"/>
        </c:dLbls>
        <c:gapWidth val="30"/>
        <c:overlap val="100"/>
        <c:axId val="863122800"/>
        <c:axId val="863121360"/>
      </c:barChart>
      <c:lineChart>
        <c:grouping val="standard"/>
        <c:varyColors val="0"/>
        <c:ser>
          <c:idx val="4"/>
          <c:order val="4"/>
          <c:tx>
            <c:strRef>
              <c:f>PCI020m6!$FN$318</c:f>
              <c:strCache>
                <c:ptCount val="1"/>
                <c:pt idx="0">
                  <c:v>PCI, %</c:v>
                </c:pt>
              </c:strCache>
            </c:strRef>
          </c:tx>
          <c:spPr>
            <a:ln w="28575" cap="rnd">
              <a:solidFill>
                <a:schemeClr val="tx1"/>
              </a:solidFill>
              <a:round/>
            </a:ln>
            <a:effectLst/>
          </c:spPr>
          <c:marker>
            <c:symbol val="none"/>
          </c:marker>
          <c:cat>
            <c:multiLvlStrRef>
              <c:f>PCI020m6!$ES$2:$FL$3</c:f>
              <c:multiLvlStrCache>
                <c:ptCount val="20"/>
                <c:lvl>
                  <c:pt idx="0">
                    <c:v>Jan</c:v>
                  </c:pt>
                  <c:pt idx="1">
                    <c:v>Feb</c:v>
                  </c:pt>
                  <c:pt idx="2">
                    <c:v>Mar</c:v>
                  </c:pt>
                  <c:pt idx="3">
                    <c:v>Apr</c:v>
                  </c:pt>
                  <c:pt idx="4">
                    <c:v>Mai</c:v>
                  </c:pt>
                  <c:pt idx="5">
                    <c:v>Jūn</c:v>
                  </c:pt>
                  <c:pt idx="6">
                    <c:v> Jūl</c:v>
                  </c:pt>
                  <c:pt idx="7">
                    <c:v>Aug</c:v>
                  </c:pt>
                  <c:pt idx="8">
                    <c:v>Sep</c:v>
                  </c:pt>
                  <c:pt idx="9">
                    <c:v>Okt</c:v>
                  </c:pt>
                  <c:pt idx="10">
                    <c:v>Nov</c:v>
                  </c:pt>
                  <c:pt idx="11">
                    <c:v>Dec</c:v>
                  </c:pt>
                  <c:pt idx="12">
                    <c:v>Jan</c:v>
                  </c:pt>
                  <c:pt idx="13">
                    <c:v>Feb</c:v>
                  </c:pt>
                  <c:pt idx="14">
                    <c:v>Mar</c:v>
                  </c:pt>
                  <c:pt idx="15">
                    <c:v>Apr</c:v>
                  </c:pt>
                  <c:pt idx="16">
                    <c:v>Mai</c:v>
                  </c:pt>
                  <c:pt idx="17">
                    <c:v>Jūn</c:v>
                  </c:pt>
                  <c:pt idx="18">
                    <c:v>Jūl</c:v>
                  </c:pt>
                  <c:pt idx="19">
                    <c:v>Aug</c:v>
                  </c:pt>
                </c:lvl>
                <c:lvl>
                  <c:pt idx="0">
                    <c:v>2024</c:v>
                  </c:pt>
                  <c:pt idx="12">
                    <c:v>2025</c:v>
                  </c:pt>
                </c:lvl>
              </c:multiLvlStrCache>
            </c:multiLvlStrRef>
          </c:cat>
          <c:val>
            <c:numRef>
              <c:f>PCI020m6!$ES$318:$FL$318</c:f>
              <c:numCache>
                <c:formatCode>0.0</c:formatCode>
                <c:ptCount val="20"/>
                <c:pt idx="0">
                  <c:v>0.9</c:v>
                </c:pt>
                <c:pt idx="1">
                  <c:v>0.4</c:v>
                </c:pt>
                <c:pt idx="2">
                  <c:v>0.9</c:v>
                </c:pt>
                <c:pt idx="3">
                  <c:v>1.1000000000000001</c:v>
                </c:pt>
                <c:pt idx="4">
                  <c:v>0.1</c:v>
                </c:pt>
                <c:pt idx="5">
                  <c:v>1.4</c:v>
                </c:pt>
                <c:pt idx="6">
                  <c:v>0.7</c:v>
                </c:pt>
                <c:pt idx="7">
                  <c:v>0.7</c:v>
                </c:pt>
                <c:pt idx="8">
                  <c:v>1.4</c:v>
                </c:pt>
                <c:pt idx="9">
                  <c:v>2</c:v>
                </c:pt>
                <c:pt idx="10">
                  <c:v>2.2000000000000002</c:v>
                </c:pt>
                <c:pt idx="11">
                  <c:v>3.3</c:v>
                </c:pt>
                <c:pt idx="12">
                  <c:v>3</c:v>
                </c:pt>
                <c:pt idx="13">
                  <c:v>3.7</c:v>
                </c:pt>
                <c:pt idx="14">
                  <c:v>3.3</c:v>
                </c:pt>
                <c:pt idx="15">
                  <c:v>3.9</c:v>
                </c:pt>
                <c:pt idx="16">
                  <c:v>3.6</c:v>
                </c:pt>
                <c:pt idx="17">
                  <c:v>3.8</c:v>
                </c:pt>
                <c:pt idx="18">
                  <c:v>3.8</c:v>
                </c:pt>
                <c:pt idx="19">
                  <c:v>4.0999999999999996</c:v>
                </c:pt>
              </c:numCache>
            </c:numRef>
          </c:val>
          <c:smooth val="0"/>
          <c:extLst>
            <c:ext xmlns:c16="http://schemas.microsoft.com/office/drawing/2014/chart" uri="{C3380CC4-5D6E-409C-BE32-E72D297353CC}">
              <c16:uniqueId val="{00000004-4156-4876-A51E-6A08AAF822F4}"/>
            </c:ext>
          </c:extLst>
        </c:ser>
        <c:dLbls>
          <c:showLegendKey val="0"/>
          <c:showVal val="0"/>
          <c:showCatName val="0"/>
          <c:showSerName val="0"/>
          <c:showPercent val="0"/>
          <c:showBubbleSize val="0"/>
        </c:dLbls>
        <c:marker val="1"/>
        <c:smooth val="0"/>
        <c:axId val="863122800"/>
        <c:axId val="863121360"/>
      </c:lineChart>
      <c:catAx>
        <c:axId val="863122800"/>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5400000" spcFirstLastPara="1" vertOverflow="ellipsis"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863121360"/>
        <c:crosses val="autoZero"/>
        <c:auto val="1"/>
        <c:lblAlgn val="ctr"/>
        <c:lblOffset val="100"/>
        <c:noMultiLvlLbl val="0"/>
      </c:catAx>
      <c:valAx>
        <c:axId val="863121360"/>
        <c:scaling>
          <c:orientation val="minMax"/>
          <c:min val="-3"/>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863122800"/>
        <c:crosses val="autoZero"/>
        <c:crossBetween val="between"/>
        <c:majorUnit val="1"/>
      </c:valAx>
      <c:spPr>
        <a:noFill/>
        <a:ln>
          <a:noFill/>
        </a:ln>
        <a:effectLst/>
      </c:spPr>
    </c:plotArea>
    <c:legend>
      <c:legendPos val="b"/>
      <c:layout>
        <c:manualLayout>
          <c:xMode val="edge"/>
          <c:yMode val="edge"/>
          <c:x val="0"/>
          <c:y val="0.79769453450671612"/>
          <c:w val="0.98404646534567797"/>
          <c:h val="0.1231531282231893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userShapes r:id="rId5"/>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302071224383859E-2"/>
          <c:y val="3.7800687285223365E-2"/>
          <c:w val="0.84300842965659928"/>
          <c:h val="0.70490651297453799"/>
        </c:manualLayout>
      </c:layout>
      <c:barChart>
        <c:barDir val="col"/>
        <c:grouping val="stacked"/>
        <c:varyColors val="0"/>
        <c:ser>
          <c:idx val="0"/>
          <c:order val="0"/>
          <c:tx>
            <c:strRef>
              <c:f>BySource!$L$1</c:f>
              <c:strCache>
                <c:ptCount val="1"/>
                <c:pt idx="0">
                  <c:v>Pamatinflācija</c:v>
                </c:pt>
              </c:strCache>
            </c:strRef>
          </c:tx>
          <c:spPr>
            <a:solidFill>
              <a:schemeClr val="accent4">
                <a:lumMod val="75000"/>
              </a:schemeClr>
            </a:solidFill>
            <a:ln>
              <a:noFill/>
            </a:ln>
            <a:effectLst/>
          </c:spPr>
          <c:invertIfNegative val="0"/>
          <c:cat>
            <c:multiLvlStrRef>
              <c:f>BySource!$A$242:$B$261</c:f>
              <c:multiLvlStrCache>
                <c:ptCount val="20"/>
                <c:lvl>
                  <c:pt idx="0">
                    <c:v>Jan</c:v>
                  </c:pt>
                  <c:pt idx="1">
                    <c:v>Feb</c:v>
                  </c:pt>
                  <c:pt idx="2">
                    <c:v>Mar</c:v>
                  </c:pt>
                  <c:pt idx="3">
                    <c:v>Apr</c:v>
                  </c:pt>
                  <c:pt idx="4">
                    <c:v>Mai</c:v>
                  </c:pt>
                  <c:pt idx="5">
                    <c:v>Jūn</c:v>
                  </c:pt>
                  <c:pt idx="6">
                    <c:v>Jūl</c:v>
                  </c:pt>
                  <c:pt idx="7">
                    <c:v>Aug</c:v>
                  </c:pt>
                  <c:pt idx="8">
                    <c:v>Sep</c:v>
                  </c:pt>
                  <c:pt idx="9">
                    <c:v>Okt</c:v>
                  </c:pt>
                  <c:pt idx="10">
                    <c:v>Nov</c:v>
                  </c:pt>
                  <c:pt idx="11">
                    <c:v>Dec</c:v>
                  </c:pt>
                  <c:pt idx="12">
                    <c:v>Jan</c:v>
                  </c:pt>
                  <c:pt idx="13">
                    <c:v>Feb</c:v>
                  </c:pt>
                  <c:pt idx="14">
                    <c:v>Mar</c:v>
                  </c:pt>
                  <c:pt idx="15">
                    <c:v>Apr</c:v>
                  </c:pt>
                  <c:pt idx="16">
                    <c:v>Mai</c:v>
                  </c:pt>
                  <c:pt idx="17">
                    <c:v>Jūn</c:v>
                  </c:pt>
                  <c:pt idx="18">
                    <c:v>Jūl</c:v>
                  </c:pt>
                  <c:pt idx="19">
                    <c:v>Aug</c:v>
                  </c:pt>
                </c:lvl>
                <c:lvl>
                  <c:pt idx="0">
                    <c:v>2024</c:v>
                  </c:pt>
                  <c:pt idx="12">
                    <c:v>2025</c:v>
                  </c:pt>
                </c:lvl>
              </c:multiLvlStrCache>
            </c:multiLvlStrRef>
          </c:cat>
          <c:val>
            <c:numRef>
              <c:f>BySource!$L$242:$L$261</c:f>
              <c:numCache>
                <c:formatCode>0.000</c:formatCode>
                <c:ptCount val="20"/>
                <c:pt idx="0">
                  <c:v>2.3063196113002458</c:v>
                </c:pt>
                <c:pt idx="1">
                  <c:v>1.8527574255329387</c:v>
                </c:pt>
                <c:pt idx="2">
                  <c:v>2.0210517602868414</c:v>
                </c:pt>
                <c:pt idx="3">
                  <c:v>1.7786418439746197</c:v>
                </c:pt>
                <c:pt idx="4">
                  <c:v>2.0305810539219484</c:v>
                </c:pt>
                <c:pt idx="5">
                  <c:v>2.3298321071769803</c:v>
                </c:pt>
                <c:pt idx="6">
                  <c:v>2.3966575934689494</c:v>
                </c:pt>
                <c:pt idx="7">
                  <c:v>2.7511983579687262</c:v>
                </c:pt>
                <c:pt idx="8">
                  <c:v>2.8133925984311765</c:v>
                </c:pt>
                <c:pt idx="9">
                  <c:v>2.7476935090892605</c:v>
                </c:pt>
                <c:pt idx="10">
                  <c:v>2.7330678282828802</c:v>
                </c:pt>
                <c:pt idx="11">
                  <c:v>3.158078554953633</c:v>
                </c:pt>
                <c:pt idx="12">
                  <c:v>2.5496136181368643</c:v>
                </c:pt>
                <c:pt idx="13">
                  <c:v>3.1269533263242897</c:v>
                </c:pt>
                <c:pt idx="14">
                  <c:v>3.0832156835592666</c:v>
                </c:pt>
                <c:pt idx="15">
                  <c:v>3.5958777008283374</c:v>
                </c:pt>
                <c:pt idx="16">
                  <c:v>3.158283669244367</c:v>
                </c:pt>
                <c:pt idx="17">
                  <c:v>3.0996507484941933</c:v>
                </c:pt>
                <c:pt idx="18">
                  <c:v>2.8047711012255365</c:v>
                </c:pt>
                <c:pt idx="19">
                  <c:v>2.8853517391415568</c:v>
                </c:pt>
              </c:numCache>
            </c:numRef>
          </c:val>
          <c:extLst>
            <c:ext xmlns:c16="http://schemas.microsoft.com/office/drawing/2014/chart" uri="{C3380CC4-5D6E-409C-BE32-E72D297353CC}">
              <c16:uniqueId val="{00000000-FF89-428E-8DC9-C25762C9F272}"/>
            </c:ext>
          </c:extLst>
        </c:ser>
        <c:ser>
          <c:idx val="2"/>
          <c:order val="1"/>
          <c:tx>
            <c:strRef>
              <c:f>BySource!$D$1</c:f>
              <c:strCache>
                <c:ptCount val="1"/>
                <c:pt idx="0">
                  <c:v>Nodokļi</c:v>
                </c:pt>
              </c:strCache>
            </c:strRef>
          </c:tx>
          <c:spPr>
            <a:solidFill>
              <a:srgbClr val="C00000"/>
            </a:solidFill>
            <a:ln>
              <a:noFill/>
            </a:ln>
            <a:effectLst/>
          </c:spPr>
          <c:invertIfNegative val="0"/>
          <c:cat>
            <c:multiLvlStrRef>
              <c:f>BySource!$A$242:$B$261</c:f>
              <c:multiLvlStrCache>
                <c:ptCount val="20"/>
                <c:lvl>
                  <c:pt idx="0">
                    <c:v>Jan</c:v>
                  </c:pt>
                  <c:pt idx="1">
                    <c:v>Feb</c:v>
                  </c:pt>
                  <c:pt idx="2">
                    <c:v>Mar</c:v>
                  </c:pt>
                  <c:pt idx="3">
                    <c:v>Apr</c:v>
                  </c:pt>
                  <c:pt idx="4">
                    <c:v>Mai</c:v>
                  </c:pt>
                  <c:pt idx="5">
                    <c:v>Jūn</c:v>
                  </c:pt>
                  <c:pt idx="6">
                    <c:v>Jūl</c:v>
                  </c:pt>
                  <c:pt idx="7">
                    <c:v>Aug</c:v>
                  </c:pt>
                  <c:pt idx="8">
                    <c:v>Sep</c:v>
                  </c:pt>
                  <c:pt idx="9">
                    <c:v>Okt</c:v>
                  </c:pt>
                  <c:pt idx="10">
                    <c:v>Nov</c:v>
                  </c:pt>
                  <c:pt idx="11">
                    <c:v>Dec</c:v>
                  </c:pt>
                  <c:pt idx="12">
                    <c:v>Jan</c:v>
                  </c:pt>
                  <c:pt idx="13">
                    <c:v>Feb</c:v>
                  </c:pt>
                  <c:pt idx="14">
                    <c:v>Mar</c:v>
                  </c:pt>
                  <c:pt idx="15">
                    <c:v>Apr</c:v>
                  </c:pt>
                  <c:pt idx="16">
                    <c:v>Mai</c:v>
                  </c:pt>
                  <c:pt idx="17">
                    <c:v>Jūn</c:v>
                  </c:pt>
                  <c:pt idx="18">
                    <c:v>Jūl</c:v>
                  </c:pt>
                  <c:pt idx="19">
                    <c:v>Aug</c:v>
                  </c:pt>
                </c:lvl>
                <c:lvl>
                  <c:pt idx="0">
                    <c:v>2024</c:v>
                  </c:pt>
                  <c:pt idx="12">
                    <c:v>2025</c:v>
                  </c:pt>
                </c:lvl>
              </c:multiLvlStrCache>
            </c:multiLvlStrRef>
          </c:cat>
          <c:val>
            <c:numRef>
              <c:f>BySource!$D$242:$D$261</c:f>
              <c:numCache>
                <c:formatCode>0.000</c:formatCode>
                <c:ptCount val="20"/>
                <c:pt idx="0">
                  <c:v>0.16498948753751463</c:v>
                </c:pt>
                <c:pt idx="1">
                  <c:v>0.16790951420759814</c:v>
                </c:pt>
                <c:pt idx="2">
                  <c:v>0.52112958811525445</c:v>
                </c:pt>
                <c:pt idx="3">
                  <c:v>0.5163415059989962</c:v>
                </c:pt>
                <c:pt idx="4">
                  <c:v>0.50960679933467201</c:v>
                </c:pt>
                <c:pt idx="5">
                  <c:v>0.5161608857369826</c:v>
                </c:pt>
                <c:pt idx="6">
                  <c:v>0.51229824070841978</c:v>
                </c:pt>
                <c:pt idx="7">
                  <c:v>0.49821485510719299</c:v>
                </c:pt>
                <c:pt idx="8">
                  <c:v>0.50826808828121628</c:v>
                </c:pt>
                <c:pt idx="9">
                  <c:v>0.52095339403182006</c:v>
                </c:pt>
                <c:pt idx="10">
                  <c:v>0.51731422427145901</c:v>
                </c:pt>
                <c:pt idx="11">
                  <c:v>0.5208321431203089</c:v>
                </c:pt>
                <c:pt idx="12">
                  <c:v>0.78355837006651718</c:v>
                </c:pt>
                <c:pt idx="13">
                  <c:v>0.7822072102439348</c:v>
                </c:pt>
                <c:pt idx="14">
                  <c:v>0.53436296629583158</c:v>
                </c:pt>
                <c:pt idx="15">
                  <c:v>0.5444889709026679</c:v>
                </c:pt>
                <c:pt idx="16">
                  <c:v>0.54415377124952258</c:v>
                </c:pt>
                <c:pt idx="17">
                  <c:v>0.54533543243207028</c:v>
                </c:pt>
                <c:pt idx="18">
                  <c:v>0.54431414890176999</c:v>
                </c:pt>
                <c:pt idx="19">
                  <c:v>0.54431414890176999</c:v>
                </c:pt>
              </c:numCache>
            </c:numRef>
          </c:val>
          <c:extLst>
            <c:ext xmlns:c16="http://schemas.microsoft.com/office/drawing/2014/chart" uri="{C3380CC4-5D6E-409C-BE32-E72D297353CC}">
              <c16:uniqueId val="{00000001-FF89-428E-8DC9-C25762C9F272}"/>
            </c:ext>
          </c:extLst>
        </c:ser>
        <c:ser>
          <c:idx val="1"/>
          <c:order val="2"/>
          <c:tx>
            <c:strRef>
              <c:f>BySource!$N$1</c:f>
              <c:strCache>
                <c:ptCount val="1"/>
                <c:pt idx="0">
                  <c:v>Importētā inflācija</c:v>
                </c:pt>
              </c:strCache>
            </c:strRef>
          </c:tx>
          <c:spPr>
            <a:solidFill>
              <a:srgbClr val="FFCC99"/>
            </a:solidFill>
            <a:ln>
              <a:noFill/>
            </a:ln>
            <a:effectLst/>
          </c:spPr>
          <c:invertIfNegative val="0"/>
          <c:cat>
            <c:multiLvlStrRef>
              <c:f>BySource!$A$242:$B$261</c:f>
              <c:multiLvlStrCache>
                <c:ptCount val="20"/>
                <c:lvl>
                  <c:pt idx="0">
                    <c:v>Jan</c:v>
                  </c:pt>
                  <c:pt idx="1">
                    <c:v>Feb</c:v>
                  </c:pt>
                  <c:pt idx="2">
                    <c:v>Mar</c:v>
                  </c:pt>
                  <c:pt idx="3">
                    <c:v>Apr</c:v>
                  </c:pt>
                  <c:pt idx="4">
                    <c:v>Mai</c:v>
                  </c:pt>
                  <c:pt idx="5">
                    <c:v>Jūn</c:v>
                  </c:pt>
                  <c:pt idx="6">
                    <c:v>Jūl</c:v>
                  </c:pt>
                  <c:pt idx="7">
                    <c:v>Aug</c:v>
                  </c:pt>
                  <c:pt idx="8">
                    <c:v>Sep</c:v>
                  </c:pt>
                  <c:pt idx="9">
                    <c:v>Okt</c:v>
                  </c:pt>
                  <c:pt idx="10">
                    <c:v>Nov</c:v>
                  </c:pt>
                  <c:pt idx="11">
                    <c:v>Dec</c:v>
                  </c:pt>
                  <c:pt idx="12">
                    <c:v>Jan</c:v>
                  </c:pt>
                  <c:pt idx="13">
                    <c:v>Feb</c:v>
                  </c:pt>
                  <c:pt idx="14">
                    <c:v>Mar</c:v>
                  </c:pt>
                  <c:pt idx="15">
                    <c:v>Apr</c:v>
                  </c:pt>
                  <c:pt idx="16">
                    <c:v>Mai</c:v>
                  </c:pt>
                  <c:pt idx="17">
                    <c:v>Jūn</c:v>
                  </c:pt>
                  <c:pt idx="18">
                    <c:v>Jūl</c:v>
                  </c:pt>
                  <c:pt idx="19">
                    <c:v>Aug</c:v>
                  </c:pt>
                </c:lvl>
                <c:lvl>
                  <c:pt idx="0">
                    <c:v>2024</c:v>
                  </c:pt>
                  <c:pt idx="12">
                    <c:v>2025</c:v>
                  </c:pt>
                </c:lvl>
              </c:multiLvlStrCache>
            </c:multiLvlStrRef>
          </c:cat>
          <c:val>
            <c:numRef>
              <c:f>BySource!$N$242:$N$261</c:f>
              <c:numCache>
                <c:formatCode>0.000</c:formatCode>
                <c:ptCount val="20"/>
                <c:pt idx="0">
                  <c:v>-1.5713090988377605</c:v>
                </c:pt>
                <c:pt idx="1">
                  <c:v>-1.6206669397405367</c:v>
                </c:pt>
                <c:pt idx="2">
                  <c:v>-1.642181348402096</c:v>
                </c:pt>
                <c:pt idx="3">
                  <c:v>-1.1949833499736158</c:v>
                </c:pt>
                <c:pt idx="4">
                  <c:v>-2.4401878532566208</c:v>
                </c:pt>
                <c:pt idx="5">
                  <c:v>-1.445992992913963</c:v>
                </c:pt>
                <c:pt idx="6">
                  <c:v>-2.2089558341773694</c:v>
                </c:pt>
                <c:pt idx="7">
                  <c:v>-2.5494132130759199</c:v>
                </c:pt>
                <c:pt idx="8">
                  <c:v>-1.9216606867123929</c:v>
                </c:pt>
                <c:pt idx="9">
                  <c:v>-1.2686469031210807</c:v>
                </c:pt>
                <c:pt idx="10">
                  <c:v>-1.050382052554339</c:v>
                </c:pt>
                <c:pt idx="11">
                  <c:v>-0.37891069807394184</c:v>
                </c:pt>
                <c:pt idx="12">
                  <c:v>-0.33317198820338167</c:v>
                </c:pt>
                <c:pt idx="13">
                  <c:v>-0.20916053656822442</c:v>
                </c:pt>
                <c:pt idx="14">
                  <c:v>-0.31757864985509821</c:v>
                </c:pt>
                <c:pt idx="15">
                  <c:v>-0.24036667173100512</c:v>
                </c:pt>
                <c:pt idx="16">
                  <c:v>-0.10243744049388948</c:v>
                </c:pt>
                <c:pt idx="17">
                  <c:v>0.15501381907373601</c:v>
                </c:pt>
                <c:pt idx="18">
                  <c:v>0.45091474987269342</c:v>
                </c:pt>
                <c:pt idx="19">
                  <c:v>0.67033411195667292</c:v>
                </c:pt>
              </c:numCache>
            </c:numRef>
          </c:val>
          <c:extLst>
            <c:ext xmlns:c16="http://schemas.microsoft.com/office/drawing/2014/chart" uri="{C3380CC4-5D6E-409C-BE32-E72D297353CC}">
              <c16:uniqueId val="{00000002-FF89-428E-8DC9-C25762C9F272}"/>
            </c:ext>
          </c:extLst>
        </c:ser>
        <c:dLbls>
          <c:showLegendKey val="0"/>
          <c:showVal val="0"/>
          <c:showCatName val="0"/>
          <c:showSerName val="0"/>
          <c:showPercent val="0"/>
          <c:showBubbleSize val="0"/>
        </c:dLbls>
        <c:gapWidth val="22"/>
        <c:overlap val="100"/>
        <c:axId val="348883032"/>
        <c:axId val="348885384"/>
      </c:barChart>
      <c:lineChart>
        <c:grouping val="standard"/>
        <c:varyColors val="0"/>
        <c:ser>
          <c:idx val="3"/>
          <c:order val="3"/>
          <c:tx>
            <c:strRef>
              <c:f>BySource!$C$1</c:f>
              <c:strCache>
                <c:ptCount val="1"/>
                <c:pt idx="0">
                  <c:v>PCI, %</c:v>
                </c:pt>
              </c:strCache>
            </c:strRef>
          </c:tx>
          <c:spPr>
            <a:ln w="28575" cap="rnd">
              <a:solidFill>
                <a:schemeClr val="tx1"/>
              </a:solidFill>
              <a:round/>
            </a:ln>
            <a:effectLst/>
          </c:spPr>
          <c:marker>
            <c:symbol val="none"/>
          </c:marker>
          <c:val>
            <c:numRef>
              <c:f>BySource!$C$242:$C$261</c:f>
              <c:numCache>
                <c:formatCode>General</c:formatCode>
                <c:ptCount val="20"/>
                <c:pt idx="0">
                  <c:v>0.9</c:v>
                </c:pt>
                <c:pt idx="1">
                  <c:v>0.4</c:v>
                </c:pt>
                <c:pt idx="2">
                  <c:v>0.9</c:v>
                </c:pt>
                <c:pt idx="3">
                  <c:v>1.1000000000000001</c:v>
                </c:pt>
                <c:pt idx="4">
                  <c:v>0.1</c:v>
                </c:pt>
                <c:pt idx="5">
                  <c:v>1.4</c:v>
                </c:pt>
                <c:pt idx="6">
                  <c:v>0.7</c:v>
                </c:pt>
                <c:pt idx="7">
                  <c:v>0.7</c:v>
                </c:pt>
                <c:pt idx="8">
                  <c:v>1.4</c:v>
                </c:pt>
                <c:pt idx="9">
                  <c:v>2</c:v>
                </c:pt>
                <c:pt idx="10">
                  <c:v>2.2000000000000002</c:v>
                </c:pt>
                <c:pt idx="11">
                  <c:v>3.3</c:v>
                </c:pt>
                <c:pt idx="12">
                  <c:v>3</c:v>
                </c:pt>
                <c:pt idx="13">
                  <c:v>3.7</c:v>
                </c:pt>
                <c:pt idx="14">
                  <c:v>3.3</c:v>
                </c:pt>
                <c:pt idx="15">
                  <c:v>3.9</c:v>
                </c:pt>
                <c:pt idx="16">
                  <c:v>3.6</c:v>
                </c:pt>
                <c:pt idx="17">
                  <c:v>3.8</c:v>
                </c:pt>
                <c:pt idx="18">
                  <c:v>3.8</c:v>
                </c:pt>
                <c:pt idx="19">
                  <c:v>4.0999999999999996</c:v>
                </c:pt>
              </c:numCache>
            </c:numRef>
          </c:val>
          <c:smooth val="0"/>
          <c:extLst>
            <c:ext xmlns:c16="http://schemas.microsoft.com/office/drawing/2014/chart" uri="{C3380CC4-5D6E-409C-BE32-E72D297353CC}">
              <c16:uniqueId val="{00000003-FF89-428E-8DC9-C25762C9F272}"/>
            </c:ext>
          </c:extLst>
        </c:ser>
        <c:dLbls>
          <c:showLegendKey val="0"/>
          <c:showVal val="0"/>
          <c:showCatName val="0"/>
          <c:showSerName val="0"/>
          <c:showPercent val="0"/>
          <c:showBubbleSize val="0"/>
        </c:dLbls>
        <c:marker val="1"/>
        <c:smooth val="0"/>
        <c:axId val="348883032"/>
        <c:axId val="348885384"/>
      </c:lineChart>
      <c:catAx>
        <c:axId val="348883032"/>
        <c:scaling>
          <c:orientation val="minMax"/>
        </c:scaling>
        <c:delete val="0"/>
        <c:axPos val="b"/>
        <c:numFmt formatCode="General" sourceLinked="0"/>
        <c:majorTickMark val="none"/>
        <c:minorTickMark val="none"/>
        <c:tickLblPos val="low"/>
        <c:spPr>
          <a:noFill/>
          <a:ln w="9525" cap="flat" cmpd="sng" algn="ctr">
            <a:solidFill>
              <a:schemeClr val="tx1"/>
            </a:solidFill>
            <a:round/>
          </a:ln>
          <a:effectLst/>
        </c:spPr>
        <c:txPr>
          <a:bodyPr rot="-5400000" spcFirstLastPara="1" vertOverflow="ellipsis" wrap="square" anchor="ctr" anchorCtr="1"/>
          <a:lstStyle/>
          <a:p>
            <a:pPr>
              <a:defRPr sz="8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48885384"/>
        <c:crosses val="autoZero"/>
        <c:auto val="1"/>
        <c:lblAlgn val="ctr"/>
        <c:lblOffset val="100"/>
        <c:noMultiLvlLbl val="0"/>
      </c:catAx>
      <c:valAx>
        <c:axId val="348885384"/>
        <c:scaling>
          <c:orientation val="minMax"/>
          <c:max val="5"/>
          <c:min val="-3"/>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48883032"/>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8175969937299862E-2"/>
          <c:y val="4.2742611718989673E-2"/>
          <c:w val="0.91690723525920925"/>
          <c:h val="0.66317755735078565"/>
        </c:manualLayout>
      </c:layout>
      <c:barChart>
        <c:barDir val="col"/>
        <c:grouping val="clustered"/>
        <c:varyColors val="0"/>
        <c:ser>
          <c:idx val="0"/>
          <c:order val="0"/>
          <c:tx>
            <c:strRef>
              <c:f>'2 graf'!$J$3</c:f>
              <c:strCache>
                <c:ptCount val="1"/>
                <c:pt idx="0">
                  <c:v>Nodarbināto skaits, tūkstoši (labā ass)</c:v>
                </c:pt>
              </c:strCache>
            </c:strRef>
          </c:tx>
          <c:invertIfNegative val="0"/>
          <c:cat>
            <c:strRef>
              <c:f>'2 graf'!$K$2:$AB$2</c:f>
              <c:strCache>
                <c:ptCount val="18"/>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2025 1.puse</c:v>
                </c:pt>
              </c:strCache>
            </c:strRef>
          </c:cat>
          <c:val>
            <c:numRef>
              <c:f>'2 graf'!$K$3:$AB$3</c:f>
              <c:numCache>
                <c:formatCode>0.0</c:formatCode>
                <c:ptCount val="18"/>
                <c:pt idx="0">
                  <c:v>1054.9000000000001</c:v>
                </c:pt>
                <c:pt idx="1">
                  <c:v>908.5</c:v>
                </c:pt>
                <c:pt idx="2">
                  <c:v>851</c:v>
                </c:pt>
                <c:pt idx="3">
                  <c:v>862</c:v>
                </c:pt>
                <c:pt idx="4">
                  <c:v>876</c:v>
                </c:pt>
                <c:pt idx="5">
                  <c:v>894</c:v>
                </c:pt>
                <c:pt idx="6">
                  <c:v>885</c:v>
                </c:pt>
                <c:pt idx="7">
                  <c:v>896</c:v>
                </c:pt>
                <c:pt idx="8">
                  <c:v>893</c:v>
                </c:pt>
                <c:pt idx="9">
                  <c:v>895</c:v>
                </c:pt>
                <c:pt idx="10">
                  <c:v>909</c:v>
                </c:pt>
                <c:pt idx="11" formatCode="0">
                  <c:v>910</c:v>
                </c:pt>
                <c:pt idx="12" formatCode="0">
                  <c:v>893</c:v>
                </c:pt>
                <c:pt idx="13" formatCode="0">
                  <c:v>864</c:v>
                </c:pt>
                <c:pt idx="14" formatCode="0">
                  <c:v>886</c:v>
                </c:pt>
                <c:pt idx="15" formatCode="0">
                  <c:v>884</c:v>
                </c:pt>
                <c:pt idx="16" formatCode="General">
                  <c:v>877</c:v>
                </c:pt>
                <c:pt idx="17" formatCode="General">
                  <c:v>878.7</c:v>
                </c:pt>
              </c:numCache>
            </c:numRef>
          </c:val>
          <c:extLst>
            <c:ext xmlns:c16="http://schemas.microsoft.com/office/drawing/2014/chart" uri="{C3380CC4-5D6E-409C-BE32-E72D297353CC}">
              <c16:uniqueId val="{00000000-DD9A-4B02-95DF-DDFF73D77077}"/>
            </c:ext>
          </c:extLst>
        </c:ser>
        <c:dLbls>
          <c:showLegendKey val="0"/>
          <c:showVal val="0"/>
          <c:showCatName val="0"/>
          <c:showSerName val="0"/>
          <c:showPercent val="0"/>
          <c:showBubbleSize val="0"/>
        </c:dLbls>
        <c:gapWidth val="65"/>
        <c:axId val="396118440"/>
        <c:axId val="393060176"/>
      </c:barChart>
      <c:lineChart>
        <c:grouping val="standard"/>
        <c:varyColors val="0"/>
        <c:ser>
          <c:idx val="1"/>
          <c:order val="1"/>
          <c:tx>
            <c:strRef>
              <c:f>'2 graf'!$J$4</c:f>
              <c:strCache>
                <c:ptCount val="1"/>
                <c:pt idx="0">
                  <c:v>Darba meklētāji, % no ekonomiski aktīvajiem iedzīvotājiem (kreisā ass)</c:v>
                </c:pt>
              </c:strCache>
            </c:strRef>
          </c:tx>
          <c:spPr>
            <a:ln>
              <a:solidFill>
                <a:srgbClr val="FF0000"/>
              </a:solidFill>
              <a:prstDash val="solid"/>
            </a:ln>
          </c:spPr>
          <c:marker>
            <c:symbol val="none"/>
          </c:marker>
          <c:dPt>
            <c:idx val="0"/>
            <c:bubble3D val="0"/>
            <c:extLst>
              <c:ext xmlns:c16="http://schemas.microsoft.com/office/drawing/2014/chart" uri="{C3380CC4-5D6E-409C-BE32-E72D297353CC}">
                <c16:uniqueId val="{00000001-DD9A-4B02-95DF-DDFF73D77077}"/>
              </c:ext>
            </c:extLst>
          </c:dPt>
          <c:dPt>
            <c:idx val="1"/>
            <c:bubble3D val="0"/>
            <c:extLst>
              <c:ext xmlns:c16="http://schemas.microsoft.com/office/drawing/2014/chart" uri="{C3380CC4-5D6E-409C-BE32-E72D297353CC}">
                <c16:uniqueId val="{00000002-DD9A-4B02-95DF-DDFF73D77077}"/>
              </c:ext>
            </c:extLst>
          </c:dPt>
          <c:dPt>
            <c:idx val="2"/>
            <c:bubble3D val="0"/>
            <c:extLst>
              <c:ext xmlns:c16="http://schemas.microsoft.com/office/drawing/2014/chart" uri="{C3380CC4-5D6E-409C-BE32-E72D297353CC}">
                <c16:uniqueId val="{00000003-DD9A-4B02-95DF-DDFF73D77077}"/>
              </c:ext>
            </c:extLst>
          </c:dPt>
          <c:dPt>
            <c:idx val="3"/>
            <c:bubble3D val="0"/>
            <c:extLst>
              <c:ext xmlns:c16="http://schemas.microsoft.com/office/drawing/2014/chart" uri="{C3380CC4-5D6E-409C-BE32-E72D297353CC}">
                <c16:uniqueId val="{00000004-DD9A-4B02-95DF-DDFF73D77077}"/>
              </c:ext>
            </c:extLst>
          </c:dPt>
          <c:dPt>
            <c:idx val="4"/>
            <c:bubble3D val="0"/>
            <c:extLst>
              <c:ext xmlns:c16="http://schemas.microsoft.com/office/drawing/2014/chart" uri="{C3380CC4-5D6E-409C-BE32-E72D297353CC}">
                <c16:uniqueId val="{00000005-DD9A-4B02-95DF-DDFF73D77077}"/>
              </c:ext>
            </c:extLst>
          </c:dPt>
          <c:dPt>
            <c:idx val="5"/>
            <c:bubble3D val="0"/>
            <c:extLst>
              <c:ext xmlns:c16="http://schemas.microsoft.com/office/drawing/2014/chart" uri="{C3380CC4-5D6E-409C-BE32-E72D297353CC}">
                <c16:uniqueId val="{00000006-DD9A-4B02-95DF-DDFF73D77077}"/>
              </c:ext>
            </c:extLst>
          </c:dPt>
          <c:dPt>
            <c:idx val="6"/>
            <c:bubble3D val="0"/>
            <c:extLst>
              <c:ext xmlns:c16="http://schemas.microsoft.com/office/drawing/2014/chart" uri="{C3380CC4-5D6E-409C-BE32-E72D297353CC}">
                <c16:uniqueId val="{00000007-DD9A-4B02-95DF-DDFF73D77077}"/>
              </c:ext>
            </c:extLst>
          </c:dPt>
          <c:dPt>
            <c:idx val="7"/>
            <c:bubble3D val="0"/>
            <c:extLst>
              <c:ext xmlns:c16="http://schemas.microsoft.com/office/drawing/2014/chart" uri="{C3380CC4-5D6E-409C-BE32-E72D297353CC}">
                <c16:uniqueId val="{00000008-DD9A-4B02-95DF-DDFF73D77077}"/>
              </c:ext>
            </c:extLst>
          </c:dPt>
          <c:dPt>
            <c:idx val="8"/>
            <c:bubble3D val="0"/>
            <c:extLst>
              <c:ext xmlns:c16="http://schemas.microsoft.com/office/drawing/2014/chart" uri="{C3380CC4-5D6E-409C-BE32-E72D297353CC}">
                <c16:uniqueId val="{00000009-DD9A-4B02-95DF-DDFF73D77077}"/>
              </c:ext>
            </c:extLst>
          </c:dPt>
          <c:dPt>
            <c:idx val="9"/>
            <c:bubble3D val="0"/>
            <c:extLst>
              <c:ext xmlns:c16="http://schemas.microsoft.com/office/drawing/2014/chart" uri="{C3380CC4-5D6E-409C-BE32-E72D297353CC}">
                <c16:uniqueId val="{0000000A-DD9A-4B02-95DF-DDFF73D77077}"/>
              </c:ext>
            </c:extLst>
          </c:dPt>
          <c:dPt>
            <c:idx val="10"/>
            <c:bubble3D val="0"/>
            <c:extLst>
              <c:ext xmlns:c16="http://schemas.microsoft.com/office/drawing/2014/chart" uri="{C3380CC4-5D6E-409C-BE32-E72D297353CC}">
                <c16:uniqueId val="{0000000B-DD9A-4B02-95DF-DDFF73D77077}"/>
              </c:ext>
            </c:extLst>
          </c:dPt>
          <c:cat>
            <c:strRef>
              <c:f>'2 graf'!$K$2:$AB$2</c:f>
              <c:strCache>
                <c:ptCount val="18"/>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2025 1.puse</c:v>
                </c:pt>
              </c:strCache>
            </c:strRef>
          </c:cat>
          <c:val>
            <c:numRef>
              <c:f>'2 graf'!$K$4:$AB$4</c:f>
              <c:numCache>
                <c:formatCode>0.0</c:formatCode>
                <c:ptCount val="18"/>
                <c:pt idx="0">
                  <c:v>7.7</c:v>
                </c:pt>
                <c:pt idx="1">
                  <c:v>17.5</c:v>
                </c:pt>
                <c:pt idx="2">
                  <c:v>19.5</c:v>
                </c:pt>
                <c:pt idx="3">
                  <c:v>16.2</c:v>
                </c:pt>
                <c:pt idx="4">
                  <c:v>15</c:v>
                </c:pt>
                <c:pt idx="5">
                  <c:v>11.9</c:v>
                </c:pt>
                <c:pt idx="6">
                  <c:v>10.8</c:v>
                </c:pt>
                <c:pt idx="7">
                  <c:v>9.9</c:v>
                </c:pt>
                <c:pt idx="8">
                  <c:v>9.6</c:v>
                </c:pt>
                <c:pt idx="9">
                  <c:v>8.6999999999999993</c:v>
                </c:pt>
                <c:pt idx="10">
                  <c:v>7.4</c:v>
                </c:pt>
                <c:pt idx="11">
                  <c:v>6.3</c:v>
                </c:pt>
                <c:pt idx="12">
                  <c:v>8.1</c:v>
                </c:pt>
                <c:pt idx="13">
                  <c:v>7.6</c:v>
                </c:pt>
                <c:pt idx="14">
                  <c:v>6.9</c:v>
                </c:pt>
                <c:pt idx="15">
                  <c:v>6.4</c:v>
                </c:pt>
                <c:pt idx="16">
                  <c:v>6.9</c:v>
                </c:pt>
                <c:pt idx="17">
                  <c:v>7</c:v>
                </c:pt>
              </c:numCache>
            </c:numRef>
          </c:val>
          <c:smooth val="1"/>
          <c:extLst>
            <c:ext xmlns:c16="http://schemas.microsoft.com/office/drawing/2014/chart" uri="{C3380CC4-5D6E-409C-BE32-E72D297353CC}">
              <c16:uniqueId val="{0000000C-DD9A-4B02-95DF-DDFF73D77077}"/>
            </c:ext>
          </c:extLst>
        </c:ser>
        <c:dLbls>
          <c:showLegendKey val="0"/>
          <c:showVal val="0"/>
          <c:showCatName val="0"/>
          <c:showSerName val="0"/>
          <c:showPercent val="0"/>
          <c:showBubbleSize val="0"/>
        </c:dLbls>
        <c:marker val="1"/>
        <c:smooth val="0"/>
        <c:axId val="387439344"/>
        <c:axId val="278229968"/>
      </c:lineChart>
      <c:catAx>
        <c:axId val="387439344"/>
        <c:scaling>
          <c:orientation val="minMax"/>
        </c:scaling>
        <c:delete val="0"/>
        <c:axPos val="b"/>
        <c:numFmt formatCode="General" sourceLinked="1"/>
        <c:majorTickMark val="out"/>
        <c:minorTickMark val="none"/>
        <c:tickLblPos val="low"/>
        <c:txPr>
          <a:bodyPr rot="-5400000" vert="horz"/>
          <a:lstStyle/>
          <a:p>
            <a:pPr>
              <a:defRPr sz="900"/>
            </a:pPr>
            <a:endParaRPr lang="lv-LV"/>
          </a:p>
        </c:txPr>
        <c:crossAx val="278229968"/>
        <c:crosses val="autoZero"/>
        <c:auto val="1"/>
        <c:lblAlgn val="ctr"/>
        <c:lblOffset val="100"/>
        <c:tickLblSkip val="1"/>
        <c:noMultiLvlLbl val="0"/>
      </c:catAx>
      <c:valAx>
        <c:axId val="278229968"/>
        <c:scaling>
          <c:orientation val="minMax"/>
          <c:min val="4"/>
        </c:scaling>
        <c:delete val="0"/>
        <c:axPos val="l"/>
        <c:majorGridlines/>
        <c:numFmt formatCode="0" sourceLinked="0"/>
        <c:majorTickMark val="out"/>
        <c:minorTickMark val="none"/>
        <c:tickLblPos val="nextTo"/>
        <c:txPr>
          <a:bodyPr/>
          <a:lstStyle/>
          <a:p>
            <a:pPr>
              <a:defRPr sz="900"/>
            </a:pPr>
            <a:endParaRPr lang="lv-LV"/>
          </a:p>
        </c:txPr>
        <c:crossAx val="387439344"/>
        <c:crosses val="autoZero"/>
        <c:crossBetween val="between"/>
      </c:valAx>
      <c:valAx>
        <c:axId val="393060176"/>
        <c:scaling>
          <c:orientation val="minMax"/>
          <c:min val="700"/>
        </c:scaling>
        <c:delete val="0"/>
        <c:axPos val="r"/>
        <c:numFmt formatCode="0" sourceLinked="0"/>
        <c:majorTickMark val="out"/>
        <c:minorTickMark val="none"/>
        <c:tickLblPos val="nextTo"/>
        <c:txPr>
          <a:bodyPr/>
          <a:lstStyle/>
          <a:p>
            <a:pPr>
              <a:defRPr sz="900"/>
            </a:pPr>
            <a:endParaRPr lang="lv-LV"/>
          </a:p>
        </c:txPr>
        <c:crossAx val="396118440"/>
        <c:crosses val="max"/>
        <c:crossBetween val="between"/>
      </c:valAx>
      <c:catAx>
        <c:axId val="396118440"/>
        <c:scaling>
          <c:orientation val="minMax"/>
        </c:scaling>
        <c:delete val="1"/>
        <c:axPos val="b"/>
        <c:numFmt formatCode="General" sourceLinked="1"/>
        <c:majorTickMark val="out"/>
        <c:minorTickMark val="none"/>
        <c:tickLblPos val="nextTo"/>
        <c:crossAx val="393060176"/>
        <c:crosses val="autoZero"/>
        <c:auto val="1"/>
        <c:lblAlgn val="ctr"/>
        <c:lblOffset val="100"/>
        <c:noMultiLvlLbl val="0"/>
      </c:catAx>
    </c:plotArea>
    <c:legend>
      <c:legendPos val="b"/>
      <c:layout>
        <c:manualLayout>
          <c:xMode val="edge"/>
          <c:yMode val="edge"/>
          <c:x val="5.2777777777777778E-2"/>
          <c:y val="0.88730238265671335"/>
          <c:w val="0.9"/>
          <c:h val="9.5156969015236709E-2"/>
        </c:manualLayout>
      </c:layout>
      <c:overlay val="0"/>
      <c:txPr>
        <a:bodyPr/>
        <a:lstStyle/>
        <a:p>
          <a:pPr>
            <a:defRPr sz="900"/>
          </a:pPr>
          <a:endParaRPr lang="lv-LV"/>
        </a:p>
      </c:txPr>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780088259971601"/>
          <c:y val="2.0690045533445701E-2"/>
          <c:w val="0.62917037243192986"/>
          <c:h val="0.8876895398631971"/>
        </c:manualLayout>
      </c:layout>
      <c:barChart>
        <c:barDir val="bar"/>
        <c:grouping val="stacked"/>
        <c:varyColors val="0"/>
        <c:ser>
          <c:idx val="1"/>
          <c:order val="0"/>
          <c:tx>
            <c:strRef>
              <c:f>'2020'!$D$1</c:f>
              <c:strCache>
                <c:ptCount val="1"/>
                <c:pt idx="0">
                  <c:v>2024 I puse</c:v>
                </c:pt>
              </c:strCache>
            </c:strRef>
          </c:tx>
          <c:spPr>
            <a:solidFill>
              <a:sysClr val="window" lastClr="FFFFFF">
                <a:lumMod val="65000"/>
                <a:alpha val="73000"/>
              </a:sysClr>
            </a:solidFill>
            <a:ln>
              <a:solidFill>
                <a:sysClr val="window" lastClr="FFFFFF">
                  <a:lumMod val="75000"/>
                </a:sysClr>
              </a:solidFill>
            </a:ln>
            <a:effectLst/>
          </c:spPr>
          <c:invertIfNegative val="0"/>
          <c:dPt>
            <c:idx val="7"/>
            <c:invertIfNegative val="0"/>
            <c:bubble3D val="0"/>
            <c:spPr>
              <a:solidFill>
                <a:sysClr val="window" lastClr="FFFFFF">
                  <a:lumMod val="65000"/>
                  <a:alpha val="73000"/>
                </a:sysClr>
              </a:solidFill>
              <a:ln>
                <a:solidFill>
                  <a:sysClr val="window" lastClr="FFFFFF">
                    <a:lumMod val="75000"/>
                  </a:sysClr>
                </a:solidFill>
              </a:ln>
              <a:effectLst/>
            </c:spPr>
            <c:extLst>
              <c:ext xmlns:c16="http://schemas.microsoft.com/office/drawing/2014/chart" uri="{C3380CC4-5D6E-409C-BE32-E72D297353CC}">
                <c16:uniqueId val="{00000001-EDDF-4D73-9D2A-492A0BAA6053}"/>
              </c:ext>
            </c:extLst>
          </c:dPt>
          <c:dPt>
            <c:idx val="8"/>
            <c:invertIfNegative val="0"/>
            <c:bubble3D val="0"/>
            <c:spPr>
              <a:solidFill>
                <a:sysClr val="window" lastClr="FFFFFF">
                  <a:lumMod val="50000"/>
                  <a:alpha val="72941"/>
                </a:sysClr>
              </a:solidFill>
              <a:ln>
                <a:solidFill>
                  <a:sysClr val="window" lastClr="FFFFFF">
                    <a:lumMod val="75000"/>
                  </a:sysClr>
                </a:solidFill>
              </a:ln>
              <a:effectLst/>
            </c:spPr>
            <c:extLst>
              <c:ext xmlns:c16="http://schemas.microsoft.com/office/drawing/2014/chart" uri="{C3380CC4-5D6E-409C-BE32-E72D297353CC}">
                <c16:uniqueId val="{00000003-EDDF-4D73-9D2A-492A0BAA6053}"/>
              </c:ext>
            </c:extLst>
          </c:dPt>
          <c:dPt>
            <c:idx val="9"/>
            <c:invertIfNegative val="0"/>
            <c:bubble3D val="0"/>
            <c:spPr>
              <a:solidFill>
                <a:sysClr val="window" lastClr="FFFFFF">
                  <a:lumMod val="65000"/>
                  <a:alpha val="73000"/>
                </a:sysClr>
              </a:solidFill>
              <a:ln>
                <a:solidFill>
                  <a:sysClr val="window" lastClr="FFFFFF">
                    <a:lumMod val="75000"/>
                  </a:sysClr>
                </a:solidFill>
              </a:ln>
              <a:effectLst/>
            </c:spPr>
            <c:extLst>
              <c:ext xmlns:c16="http://schemas.microsoft.com/office/drawing/2014/chart" uri="{C3380CC4-5D6E-409C-BE32-E72D297353CC}">
                <c16:uniqueId val="{00000005-EDDF-4D73-9D2A-492A0BAA6053}"/>
              </c:ext>
            </c:extLst>
          </c:dPt>
          <c:cat>
            <c:strRef>
              <c:f>'2020'!$C$5:$C$24</c:f>
              <c:strCache>
                <c:ptCount val="20"/>
                <c:pt idx="0">
                  <c:v>Finanšu pak</c:v>
                </c:pt>
                <c:pt idx="1">
                  <c:v>Informācijas pak</c:v>
                </c:pt>
                <c:pt idx="2">
                  <c:v>Enerģētika</c:v>
                </c:pt>
                <c:pt idx="3">
                  <c:v>Profesionālie pak</c:v>
                </c:pt>
                <c:pt idx="4">
                  <c:v>Valsts pārvalde</c:v>
                </c:pt>
                <c:pt idx="5">
                  <c:v>Ieguves rūpniecība</c:v>
                </c:pt>
                <c:pt idx="6">
                  <c:v>Ūdens apgāde</c:v>
                </c:pt>
                <c:pt idx="7">
                  <c:v>Veselība</c:v>
                </c:pt>
                <c:pt idx="8">
                  <c:v>PAVISAM</c:v>
                </c:pt>
                <c:pt idx="9">
                  <c:v>Transports</c:v>
                </c:pt>
                <c:pt idx="10">
                  <c:v>Lauksaimn, mežsaimn</c:v>
                </c:pt>
                <c:pt idx="11">
                  <c:v>Būvniecība</c:v>
                </c:pt>
                <c:pt idx="12">
                  <c:v>Citi pakalpojumi</c:v>
                </c:pt>
                <c:pt idx="13">
                  <c:v>Apstrādes rūpniecība</c:v>
                </c:pt>
                <c:pt idx="14">
                  <c:v>Administratīvie pak</c:v>
                </c:pt>
                <c:pt idx="15">
                  <c:v>Tirdzniecība</c:v>
                </c:pt>
                <c:pt idx="16">
                  <c:v>Nekustamais īpašums</c:v>
                </c:pt>
                <c:pt idx="17">
                  <c:v>Izglītība</c:v>
                </c:pt>
                <c:pt idx="18">
                  <c:v>Māksla, izklaide</c:v>
                </c:pt>
                <c:pt idx="19">
                  <c:v>Izmitināšana, ēdināšana</c:v>
                </c:pt>
              </c:strCache>
            </c:strRef>
          </c:cat>
          <c:val>
            <c:numRef>
              <c:f>'2020'!$D$5:$D$24</c:f>
              <c:numCache>
                <c:formatCode>0</c:formatCode>
                <c:ptCount val="20"/>
                <c:pt idx="0">
                  <c:v>2906.5</c:v>
                </c:pt>
                <c:pt idx="1">
                  <c:v>2674.5</c:v>
                </c:pt>
                <c:pt idx="2">
                  <c:v>2153.5</c:v>
                </c:pt>
                <c:pt idx="3">
                  <c:v>2099</c:v>
                </c:pt>
                <c:pt idx="4">
                  <c:v>1921</c:v>
                </c:pt>
                <c:pt idx="5">
                  <c:v>1755</c:v>
                </c:pt>
                <c:pt idx="6">
                  <c:v>1668.5</c:v>
                </c:pt>
                <c:pt idx="7">
                  <c:v>1717</c:v>
                </c:pt>
                <c:pt idx="8">
                  <c:v>1647</c:v>
                </c:pt>
                <c:pt idx="9">
                  <c:v>1587.5</c:v>
                </c:pt>
                <c:pt idx="10">
                  <c:v>1587</c:v>
                </c:pt>
                <c:pt idx="11">
                  <c:v>1520.5</c:v>
                </c:pt>
                <c:pt idx="12">
                  <c:v>1370</c:v>
                </c:pt>
                <c:pt idx="13">
                  <c:v>1533</c:v>
                </c:pt>
                <c:pt idx="14">
                  <c:v>1443.5</c:v>
                </c:pt>
                <c:pt idx="15">
                  <c:v>1468.5</c:v>
                </c:pt>
                <c:pt idx="16">
                  <c:v>1335.5</c:v>
                </c:pt>
                <c:pt idx="17">
                  <c:v>1431</c:v>
                </c:pt>
                <c:pt idx="18">
                  <c:v>1377</c:v>
                </c:pt>
                <c:pt idx="19">
                  <c:v>1081.5</c:v>
                </c:pt>
              </c:numCache>
            </c:numRef>
          </c:val>
          <c:extLst>
            <c:ext xmlns:c16="http://schemas.microsoft.com/office/drawing/2014/chart" uri="{C3380CC4-5D6E-409C-BE32-E72D297353CC}">
              <c16:uniqueId val="{00000006-EDDF-4D73-9D2A-492A0BAA6053}"/>
            </c:ext>
          </c:extLst>
        </c:ser>
        <c:ser>
          <c:idx val="0"/>
          <c:order val="1"/>
          <c:tx>
            <c:strRef>
              <c:f>'2020'!$E$1</c:f>
              <c:strCache>
                <c:ptCount val="1"/>
                <c:pt idx="0">
                  <c:v>+2025 I puse</c:v>
                </c:pt>
              </c:strCache>
            </c:strRef>
          </c:tx>
          <c:spPr>
            <a:solidFill>
              <a:srgbClr val="9BBB59">
                <a:lumMod val="75000"/>
              </a:srgbClr>
            </a:solidFill>
            <a:ln>
              <a:solidFill>
                <a:srgbClr val="9BBB59">
                  <a:lumMod val="75000"/>
                </a:srgbClr>
              </a:solidFill>
            </a:ln>
            <a:effectLst/>
          </c:spPr>
          <c:invertIfNegative val="0"/>
          <c:dPt>
            <c:idx val="6"/>
            <c:invertIfNegative val="0"/>
            <c:bubble3D val="0"/>
            <c:spPr>
              <a:solidFill>
                <a:srgbClr val="70AD47"/>
              </a:solidFill>
              <a:ln>
                <a:solidFill>
                  <a:srgbClr val="70AD47"/>
                </a:solidFill>
              </a:ln>
              <a:effectLst/>
            </c:spPr>
            <c:extLst>
              <c:ext xmlns:c16="http://schemas.microsoft.com/office/drawing/2014/chart" uri="{C3380CC4-5D6E-409C-BE32-E72D297353CC}">
                <c16:uniqueId val="{00000008-EDDF-4D73-9D2A-492A0BAA6053}"/>
              </c:ext>
            </c:extLst>
          </c:dPt>
          <c:dPt>
            <c:idx val="8"/>
            <c:invertIfNegative val="0"/>
            <c:bubble3D val="0"/>
            <c:spPr>
              <a:solidFill>
                <a:srgbClr val="FF2D2D"/>
              </a:solidFill>
              <a:ln>
                <a:solidFill>
                  <a:srgbClr val="EA0000"/>
                </a:solidFill>
              </a:ln>
              <a:effectLst/>
            </c:spPr>
            <c:extLst>
              <c:ext xmlns:c16="http://schemas.microsoft.com/office/drawing/2014/chart" uri="{C3380CC4-5D6E-409C-BE32-E72D297353CC}">
                <c16:uniqueId val="{0000000A-EDDF-4D73-9D2A-492A0BAA6053}"/>
              </c:ext>
            </c:extLst>
          </c:dPt>
          <c:cat>
            <c:strRef>
              <c:f>'2020'!$C$5:$C$24</c:f>
              <c:strCache>
                <c:ptCount val="20"/>
                <c:pt idx="0">
                  <c:v>Finanšu pak</c:v>
                </c:pt>
                <c:pt idx="1">
                  <c:v>Informācijas pak</c:v>
                </c:pt>
                <c:pt idx="2">
                  <c:v>Enerģētika</c:v>
                </c:pt>
                <c:pt idx="3">
                  <c:v>Profesionālie pak</c:v>
                </c:pt>
                <c:pt idx="4">
                  <c:v>Valsts pārvalde</c:v>
                </c:pt>
                <c:pt idx="5">
                  <c:v>Ieguves rūpniecība</c:v>
                </c:pt>
                <c:pt idx="6">
                  <c:v>Ūdens apgāde</c:v>
                </c:pt>
                <c:pt idx="7">
                  <c:v>Veselība</c:v>
                </c:pt>
                <c:pt idx="8">
                  <c:v>PAVISAM</c:v>
                </c:pt>
                <c:pt idx="9">
                  <c:v>Transports</c:v>
                </c:pt>
                <c:pt idx="10">
                  <c:v>Lauksaimn, mežsaimn</c:v>
                </c:pt>
                <c:pt idx="11">
                  <c:v>Būvniecība</c:v>
                </c:pt>
                <c:pt idx="12">
                  <c:v>Citi pakalpojumi</c:v>
                </c:pt>
                <c:pt idx="13">
                  <c:v>Apstrādes rūpniecība</c:v>
                </c:pt>
                <c:pt idx="14">
                  <c:v>Administratīvie pak</c:v>
                </c:pt>
                <c:pt idx="15">
                  <c:v>Tirdzniecība</c:v>
                </c:pt>
                <c:pt idx="16">
                  <c:v>Nekustamais īpašums</c:v>
                </c:pt>
                <c:pt idx="17">
                  <c:v>Izglītība</c:v>
                </c:pt>
                <c:pt idx="18">
                  <c:v>Māksla, izklaide</c:v>
                </c:pt>
                <c:pt idx="19">
                  <c:v>Izmitināšana, ēdināšana</c:v>
                </c:pt>
              </c:strCache>
            </c:strRef>
          </c:cat>
          <c:val>
            <c:numRef>
              <c:f>'2020'!$E$5:$E$24</c:f>
              <c:numCache>
                <c:formatCode>0</c:formatCode>
                <c:ptCount val="20"/>
                <c:pt idx="0">
                  <c:v>230.5</c:v>
                </c:pt>
                <c:pt idx="1">
                  <c:v>132</c:v>
                </c:pt>
                <c:pt idx="2">
                  <c:v>236</c:v>
                </c:pt>
                <c:pt idx="3">
                  <c:v>188.5</c:v>
                </c:pt>
                <c:pt idx="4">
                  <c:v>129.5</c:v>
                </c:pt>
                <c:pt idx="5">
                  <c:v>130.5</c:v>
                </c:pt>
                <c:pt idx="6">
                  <c:v>150</c:v>
                </c:pt>
                <c:pt idx="7">
                  <c:v>86</c:v>
                </c:pt>
                <c:pt idx="8">
                  <c:v>135.5</c:v>
                </c:pt>
                <c:pt idx="9">
                  <c:v>160</c:v>
                </c:pt>
                <c:pt idx="10">
                  <c:v>128</c:v>
                </c:pt>
                <c:pt idx="11">
                  <c:v>158.5</c:v>
                </c:pt>
                <c:pt idx="12">
                  <c:v>309</c:v>
                </c:pt>
                <c:pt idx="13">
                  <c:v>129.5</c:v>
                </c:pt>
                <c:pt idx="14">
                  <c:v>167.5</c:v>
                </c:pt>
                <c:pt idx="15">
                  <c:v>95</c:v>
                </c:pt>
                <c:pt idx="16">
                  <c:v>204.5</c:v>
                </c:pt>
                <c:pt idx="17">
                  <c:v>100.5</c:v>
                </c:pt>
                <c:pt idx="18">
                  <c:v>106</c:v>
                </c:pt>
                <c:pt idx="19">
                  <c:v>111</c:v>
                </c:pt>
              </c:numCache>
            </c:numRef>
          </c:val>
          <c:extLst>
            <c:ext xmlns:c16="http://schemas.microsoft.com/office/drawing/2014/chart" uri="{C3380CC4-5D6E-409C-BE32-E72D297353CC}">
              <c16:uniqueId val="{0000000B-EDDF-4D73-9D2A-492A0BAA6053}"/>
            </c:ext>
          </c:extLst>
        </c:ser>
        <c:ser>
          <c:idx val="2"/>
          <c:order val="2"/>
          <c:tx>
            <c:strRef>
              <c:f>'2020'!$F$1</c:f>
              <c:strCache>
                <c:ptCount val="1"/>
                <c:pt idx="0">
                  <c:v>Izmaiņas pret 2023.gadu, %, labā ass</c:v>
                </c:pt>
              </c:strCache>
            </c:strRef>
          </c:tx>
          <c:spPr>
            <a:solidFill>
              <a:schemeClr val="accent3"/>
            </a:solidFill>
            <a:ln>
              <a:noFill/>
            </a:ln>
            <a:effectLst/>
          </c:spPr>
          <c:invertIfNegative val="0"/>
          <c:dLbls>
            <c:dLbl>
              <c:idx val="6"/>
              <c:layout>
                <c:manualLayout>
                  <c:x val="4.5848796308248257E-2"/>
                  <c:y val="1.9616382023828778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DDF-4D73-9D2A-492A0BAA6053}"/>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'2020'!$C$5:$C$24</c:f>
              <c:strCache>
                <c:ptCount val="20"/>
                <c:pt idx="0">
                  <c:v>Finanšu pak</c:v>
                </c:pt>
                <c:pt idx="1">
                  <c:v>Informācijas pak</c:v>
                </c:pt>
                <c:pt idx="2">
                  <c:v>Enerģētika</c:v>
                </c:pt>
                <c:pt idx="3">
                  <c:v>Profesionālie pak</c:v>
                </c:pt>
                <c:pt idx="4">
                  <c:v>Valsts pārvalde</c:v>
                </c:pt>
                <c:pt idx="5">
                  <c:v>Ieguves rūpniecība</c:v>
                </c:pt>
                <c:pt idx="6">
                  <c:v>Ūdens apgāde</c:v>
                </c:pt>
                <c:pt idx="7">
                  <c:v>Veselība</c:v>
                </c:pt>
                <c:pt idx="8">
                  <c:v>PAVISAM</c:v>
                </c:pt>
                <c:pt idx="9">
                  <c:v>Transports</c:v>
                </c:pt>
                <c:pt idx="10">
                  <c:v>Lauksaimn, mežsaimn</c:v>
                </c:pt>
                <c:pt idx="11">
                  <c:v>Būvniecība</c:v>
                </c:pt>
                <c:pt idx="12">
                  <c:v>Citi pakalpojumi</c:v>
                </c:pt>
                <c:pt idx="13">
                  <c:v>Apstrādes rūpniecība</c:v>
                </c:pt>
                <c:pt idx="14">
                  <c:v>Administratīvie pak</c:v>
                </c:pt>
                <c:pt idx="15">
                  <c:v>Tirdzniecība</c:v>
                </c:pt>
                <c:pt idx="16">
                  <c:v>Nekustamais īpašums</c:v>
                </c:pt>
                <c:pt idx="17">
                  <c:v>Izglītība</c:v>
                </c:pt>
                <c:pt idx="18">
                  <c:v>Māksla, izklaide</c:v>
                </c:pt>
                <c:pt idx="19">
                  <c:v>Izmitināšana, ēdināšana</c:v>
                </c:pt>
              </c:strCache>
            </c:strRef>
          </c:cat>
          <c:val>
            <c:numRef>
              <c:f>'2020'!$F$5:$F$24</c:f>
              <c:numCache>
                <c:formatCode>0.0%</c:formatCode>
                <c:ptCount val="20"/>
                <c:pt idx="0">
                  <c:v>7.9305006020987445E-2</c:v>
                </c:pt>
                <c:pt idx="1">
                  <c:v>4.9355019629837349E-2</c:v>
                </c:pt>
                <c:pt idx="2">
                  <c:v>0.1095890410958904</c:v>
                </c:pt>
                <c:pt idx="3">
                  <c:v>8.9804668889947648E-2</c:v>
                </c:pt>
                <c:pt idx="4">
                  <c:v>6.741280583029674E-2</c:v>
                </c:pt>
                <c:pt idx="5">
                  <c:v>7.4358974358974317E-2</c:v>
                </c:pt>
                <c:pt idx="6">
                  <c:v>8.9901108780341632E-2</c:v>
                </c:pt>
                <c:pt idx="7">
                  <c:v>5.0087361677344289E-2</c:v>
                </c:pt>
                <c:pt idx="8">
                  <c:v>8.2270795385549489E-2</c:v>
                </c:pt>
                <c:pt idx="9">
                  <c:v>0.10078740157480315</c:v>
                </c:pt>
                <c:pt idx="10">
                  <c:v>8.0655324511657245E-2</c:v>
                </c:pt>
                <c:pt idx="11">
                  <c:v>0.10424202564945739</c:v>
                </c:pt>
                <c:pt idx="12">
                  <c:v>0.22554744525547443</c:v>
                </c:pt>
                <c:pt idx="13">
                  <c:v>8.4474885844748826E-2</c:v>
                </c:pt>
                <c:pt idx="14">
                  <c:v>0.11603740907516458</c:v>
                </c:pt>
                <c:pt idx="15">
                  <c:v>6.4691862444671511E-2</c:v>
                </c:pt>
                <c:pt idx="16">
                  <c:v>0.15312616997379269</c:v>
                </c:pt>
                <c:pt idx="17">
                  <c:v>7.023060796645697E-2</c:v>
                </c:pt>
                <c:pt idx="18">
                  <c:v>7.6978939724037687E-2</c:v>
                </c:pt>
                <c:pt idx="19">
                  <c:v>0.10263522884882104</c:v>
                </c:pt>
              </c:numCache>
            </c:numRef>
          </c:val>
          <c:extLst>
            <c:ext xmlns:c16="http://schemas.microsoft.com/office/drawing/2014/chart" uri="{C3380CC4-5D6E-409C-BE32-E72D297353CC}">
              <c16:uniqueId val="{0000000D-EDDF-4D73-9D2A-492A0BAA6053}"/>
            </c:ext>
          </c:extLst>
        </c:ser>
        <c:dLbls>
          <c:showLegendKey val="0"/>
          <c:showVal val="0"/>
          <c:showCatName val="0"/>
          <c:showSerName val="0"/>
          <c:showPercent val="0"/>
          <c:showBubbleSize val="0"/>
        </c:dLbls>
        <c:gapWidth val="50"/>
        <c:overlap val="100"/>
        <c:axId val="395291424"/>
        <c:axId val="395291816"/>
      </c:barChart>
      <c:catAx>
        <c:axId val="395291424"/>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95291816"/>
        <c:crossesAt val="0"/>
        <c:auto val="1"/>
        <c:lblAlgn val="ctr"/>
        <c:lblOffset val="100"/>
        <c:noMultiLvlLbl val="0"/>
      </c:catAx>
      <c:valAx>
        <c:axId val="395291816"/>
        <c:scaling>
          <c:orientation val="minMax"/>
          <c:max val="2950"/>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95291424"/>
        <c:crosses val="autoZero"/>
        <c:crossBetween val="between"/>
        <c:majorUnit val="500"/>
      </c:valAx>
      <c:spPr>
        <a:noFill/>
        <a:ln>
          <a:noFill/>
        </a:ln>
        <a:effectLst/>
      </c:spPr>
    </c:plotArea>
    <c:legend>
      <c:legendPos val="b"/>
      <c:legendEntry>
        <c:idx val="2"/>
        <c:delete val="1"/>
      </c:legendEntry>
      <c:layout>
        <c:manualLayout>
          <c:xMode val="edge"/>
          <c:yMode val="edge"/>
          <c:x val="0.25933224151284368"/>
          <c:y val="0.95807331818948638"/>
          <c:w val="0.62981537207951466"/>
          <c:h val="4.192669634548783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1000">
          <a:solidFill>
            <a:schemeClr val="tx1"/>
          </a:solidFill>
          <a:latin typeface="Verdana" panose="020B0604030504040204" pitchFamily="34"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96020139055383"/>
          <c:y val="2.8391359290119975E-2"/>
          <c:w val="0.81636740456591816"/>
          <c:h val="0.76756715454236346"/>
        </c:manualLayout>
      </c:layout>
      <c:barChart>
        <c:barDir val="col"/>
        <c:grouping val="clustered"/>
        <c:varyColors val="0"/>
        <c:ser>
          <c:idx val="1"/>
          <c:order val="0"/>
          <c:tx>
            <c:strRef>
              <c:f>Sheet1!$B$6</c:f>
              <c:strCache>
                <c:ptCount val="1"/>
                <c:pt idx="0">
                  <c:v>milj. eiro</c:v>
                </c:pt>
              </c:strCache>
            </c:strRef>
          </c:tx>
          <c:spPr>
            <a:solidFill>
              <a:sysClr val="window" lastClr="FFFFFF">
                <a:lumMod val="65000"/>
              </a:sysClr>
            </a:solidFill>
            <a:ln>
              <a:noFill/>
            </a:ln>
            <a:effectLst/>
          </c:spPr>
          <c:invertIfNegative val="0"/>
          <c:cat>
            <c:numRef>
              <c:f>Sheet1!$P$4:$DZ$4</c:f>
              <c:numCache>
                <c:formatCode>General</c:formatCode>
                <c:ptCount val="115"/>
                <c:pt idx="0">
                  <c:v>2016</c:v>
                </c:pt>
                <c:pt idx="12">
                  <c:v>2017</c:v>
                </c:pt>
                <c:pt idx="24">
                  <c:v>2018</c:v>
                </c:pt>
                <c:pt idx="36">
                  <c:v>2019</c:v>
                </c:pt>
                <c:pt idx="48">
                  <c:v>2020</c:v>
                </c:pt>
                <c:pt idx="60">
                  <c:v>2021</c:v>
                </c:pt>
                <c:pt idx="72">
                  <c:v>2022</c:v>
                </c:pt>
                <c:pt idx="84">
                  <c:v>2023</c:v>
                </c:pt>
                <c:pt idx="96">
                  <c:v>2024</c:v>
                </c:pt>
                <c:pt idx="108">
                  <c:v>2025</c:v>
                </c:pt>
              </c:numCache>
            </c:numRef>
          </c:cat>
          <c:val>
            <c:numRef>
              <c:f>Sheet1!$P$6:$DZ$6</c:f>
              <c:numCache>
                <c:formatCode>General</c:formatCode>
                <c:ptCount val="115"/>
                <c:pt idx="0">
                  <c:v>5371.6</c:v>
                </c:pt>
                <c:pt idx="1">
                  <c:v>5414.6</c:v>
                </c:pt>
                <c:pt idx="2">
                  <c:v>5399.9</c:v>
                </c:pt>
                <c:pt idx="3">
                  <c:v>5467.5</c:v>
                </c:pt>
                <c:pt idx="4">
                  <c:v>5490.4</c:v>
                </c:pt>
                <c:pt idx="5">
                  <c:v>5587</c:v>
                </c:pt>
                <c:pt idx="6">
                  <c:v>5597.9</c:v>
                </c:pt>
                <c:pt idx="7">
                  <c:v>5580</c:v>
                </c:pt>
                <c:pt idx="8">
                  <c:v>5580.2</c:v>
                </c:pt>
                <c:pt idx="9">
                  <c:v>5622.5</c:v>
                </c:pt>
                <c:pt idx="10">
                  <c:v>5706.8</c:v>
                </c:pt>
                <c:pt idx="11">
                  <c:v>5877.9</c:v>
                </c:pt>
                <c:pt idx="12">
                  <c:v>5839.8</c:v>
                </c:pt>
                <c:pt idx="13">
                  <c:v>5876.7</c:v>
                </c:pt>
                <c:pt idx="14">
                  <c:v>5885.6</c:v>
                </c:pt>
                <c:pt idx="15">
                  <c:v>5947.7</c:v>
                </c:pt>
                <c:pt idx="16">
                  <c:v>5921.5</c:v>
                </c:pt>
                <c:pt idx="17">
                  <c:v>6007.5</c:v>
                </c:pt>
                <c:pt idx="18">
                  <c:v>5985</c:v>
                </c:pt>
                <c:pt idx="19">
                  <c:v>5961.6</c:v>
                </c:pt>
                <c:pt idx="20">
                  <c:v>6053.1</c:v>
                </c:pt>
                <c:pt idx="21">
                  <c:v>6098.9</c:v>
                </c:pt>
                <c:pt idx="22">
                  <c:v>6160.8</c:v>
                </c:pt>
                <c:pt idx="23">
                  <c:v>6357.2</c:v>
                </c:pt>
                <c:pt idx="24">
                  <c:v>6306.6</c:v>
                </c:pt>
                <c:pt idx="25">
                  <c:v>6311.9</c:v>
                </c:pt>
                <c:pt idx="26">
                  <c:v>6339.8</c:v>
                </c:pt>
                <c:pt idx="27">
                  <c:v>6402</c:v>
                </c:pt>
                <c:pt idx="28">
                  <c:v>6399.7</c:v>
                </c:pt>
                <c:pt idx="29">
                  <c:v>6522.8</c:v>
                </c:pt>
                <c:pt idx="30">
                  <c:v>6533.6</c:v>
                </c:pt>
                <c:pt idx="31">
                  <c:v>6544.3</c:v>
                </c:pt>
                <c:pt idx="32">
                  <c:v>6581.7</c:v>
                </c:pt>
                <c:pt idx="33">
                  <c:v>6659.6</c:v>
                </c:pt>
                <c:pt idx="34">
                  <c:v>6731.9</c:v>
                </c:pt>
                <c:pt idx="35">
                  <c:v>6925.7</c:v>
                </c:pt>
                <c:pt idx="36">
                  <c:v>6900.8</c:v>
                </c:pt>
                <c:pt idx="37">
                  <c:v>6950.8</c:v>
                </c:pt>
                <c:pt idx="38">
                  <c:v>6959.3</c:v>
                </c:pt>
                <c:pt idx="39">
                  <c:v>6975.9</c:v>
                </c:pt>
                <c:pt idx="40">
                  <c:v>7022.2</c:v>
                </c:pt>
                <c:pt idx="41">
                  <c:v>7089.1</c:v>
                </c:pt>
                <c:pt idx="42">
                  <c:v>7093.3</c:v>
                </c:pt>
                <c:pt idx="43">
                  <c:v>7232.5</c:v>
                </c:pt>
                <c:pt idx="44">
                  <c:v>7090.9</c:v>
                </c:pt>
                <c:pt idx="45">
                  <c:v>7158.3</c:v>
                </c:pt>
                <c:pt idx="46">
                  <c:v>7233.5</c:v>
                </c:pt>
                <c:pt idx="47">
                  <c:v>7442.3</c:v>
                </c:pt>
                <c:pt idx="48">
                  <c:v>7415</c:v>
                </c:pt>
                <c:pt idx="49">
                  <c:v>7463.9</c:v>
                </c:pt>
                <c:pt idx="50">
                  <c:v>7534.1</c:v>
                </c:pt>
                <c:pt idx="51">
                  <c:v>7718.1</c:v>
                </c:pt>
                <c:pt idx="52">
                  <c:v>7739.4</c:v>
                </c:pt>
                <c:pt idx="53">
                  <c:v>7799.4</c:v>
                </c:pt>
                <c:pt idx="54">
                  <c:v>7805.3</c:v>
                </c:pt>
                <c:pt idx="55">
                  <c:v>7842.4</c:v>
                </c:pt>
                <c:pt idx="56">
                  <c:v>7921.3</c:v>
                </c:pt>
                <c:pt idx="57">
                  <c:v>8028.7</c:v>
                </c:pt>
                <c:pt idx="58">
                  <c:v>8117.3</c:v>
                </c:pt>
                <c:pt idx="59">
                  <c:v>8395.2999999999993</c:v>
                </c:pt>
                <c:pt idx="60">
                  <c:v>8452.2999999999993</c:v>
                </c:pt>
                <c:pt idx="61">
                  <c:v>8573.5</c:v>
                </c:pt>
                <c:pt idx="62">
                  <c:v>8845.2999999999993</c:v>
                </c:pt>
                <c:pt idx="63">
                  <c:v>8998.7999999999993</c:v>
                </c:pt>
                <c:pt idx="64">
                  <c:v>9019.7999999999993</c:v>
                </c:pt>
                <c:pt idx="65">
                  <c:v>9161.5</c:v>
                </c:pt>
                <c:pt idx="66">
                  <c:v>9184.9</c:v>
                </c:pt>
                <c:pt idx="67">
                  <c:v>9176.7999999999993</c:v>
                </c:pt>
                <c:pt idx="68">
                  <c:v>9222.5</c:v>
                </c:pt>
                <c:pt idx="69">
                  <c:v>9297.2999999999993</c:v>
                </c:pt>
                <c:pt idx="70">
                  <c:v>9389.5</c:v>
                </c:pt>
                <c:pt idx="71">
                  <c:v>9670.5</c:v>
                </c:pt>
                <c:pt idx="72">
                  <c:v>9626.2000000000007</c:v>
                </c:pt>
                <c:pt idx="73">
                  <c:v>9722.9</c:v>
                </c:pt>
                <c:pt idx="74">
                  <c:v>9724.9</c:v>
                </c:pt>
                <c:pt idx="75">
                  <c:v>9792.7000000000007</c:v>
                </c:pt>
                <c:pt idx="76">
                  <c:v>9755.2999999999993</c:v>
                </c:pt>
                <c:pt idx="77">
                  <c:v>9858.1</c:v>
                </c:pt>
                <c:pt idx="78">
                  <c:v>9833.9</c:v>
                </c:pt>
                <c:pt idx="79">
                  <c:v>9793.4</c:v>
                </c:pt>
                <c:pt idx="80">
                  <c:v>9902.9</c:v>
                </c:pt>
                <c:pt idx="81">
                  <c:v>9933.5</c:v>
                </c:pt>
                <c:pt idx="82">
                  <c:v>9929.4</c:v>
                </c:pt>
                <c:pt idx="83">
                  <c:v>10171.9</c:v>
                </c:pt>
                <c:pt idx="84">
                  <c:v>10039.4</c:v>
                </c:pt>
                <c:pt idx="85">
                  <c:v>10048.4</c:v>
                </c:pt>
                <c:pt idx="86">
                  <c:v>10043.200000000001</c:v>
                </c:pt>
                <c:pt idx="87">
                  <c:v>10004.5</c:v>
                </c:pt>
                <c:pt idx="88">
                  <c:v>9956.6</c:v>
                </c:pt>
                <c:pt idx="89">
                  <c:v>10033.200000000001</c:v>
                </c:pt>
                <c:pt idx="90">
                  <c:v>9915</c:v>
                </c:pt>
                <c:pt idx="91">
                  <c:v>9837.5</c:v>
                </c:pt>
                <c:pt idx="92">
                  <c:v>9854.9</c:v>
                </c:pt>
                <c:pt idx="93">
                  <c:v>9816.6</c:v>
                </c:pt>
                <c:pt idx="94">
                  <c:v>9840.1</c:v>
                </c:pt>
                <c:pt idx="95">
                  <c:v>10070.1</c:v>
                </c:pt>
                <c:pt idx="96">
                  <c:v>10039.200000000001</c:v>
                </c:pt>
                <c:pt idx="97">
                  <c:v>10068.6</c:v>
                </c:pt>
                <c:pt idx="98">
                  <c:v>10137.9</c:v>
                </c:pt>
                <c:pt idx="99">
                  <c:v>10229.200000000001</c:v>
                </c:pt>
                <c:pt idx="100">
                  <c:v>10274.700000000001</c:v>
                </c:pt>
                <c:pt idx="101">
                  <c:v>10417.700000000001</c:v>
                </c:pt>
                <c:pt idx="102">
                  <c:v>10423.1</c:v>
                </c:pt>
                <c:pt idx="103">
                  <c:v>10410.6</c:v>
                </c:pt>
                <c:pt idx="104">
                  <c:v>10417.4</c:v>
                </c:pt>
                <c:pt idx="105">
                  <c:v>10491.6</c:v>
                </c:pt>
                <c:pt idx="106">
                  <c:v>10597.9</c:v>
                </c:pt>
                <c:pt idx="107">
                  <c:v>10977.8</c:v>
                </c:pt>
                <c:pt idx="108">
                  <c:v>10948.7</c:v>
                </c:pt>
                <c:pt idx="109">
                  <c:v>11023.1</c:v>
                </c:pt>
                <c:pt idx="110">
                  <c:v>11065.4</c:v>
                </c:pt>
                <c:pt idx="111">
                  <c:v>11223.7</c:v>
                </c:pt>
                <c:pt idx="112">
                  <c:v>11282.6</c:v>
                </c:pt>
                <c:pt idx="113">
                  <c:v>11397.6</c:v>
                </c:pt>
                <c:pt idx="114">
                  <c:v>11430.5</c:v>
                </c:pt>
              </c:numCache>
            </c:numRef>
          </c:val>
          <c:extLst>
            <c:ext xmlns:c16="http://schemas.microsoft.com/office/drawing/2014/chart" uri="{C3380CC4-5D6E-409C-BE32-E72D297353CC}">
              <c16:uniqueId val="{00000000-148F-4F95-9A8E-2F9DCD9A4921}"/>
            </c:ext>
          </c:extLst>
        </c:ser>
        <c:dLbls>
          <c:showLegendKey val="0"/>
          <c:showVal val="0"/>
          <c:showCatName val="0"/>
          <c:showSerName val="0"/>
          <c:showPercent val="0"/>
          <c:showBubbleSize val="0"/>
        </c:dLbls>
        <c:gapWidth val="0"/>
        <c:axId val="546921120"/>
        <c:axId val="546915872"/>
      </c:barChart>
      <c:lineChart>
        <c:grouping val="standard"/>
        <c:varyColors val="0"/>
        <c:ser>
          <c:idx val="3"/>
          <c:order val="1"/>
          <c:tx>
            <c:strRef>
              <c:f>Sheet1!$B$7</c:f>
              <c:strCache>
                <c:ptCount val="1"/>
                <c:pt idx="0">
                  <c:v>izmaiņas pret iepriekšējā gada attiecīgo mēnesi, % (labā ass)</c:v>
                </c:pt>
              </c:strCache>
            </c:strRef>
          </c:tx>
          <c:spPr>
            <a:ln w="22225" cap="rnd">
              <a:solidFill>
                <a:srgbClr val="C00000"/>
              </a:solidFill>
              <a:prstDash val="sysDash"/>
              <a:round/>
            </a:ln>
            <a:effectLst/>
          </c:spPr>
          <c:marker>
            <c:symbol val="none"/>
          </c:marker>
          <c:cat>
            <c:numRef>
              <c:f>Sheet1!$P$4:$DZ$4</c:f>
              <c:numCache>
                <c:formatCode>General</c:formatCode>
                <c:ptCount val="115"/>
                <c:pt idx="0">
                  <c:v>2016</c:v>
                </c:pt>
                <c:pt idx="12">
                  <c:v>2017</c:v>
                </c:pt>
                <c:pt idx="24">
                  <c:v>2018</c:v>
                </c:pt>
                <c:pt idx="36">
                  <c:v>2019</c:v>
                </c:pt>
                <c:pt idx="48">
                  <c:v>2020</c:v>
                </c:pt>
                <c:pt idx="60">
                  <c:v>2021</c:v>
                </c:pt>
                <c:pt idx="72">
                  <c:v>2022</c:v>
                </c:pt>
                <c:pt idx="84">
                  <c:v>2023</c:v>
                </c:pt>
                <c:pt idx="96">
                  <c:v>2024</c:v>
                </c:pt>
                <c:pt idx="108">
                  <c:v>2025</c:v>
                </c:pt>
              </c:numCache>
            </c:numRef>
          </c:cat>
          <c:val>
            <c:numRef>
              <c:f>Sheet1!$P$7:$DZ$7</c:f>
              <c:numCache>
                <c:formatCode>General</c:formatCode>
                <c:ptCount val="115"/>
                <c:pt idx="0">
                  <c:v>6.059588919383188</c:v>
                </c:pt>
                <c:pt idx="1">
                  <c:v>6.4671529976208006</c:v>
                </c:pt>
                <c:pt idx="2">
                  <c:v>5.8803921568627402</c:v>
                </c:pt>
                <c:pt idx="3">
                  <c:v>5.8116581514166228</c:v>
                </c:pt>
                <c:pt idx="4">
                  <c:v>6.5848734275508463</c:v>
                </c:pt>
                <c:pt idx="5">
                  <c:v>7.5436468980385314</c:v>
                </c:pt>
                <c:pt idx="6">
                  <c:v>7.0651238404896048</c:v>
                </c:pt>
                <c:pt idx="7">
                  <c:v>7.3097559568453363</c:v>
                </c:pt>
                <c:pt idx="8">
                  <c:v>7.0932330249875264</c:v>
                </c:pt>
                <c:pt idx="9">
                  <c:v>7.3774874909285444</c:v>
                </c:pt>
                <c:pt idx="10">
                  <c:v>7.5314201729758139</c:v>
                </c:pt>
                <c:pt idx="11">
                  <c:v>8.9448223453746607</c:v>
                </c:pt>
                <c:pt idx="12">
                  <c:v>8.7162111847494117</c:v>
                </c:pt>
                <c:pt idx="13">
                  <c:v>8.5343330993979123</c:v>
                </c:pt>
                <c:pt idx="14">
                  <c:v>8.9946110113150439</c:v>
                </c:pt>
                <c:pt idx="15">
                  <c:v>8.7828074988568687</c:v>
                </c:pt>
                <c:pt idx="16">
                  <c:v>7.8518869299140306</c:v>
                </c:pt>
                <c:pt idx="17">
                  <c:v>7.5264005727581917</c:v>
                </c:pt>
                <c:pt idx="18">
                  <c:v>6.9150931599349974</c:v>
                </c:pt>
                <c:pt idx="19">
                  <c:v>6.8387096774193594</c:v>
                </c:pt>
                <c:pt idx="20">
                  <c:v>8.4746066449231279</c:v>
                </c:pt>
                <c:pt idx="21">
                  <c:v>8.4730991551800656</c:v>
                </c:pt>
                <c:pt idx="22">
                  <c:v>7.9554216022990119</c:v>
                </c:pt>
                <c:pt idx="23">
                  <c:v>8.1542727844978771</c:v>
                </c:pt>
                <c:pt idx="24">
                  <c:v>7.9934244323435593</c:v>
                </c:pt>
                <c:pt idx="25">
                  <c:v>7.4055167015501837</c:v>
                </c:pt>
                <c:pt idx="26">
                  <c:v>7.7171401386434582</c:v>
                </c:pt>
                <c:pt idx="27">
                  <c:v>7.6382467172184221</c:v>
                </c:pt>
                <c:pt idx="28">
                  <c:v>8.0756565059528782</c:v>
                </c:pt>
                <c:pt idx="29">
                  <c:v>8.5776113191843564</c:v>
                </c:pt>
                <c:pt idx="30">
                  <c:v>9.1662489557226507</c:v>
                </c:pt>
                <c:pt idx="31">
                  <c:v>9.7742216854535684</c:v>
                </c:pt>
                <c:pt idx="32">
                  <c:v>8.7327154681072301</c:v>
                </c:pt>
                <c:pt idx="33">
                  <c:v>9.1934611159389448</c:v>
                </c:pt>
                <c:pt idx="34">
                  <c:v>9.2699000129853175</c:v>
                </c:pt>
                <c:pt idx="35">
                  <c:v>8.9426162461461018</c:v>
                </c:pt>
                <c:pt idx="36">
                  <c:v>9.4218754955126371</c:v>
                </c:pt>
                <c:pt idx="37">
                  <c:v>10.122150224179734</c:v>
                </c:pt>
                <c:pt idx="38">
                  <c:v>9.7716016278116058</c:v>
                </c:pt>
                <c:pt idx="39">
                  <c:v>8.9643861293345708</c:v>
                </c:pt>
                <c:pt idx="40">
                  <c:v>9.7270184539900271</c:v>
                </c:pt>
                <c:pt idx="41">
                  <c:v>8.6818544183479389</c:v>
                </c:pt>
                <c:pt idx="42">
                  <c:v>8.5664870821598953</c:v>
                </c:pt>
                <c:pt idx="43">
                  <c:v>10.516021576027995</c:v>
                </c:pt>
                <c:pt idx="44">
                  <c:v>7.7366030053025838</c:v>
                </c:pt>
                <c:pt idx="45">
                  <c:v>7.4884377440086496</c:v>
                </c:pt>
                <c:pt idx="46">
                  <c:v>7.4510910738424485</c:v>
                </c:pt>
                <c:pt idx="47">
                  <c:v>7.4591738019261555</c:v>
                </c:pt>
                <c:pt idx="48">
                  <c:v>7.4513099930442905</c:v>
                </c:pt>
                <c:pt idx="49">
                  <c:v>7.3818840996719786</c:v>
                </c:pt>
                <c:pt idx="50">
                  <c:v>8.2594513816044639</c:v>
                </c:pt>
                <c:pt idx="51">
                  <c:v>10.639487377972756</c:v>
                </c:pt>
                <c:pt idx="52">
                  <c:v>10.213323459884379</c:v>
                </c:pt>
                <c:pt idx="53">
                  <c:v>10.019607566545801</c:v>
                </c:pt>
                <c:pt idx="54">
                  <c:v>10.037641154328725</c:v>
                </c:pt>
                <c:pt idx="55">
                  <c:v>8.4327687521603849</c:v>
                </c:pt>
                <c:pt idx="56">
                  <c:v>11.710784244595203</c:v>
                </c:pt>
                <c:pt idx="57">
                  <c:v>12.159311568389143</c:v>
                </c:pt>
                <c:pt idx="58">
                  <c:v>12.218151655491809</c:v>
                </c:pt>
                <c:pt idx="59">
                  <c:v>12.805181193985732</c:v>
                </c:pt>
                <c:pt idx="60">
                  <c:v>13.989211058664864</c:v>
                </c:pt>
                <c:pt idx="61">
                  <c:v>14.866222752180505</c:v>
                </c:pt>
                <c:pt idx="62">
                  <c:v>17.403538577932309</c:v>
                </c:pt>
                <c:pt idx="63">
                  <c:v>16.593462121506562</c:v>
                </c:pt>
                <c:pt idx="64">
                  <c:v>16.543918133188612</c:v>
                </c:pt>
                <c:pt idx="65">
                  <c:v>17.464163910044377</c:v>
                </c:pt>
                <c:pt idx="66">
                  <c:v>17.675169436152345</c:v>
                </c:pt>
                <c:pt idx="67">
                  <c:v>17.0151994287463</c:v>
                </c:pt>
                <c:pt idx="68">
                  <c:v>16.426596644490175</c:v>
                </c:pt>
                <c:pt idx="69">
                  <c:v>15.800814577702482</c:v>
                </c:pt>
                <c:pt idx="70">
                  <c:v>15.672699050176789</c:v>
                </c:pt>
                <c:pt idx="71">
                  <c:v>15.189451240575096</c:v>
                </c:pt>
                <c:pt idx="72">
                  <c:v>13.888527383079179</c:v>
                </c:pt>
                <c:pt idx="73">
                  <c:v>13.406426780194792</c:v>
                </c:pt>
                <c:pt idx="74">
                  <c:v>9.9442641854996481</c:v>
                </c:pt>
                <c:pt idx="75">
                  <c:v>8.8222874160999396</c:v>
                </c:pt>
                <c:pt idx="76">
                  <c:v>8.1542828000620915</c:v>
                </c:pt>
                <c:pt idx="77">
                  <c:v>7.6035583692626716</c:v>
                </c:pt>
                <c:pt idx="78">
                  <c:v>7.0659451926531602</c:v>
                </c:pt>
                <c:pt idx="79">
                  <c:v>6.7191177752593489</c:v>
                </c:pt>
                <c:pt idx="80">
                  <c:v>7.3776091081593904</c:v>
                </c:pt>
                <c:pt idx="81">
                  <c:v>6.8428468480096427</c:v>
                </c:pt>
                <c:pt idx="82">
                  <c:v>5.7500399382288663</c:v>
                </c:pt>
                <c:pt idx="83">
                  <c:v>5.1848404942867319</c:v>
                </c:pt>
                <c:pt idx="84">
                  <c:v>4.2924518501589404</c:v>
                </c:pt>
                <c:pt idx="85">
                  <c:v>3.3477666128418377</c:v>
                </c:pt>
                <c:pt idx="86">
                  <c:v>3.2730413680346402</c:v>
                </c:pt>
                <c:pt idx="87">
                  <c:v>2.1628355816067</c:v>
                </c:pt>
                <c:pt idx="88">
                  <c:v>2.0634936906092065</c:v>
                </c:pt>
                <c:pt idx="89">
                  <c:v>1.7762043395786407</c:v>
                </c:pt>
                <c:pt idx="90">
                  <c:v>0.82469823772868267</c:v>
                </c:pt>
                <c:pt idx="91">
                  <c:v>0.45030326546449828</c:v>
                </c:pt>
                <c:pt idx="92">
                  <c:v>-0.48470650011613259</c:v>
                </c:pt>
                <c:pt idx="93">
                  <c:v>-1.1768258921830039</c:v>
                </c:pt>
                <c:pt idx="94">
                  <c:v>-0.89934940681209241</c:v>
                </c:pt>
                <c:pt idx="95">
                  <c:v>-1.0007963114069014</c:v>
                </c:pt>
                <c:pt idx="96">
                  <c:v>-1.9921509253464365E-3</c:v>
                </c:pt>
                <c:pt idx="97">
                  <c:v>0.20102702917878901</c:v>
                </c:pt>
                <c:pt idx="98">
                  <c:v>0.94292655727257113</c:v>
                </c:pt>
                <c:pt idx="99">
                  <c:v>2.2459893048128379</c:v>
                </c:pt>
                <c:pt idx="100">
                  <c:v>3.1948657172127071</c:v>
                </c:pt>
                <c:pt idx="101">
                  <c:v>3.8322768408882553</c:v>
                </c:pt>
                <c:pt idx="102">
                  <c:v>5.1245587493696547</c:v>
                </c:pt>
                <c:pt idx="103">
                  <c:v>5.8256670902160153</c:v>
                </c:pt>
                <c:pt idx="104">
                  <c:v>5.7078204750936123</c:v>
                </c:pt>
                <c:pt idx="105">
                  <c:v>6.8761078173705812</c:v>
                </c:pt>
                <c:pt idx="106">
                  <c:v>7.7011412485645394</c:v>
                </c:pt>
                <c:pt idx="107">
                  <c:v>9.0138131696805317</c:v>
                </c:pt>
                <c:pt idx="108">
                  <c:v>9.0594868116981502</c:v>
                </c:pt>
                <c:pt idx="109">
                  <c:v>9.4799674234749602</c:v>
                </c:pt>
                <c:pt idx="110">
                  <c:v>9.1488375304550402</c:v>
                </c:pt>
                <c:pt idx="111">
                  <c:v>9.7221679114691426</c:v>
                </c:pt>
                <c:pt idx="112">
                  <c:v>9.8095321517903216</c:v>
                </c:pt>
                <c:pt idx="113">
                  <c:v>9.4061069141940976</c:v>
                </c:pt>
                <c:pt idx="114">
                  <c:v>9.6650708522416409</c:v>
                </c:pt>
              </c:numCache>
            </c:numRef>
          </c:val>
          <c:smooth val="1"/>
          <c:extLst>
            <c:ext xmlns:c16="http://schemas.microsoft.com/office/drawing/2014/chart" uri="{C3380CC4-5D6E-409C-BE32-E72D297353CC}">
              <c16:uniqueId val="{00000001-148F-4F95-9A8E-2F9DCD9A4921}"/>
            </c:ext>
          </c:extLst>
        </c:ser>
        <c:dLbls>
          <c:showLegendKey val="0"/>
          <c:showVal val="0"/>
          <c:showCatName val="0"/>
          <c:showSerName val="0"/>
          <c:showPercent val="0"/>
          <c:showBubbleSize val="0"/>
        </c:dLbls>
        <c:marker val="1"/>
        <c:smooth val="0"/>
        <c:axId val="550711248"/>
        <c:axId val="550706328"/>
      </c:lineChart>
      <c:catAx>
        <c:axId val="5469211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r>
                  <a:rPr lang="lv-LV"/>
                  <a:t>milj.</a:t>
                </a:r>
                <a:r>
                  <a:rPr lang="lv-LV" baseline="0"/>
                  <a:t> </a:t>
                </a:r>
                <a:r>
                  <a:rPr lang="lv-LV" i="1"/>
                  <a:t>euro</a:t>
                </a:r>
              </a:p>
            </c:rich>
          </c:tx>
          <c:layout>
            <c:manualLayout>
              <c:xMode val="edge"/>
              <c:yMode val="edge"/>
              <c:x val="0.11831769626255363"/>
              <c:y val="1.968256147939627E-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title>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46915872"/>
        <c:crosses val="autoZero"/>
        <c:auto val="1"/>
        <c:lblAlgn val="ctr"/>
        <c:lblOffset val="0"/>
        <c:tickLblSkip val="1"/>
        <c:tickMarkSkip val="12"/>
        <c:noMultiLvlLbl val="0"/>
      </c:catAx>
      <c:valAx>
        <c:axId val="546915872"/>
        <c:scaling>
          <c:orientation val="minMax"/>
          <c:max val="12000"/>
          <c:min val="-2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46921120"/>
        <c:crosses val="autoZero"/>
        <c:crossBetween val="between"/>
        <c:majorUnit val="2000"/>
      </c:valAx>
      <c:valAx>
        <c:axId val="550706328"/>
        <c:scaling>
          <c:orientation val="minMax"/>
          <c:min val="-3"/>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50711248"/>
        <c:crosses val="max"/>
        <c:crossBetween val="between"/>
        <c:majorUnit val="3"/>
      </c:valAx>
      <c:catAx>
        <c:axId val="550711248"/>
        <c:scaling>
          <c:orientation val="minMax"/>
        </c:scaling>
        <c:delete val="1"/>
        <c:axPos val="b"/>
        <c:title>
          <c:tx>
            <c:rich>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r>
                  <a:rPr lang="lv-LV"/>
                  <a:t>%</a:t>
                </a:r>
              </a:p>
            </c:rich>
          </c:tx>
          <c:layout>
            <c:manualLayout>
              <c:xMode val="edge"/>
              <c:yMode val="edge"/>
              <c:x val="0.89233277391512822"/>
              <c:y val="6.5104485956557758E-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title>
        <c:numFmt formatCode="General" sourceLinked="1"/>
        <c:majorTickMark val="out"/>
        <c:minorTickMark val="none"/>
        <c:tickLblPos val="nextTo"/>
        <c:crossAx val="550706328"/>
        <c:crosses val="autoZero"/>
        <c:auto val="1"/>
        <c:lblAlgn val="ctr"/>
        <c:lblOffset val="100"/>
        <c:noMultiLvlLbl val="0"/>
      </c:catAx>
      <c:spPr>
        <a:noFill/>
        <a:ln>
          <a:noFill/>
        </a:ln>
        <a:effectLst/>
      </c:spPr>
    </c:plotArea>
    <c:legend>
      <c:legendPos val="b"/>
      <c:layout>
        <c:manualLayout>
          <c:xMode val="edge"/>
          <c:yMode val="edge"/>
          <c:x val="3.5187298542848772E-2"/>
          <c:y val="0.89016591222296881"/>
          <c:w val="0.90797304137030821"/>
          <c:h val="0.1046437113071738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1"/>
          <c:order val="0"/>
          <c:tx>
            <c:strRef>
              <c:f>izlietojums!$E$3</c:f>
              <c:strCache>
                <c:ptCount val="1"/>
                <c:pt idx="0">
                  <c:v>2025</c:v>
                </c:pt>
              </c:strCache>
            </c:strRef>
          </c:tx>
          <c:spPr>
            <a:solidFill>
              <a:sysClr val="window" lastClr="FFFFFF">
                <a:lumMod val="65000"/>
              </a:sys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izlietojums!$C$4:$C$9</c:f>
              <c:strCache>
                <c:ptCount val="6"/>
                <c:pt idx="0">
                  <c:v>IKP</c:v>
                </c:pt>
                <c:pt idx="1">
                  <c:v>Privātais patēriņš</c:v>
                </c:pt>
                <c:pt idx="2">
                  <c:v>Valdības patēriņš</c:v>
                </c:pt>
                <c:pt idx="3">
                  <c:v>Investīcijas</c:v>
                </c:pt>
                <c:pt idx="4">
                  <c:v>Eksports</c:v>
                </c:pt>
                <c:pt idx="5">
                  <c:v>Imports</c:v>
                </c:pt>
              </c:strCache>
            </c:strRef>
          </c:cat>
          <c:val>
            <c:numRef>
              <c:f>izlietojums!$E$4:$E$9</c:f>
              <c:numCache>
                <c:formatCode>0.0</c:formatCode>
                <c:ptCount val="6"/>
                <c:pt idx="0">
                  <c:v>-0.4</c:v>
                </c:pt>
                <c:pt idx="1">
                  <c:v>0.5</c:v>
                </c:pt>
                <c:pt idx="2">
                  <c:v>7.6</c:v>
                </c:pt>
                <c:pt idx="3">
                  <c:v>-6.7</c:v>
                </c:pt>
                <c:pt idx="4">
                  <c:v>-1.6</c:v>
                </c:pt>
                <c:pt idx="5">
                  <c:v>-2.2999999999999998</c:v>
                </c:pt>
              </c:numCache>
            </c:numRef>
          </c:val>
          <c:extLst>
            <c:ext xmlns:c16="http://schemas.microsoft.com/office/drawing/2014/chart" uri="{C3380CC4-5D6E-409C-BE32-E72D297353CC}">
              <c16:uniqueId val="{00000000-8C9C-4B9F-8CC4-2B1D56223CB9}"/>
            </c:ext>
          </c:extLst>
        </c:ser>
        <c:ser>
          <c:idx val="2"/>
          <c:order val="1"/>
          <c:tx>
            <c:strRef>
              <c:f>izlietojums!$F$3</c:f>
              <c:strCache>
                <c:ptCount val="1"/>
                <c:pt idx="0">
                  <c:v>2025 1.puse</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izlietojums!$C$4:$C$9</c:f>
              <c:strCache>
                <c:ptCount val="6"/>
                <c:pt idx="0">
                  <c:v>IKP</c:v>
                </c:pt>
                <c:pt idx="1">
                  <c:v>Privātais patēriņš</c:v>
                </c:pt>
                <c:pt idx="2">
                  <c:v>Valdības patēriņš</c:v>
                </c:pt>
                <c:pt idx="3">
                  <c:v>Investīcijas</c:v>
                </c:pt>
                <c:pt idx="4">
                  <c:v>Eksports</c:v>
                </c:pt>
                <c:pt idx="5">
                  <c:v>Imports</c:v>
                </c:pt>
              </c:strCache>
            </c:strRef>
          </c:cat>
          <c:val>
            <c:numRef>
              <c:f>izlietojums!$F$4:$F$9</c:f>
              <c:numCache>
                <c:formatCode>0.0</c:formatCode>
                <c:ptCount val="6"/>
                <c:pt idx="0">
                  <c:v>0.7</c:v>
                </c:pt>
                <c:pt idx="1">
                  <c:v>-0.6</c:v>
                </c:pt>
                <c:pt idx="2">
                  <c:v>2.1</c:v>
                </c:pt>
                <c:pt idx="3">
                  <c:v>7.7</c:v>
                </c:pt>
                <c:pt idx="4">
                  <c:v>0.2</c:v>
                </c:pt>
                <c:pt idx="5">
                  <c:v>5.6</c:v>
                </c:pt>
              </c:numCache>
            </c:numRef>
          </c:val>
          <c:extLst>
            <c:ext xmlns:c16="http://schemas.microsoft.com/office/drawing/2014/chart" uri="{C3380CC4-5D6E-409C-BE32-E72D297353CC}">
              <c16:uniqueId val="{00000001-8C9C-4B9F-8CC4-2B1D56223CB9}"/>
            </c:ext>
          </c:extLst>
        </c:ser>
        <c:dLbls>
          <c:showLegendKey val="0"/>
          <c:showVal val="0"/>
          <c:showCatName val="0"/>
          <c:showSerName val="0"/>
          <c:showPercent val="0"/>
          <c:showBubbleSize val="0"/>
        </c:dLbls>
        <c:gapWidth val="112"/>
        <c:axId val="1182926320"/>
        <c:axId val="1182925488"/>
      </c:barChart>
      <c:catAx>
        <c:axId val="1182926320"/>
        <c:scaling>
          <c:orientation val="maxMin"/>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5488"/>
        <c:crosses val="autoZero"/>
        <c:auto val="1"/>
        <c:lblAlgn val="ctr"/>
        <c:lblOffset val="100"/>
        <c:noMultiLvlLbl val="0"/>
      </c:catAx>
      <c:valAx>
        <c:axId val="1182925488"/>
        <c:scaling>
          <c:orientation val="minMax"/>
          <c:max val="20"/>
          <c:min val="-5"/>
        </c:scaling>
        <c:delete val="0"/>
        <c:axPos val="t"/>
        <c:numFmt formatCode="0" sourceLinked="0"/>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182926320"/>
        <c:crosses val="autoZero"/>
        <c:crossBetween val="between"/>
        <c:majorUnit val="5"/>
      </c:valAx>
      <c:spPr>
        <a:noFill/>
        <a:ln>
          <a:noFill/>
        </a:ln>
        <a:effectLst/>
      </c:spPr>
    </c:plotArea>
    <c:legend>
      <c:legendPos val="b"/>
      <c:layout>
        <c:manualLayout>
          <c:xMode val="edge"/>
          <c:yMode val="edge"/>
          <c:x val="0.30056292533823226"/>
          <c:y val="0.93926290463692041"/>
          <c:w val="0.56190530711090059"/>
          <c:h val="4.407042869641295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346896560877158E-2"/>
          <c:y val="4.6491969568892642E-2"/>
          <c:w val="0.92920571600834989"/>
          <c:h val="0.66835068660544483"/>
        </c:manualLayout>
      </c:layout>
      <c:barChart>
        <c:barDir val="col"/>
        <c:grouping val="clustered"/>
        <c:varyColors val="0"/>
        <c:ser>
          <c:idx val="0"/>
          <c:order val="0"/>
          <c:spPr>
            <a:solidFill>
              <a:srgbClr val="5B9BD5"/>
            </a:solidFill>
            <a:ln>
              <a:noFill/>
            </a:ln>
            <a:effectLst/>
          </c:spPr>
          <c:invertIfNegative val="0"/>
          <c:dPt>
            <c:idx val="1"/>
            <c:invertIfNegative val="0"/>
            <c:bubble3D val="0"/>
            <c:extLst>
              <c:ext xmlns:c16="http://schemas.microsoft.com/office/drawing/2014/chart" uri="{C3380CC4-5D6E-409C-BE32-E72D297353CC}">
                <c16:uniqueId val="{00000000-C10C-414E-A0B6-63295590A56E}"/>
              </c:ext>
            </c:extLst>
          </c:dPt>
          <c:dPt>
            <c:idx val="2"/>
            <c:invertIfNegative val="0"/>
            <c:bubble3D val="0"/>
            <c:extLst>
              <c:ext xmlns:c16="http://schemas.microsoft.com/office/drawing/2014/chart" uri="{C3380CC4-5D6E-409C-BE32-E72D297353CC}">
                <c16:uniqueId val="{00000001-C10C-414E-A0B6-63295590A56E}"/>
              </c:ext>
            </c:extLst>
          </c:dPt>
          <c:dPt>
            <c:idx val="3"/>
            <c:invertIfNegative val="0"/>
            <c:bubble3D val="0"/>
            <c:extLst>
              <c:ext xmlns:c16="http://schemas.microsoft.com/office/drawing/2014/chart" uri="{C3380CC4-5D6E-409C-BE32-E72D297353CC}">
                <c16:uniqueId val="{00000002-C10C-414E-A0B6-63295590A56E}"/>
              </c:ext>
            </c:extLst>
          </c:dPt>
          <c:dPt>
            <c:idx val="4"/>
            <c:invertIfNegative val="0"/>
            <c:bubble3D val="0"/>
            <c:extLst>
              <c:ext xmlns:c16="http://schemas.microsoft.com/office/drawing/2014/chart" uri="{C3380CC4-5D6E-409C-BE32-E72D297353CC}">
                <c16:uniqueId val="{00000003-C10C-414E-A0B6-63295590A56E}"/>
              </c:ext>
            </c:extLst>
          </c:dPt>
          <c:dPt>
            <c:idx val="7"/>
            <c:invertIfNegative val="0"/>
            <c:bubble3D val="0"/>
            <c:extLst>
              <c:ext xmlns:c16="http://schemas.microsoft.com/office/drawing/2014/chart" uri="{C3380CC4-5D6E-409C-BE32-E72D297353CC}">
                <c16:uniqueId val="{00000004-C10C-414E-A0B6-63295590A56E}"/>
              </c:ext>
            </c:extLst>
          </c:dPt>
          <c:dPt>
            <c:idx val="9"/>
            <c:invertIfNegative val="0"/>
            <c:bubble3D val="0"/>
            <c:extLst>
              <c:ext xmlns:c16="http://schemas.microsoft.com/office/drawing/2014/chart" uri="{C3380CC4-5D6E-409C-BE32-E72D297353CC}">
                <c16:uniqueId val="{00000005-C10C-414E-A0B6-63295590A56E}"/>
              </c:ext>
            </c:extLst>
          </c:dPt>
          <c:dPt>
            <c:idx val="10"/>
            <c:invertIfNegative val="0"/>
            <c:bubble3D val="0"/>
            <c:extLst>
              <c:ext xmlns:c16="http://schemas.microsoft.com/office/drawing/2014/chart" uri="{C3380CC4-5D6E-409C-BE32-E72D297353CC}">
                <c16:uniqueId val="{00000006-C10C-414E-A0B6-63295590A56E}"/>
              </c:ext>
            </c:extLst>
          </c:dPt>
          <c:dPt>
            <c:idx val="11"/>
            <c:invertIfNegative val="0"/>
            <c:bubble3D val="0"/>
            <c:extLst>
              <c:ext xmlns:c16="http://schemas.microsoft.com/office/drawing/2014/chart" uri="{C3380CC4-5D6E-409C-BE32-E72D297353CC}">
                <c16:uniqueId val="{00000007-C10C-414E-A0B6-63295590A56E}"/>
              </c:ext>
            </c:extLst>
          </c:dPt>
          <c:dPt>
            <c:idx val="12"/>
            <c:invertIfNegative val="0"/>
            <c:bubble3D val="0"/>
            <c:extLst>
              <c:ext xmlns:c16="http://schemas.microsoft.com/office/drawing/2014/chart" uri="{C3380CC4-5D6E-409C-BE32-E72D297353CC}">
                <c16:uniqueId val="{00000008-C10C-414E-A0B6-63295590A56E}"/>
              </c:ext>
            </c:extLst>
          </c:dPt>
          <c:dPt>
            <c:idx val="14"/>
            <c:invertIfNegative val="0"/>
            <c:bubble3D val="0"/>
            <c:extLst>
              <c:ext xmlns:c16="http://schemas.microsoft.com/office/drawing/2014/chart" uri="{C3380CC4-5D6E-409C-BE32-E72D297353CC}">
                <c16:uniqueId val="{00000009-C10C-414E-A0B6-63295590A56E}"/>
              </c:ext>
            </c:extLst>
          </c:dPt>
          <c:dPt>
            <c:idx val="15"/>
            <c:invertIfNegative val="0"/>
            <c:bubble3D val="0"/>
            <c:extLst>
              <c:ext xmlns:c16="http://schemas.microsoft.com/office/drawing/2014/chart" uri="{C3380CC4-5D6E-409C-BE32-E72D297353CC}">
                <c16:uniqueId val="{0000000A-C10C-414E-A0B6-63295590A56E}"/>
              </c:ext>
            </c:extLst>
          </c:dPt>
          <c:dPt>
            <c:idx val="18"/>
            <c:invertIfNegative val="0"/>
            <c:bubble3D val="0"/>
            <c:extLst>
              <c:ext xmlns:c16="http://schemas.microsoft.com/office/drawing/2014/chart" uri="{C3380CC4-5D6E-409C-BE32-E72D297353CC}">
                <c16:uniqueId val="{0000000B-C10C-414E-A0B6-63295590A56E}"/>
              </c:ext>
            </c:extLst>
          </c:dPt>
          <c:dPt>
            <c:idx val="22"/>
            <c:invertIfNegative val="0"/>
            <c:bubble3D val="0"/>
            <c:extLst>
              <c:ext xmlns:c16="http://schemas.microsoft.com/office/drawing/2014/chart" uri="{C3380CC4-5D6E-409C-BE32-E72D297353CC}">
                <c16:uniqueId val="{0000000C-C10C-414E-A0B6-63295590A56E}"/>
              </c:ext>
            </c:extLst>
          </c:dPt>
          <c:dPt>
            <c:idx val="23"/>
            <c:invertIfNegative val="0"/>
            <c:bubble3D val="0"/>
            <c:extLst>
              <c:ext xmlns:c16="http://schemas.microsoft.com/office/drawing/2014/chart" uri="{C3380CC4-5D6E-409C-BE32-E72D297353CC}">
                <c16:uniqueId val="{0000000D-C10C-414E-A0B6-63295590A56E}"/>
              </c:ext>
            </c:extLst>
          </c:dPt>
          <c:dPt>
            <c:idx val="25"/>
            <c:invertIfNegative val="0"/>
            <c:bubble3D val="0"/>
            <c:spPr>
              <a:solidFill>
                <a:srgbClr val="FF6969"/>
              </a:solidFill>
              <a:ln>
                <a:noFill/>
              </a:ln>
              <a:effectLst/>
            </c:spPr>
            <c:extLst>
              <c:ext xmlns:c16="http://schemas.microsoft.com/office/drawing/2014/chart" uri="{C3380CC4-5D6E-409C-BE32-E72D297353CC}">
                <c16:uniqueId val="{0000000F-C10C-414E-A0B6-63295590A56E}"/>
              </c:ext>
            </c:extLst>
          </c:dPt>
          <c:dLbls>
            <c:dLbl>
              <c:idx val="1"/>
              <c:layout>
                <c:manualLayout>
                  <c:x val="0.11437515049361907"/>
                  <c:y val="0.81042874863409076"/>
                </c:manualLayout>
              </c:layout>
              <c:tx>
                <c:rich>
                  <a:bodyPr wrap="square" lIns="38100" tIns="19050" rIns="38100" bIns="19050" anchor="ctr" anchorCtr="0">
                    <a:spAutoFit/>
                  </a:bodyPr>
                  <a:lstStyle/>
                  <a:p>
                    <a:pPr algn="l">
                      <a:defRPr sz="900">
                        <a:latin typeface="Times New Roman" panose="02020603050405020304" pitchFamily="18" charset="0"/>
                        <a:cs typeface="Times New Roman" panose="02020603050405020304" pitchFamily="18" charset="0"/>
                      </a:defRPr>
                    </a:pPr>
                    <a:r>
                      <a:rPr lang="en-US" sz="900">
                        <a:latin typeface="Times New Roman" panose="02020603050405020304" pitchFamily="18" charset="0"/>
                        <a:cs typeface="Times New Roman" panose="02020603050405020304" pitchFamily="18" charset="0"/>
                      </a:rPr>
                      <a:t>Nav</a:t>
                    </a:r>
                    <a:r>
                      <a:rPr lang="en-US" sz="900" baseline="0">
                        <a:latin typeface="Times New Roman" panose="02020603050405020304" pitchFamily="18" charset="0"/>
                        <a:cs typeface="Times New Roman" panose="02020603050405020304" pitchFamily="18" charset="0"/>
                      </a:rPr>
                      <a:t> datu par Bulgāriju</a:t>
                    </a:r>
                    <a:endParaRPr lang="en-US" sz="90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64768832321194625"/>
                      <c:h val="6.4826430910589386E-2"/>
                    </c:manualLayout>
                  </c15:layout>
                  <c15:showDataLabelsRange val="0"/>
                </c:ext>
                <c:ext xmlns:c16="http://schemas.microsoft.com/office/drawing/2014/chart" uri="{C3380CC4-5D6E-409C-BE32-E72D297353CC}">
                  <c16:uniqueId val="{00000000-C10C-414E-A0B6-63295590A56E}"/>
                </c:ext>
              </c:extLst>
            </c:dLbl>
            <c:spPr>
              <a:noFill/>
              <a:ln>
                <a:noFill/>
              </a:ln>
              <a:effectLst/>
            </c:spPr>
            <c:txPr>
              <a:bodyPr wrap="square" lIns="38100" tIns="19050" rIns="38100" bIns="19050" anchor="ctr">
                <a:spAutoFit/>
              </a:bodyPr>
              <a:lstStyle/>
              <a:p>
                <a:pPr>
                  <a:defRPr sz="900">
                    <a:latin typeface="Times New Roman" panose="02020603050405020304" pitchFamily="18" charset="0"/>
                    <a:cs typeface="Times New Roman" panose="02020603050405020304" pitchFamily="18" charset="0"/>
                  </a:defRPr>
                </a:pPr>
                <a:endParaRPr lang="lv-LV"/>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'Sheet 1 (2)'!$A$13:$A$38</c:f>
              <c:strCache>
                <c:ptCount val="26"/>
                <c:pt idx="0">
                  <c:v>Luksemburga</c:v>
                </c:pt>
                <c:pt idx="1">
                  <c:v>Vācija</c:v>
                </c:pt>
                <c:pt idx="2">
                  <c:v>Nīderlande</c:v>
                </c:pt>
                <c:pt idx="3">
                  <c:v>Austrija</c:v>
                </c:pt>
                <c:pt idx="4">
                  <c:v>Beļģija</c:v>
                </c:pt>
                <c:pt idx="5">
                  <c:v>Francija</c:v>
                </c:pt>
                <c:pt idx="6">
                  <c:v>Somija</c:v>
                </c:pt>
                <c:pt idx="7">
                  <c:v>Zviedrija</c:v>
                </c:pt>
                <c:pt idx="8">
                  <c:v>Dānija</c:v>
                </c:pt>
                <c:pt idx="9">
                  <c:v>Kipra</c:v>
                </c:pt>
                <c:pt idx="10">
                  <c:v>Itālija</c:v>
                </c:pt>
                <c:pt idx="11">
                  <c:v>Īrija</c:v>
                </c:pt>
                <c:pt idx="12">
                  <c:v>Malta</c:v>
                </c:pt>
                <c:pt idx="13">
                  <c:v>Čehija</c:v>
                </c:pt>
                <c:pt idx="14">
                  <c:v>Spānija</c:v>
                </c:pt>
                <c:pt idx="15">
                  <c:v>Slovēnija</c:v>
                </c:pt>
                <c:pt idx="16">
                  <c:v>Lietuva</c:v>
                </c:pt>
                <c:pt idx="17">
                  <c:v>Portugāle</c:v>
                </c:pt>
                <c:pt idx="18">
                  <c:v>Ungārija</c:v>
                </c:pt>
                <c:pt idx="19">
                  <c:v>Polija</c:v>
                </c:pt>
                <c:pt idx="20">
                  <c:v>Horvātija</c:v>
                </c:pt>
                <c:pt idx="21">
                  <c:v>Slovākija</c:v>
                </c:pt>
                <c:pt idx="22">
                  <c:v>Igaunija</c:v>
                </c:pt>
                <c:pt idx="23">
                  <c:v>Rumānija</c:v>
                </c:pt>
                <c:pt idx="24">
                  <c:v>Grieķija</c:v>
                </c:pt>
                <c:pt idx="25">
                  <c:v>Latvija</c:v>
                </c:pt>
              </c:strCache>
            </c:strRef>
          </c:cat>
          <c:val>
            <c:numRef>
              <c:f>'Sheet 1 (2)'!$D$13:$D$38</c:f>
              <c:numCache>
                <c:formatCode>0.0</c:formatCode>
                <c:ptCount val="26"/>
                <c:pt idx="0">
                  <c:v>134.80055510087891</c:v>
                </c:pt>
                <c:pt idx="1">
                  <c:v>124.72689748425434</c:v>
                </c:pt>
                <c:pt idx="2">
                  <c:v>115.74920826957975</c:v>
                </c:pt>
                <c:pt idx="3">
                  <c:v>115.65313311746077</c:v>
                </c:pt>
                <c:pt idx="4">
                  <c:v>114.03408888730739</c:v>
                </c:pt>
                <c:pt idx="5">
                  <c:v>109.03106429918515</c:v>
                </c:pt>
                <c:pt idx="6">
                  <c:v>103.64018076361954</c:v>
                </c:pt>
                <c:pt idx="7">
                  <c:v>102.00690317759671</c:v>
                </c:pt>
                <c:pt idx="8">
                  <c:v>99.928833220652606</c:v>
                </c:pt>
                <c:pt idx="9">
                  <c:v>98.843539835604744</c:v>
                </c:pt>
                <c:pt idx="10">
                  <c:v>98.291997295662384</c:v>
                </c:pt>
                <c:pt idx="11">
                  <c:v>94.153649076611032</c:v>
                </c:pt>
                <c:pt idx="12">
                  <c:v>90.285734619079818</c:v>
                </c:pt>
                <c:pt idx="13">
                  <c:v>87.851830765398702</c:v>
                </c:pt>
                <c:pt idx="14">
                  <c:v>87.584955342845959</c:v>
                </c:pt>
                <c:pt idx="15">
                  <c:v>85.232893285414363</c:v>
                </c:pt>
                <c:pt idx="16">
                  <c:v>83.400348717218804</c:v>
                </c:pt>
                <c:pt idx="17">
                  <c:v>82.105113333096114</c:v>
                </c:pt>
                <c:pt idx="18">
                  <c:v>75.504394548624703</c:v>
                </c:pt>
                <c:pt idx="19">
                  <c:v>74.956410347649722</c:v>
                </c:pt>
                <c:pt idx="20">
                  <c:v>72.753798526847675</c:v>
                </c:pt>
                <c:pt idx="21">
                  <c:v>71.981638970928373</c:v>
                </c:pt>
                <c:pt idx="22">
                  <c:v>70.942603992456327</c:v>
                </c:pt>
                <c:pt idx="23">
                  <c:v>69.487243354801976</c:v>
                </c:pt>
                <c:pt idx="24">
                  <c:v>69.458776643063018</c:v>
                </c:pt>
                <c:pt idx="25">
                  <c:v>63.014624773155894</c:v>
                </c:pt>
              </c:numCache>
            </c:numRef>
          </c:val>
          <c:extLst>
            <c:ext xmlns:c16="http://schemas.microsoft.com/office/drawing/2014/chart" uri="{C3380CC4-5D6E-409C-BE32-E72D297353CC}">
              <c16:uniqueId val="{00000010-C10C-414E-A0B6-63295590A56E}"/>
            </c:ext>
          </c:extLst>
        </c:ser>
        <c:dLbls>
          <c:showLegendKey val="0"/>
          <c:showVal val="0"/>
          <c:showCatName val="0"/>
          <c:showSerName val="0"/>
          <c:showPercent val="0"/>
          <c:showBubbleSize val="0"/>
        </c:dLbls>
        <c:gapWidth val="50"/>
        <c:overlap val="-27"/>
        <c:axId val="567518600"/>
        <c:axId val="1"/>
      </c:barChart>
      <c:lineChart>
        <c:grouping val="standard"/>
        <c:varyColors val="0"/>
        <c:ser>
          <c:idx val="1"/>
          <c:order val="1"/>
          <c:spPr>
            <a:ln w="28575" cap="rnd">
              <a:solidFill>
                <a:sysClr val="windowText" lastClr="000000"/>
              </a:solidFill>
              <a:prstDash val="sysDash"/>
              <a:round/>
            </a:ln>
            <a:effectLst/>
          </c:spPr>
          <c:marker>
            <c:symbol val="none"/>
          </c:marker>
          <c:cat>
            <c:strRef>
              <c:f>'Sheet 1 (2)'!$A$13:$A$38</c:f>
              <c:strCache>
                <c:ptCount val="26"/>
                <c:pt idx="0">
                  <c:v>Luksemburga</c:v>
                </c:pt>
                <c:pt idx="1">
                  <c:v>Vācija</c:v>
                </c:pt>
                <c:pt idx="2">
                  <c:v>Nīderlande</c:v>
                </c:pt>
                <c:pt idx="3">
                  <c:v>Austrija</c:v>
                </c:pt>
                <c:pt idx="4">
                  <c:v>Beļģija</c:v>
                </c:pt>
                <c:pt idx="5">
                  <c:v>Francija</c:v>
                </c:pt>
                <c:pt idx="6">
                  <c:v>Somija</c:v>
                </c:pt>
                <c:pt idx="7">
                  <c:v>Zviedrija</c:v>
                </c:pt>
                <c:pt idx="8">
                  <c:v>Dānija</c:v>
                </c:pt>
                <c:pt idx="9">
                  <c:v>Kipra</c:v>
                </c:pt>
                <c:pt idx="10">
                  <c:v>Itālija</c:v>
                </c:pt>
                <c:pt idx="11">
                  <c:v>Īrija</c:v>
                </c:pt>
                <c:pt idx="12">
                  <c:v>Malta</c:v>
                </c:pt>
                <c:pt idx="13">
                  <c:v>Čehija</c:v>
                </c:pt>
                <c:pt idx="14">
                  <c:v>Spānija</c:v>
                </c:pt>
                <c:pt idx="15">
                  <c:v>Slovēnija</c:v>
                </c:pt>
                <c:pt idx="16">
                  <c:v>Lietuva</c:v>
                </c:pt>
                <c:pt idx="17">
                  <c:v>Portugāle</c:v>
                </c:pt>
                <c:pt idx="18">
                  <c:v>Ungārija</c:v>
                </c:pt>
                <c:pt idx="19">
                  <c:v>Polija</c:v>
                </c:pt>
                <c:pt idx="20">
                  <c:v>Horvātija</c:v>
                </c:pt>
                <c:pt idx="21">
                  <c:v>Slovākija</c:v>
                </c:pt>
                <c:pt idx="22">
                  <c:v>Igaunija</c:v>
                </c:pt>
                <c:pt idx="23">
                  <c:v>Rumānija</c:v>
                </c:pt>
                <c:pt idx="24">
                  <c:v>Grieķija</c:v>
                </c:pt>
                <c:pt idx="25">
                  <c:v>Latvija</c:v>
                </c:pt>
              </c:strCache>
            </c:strRef>
          </c:cat>
          <c:val>
            <c:numRef>
              <c:f>'Sheet 1 (2)'!$E$13:$E$38</c:f>
              <c:numCache>
                <c:formatCode>General</c:formatCode>
                <c:ptCount val="26"/>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100</c:v>
                </c:pt>
                <c:pt idx="18">
                  <c:v>100</c:v>
                </c:pt>
                <c:pt idx="19">
                  <c:v>100</c:v>
                </c:pt>
                <c:pt idx="20">
                  <c:v>100</c:v>
                </c:pt>
                <c:pt idx="21">
                  <c:v>100</c:v>
                </c:pt>
                <c:pt idx="22">
                  <c:v>100</c:v>
                </c:pt>
                <c:pt idx="23">
                  <c:v>100</c:v>
                </c:pt>
                <c:pt idx="24">
                  <c:v>100</c:v>
                </c:pt>
                <c:pt idx="25">
                  <c:v>100</c:v>
                </c:pt>
              </c:numCache>
            </c:numRef>
          </c:val>
          <c:smooth val="0"/>
          <c:extLst>
            <c:ext xmlns:c16="http://schemas.microsoft.com/office/drawing/2014/chart" uri="{C3380CC4-5D6E-409C-BE32-E72D297353CC}">
              <c16:uniqueId val="{00000011-C10C-414E-A0B6-63295590A56E}"/>
            </c:ext>
          </c:extLst>
        </c:ser>
        <c:dLbls>
          <c:showLegendKey val="0"/>
          <c:showVal val="0"/>
          <c:showCatName val="0"/>
          <c:showSerName val="0"/>
          <c:showPercent val="0"/>
          <c:showBubbleSize val="0"/>
        </c:dLbls>
        <c:marker val="1"/>
        <c:smooth val="0"/>
        <c:axId val="567518600"/>
        <c:axId val="1"/>
      </c:lineChart>
      <c:catAx>
        <c:axId val="5675186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67518600"/>
        <c:crosses val="autoZero"/>
        <c:crossBetween val="between"/>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2">
    <c:autoUpdate val="0"/>
  </c:externalData>
  <c:userShapes r:id="rId3"/>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0407532171327997E-2"/>
          <c:y val="4.1730948634246111E-2"/>
          <c:w val="0.83918493565734398"/>
          <c:h val="0.60234917659965947"/>
        </c:manualLayout>
      </c:layout>
      <c:barChart>
        <c:barDir val="col"/>
        <c:grouping val="stacked"/>
        <c:varyColors val="0"/>
        <c:ser>
          <c:idx val="0"/>
          <c:order val="0"/>
          <c:tx>
            <c:strRef>
              <c:f>Eksports_pa_grupam!$FB$212</c:f>
              <c:strCache>
                <c:ptCount val="1"/>
                <c:pt idx="0">
                  <c:v>Lauksaimniecības preces un pārtika</c:v>
                </c:pt>
              </c:strCache>
            </c:strRef>
          </c:tx>
          <c:spPr>
            <a:solidFill>
              <a:schemeClr val="accent1">
                <a:lumMod val="75000"/>
              </a:schemeClr>
            </a:solidFill>
            <a:ln>
              <a:noFill/>
            </a:ln>
            <a:effectLst/>
          </c:spPr>
          <c:invertIfNegative val="0"/>
          <c:cat>
            <c:multiLvlStrRef>
              <c:f>Eksports_pa_grupam!$GA$1:$HE$2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2023</c:v>
                  </c:pt>
                  <c:pt idx="12">
                    <c:v>2024</c:v>
                  </c:pt>
                  <c:pt idx="24">
                    <c:v>2025</c:v>
                  </c:pt>
                </c:lvl>
              </c:multiLvlStrCache>
            </c:multiLvlStrRef>
          </c:cat>
          <c:val>
            <c:numRef>
              <c:f>Eksports_pa_grupam!$GA$212:$HE$212</c:f>
              <c:numCache>
                <c:formatCode>0.00</c:formatCode>
                <c:ptCount val="31"/>
                <c:pt idx="0">
                  <c:v>10.162824998905144</c:v>
                </c:pt>
                <c:pt idx="1">
                  <c:v>3.9850077519669265</c:v>
                </c:pt>
                <c:pt idx="2">
                  <c:v>3.3305921722204603</c:v>
                </c:pt>
                <c:pt idx="3">
                  <c:v>4.491225645902448</c:v>
                </c:pt>
                <c:pt idx="4">
                  <c:v>1.4919781146094908</c:v>
                </c:pt>
                <c:pt idx="5">
                  <c:v>1.1790428121503707</c:v>
                </c:pt>
                <c:pt idx="6">
                  <c:v>-0.19406834326277309</c:v>
                </c:pt>
                <c:pt idx="7">
                  <c:v>-6.0801027180451372</c:v>
                </c:pt>
                <c:pt idx="8">
                  <c:v>-7.7677731975124269</c:v>
                </c:pt>
                <c:pt idx="9">
                  <c:v>3.223751371702146</c:v>
                </c:pt>
                <c:pt idx="10">
                  <c:v>-4.48705481762694</c:v>
                </c:pt>
                <c:pt idx="11">
                  <c:v>-0.34070638143564069</c:v>
                </c:pt>
                <c:pt idx="12">
                  <c:v>1.4568656754201268</c:v>
                </c:pt>
                <c:pt idx="13">
                  <c:v>5.0146027276590489E-2</c:v>
                </c:pt>
                <c:pt idx="14">
                  <c:v>-1.4696364491423921</c:v>
                </c:pt>
                <c:pt idx="15">
                  <c:v>-1.4460069189212685</c:v>
                </c:pt>
                <c:pt idx="16">
                  <c:v>-1.3034872814104195</c:v>
                </c:pt>
                <c:pt idx="17">
                  <c:v>0.23436488480738113</c:v>
                </c:pt>
                <c:pt idx="18">
                  <c:v>3.9122677744805667</c:v>
                </c:pt>
                <c:pt idx="19">
                  <c:v>5.1829687460215448</c:v>
                </c:pt>
                <c:pt idx="20">
                  <c:v>1.0882042162211474</c:v>
                </c:pt>
                <c:pt idx="21">
                  <c:v>-0.4137359711991076</c:v>
                </c:pt>
                <c:pt idx="22">
                  <c:v>0.54031967051687257</c:v>
                </c:pt>
                <c:pt idx="23">
                  <c:v>-4.6706171316772913</c:v>
                </c:pt>
                <c:pt idx="24">
                  <c:v>-1.5914093428137566</c:v>
                </c:pt>
                <c:pt idx="25">
                  <c:v>1.4154437221102023</c:v>
                </c:pt>
                <c:pt idx="26">
                  <c:v>0.57144493553161657</c:v>
                </c:pt>
                <c:pt idx="27">
                  <c:v>1.5871788639761435</c:v>
                </c:pt>
                <c:pt idx="28">
                  <c:v>1.1994667805596815</c:v>
                </c:pt>
                <c:pt idx="29">
                  <c:v>-1.5883414198740393</c:v>
                </c:pt>
                <c:pt idx="30">
                  <c:v>-0.35036454331669198</c:v>
                </c:pt>
              </c:numCache>
            </c:numRef>
          </c:val>
          <c:extLst>
            <c:ext xmlns:c16="http://schemas.microsoft.com/office/drawing/2014/chart" uri="{C3380CC4-5D6E-409C-BE32-E72D297353CC}">
              <c16:uniqueId val="{00000000-D54C-4FCC-ACBF-DA2BC909C7D1}"/>
            </c:ext>
          </c:extLst>
        </c:ser>
        <c:ser>
          <c:idx val="1"/>
          <c:order val="1"/>
          <c:tx>
            <c:strRef>
              <c:f>Eksports_pa_grupam!$FB$213</c:f>
              <c:strCache>
                <c:ptCount val="1"/>
                <c:pt idx="0">
                  <c:v>Minerālprodukti</c:v>
                </c:pt>
              </c:strCache>
            </c:strRef>
          </c:tx>
          <c:spPr>
            <a:solidFill>
              <a:schemeClr val="accent2">
                <a:lumMod val="60000"/>
                <a:lumOff val="40000"/>
              </a:schemeClr>
            </a:solidFill>
            <a:ln>
              <a:noFill/>
            </a:ln>
            <a:effectLst/>
          </c:spPr>
          <c:invertIfNegative val="0"/>
          <c:cat>
            <c:multiLvlStrRef>
              <c:f>Eksports_pa_grupam!$GA$1:$HE$2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2023</c:v>
                  </c:pt>
                  <c:pt idx="12">
                    <c:v>2024</c:v>
                  </c:pt>
                  <c:pt idx="24">
                    <c:v>2025</c:v>
                  </c:pt>
                </c:lvl>
              </c:multiLvlStrCache>
            </c:multiLvlStrRef>
          </c:cat>
          <c:val>
            <c:numRef>
              <c:f>Eksports_pa_grupam!$GA$213:$HE$213</c:f>
              <c:numCache>
                <c:formatCode>0.00</c:formatCode>
                <c:ptCount val="31"/>
                <c:pt idx="0">
                  <c:v>-0.48795276190214659</c:v>
                </c:pt>
                <c:pt idx="1">
                  <c:v>0.96399584190866516</c:v>
                </c:pt>
                <c:pt idx="2">
                  <c:v>-2.944906606927296</c:v>
                </c:pt>
                <c:pt idx="3">
                  <c:v>-5.3867397958592553</c:v>
                </c:pt>
                <c:pt idx="4">
                  <c:v>-4.8823221686046629</c:v>
                </c:pt>
                <c:pt idx="5">
                  <c:v>-6.5609124334940718</c:v>
                </c:pt>
                <c:pt idx="6">
                  <c:v>-7.2904140400238955</c:v>
                </c:pt>
                <c:pt idx="7">
                  <c:v>-11.700881558656778</c:v>
                </c:pt>
                <c:pt idx="8">
                  <c:v>-10.180308244152181</c:v>
                </c:pt>
                <c:pt idx="9">
                  <c:v>-7.0454794963640088</c:v>
                </c:pt>
                <c:pt idx="10">
                  <c:v>-5.8363292030719673</c:v>
                </c:pt>
                <c:pt idx="11">
                  <c:v>-6.5229970893797296</c:v>
                </c:pt>
                <c:pt idx="12">
                  <c:v>-1.7786466441687212</c:v>
                </c:pt>
                <c:pt idx="13">
                  <c:v>-2.9597745883694624</c:v>
                </c:pt>
                <c:pt idx="14">
                  <c:v>-5.1886199764182805</c:v>
                </c:pt>
                <c:pt idx="15">
                  <c:v>-0.29132662211535965</c:v>
                </c:pt>
                <c:pt idx="16">
                  <c:v>1.5657852170354294</c:v>
                </c:pt>
                <c:pt idx="17">
                  <c:v>0.72768630170256188</c:v>
                </c:pt>
                <c:pt idx="18">
                  <c:v>2.7720517986894522</c:v>
                </c:pt>
                <c:pt idx="19">
                  <c:v>0.17049033237590747</c:v>
                </c:pt>
                <c:pt idx="20">
                  <c:v>0.1906602810484041</c:v>
                </c:pt>
                <c:pt idx="21">
                  <c:v>2.4429476570036242</c:v>
                </c:pt>
                <c:pt idx="22">
                  <c:v>-0.20150726037854957</c:v>
                </c:pt>
                <c:pt idx="23">
                  <c:v>0.76348896994015025</c:v>
                </c:pt>
                <c:pt idx="24">
                  <c:v>2.2933347634204595</c:v>
                </c:pt>
                <c:pt idx="25">
                  <c:v>3.4540888320998131</c:v>
                </c:pt>
                <c:pt idx="26">
                  <c:v>4.9527577190030003</c:v>
                </c:pt>
                <c:pt idx="27">
                  <c:v>5.1229413273131597</c:v>
                </c:pt>
                <c:pt idx="28">
                  <c:v>1.3869500900681058</c:v>
                </c:pt>
                <c:pt idx="29">
                  <c:v>-5.6228548344719034E-2</c:v>
                </c:pt>
                <c:pt idx="30">
                  <c:v>-0.92194936579584896</c:v>
                </c:pt>
              </c:numCache>
            </c:numRef>
          </c:val>
          <c:extLst>
            <c:ext xmlns:c16="http://schemas.microsoft.com/office/drawing/2014/chart" uri="{C3380CC4-5D6E-409C-BE32-E72D297353CC}">
              <c16:uniqueId val="{00000001-D54C-4FCC-ACBF-DA2BC909C7D1}"/>
            </c:ext>
          </c:extLst>
        </c:ser>
        <c:ser>
          <c:idx val="2"/>
          <c:order val="2"/>
          <c:tx>
            <c:strRef>
              <c:f>Eksports_pa_grupam!$FB$214</c:f>
              <c:strCache>
                <c:ptCount val="1"/>
                <c:pt idx="0">
                  <c:v>Ķīmiskās rūpniecības ražojumi</c:v>
                </c:pt>
              </c:strCache>
            </c:strRef>
          </c:tx>
          <c:spPr>
            <a:solidFill>
              <a:schemeClr val="accent4">
                <a:lumMod val="60000"/>
                <a:lumOff val="40000"/>
              </a:schemeClr>
            </a:solidFill>
            <a:ln>
              <a:noFill/>
            </a:ln>
            <a:effectLst/>
          </c:spPr>
          <c:invertIfNegative val="0"/>
          <c:cat>
            <c:multiLvlStrRef>
              <c:f>Eksports_pa_grupam!$GA$1:$HE$2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2023</c:v>
                  </c:pt>
                  <c:pt idx="12">
                    <c:v>2024</c:v>
                  </c:pt>
                  <c:pt idx="24">
                    <c:v>2025</c:v>
                  </c:pt>
                </c:lvl>
              </c:multiLvlStrCache>
            </c:multiLvlStrRef>
          </c:cat>
          <c:val>
            <c:numRef>
              <c:f>Eksports_pa_grupam!$GA$214:$HE$214</c:f>
              <c:numCache>
                <c:formatCode>0.00</c:formatCode>
                <c:ptCount val="31"/>
                <c:pt idx="0">
                  <c:v>-1.5712680766534315</c:v>
                </c:pt>
                <c:pt idx="1">
                  <c:v>-1.0041551829688082</c:v>
                </c:pt>
                <c:pt idx="2">
                  <c:v>-6.0463098462280804E-2</c:v>
                </c:pt>
                <c:pt idx="3">
                  <c:v>-2.4084217298032562</c:v>
                </c:pt>
                <c:pt idx="4">
                  <c:v>-0.31248586324635452</c:v>
                </c:pt>
                <c:pt idx="5">
                  <c:v>-0.62466688823007999</c:v>
                </c:pt>
                <c:pt idx="6">
                  <c:v>-0.39669382735105901</c:v>
                </c:pt>
                <c:pt idx="7">
                  <c:v>0.86968739711289988</c:v>
                </c:pt>
                <c:pt idx="8">
                  <c:v>-1.4084147999774332</c:v>
                </c:pt>
                <c:pt idx="9">
                  <c:v>1.0284453896046903</c:v>
                </c:pt>
                <c:pt idx="10">
                  <c:v>-1.191673454021327</c:v>
                </c:pt>
                <c:pt idx="11">
                  <c:v>-0.14668595466334097</c:v>
                </c:pt>
                <c:pt idx="12">
                  <c:v>1.8499756357878634</c:v>
                </c:pt>
                <c:pt idx="13">
                  <c:v>2.2959091012510697</c:v>
                </c:pt>
                <c:pt idx="14">
                  <c:v>-8.4692515723354608E-2</c:v>
                </c:pt>
                <c:pt idx="15">
                  <c:v>1.0797948797040609</c:v>
                </c:pt>
                <c:pt idx="16">
                  <c:v>0.47334488814373415</c:v>
                </c:pt>
                <c:pt idx="17">
                  <c:v>-9.7402123203210081E-2</c:v>
                </c:pt>
                <c:pt idx="18">
                  <c:v>0.32531996332685303</c:v>
                </c:pt>
                <c:pt idx="19">
                  <c:v>-1.0817741124359739</c:v>
                </c:pt>
                <c:pt idx="20">
                  <c:v>0.54921662066130461</c:v>
                </c:pt>
                <c:pt idx="21">
                  <c:v>-0.83619875032424185</c:v>
                </c:pt>
                <c:pt idx="22">
                  <c:v>0.36141208292159849</c:v>
                </c:pt>
                <c:pt idx="23">
                  <c:v>1.8751318911447199</c:v>
                </c:pt>
                <c:pt idx="24">
                  <c:v>-0.82467800324937457</c:v>
                </c:pt>
                <c:pt idx="25">
                  <c:v>-1.1167652058645103</c:v>
                </c:pt>
                <c:pt idx="26">
                  <c:v>0.50034426954917133</c:v>
                </c:pt>
                <c:pt idx="27">
                  <c:v>1.2616555022081279</c:v>
                </c:pt>
                <c:pt idx="28">
                  <c:v>0.40030628654604172</c:v>
                </c:pt>
                <c:pt idx="29">
                  <c:v>-0.44788222038660186</c:v>
                </c:pt>
                <c:pt idx="30">
                  <c:v>0.66129137016607931</c:v>
                </c:pt>
              </c:numCache>
            </c:numRef>
          </c:val>
          <c:extLst>
            <c:ext xmlns:c16="http://schemas.microsoft.com/office/drawing/2014/chart" uri="{C3380CC4-5D6E-409C-BE32-E72D297353CC}">
              <c16:uniqueId val="{00000002-D54C-4FCC-ACBF-DA2BC909C7D1}"/>
            </c:ext>
          </c:extLst>
        </c:ser>
        <c:ser>
          <c:idx val="3"/>
          <c:order val="3"/>
          <c:tx>
            <c:strRef>
              <c:f>Eksports_pa_grupam!$FB$215</c:f>
              <c:strCache>
                <c:ptCount val="1"/>
                <c:pt idx="0">
                  <c:v>Koks un koka izstrādājumi</c:v>
                </c:pt>
              </c:strCache>
            </c:strRef>
          </c:tx>
          <c:spPr>
            <a:pattFill prst="dkUpDiag">
              <a:fgClr>
                <a:srgbClr val="C00000"/>
              </a:fgClr>
              <a:bgClr>
                <a:schemeClr val="bg1"/>
              </a:bgClr>
            </a:pattFill>
            <a:ln w="28575">
              <a:noFill/>
            </a:ln>
            <a:effectLst/>
          </c:spPr>
          <c:invertIfNegative val="0"/>
          <c:cat>
            <c:multiLvlStrRef>
              <c:f>Eksports_pa_grupam!$GA$1:$HE$2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2023</c:v>
                  </c:pt>
                  <c:pt idx="12">
                    <c:v>2024</c:v>
                  </c:pt>
                  <c:pt idx="24">
                    <c:v>2025</c:v>
                  </c:pt>
                </c:lvl>
              </c:multiLvlStrCache>
            </c:multiLvlStrRef>
          </c:cat>
          <c:val>
            <c:numRef>
              <c:f>Eksports_pa_grupam!$GA$215:$HE$215</c:f>
              <c:numCache>
                <c:formatCode>0.00</c:formatCode>
                <c:ptCount val="31"/>
                <c:pt idx="0">
                  <c:v>-1.2687381035414766</c:v>
                </c:pt>
                <c:pt idx="1">
                  <c:v>-0.95286225916042888</c:v>
                </c:pt>
                <c:pt idx="2">
                  <c:v>-1.7019076045097663</c:v>
                </c:pt>
                <c:pt idx="3">
                  <c:v>-6.7625629753948653</c:v>
                </c:pt>
                <c:pt idx="4">
                  <c:v>-7.4726220072972378</c:v>
                </c:pt>
                <c:pt idx="5">
                  <c:v>-3.5503010058046924</c:v>
                </c:pt>
                <c:pt idx="6">
                  <c:v>-5.0779572776964752</c:v>
                </c:pt>
                <c:pt idx="7">
                  <c:v>-3.9489524431981189</c:v>
                </c:pt>
                <c:pt idx="8">
                  <c:v>-5.0108100995656946</c:v>
                </c:pt>
                <c:pt idx="9">
                  <c:v>-3.9105277612919616</c:v>
                </c:pt>
                <c:pt idx="10">
                  <c:v>-2.9772170086475223</c:v>
                </c:pt>
                <c:pt idx="11">
                  <c:v>-2.9275633681461795</c:v>
                </c:pt>
                <c:pt idx="12">
                  <c:v>-8.8197508093551036E-2</c:v>
                </c:pt>
                <c:pt idx="13">
                  <c:v>-0.87493933988340522</c:v>
                </c:pt>
                <c:pt idx="14">
                  <c:v>-2.1458318952253181</c:v>
                </c:pt>
                <c:pt idx="15">
                  <c:v>0.43913403876590229</c:v>
                </c:pt>
                <c:pt idx="16">
                  <c:v>1.4002048247924217</c:v>
                </c:pt>
                <c:pt idx="17">
                  <c:v>0.7318827452543234</c:v>
                </c:pt>
                <c:pt idx="18">
                  <c:v>2.9157071488447679</c:v>
                </c:pt>
                <c:pt idx="19">
                  <c:v>0.6510356059043293</c:v>
                </c:pt>
                <c:pt idx="20">
                  <c:v>1.2970724529134192</c:v>
                </c:pt>
                <c:pt idx="21">
                  <c:v>2.3740719727071995</c:v>
                </c:pt>
                <c:pt idx="22">
                  <c:v>2.3554690467340018</c:v>
                </c:pt>
                <c:pt idx="23">
                  <c:v>2.6769722963923961</c:v>
                </c:pt>
                <c:pt idx="24">
                  <c:v>0.37941273931741143</c:v>
                </c:pt>
                <c:pt idx="25">
                  <c:v>-0.35714933626223194</c:v>
                </c:pt>
                <c:pt idx="26">
                  <c:v>1.0135039390466272</c:v>
                </c:pt>
                <c:pt idx="27">
                  <c:v>0.64078816820075968</c:v>
                </c:pt>
                <c:pt idx="28">
                  <c:v>-2.0105801057011816</c:v>
                </c:pt>
                <c:pt idx="29">
                  <c:v>-1.355107817863517</c:v>
                </c:pt>
                <c:pt idx="30">
                  <c:v>-2.3542216521309712E-2</c:v>
                </c:pt>
              </c:numCache>
            </c:numRef>
          </c:val>
          <c:extLst>
            <c:ext xmlns:c16="http://schemas.microsoft.com/office/drawing/2014/chart" uri="{C3380CC4-5D6E-409C-BE32-E72D297353CC}">
              <c16:uniqueId val="{00000003-D54C-4FCC-ACBF-DA2BC909C7D1}"/>
            </c:ext>
          </c:extLst>
        </c:ser>
        <c:ser>
          <c:idx val="4"/>
          <c:order val="4"/>
          <c:tx>
            <c:strRef>
              <c:f>Eksports_pa_grupam!$FB$216</c:f>
              <c:strCache>
                <c:ptCount val="1"/>
                <c:pt idx="0">
                  <c:v>Metāli un to izstrādājumi</c:v>
                </c:pt>
              </c:strCache>
            </c:strRef>
          </c:tx>
          <c:spPr>
            <a:solidFill>
              <a:schemeClr val="accent5"/>
            </a:solidFill>
            <a:ln>
              <a:noFill/>
            </a:ln>
            <a:effectLst/>
          </c:spPr>
          <c:invertIfNegative val="0"/>
          <c:cat>
            <c:multiLvlStrRef>
              <c:f>Eksports_pa_grupam!$GA$1:$HE$2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2023</c:v>
                  </c:pt>
                  <c:pt idx="12">
                    <c:v>2024</c:v>
                  </c:pt>
                  <c:pt idx="24">
                    <c:v>2025</c:v>
                  </c:pt>
                </c:lvl>
              </c:multiLvlStrCache>
            </c:multiLvlStrRef>
          </c:cat>
          <c:val>
            <c:numRef>
              <c:f>Eksports_pa_grupam!$GA$216:$HE$216</c:f>
              <c:numCache>
                <c:formatCode>0.00</c:formatCode>
                <c:ptCount val="31"/>
                <c:pt idx="0">
                  <c:v>-2.6713284670973492</c:v>
                </c:pt>
                <c:pt idx="1">
                  <c:v>-3.1188547055758331</c:v>
                </c:pt>
                <c:pt idx="2">
                  <c:v>-1.238380574776863</c:v>
                </c:pt>
                <c:pt idx="3">
                  <c:v>-1.5805948510112349</c:v>
                </c:pt>
                <c:pt idx="4">
                  <c:v>-1.2626685594845815</c:v>
                </c:pt>
                <c:pt idx="5">
                  <c:v>-0.51845938718253137</c:v>
                </c:pt>
                <c:pt idx="6">
                  <c:v>-1.6100108977732661</c:v>
                </c:pt>
                <c:pt idx="7">
                  <c:v>-0.32722288269555155</c:v>
                </c:pt>
                <c:pt idx="8">
                  <c:v>-8.2632293081448913E-2</c:v>
                </c:pt>
                <c:pt idx="9">
                  <c:v>-0.23974897514483728</c:v>
                </c:pt>
                <c:pt idx="10">
                  <c:v>-1.3312934599445021</c:v>
                </c:pt>
                <c:pt idx="11">
                  <c:v>0.14492086637440085</c:v>
                </c:pt>
                <c:pt idx="12">
                  <c:v>0.23090506865368679</c:v>
                </c:pt>
                <c:pt idx="13">
                  <c:v>0.35702278345231442</c:v>
                </c:pt>
                <c:pt idx="14">
                  <c:v>-1.5044079592891313</c:v>
                </c:pt>
                <c:pt idx="15">
                  <c:v>-0.25334263804559004</c:v>
                </c:pt>
                <c:pt idx="16">
                  <c:v>0.2124419199281011</c:v>
                </c:pt>
                <c:pt idx="17">
                  <c:v>-0.66586927038193278</c:v>
                </c:pt>
                <c:pt idx="18">
                  <c:v>1.2628928186958401</c:v>
                </c:pt>
                <c:pt idx="19">
                  <c:v>-1.456625973263233</c:v>
                </c:pt>
                <c:pt idx="20">
                  <c:v>-1.1161781552054137</c:v>
                </c:pt>
                <c:pt idx="21">
                  <c:v>-4.8175551413494562E-2</c:v>
                </c:pt>
                <c:pt idx="22">
                  <c:v>-0.65402912307237537</c:v>
                </c:pt>
                <c:pt idx="23">
                  <c:v>-1.0389327013136678</c:v>
                </c:pt>
                <c:pt idx="24">
                  <c:v>-0.1801883915803664</c:v>
                </c:pt>
                <c:pt idx="25">
                  <c:v>-0.31556092933156837</c:v>
                </c:pt>
                <c:pt idx="26">
                  <c:v>0.57749925541115099</c:v>
                </c:pt>
                <c:pt idx="27">
                  <c:v>3.4283271246050621E-2</c:v>
                </c:pt>
                <c:pt idx="28">
                  <c:v>0.68103705123394276</c:v>
                </c:pt>
                <c:pt idx="29">
                  <c:v>-1.289671980156635</c:v>
                </c:pt>
                <c:pt idx="30">
                  <c:v>-1.3762409400244413</c:v>
                </c:pt>
              </c:numCache>
            </c:numRef>
          </c:val>
          <c:extLst>
            <c:ext xmlns:c16="http://schemas.microsoft.com/office/drawing/2014/chart" uri="{C3380CC4-5D6E-409C-BE32-E72D297353CC}">
              <c16:uniqueId val="{00000004-D54C-4FCC-ACBF-DA2BC909C7D1}"/>
            </c:ext>
          </c:extLst>
        </c:ser>
        <c:ser>
          <c:idx val="5"/>
          <c:order val="5"/>
          <c:tx>
            <c:strRef>
              <c:f>Eksports_pa_grupam!$FB$217</c:f>
              <c:strCache>
                <c:ptCount val="1"/>
                <c:pt idx="0">
                  <c:v>Mehānismi un ierīces, t.sk. elektroierīces</c:v>
                </c:pt>
              </c:strCache>
            </c:strRef>
          </c:tx>
          <c:spPr>
            <a:solidFill>
              <a:schemeClr val="accent6"/>
            </a:solidFill>
            <a:ln>
              <a:noFill/>
            </a:ln>
            <a:effectLst/>
          </c:spPr>
          <c:invertIfNegative val="0"/>
          <c:cat>
            <c:multiLvlStrRef>
              <c:f>Eksports_pa_grupam!$GA$1:$HE$2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2023</c:v>
                  </c:pt>
                  <c:pt idx="12">
                    <c:v>2024</c:v>
                  </c:pt>
                  <c:pt idx="24">
                    <c:v>2025</c:v>
                  </c:pt>
                </c:lvl>
              </c:multiLvlStrCache>
            </c:multiLvlStrRef>
          </c:cat>
          <c:val>
            <c:numRef>
              <c:f>Eksports_pa_grupam!$GA$217:$HE$217</c:f>
              <c:numCache>
                <c:formatCode>0.00</c:formatCode>
                <c:ptCount val="31"/>
                <c:pt idx="0">
                  <c:v>3.521761031958651</c:v>
                </c:pt>
                <c:pt idx="1">
                  <c:v>3.2419902937692151</c:v>
                </c:pt>
                <c:pt idx="2">
                  <c:v>3.5568421358722104</c:v>
                </c:pt>
                <c:pt idx="3">
                  <c:v>1.1160767218021803</c:v>
                </c:pt>
                <c:pt idx="4">
                  <c:v>1.2763820141885642</c:v>
                </c:pt>
                <c:pt idx="5">
                  <c:v>-1.5570204470961366</c:v>
                </c:pt>
                <c:pt idx="6">
                  <c:v>-0.67074139836393321</c:v>
                </c:pt>
                <c:pt idx="7">
                  <c:v>-1.0040726878492743</c:v>
                </c:pt>
                <c:pt idx="8">
                  <c:v>-1.0549498212816861</c:v>
                </c:pt>
                <c:pt idx="9">
                  <c:v>-1.8923188646333315</c:v>
                </c:pt>
                <c:pt idx="10">
                  <c:v>-0.92324821035192972</c:v>
                </c:pt>
                <c:pt idx="11">
                  <c:v>-1.9256917317505928</c:v>
                </c:pt>
                <c:pt idx="12">
                  <c:v>-0.99407980775386706</c:v>
                </c:pt>
                <c:pt idx="13">
                  <c:v>-1.4227886177408173</c:v>
                </c:pt>
                <c:pt idx="14">
                  <c:v>-3.2643886949706107</c:v>
                </c:pt>
                <c:pt idx="15">
                  <c:v>0.42268600552541208</c:v>
                </c:pt>
                <c:pt idx="16">
                  <c:v>-5.0135495115743868E-2</c:v>
                </c:pt>
                <c:pt idx="17">
                  <c:v>-2.6013109355476431</c:v>
                </c:pt>
                <c:pt idx="18">
                  <c:v>1.2867658379632172</c:v>
                </c:pt>
                <c:pt idx="19">
                  <c:v>-1.0073531539077993</c:v>
                </c:pt>
                <c:pt idx="20">
                  <c:v>-0.77609381719563098</c:v>
                </c:pt>
                <c:pt idx="21">
                  <c:v>0.15026816597821915</c:v>
                </c:pt>
                <c:pt idx="22">
                  <c:v>-2.1376520897191806</c:v>
                </c:pt>
                <c:pt idx="23">
                  <c:v>-2.4314594931071585</c:v>
                </c:pt>
                <c:pt idx="24">
                  <c:v>0.16095532066313814</c:v>
                </c:pt>
                <c:pt idx="25">
                  <c:v>0.38183890371870566</c:v>
                </c:pt>
                <c:pt idx="26">
                  <c:v>0.97273107669393311</c:v>
                </c:pt>
                <c:pt idx="27">
                  <c:v>-0.28236199204736173</c:v>
                </c:pt>
                <c:pt idx="28">
                  <c:v>-0.37452641573846146</c:v>
                </c:pt>
                <c:pt idx="29">
                  <c:v>0.67290954740981379</c:v>
                </c:pt>
                <c:pt idx="30">
                  <c:v>0.91953086347886637</c:v>
                </c:pt>
              </c:numCache>
            </c:numRef>
          </c:val>
          <c:extLst>
            <c:ext xmlns:c16="http://schemas.microsoft.com/office/drawing/2014/chart" uri="{C3380CC4-5D6E-409C-BE32-E72D297353CC}">
              <c16:uniqueId val="{00000005-D54C-4FCC-ACBF-DA2BC909C7D1}"/>
            </c:ext>
          </c:extLst>
        </c:ser>
        <c:ser>
          <c:idx val="6"/>
          <c:order val="6"/>
          <c:tx>
            <c:strRef>
              <c:f>Eksports_pa_grupam!$FB$218</c:f>
              <c:strCache>
                <c:ptCount val="1"/>
                <c:pt idx="0">
                  <c:v>Satiksmes līdzekļi</c:v>
                </c:pt>
              </c:strCache>
            </c:strRef>
          </c:tx>
          <c:spPr>
            <a:solidFill>
              <a:schemeClr val="accent1">
                <a:lumMod val="60000"/>
              </a:schemeClr>
            </a:solidFill>
            <a:ln>
              <a:noFill/>
            </a:ln>
            <a:effectLst/>
          </c:spPr>
          <c:invertIfNegative val="0"/>
          <c:cat>
            <c:multiLvlStrRef>
              <c:f>Eksports_pa_grupam!$GA$1:$HE$2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2023</c:v>
                  </c:pt>
                  <c:pt idx="12">
                    <c:v>2024</c:v>
                  </c:pt>
                  <c:pt idx="24">
                    <c:v>2025</c:v>
                  </c:pt>
                </c:lvl>
              </c:multiLvlStrCache>
            </c:multiLvlStrRef>
          </c:cat>
          <c:val>
            <c:numRef>
              <c:f>Eksports_pa_grupam!$GA$218:$HE$218</c:f>
              <c:numCache>
                <c:formatCode>0.00</c:formatCode>
                <c:ptCount val="31"/>
                <c:pt idx="0">
                  <c:v>1.7597949179087007</c:v>
                </c:pt>
                <c:pt idx="1">
                  <c:v>1.070866748411099</c:v>
                </c:pt>
                <c:pt idx="2">
                  <c:v>1.3693572752205225</c:v>
                </c:pt>
                <c:pt idx="3">
                  <c:v>1.7337556073766678</c:v>
                </c:pt>
                <c:pt idx="4">
                  <c:v>0.57787398835558623</c:v>
                </c:pt>
                <c:pt idx="5">
                  <c:v>1.7719859887061138</c:v>
                </c:pt>
                <c:pt idx="6">
                  <c:v>-1.269946263790362</c:v>
                </c:pt>
                <c:pt idx="7">
                  <c:v>-0.14791047614210787</c:v>
                </c:pt>
                <c:pt idx="8">
                  <c:v>9.9801829067637376E-2</c:v>
                </c:pt>
                <c:pt idx="9">
                  <c:v>0.27865470838667444</c:v>
                </c:pt>
                <c:pt idx="10">
                  <c:v>-0.56860918132542349</c:v>
                </c:pt>
                <c:pt idx="11">
                  <c:v>-0.38582945040524436</c:v>
                </c:pt>
                <c:pt idx="12">
                  <c:v>2.5655382007453709E-2</c:v>
                </c:pt>
                <c:pt idx="13">
                  <c:v>0.19633150353366477</c:v>
                </c:pt>
                <c:pt idx="14">
                  <c:v>-0.36831936982519287</c:v>
                </c:pt>
                <c:pt idx="15">
                  <c:v>-0.74273082125887502</c:v>
                </c:pt>
                <c:pt idx="16">
                  <c:v>-0.43144576182187627</c:v>
                </c:pt>
                <c:pt idx="17">
                  <c:v>-2.8307676789661604</c:v>
                </c:pt>
                <c:pt idx="18">
                  <c:v>0.19662475148289851</c:v>
                </c:pt>
                <c:pt idx="19">
                  <c:v>-0.1743915112299475</c:v>
                </c:pt>
                <c:pt idx="20">
                  <c:v>-0.22920970932241019</c:v>
                </c:pt>
                <c:pt idx="21">
                  <c:v>-0.63659192589224223</c:v>
                </c:pt>
                <c:pt idx="22">
                  <c:v>1.5270218257725652</c:v>
                </c:pt>
                <c:pt idx="23">
                  <c:v>1.9380038311322321</c:v>
                </c:pt>
                <c:pt idx="24">
                  <c:v>-0.42529648724842861</c:v>
                </c:pt>
                <c:pt idx="25">
                  <c:v>-0.44897695353144207</c:v>
                </c:pt>
                <c:pt idx="26">
                  <c:v>0.56637081745953732</c:v>
                </c:pt>
                <c:pt idx="27">
                  <c:v>1.3199292832380478</c:v>
                </c:pt>
                <c:pt idx="28">
                  <c:v>1.2385318628153719</c:v>
                </c:pt>
                <c:pt idx="29">
                  <c:v>1.1415458037613364</c:v>
                </c:pt>
                <c:pt idx="30">
                  <c:v>0.52104940946181377</c:v>
                </c:pt>
              </c:numCache>
            </c:numRef>
          </c:val>
          <c:extLst>
            <c:ext xmlns:c16="http://schemas.microsoft.com/office/drawing/2014/chart" uri="{C3380CC4-5D6E-409C-BE32-E72D297353CC}">
              <c16:uniqueId val="{00000006-D54C-4FCC-ACBF-DA2BC909C7D1}"/>
            </c:ext>
          </c:extLst>
        </c:ser>
        <c:ser>
          <c:idx val="7"/>
          <c:order val="7"/>
          <c:tx>
            <c:strRef>
              <c:f>Eksports_pa_grupam!$FB$219</c:f>
              <c:strCache>
                <c:ptCount val="1"/>
                <c:pt idx="0">
                  <c:v>Pārējās preces</c:v>
                </c:pt>
              </c:strCache>
            </c:strRef>
          </c:tx>
          <c:spPr>
            <a:solidFill>
              <a:schemeClr val="bg1">
                <a:lumMod val="75000"/>
              </a:schemeClr>
            </a:solidFill>
            <a:ln>
              <a:noFill/>
            </a:ln>
            <a:effectLst/>
          </c:spPr>
          <c:invertIfNegative val="0"/>
          <c:cat>
            <c:multiLvlStrRef>
              <c:f>Eksports_pa_grupam!$GA$1:$HE$2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2023</c:v>
                  </c:pt>
                  <c:pt idx="12">
                    <c:v>2024</c:v>
                  </c:pt>
                  <c:pt idx="24">
                    <c:v>2025</c:v>
                  </c:pt>
                </c:lvl>
              </c:multiLvlStrCache>
            </c:multiLvlStrRef>
          </c:cat>
          <c:val>
            <c:numRef>
              <c:f>Eksports_pa_grupam!$GA$219:$HE$219</c:f>
              <c:numCache>
                <c:formatCode>0.00</c:formatCode>
                <c:ptCount val="31"/>
                <c:pt idx="0">
                  <c:v>0.63454981737594762</c:v>
                </c:pt>
                <c:pt idx="1">
                  <c:v>1.1411669530628614</c:v>
                </c:pt>
                <c:pt idx="2">
                  <c:v>0.49407594321895687</c:v>
                </c:pt>
                <c:pt idx="3">
                  <c:v>-2.4486752955582038E-2</c:v>
                </c:pt>
                <c:pt idx="4">
                  <c:v>-1.0115799897240234</c:v>
                </c:pt>
                <c:pt idx="5">
                  <c:v>-0.86817882997870521</c:v>
                </c:pt>
                <c:pt idx="6">
                  <c:v>-2.3192488871350561</c:v>
                </c:pt>
                <c:pt idx="7">
                  <c:v>-1.0330096272595397</c:v>
                </c:pt>
                <c:pt idx="8">
                  <c:v>-1.6955673655777328</c:v>
                </c:pt>
                <c:pt idx="9">
                  <c:v>-1.0838578835434964</c:v>
                </c:pt>
                <c:pt idx="10">
                  <c:v>-1.4258371771017126</c:v>
                </c:pt>
                <c:pt idx="11">
                  <c:v>-1.4848892175159878</c:v>
                </c:pt>
                <c:pt idx="12">
                  <c:v>-3.4750539402022128E-2</c:v>
                </c:pt>
                <c:pt idx="13">
                  <c:v>0.27275268599756264</c:v>
                </c:pt>
                <c:pt idx="14">
                  <c:v>-2.2972582664518035</c:v>
                </c:pt>
                <c:pt idx="15">
                  <c:v>0.88612805654667781</c:v>
                </c:pt>
                <c:pt idx="16">
                  <c:v>0.22840146868641015</c:v>
                </c:pt>
                <c:pt idx="17">
                  <c:v>-0.84823674043804131</c:v>
                </c:pt>
                <c:pt idx="18">
                  <c:v>1.8744454156852546</c:v>
                </c:pt>
                <c:pt idx="19">
                  <c:v>-0.71536581219142192</c:v>
                </c:pt>
                <c:pt idx="20">
                  <c:v>0.49681593098223159</c:v>
                </c:pt>
                <c:pt idx="21">
                  <c:v>1.3326372284041095</c:v>
                </c:pt>
                <c:pt idx="22">
                  <c:v>0.36380126570012811</c:v>
                </c:pt>
                <c:pt idx="23">
                  <c:v>-0.79890343707950007</c:v>
                </c:pt>
                <c:pt idx="24">
                  <c:v>1.0291969549731126</c:v>
                </c:pt>
                <c:pt idx="25">
                  <c:v>0.67544397593640126</c:v>
                </c:pt>
                <c:pt idx="26">
                  <c:v>1.6595306701121328</c:v>
                </c:pt>
                <c:pt idx="27">
                  <c:v>1.3741806601004747</c:v>
                </c:pt>
                <c:pt idx="28">
                  <c:v>-0.39106330409172435</c:v>
                </c:pt>
                <c:pt idx="29">
                  <c:v>1.1386391285231123</c:v>
                </c:pt>
                <c:pt idx="30">
                  <c:v>1.1164808935718036</c:v>
                </c:pt>
              </c:numCache>
            </c:numRef>
          </c:val>
          <c:extLst>
            <c:ext xmlns:c16="http://schemas.microsoft.com/office/drawing/2014/chart" uri="{C3380CC4-5D6E-409C-BE32-E72D297353CC}">
              <c16:uniqueId val="{00000007-D54C-4FCC-ACBF-DA2BC909C7D1}"/>
            </c:ext>
          </c:extLst>
        </c:ser>
        <c:dLbls>
          <c:showLegendKey val="0"/>
          <c:showVal val="0"/>
          <c:showCatName val="0"/>
          <c:showSerName val="0"/>
          <c:showPercent val="0"/>
          <c:showBubbleSize val="0"/>
        </c:dLbls>
        <c:gapWidth val="30"/>
        <c:overlap val="100"/>
        <c:axId val="1814691968"/>
        <c:axId val="1206322880"/>
      </c:barChart>
      <c:lineChart>
        <c:grouping val="standard"/>
        <c:varyColors val="0"/>
        <c:ser>
          <c:idx val="8"/>
          <c:order val="8"/>
          <c:tx>
            <c:strRef>
              <c:f>Eksports_pa_grupam!$FB$220</c:f>
              <c:strCache>
                <c:ptCount val="1"/>
                <c:pt idx="0">
                  <c:v>Preču eksporta izmaiņas, %</c:v>
                </c:pt>
              </c:strCache>
            </c:strRef>
          </c:tx>
          <c:spPr>
            <a:ln w="19050" cap="rnd">
              <a:solidFill>
                <a:schemeClr val="tx1"/>
              </a:solidFill>
              <a:round/>
            </a:ln>
            <a:effectLst/>
          </c:spPr>
          <c:marker>
            <c:symbol val="none"/>
          </c:marker>
          <c:cat>
            <c:multiLvlStrRef>
              <c:f>Eksports_pa_grupam!$FY$227:$HB$228</c:f>
            </c:multiLvlStrRef>
          </c:cat>
          <c:val>
            <c:numRef>
              <c:f>Eksports_pa_grupam!$GA$220:$HE$220</c:f>
              <c:numCache>
                <c:formatCode>0.0</c:formatCode>
                <c:ptCount val="31"/>
                <c:pt idx="0">
                  <c:v>10.07964335695404</c:v>
                </c:pt>
                <c:pt idx="1">
                  <c:v>5.327155441413697</c:v>
                </c:pt>
                <c:pt idx="2">
                  <c:v>2.805209641855944</c:v>
                </c:pt>
                <c:pt idx="3">
                  <c:v>-8.8217481299428968</c:v>
                </c:pt>
                <c:pt idx="4">
                  <c:v>-11.595444471203217</c:v>
                </c:pt>
                <c:pt idx="5">
                  <c:v>-10.728510190929734</c:v>
                </c:pt>
                <c:pt idx="6">
                  <c:v>-18.829080935396821</c:v>
                </c:pt>
                <c:pt idx="7">
                  <c:v>-23.372464996733605</c:v>
                </c:pt>
                <c:pt idx="8">
                  <c:v>-27.100653992080968</c:v>
                </c:pt>
                <c:pt idx="9">
                  <c:v>-9.6410815112841242</c:v>
                </c:pt>
                <c:pt idx="10">
                  <c:v>-18.741262512091325</c:v>
                </c:pt>
                <c:pt idx="11">
                  <c:v>-13.589442326922317</c:v>
                </c:pt>
                <c:pt idx="12">
                  <c:v>0.66772726245096925</c:v>
                </c:pt>
                <c:pt idx="13">
                  <c:v>-2.0853404444824832</c:v>
                </c:pt>
                <c:pt idx="14">
                  <c:v>-16.323155127046082</c:v>
                </c:pt>
                <c:pt idx="15">
                  <c:v>9.433598020095979E-2</c:v>
                </c:pt>
                <c:pt idx="16">
                  <c:v>2.0951097802380563</c:v>
                </c:pt>
                <c:pt idx="17">
                  <c:v>-5.3496528167727213</c:v>
                </c:pt>
                <c:pt idx="18">
                  <c:v>14.546075509168853</c:v>
                </c:pt>
                <c:pt idx="19">
                  <c:v>1.5689841212734064</c:v>
                </c:pt>
                <c:pt idx="20">
                  <c:v>1.5004878201030518</c:v>
                </c:pt>
                <c:pt idx="21">
                  <c:v>4.3652228252640661</c:v>
                </c:pt>
                <c:pt idx="22">
                  <c:v>2.1548354184750602</c:v>
                </c:pt>
                <c:pt idx="23">
                  <c:v>-1.6863157745681192</c:v>
                </c:pt>
                <c:pt idx="24">
                  <c:v>0.84132755348219557</c:v>
                </c:pt>
                <c:pt idx="25">
                  <c:v>3.6883630088753696</c:v>
                </c:pt>
                <c:pt idx="26">
                  <c:v>10.81418268280717</c:v>
                </c:pt>
                <c:pt idx="27">
                  <c:v>11.058595084235403</c:v>
                </c:pt>
                <c:pt idx="28">
                  <c:v>2.1301222456917763</c:v>
                </c:pt>
                <c:pt idx="29">
                  <c:v>-1.7841375069312495</c:v>
                </c:pt>
                <c:pt idx="30">
                  <c:v>0.54625547102027106</c:v>
                </c:pt>
              </c:numCache>
            </c:numRef>
          </c:val>
          <c:smooth val="0"/>
          <c:extLst>
            <c:ext xmlns:c16="http://schemas.microsoft.com/office/drawing/2014/chart" uri="{C3380CC4-5D6E-409C-BE32-E72D297353CC}">
              <c16:uniqueId val="{00000008-D54C-4FCC-ACBF-DA2BC909C7D1}"/>
            </c:ext>
          </c:extLst>
        </c:ser>
        <c:dLbls>
          <c:showLegendKey val="0"/>
          <c:showVal val="0"/>
          <c:showCatName val="0"/>
          <c:showSerName val="0"/>
          <c:showPercent val="0"/>
          <c:showBubbleSize val="0"/>
        </c:dLbls>
        <c:marker val="1"/>
        <c:smooth val="0"/>
        <c:axId val="1814682848"/>
        <c:axId val="1955046592"/>
      </c:lineChart>
      <c:catAx>
        <c:axId val="1814691968"/>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206322880"/>
        <c:crosses val="autoZero"/>
        <c:auto val="1"/>
        <c:lblAlgn val="ctr"/>
        <c:lblOffset val="100"/>
        <c:noMultiLvlLbl val="0"/>
      </c:catAx>
      <c:valAx>
        <c:axId val="1206322880"/>
        <c:scaling>
          <c:orientation val="minMax"/>
          <c:max val="20"/>
          <c:min val="-3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814691968"/>
        <c:crosses val="autoZero"/>
        <c:crossBetween val="between"/>
        <c:majorUnit val="5"/>
      </c:valAx>
      <c:valAx>
        <c:axId val="1955046592"/>
        <c:scaling>
          <c:orientation val="minMax"/>
          <c:max val="20"/>
          <c:min val="-3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814682848"/>
        <c:crosses val="max"/>
        <c:crossBetween val="between"/>
        <c:majorUnit val="5"/>
      </c:valAx>
      <c:catAx>
        <c:axId val="1814682848"/>
        <c:scaling>
          <c:orientation val="minMax"/>
        </c:scaling>
        <c:delete val="1"/>
        <c:axPos val="b"/>
        <c:numFmt formatCode="General" sourceLinked="1"/>
        <c:majorTickMark val="out"/>
        <c:minorTickMark val="none"/>
        <c:tickLblPos val="nextTo"/>
        <c:crossAx val="1955046592"/>
        <c:crosses val="autoZero"/>
        <c:auto val="1"/>
        <c:lblAlgn val="ctr"/>
        <c:lblOffset val="100"/>
        <c:noMultiLvlLbl val="0"/>
      </c:catAx>
      <c:spPr>
        <a:noFill/>
        <a:ln>
          <a:noFill/>
        </a:ln>
        <a:effectLst/>
      </c:spPr>
    </c:plotArea>
    <c:legend>
      <c:legendPos val="b"/>
      <c:layout>
        <c:manualLayout>
          <c:xMode val="edge"/>
          <c:yMode val="edge"/>
          <c:x val="2.2350320784847236E-2"/>
          <c:y val="0.77948184633669704"/>
          <c:w val="0.96680268584280415"/>
          <c:h val="0.1979150429128144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Pakalpojumu_eksports_Y!$N$7</c:f>
              <c:strCache>
                <c:ptCount val="1"/>
                <c:pt idx="0">
                  <c:v>Transporta pakalpojumi</c:v>
                </c:pt>
              </c:strCache>
            </c:strRef>
          </c:tx>
          <c:spPr>
            <a:solidFill>
              <a:schemeClr val="accent1"/>
            </a:solidFill>
            <a:ln>
              <a:noFill/>
            </a:ln>
            <a:effectLst/>
          </c:spPr>
          <c:invertIfNegative val="0"/>
          <c:dLbls>
            <c:dLbl>
              <c:idx val="0"/>
              <c:tx>
                <c:rich>
                  <a:bodyPr/>
                  <a:lstStyle/>
                  <a:p>
                    <a:fld id="{BD7ACD08-A506-4F0B-8068-85365176B75E}" type="CELLRANGE">
                      <a:rPr lang="en-US"/>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7042-43AB-9FFE-D1CB341BE38C}"/>
                </c:ext>
              </c:extLst>
            </c:dLbl>
            <c:dLbl>
              <c:idx val="1"/>
              <c:tx>
                <c:rich>
                  <a:bodyPr/>
                  <a:lstStyle/>
                  <a:p>
                    <a:fld id="{A0FEC883-D64C-461E-BA2B-EFDCAE1CE2B3}"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7042-43AB-9FFE-D1CB341BE38C}"/>
                </c:ext>
              </c:extLst>
            </c:dLbl>
            <c:dLbl>
              <c:idx val="2"/>
              <c:tx>
                <c:rich>
                  <a:bodyPr/>
                  <a:lstStyle/>
                  <a:p>
                    <a:fld id="{63044169-BEB0-41D6-A1B2-CDC9B1C92439}"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7042-43AB-9FFE-D1CB341BE38C}"/>
                </c:ext>
              </c:extLst>
            </c:dLbl>
            <c:dLbl>
              <c:idx val="3"/>
              <c:tx>
                <c:rich>
                  <a:bodyPr/>
                  <a:lstStyle/>
                  <a:p>
                    <a:fld id="{D477AE95-41DA-4234-9917-503C478A63DE}"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7042-43AB-9FFE-D1CB341BE38C}"/>
                </c:ext>
              </c:extLst>
            </c:dLbl>
            <c:dLbl>
              <c:idx val="4"/>
              <c:tx>
                <c:rich>
                  <a:bodyPr/>
                  <a:lstStyle/>
                  <a:p>
                    <a:fld id="{7799290A-E80E-44C4-A4BE-DF4AEC138127}"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7042-43AB-9FFE-D1CB341BE38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lv-LV"/>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Pakalpojumu_eksports_Y!$T$6:$X$6</c:f>
              <c:numCache>
                <c:formatCode>General</c:formatCode>
                <c:ptCount val="5"/>
                <c:pt idx="0">
                  <c:v>2020</c:v>
                </c:pt>
                <c:pt idx="1">
                  <c:v>2021</c:v>
                </c:pt>
                <c:pt idx="2">
                  <c:v>2022</c:v>
                </c:pt>
                <c:pt idx="3">
                  <c:v>2023</c:v>
                </c:pt>
                <c:pt idx="4">
                  <c:v>2024</c:v>
                </c:pt>
              </c:numCache>
            </c:numRef>
          </c:cat>
          <c:val>
            <c:numRef>
              <c:f>Pakalpojumu_eksports_Y!$T$7:$X$7</c:f>
              <c:numCache>
                <c:formatCode>0</c:formatCode>
                <c:ptCount val="5"/>
                <c:pt idx="0">
                  <c:v>1432</c:v>
                </c:pt>
                <c:pt idx="1">
                  <c:v>1599</c:v>
                </c:pt>
                <c:pt idx="2">
                  <c:v>2333</c:v>
                </c:pt>
                <c:pt idx="3">
                  <c:v>2383</c:v>
                </c:pt>
                <c:pt idx="4" formatCode="General">
                  <c:v>2472</c:v>
                </c:pt>
              </c:numCache>
            </c:numRef>
          </c:val>
          <c:extLst>
            <c:ext xmlns:c15="http://schemas.microsoft.com/office/drawing/2012/chart" uri="{02D57815-91ED-43cb-92C2-25804820EDAC}">
              <c15:datalabelsRange>
                <c15:f>Pakalpojumu_eksports_Y!$T$16:$X$16</c15:f>
                <c15:dlblRangeCache>
                  <c:ptCount val="5"/>
                  <c:pt idx="0">
                    <c:v>29,5</c:v>
                  </c:pt>
                  <c:pt idx="1">
                    <c:v>29,9</c:v>
                  </c:pt>
                  <c:pt idx="2">
                    <c:v>32,1</c:v>
                  </c:pt>
                  <c:pt idx="3">
                    <c:v>31,7</c:v>
                  </c:pt>
                  <c:pt idx="4">
                    <c:v>31,8</c:v>
                  </c:pt>
                </c15:dlblRangeCache>
              </c15:datalabelsRange>
            </c:ext>
            <c:ext xmlns:c16="http://schemas.microsoft.com/office/drawing/2014/chart" uri="{C3380CC4-5D6E-409C-BE32-E72D297353CC}">
              <c16:uniqueId val="{00000005-7042-43AB-9FFE-D1CB341BE38C}"/>
            </c:ext>
          </c:extLst>
        </c:ser>
        <c:ser>
          <c:idx val="1"/>
          <c:order val="1"/>
          <c:tx>
            <c:strRef>
              <c:f>Pakalpojumu_eksports_Y!$N$8</c:f>
              <c:strCache>
                <c:ptCount val="1"/>
                <c:pt idx="0">
                  <c:v>Braucieni</c:v>
                </c:pt>
              </c:strCache>
            </c:strRef>
          </c:tx>
          <c:spPr>
            <a:solidFill>
              <a:schemeClr val="accent2"/>
            </a:solidFill>
            <a:ln>
              <a:noFill/>
            </a:ln>
            <a:effectLst/>
          </c:spPr>
          <c:invertIfNegative val="0"/>
          <c:dLbls>
            <c:dLbl>
              <c:idx val="0"/>
              <c:tx>
                <c:rich>
                  <a:bodyPr/>
                  <a:lstStyle/>
                  <a:p>
                    <a:fld id="{FA9CAF3A-1E80-45D4-AEB6-C014E3AB5CC4}" type="CELLRANGE">
                      <a:rPr lang="en-US"/>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7042-43AB-9FFE-D1CB341BE38C}"/>
                </c:ext>
              </c:extLst>
            </c:dLbl>
            <c:dLbl>
              <c:idx val="1"/>
              <c:tx>
                <c:rich>
                  <a:bodyPr/>
                  <a:lstStyle/>
                  <a:p>
                    <a:fld id="{B7703B1B-6C99-44A3-81E6-00010BBC3A28}"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7042-43AB-9FFE-D1CB341BE38C}"/>
                </c:ext>
              </c:extLst>
            </c:dLbl>
            <c:dLbl>
              <c:idx val="2"/>
              <c:tx>
                <c:rich>
                  <a:bodyPr/>
                  <a:lstStyle/>
                  <a:p>
                    <a:fld id="{8485DA46-7EF7-4622-B99F-78ABAF407F58}"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7042-43AB-9FFE-D1CB341BE38C}"/>
                </c:ext>
              </c:extLst>
            </c:dLbl>
            <c:dLbl>
              <c:idx val="3"/>
              <c:tx>
                <c:rich>
                  <a:bodyPr/>
                  <a:lstStyle/>
                  <a:p>
                    <a:fld id="{083BD93D-B86E-4527-8956-D4EBD5763785}"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7042-43AB-9FFE-D1CB341BE38C}"/>
                </c:ext>
              </c:extLst>
            </c:dLbl>
            <c:dLbl>
              <c:idx val="4"/>
              <c:tx>
                <c:rich>
                  <a:bodyPr/>
                  <a:lstStyle/>
                  <a:p>
                    <a:fld id="{153804D5-CA5C-4868-9729-46069FF7ED1E}"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7042-43AB-9FFE-D1CB341BE38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lv-LV"/>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Pakalpojumu_eksports_Y!$T$6:$X$6</c:f>
              <c:numCache>
                <c:formatCode>General</c:formatCode>
                <c:ptCount val="5"/>
                <c:pt idx="0">
                  <c:v>2020</c:v>
                </c:pt>
                <c:pt idx="1">
                  <c:v>2021</c:v>
                </c:pt>
                <c:pt idx="2">
                  <c:v>2022</c:v>
                </c:pt>
                <c:pt idx="3">
                  <c:v>2023</c:v>
                </c:pt>
                <c:pt idx="4">
                  <c:v>2024</c:v>
                </c:pt>
              </c:numCache>
            </c:numRef>
          </c:cat>
          <c:val>
            <c:numRef>
              <c:f>Pakalpojumu_eksports_Y!$T$8:$X$8</c:f>
              <c:numCache>
                <c:formatCode>0</c:formatCode>
                <c:ptCount val="5"/>
                <c:pt idx="0">
                  <c:v>696</c:v>
                </c:pt>
                <c:pt idx="1">
                  <c:v>626</c:v>
                </c:pt>
                <c:pt idx="2">
                  <c:v>1028</c:v>
                </c:pt>
                <c:pt idx="3">
                  <c:v>1180</c:v>
                </c:pt>
                <c:pt idx="4" formatCode="General">
                  <c:v>1268</c:v>
                </c:pt>
              </c:numCache>
            </c:numRef>
          </c:val>
          <c:extLst>
            <c:ext xmlns:c15="http://schemas.microsoft.com/office/drawing/2012/chart" uri="{02D57815-91ED-43cb-92C2-25804820EDAC}">
              <c15:datalabelsRange>
                <c15:f>Pakalpojumu_eksports_Y!$T$17:$X$17</c15:f>
                <c15:dlblRangeCache>
                  <c:ptCount val="5"/>
                  <c:pt idx="0">
                    <c:v>14,3</c:v>
                  </c:pt>
                  <c:pt idx="1">
                    <c:v>11,7</c:v>
                  </c:pt>
                  <c:pt idx="2">
                    <c:v>14,2</c:v>
                  </c:pt>
                  <c:pt idx="3">
                    <c:v>15,7</c:v>
                  </c:pt>
                  <c:pt idx="4">
                    <c:v>16,3</c:v>
                  </c:pt>
                </c15:dlblRangeCache>
              </c15:datalabelsRange>
            </c:ext>
            <c:ext xmlns:c16="http://schemas.microsoft.com/office/drawing/2014/chart" uri="{C3380CC4-5D6E-409C-BE32-E72D297353CC}">
              <c16:uniqueId val="{0000000B-7042-43AB-9FFE-D1CB341BE38C}"/>
            </c:ext>
          </c:extLst>
        </c:ser>
        <c:ser>
          <c:idx val="2"/>
          <c:order val="2"/>
          <c:tx>
            <c:strRef>
              <c:f>Pakalpojumu_eksports_Y!$N$9</c:f>
              <c:strCache>
                <c:ptCount val="1"/>
                <c:pt idx="0">
                  <c:v>Telesakaru un IT</c:v>
                </c:pt>
              </c:strCache>
            </c:strRef>
          </c:tx>
          <c:spPr>
            <a:solidFill>
              <a:schemeClr val="accent6">
                <a:lumMod val="40000"/>
                <a:lumOff val="60000"/>
              </a:schemeClr>
            </a:solidFill>
            <a:ln>
              <a:noFill/>
            </a:ln>
            <a:effectLst/>
          </c:spPr>
          <c:invertIfNegative val="0"/>
          <c:dLbls>
            <c:dLbl>
              <c:idx val="0"/>
              <c:tx>
                <c:rich>
                  <a:bodyPr/>
                  <a:lstStyle/>
                  <a:p>
                    <a:fld id="{F3780E60-2055-4EAC-A397-55AB924D241A}" type="CELLRANGE">
                      <a:rPr lang="en-US"/>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7042-43AB-9FFE-D1CB341BE38C}"/>
                </c:ext>
              </c:extLst>
            </c:dLbl>
            <c:dLbl>
              <c:idx val="1"/>
              <c:tx>
                <c:rich>
                  <a:bodyPr/>
                  <a:lstStyle/>
                  <a:p>
                    <a:fld id="{9F41CE0D-AC0E-41A7-B2AE-AFF4811DD407}"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7042-43AB-9FFE-D1CB341BE38C}"/>
                </c:ext>
              </c:extLst>
            </c:dLbl>
            <c:dLbl>
              <c:idx val="2"/>
              <c:tx>
                <c:rich>
                  <a:bodyPr/>
                  <a:lstStyle/>
                  <a:p>
                    <a:fld id="{C79A0A84-A21A-487E-8480-60D1088C6FB0}"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7042-43AB-9FFE-D1CB341BE38C}"/>
                </c:ext>
              </c:extLst>
            </c:dLbl>
            <c:dLbl>
              <c:idx val="3"/>
              <c:tx>
                <c:rich>
                  <a:bodyPr/>
                  <a:lstStyle/>
                  <a:p>
                    <a:fld id="{9281CEA8-2E65-47AE-941F-F52326E267B4}"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7042-43AB-9FFE-D1CB341BE38C}"/>
                </c:ext>
              </c:extLst>
            </c:dLbl>
            <c:dLbl>
              <c:idx val="4"/>
              <c:tx>
                <c:rich>
                  <a:bodyPr/>
                  <a:lstStyle/>
                  <a:p>
                    <a:fld id="{FFF32C05-4606-4103-A42C-C09900CFFDE5}"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7042-43AB-9FFE-D1CB341BE38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lv-LV"/>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Pakalpojumu_eksports_Y!$T$6:$X$6</c:f>
              <c:numCache>
                <c:formatCode>General</c:formatCode>
                <c:ptCount val="5"/>
                <c:pt idx="0">
                  <c:v>2020</c:v>
                </c:pt>
                <c:pt idx="1">
                  <c:v>2021</c:v>
                </c:pt>
                <c:pt idx="2">
                  <c:v>2022</c:v>
                </c:pt>
                <c:pt idx="3">
                  <c:v>2023</c:v>
                </c:pt>
                <c:pt idx="4">
                  <c:v>2024</c:v>
                </c:pt>
              </c:numCache>
            </c:numRef>
          </c:cat>
          <c:val>
            <c:numRef>
              <c:f>Pakalpojumu_eksports_Y!$T$9:$X$9</c:f>
              <c:numCache>
                <c:formatCode>0</c:formatCode>
                <c:ptCount val="5"/>
                <c:pt idx="0">
                  <c:v>856</c:v>
                </c:pt>
                <c:pt idx="1">
                  <c:v>963</c:v>
                </c:pt>
                <c:pt idx="2">
                  <c:v>1244</c:v>
                </c:pt>
                <c:pt idx="3">
                  <c:v>1273</c:v>
                </c:pt>
                <c:pt idx="4" formatCode="General">
                  <c:v>1361</c:v>
                </c:pt>
              </c:numCache>
            </c:numRef>
          </c:val>
          <c:extLst>
            <c:ext xmlns:c15="http://schemas.microsoft.com/office/drawing/2012/chart" uri="{02D57815-91ED-43cb-92C2-25804820EDAC}">
              <c15:datalabelsRange>
                <c15:f>Pakalpojumu_eksports_Y!$T$18:$X$18</c15:f>
                <c15:dlblRangeCache>
                  <c:ptCount val="5"/>
                  <c:pt idx="0">
                    <c:v>17,6</c:v>
                  </c:pt>
                  <c:pt idx="1">
                    <c:v>18,0</c:v>
                  </c:pt>
                  <c:pt idx="2">
                    <c:v>17,1</c:v>
                  </c:pt>
                  <c:pt idx="3">
                    <c:v>17,0</c:v>
                  </c:pt>
                  <c:pt idx="4">
                    <c:v>17,5</c:v>
                  </c:pt>
                </c15:dlblRangeCache>
              </c15:datalabelsRange>
            </c:ext>
            <c:ext xmlns:c16="http://schemas.microsoft.com/office/drawing/2014/chart" uri="{C3380CC4-5D6E-409C-BE32-E72D297353CC}">
              <c16:uniqueId val="{00000011-7042-43AB-9FFE-D1CB341BE38C}"/>
            </c:ext>
          </c:extLst>
        </c:ser>
        <c:ser>
          <c:idx val="3"/>
          <c:order val="3"/>
          <c:tx>
            <c:strRef>
              <c:f>Pakalpojumu_eksports_Y!$N$10</c:f>
              <c:strCache>
                <c:ptCount val="1"/>
                <c:pt idx="0">
                  <c:v>Finanšu pakalpojumi</c:v>
                </c:pt>
              </c:strCache>
            </c:strRef>
          </c:tx>
          <c:spPr>
            <a:solidFill>
              <a:schemeClr val="accent4"/>
            </a:solidFill>
            <a:ln>
              <a:noFill/>
            </a:ln>
            <a:effectLst/>
          </c:spPr>
          <c:invertIfNegative val="0"/>
          <c:cat>
            <c:numRef>
              <c:f>Pakalpojumu_eksports_Y!$T$6:$X$6</c:f>
              <c:numCache>
                <c:formatCode>General</c:formatCode>
                <c:ptCount val="5"/>
                <c:pt idx="0">
                  <c:v>2020</c:v>
                </c:pt>
                <c:pt idx="1">
                  <c:v>2021</c:v>
                </c:pt>
                <c:pt idx="2">
                  <c:v>2022</c:v>
                </c:pt>
                <c:pt idx="3">
                  <c:v>2023</c:v>
                </c:pt>
                <c:pt idx="4">
                  <c:v>2024</c:v>
                </c:pt>
              </c:numCache>
            </c:numRef>
          </c:cat>
          <c:val>
            <c:numRef>
              <c:f>Pakalpojumu_eksports_Y!$T$10:$X$10</c:f>
              <c:numCache>
                <c:formatCode>0</c:formatCode>
                <c:ptCount val="5"/>
                <c:pt idx="0">
                  <c:v>145</c:v>
                </c:pt>
                <c:pt idx="1">
                  <c:v>185</c:v>
                </c:pt>
                <c:pt idx="2">
                  <c:v>208</c:v>
                </c:pt>
                <c:pt idx="3">
                  <c:v>172</c:v>
                </c:pt>
                <c:pt idx="4" formatCode="General">
                  <c:v>176</c:v>
                </c:pt>
              </c:numCache>
            </c:numRef>
          </c:val>
          <c:extLst>
            <c:ext xmlns:c16="http://schemas.microsoft.com/office/drawing/2014/chart" uri="{C3380CC4-5D6E-409C-BE32-E72D297353CC}">
              <c16:uniqueId val="{00000012-7042-43AB-9FFE-D1CB341BE38C}"/>
            </c:ext>
          </c:extLst>
        </c:ser>
        <c:ser>
          <c:idx val="4"/>
          <c:order val="4"/>
          <c:tx>
            <c:strRef>
              <c:f>Pakalpojumu_eksports_Y!$N$11</c:f>
              <c:strCache>
                <c:ptCount val="1"/>
                <c:pt idx="0">
                  <c:v>Būvniecība</c:v>
                </c:pt>
              </c:strCache>
            </c:strRef>
          </c:tx>
          <c:spPr>
            <a:solidFill>
              <a:schemeClr val="accent5"/>
            </a:solidFill>
            <a:ln>
              <a:noFill/>
            </a:ln>
            <a:effectLst/>
          </c:spPr>
          <c:invertIfNegative val="0"/>
          <c:dLbls>
            <c:dLbl>
              <c:idx val="0"/>
              <c:tx>
                <c:rich>
                  <a:bodyPr/>
                  <a:lstStyle/>
                  <a:p>
                    <a:fld id="{62F32A2A-3AA3-4645-8922-C7948AE9458E}" type="CELLRANGE">
                      <a:rPr lang="en-US"/>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7042-43AB-9FFE-D1CB341BE38C}"/>
                </c:ext>
              </c:extLst>
            </c:dLbl>
            <c:dLbl>
              <c:idx val="1"/>
              <c:tx>
                <c:rich>
                  <a:bodyPr/>
                  <a:lstStyle/>
                  <a:p>
                    <a:fld id="{09B1D0BB-F23D-45DF-9506-C5932F0D5781}"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7042-43AB-9FFE-D1CB341BE38C}"/>
                </c:ext>
              </c:extLst>
            </c:dLbl>
            <c:dLbl>
              <c:idx val="2"/>
              <c:tx>
                <c:rich>
                  <a:bodyPr/>
                  <a:lstStyle/>
                  <a:p>
                    <a:fld id="{22C225F7-0A1E-47EC-8D80-4E9B952DA721}"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7042-43AB-9FFE-D1CB341BE38C}"/>
                </c:ext>
              </c:extLst>
            </c:dLbl>
            <c:dLbl>
              <c:idx val="3"/>
              <c:tx>
                <c:rich>
                  <a:bodyPr/>
                  <a:lstStyle/>
                  <a:p>
                    <a:fld id="{405172C1-0F8D-4D53-A86F-C5CA0E895F3D}"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7042-43AB-9FFE-D1CB341BE38C}"/>
                </c:ext>
              </c:extLst>
            </c:dLbl>
            <c:dLbl>
              <c:idx val="4"/>
              <c:tx>
                <c:rich>
                  <a:bodyPr/>
                  <a:lstStyle/>
                  <a:p>
                    <a:fld id="{460EA033-3325-40F4-B8EE-90028991EFFC}"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7042-43AB-9FFE-D1CB341BE38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lv-LV"/>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Pakalpojumu_eksports_Y!$T$6:$X$6</c:f>
              <c:numCache>
                <c:formatCode>General</c:formatCode>
                <c:ptCount val="5"/>
                <c:pt idx="0">
                  <c:v>2020</c:v>
                </c:pt>
                <c:pt idx="1">
                  <c:v>2021</c:v>
                </c:pt>
                <c:pt idx="2">
                  <c:v>2022</c:v>
                </c:pt>
                <c:pt idx="3">
                  <c:v>2023</c:v>
                </c:pt>
                <c:pt idx="4">
                  <c:v>2024</c:v>
                </c:pt>
              </c:numCache>
            </c:numRef>
          </c:cat>
          <c:val>
            <c:numRef>
              <c:f>Pakalpojumu_eksports_Y!$T$11:$X$11</c:f>
              <c:numCache>
                <c:formatCode>0</c:formatCode>
                <c:ptCount val="5"/>
                <c:pt idx="0">
                  <c:v>365</c:v>
                </c:pt>
                <c:pt idx="1">
                  <c:v>373</c:v>
                </c:pt>
                <c:pt idx="2">
                  <c:v>329</c:v>
                </c:pt>
                <c:pt idx="3">
                  <c:v>361</c:v>
                </c:pt>
                <c:pt idx="4" formatCode="General">
                  <c:v>389</c:v>
                </c:pt>
              </c:numCache>
            </c:numRef>
          </c:val>
          <c:extLst>
            <c:ext xmlns:c15="http://schemas.microsoft.com/office/drawing/2012/chart" uri="{02D57815-91ED-43cb-92C2-25804820EDAC}">
              <c15:datalabelsRange>
                <c15:f>Pakalpojumu_eksports_Y!$T$20:$X$20</c15:f>
                <c15:dlblRangeCache>
                  <c:ptCount val="5"/>
                  <c:pt idx="0">
                    <c:v>7,5</c:v>
                  </c:pt>
                  <c:pt idx="1">
                    <c:v>7,0</c:v>
                  </c:pt>
                  <c:pt idx="2">
                    <c:v>4,5</c:v>
                  </c:pt>
                  <c:pt idx="3">
                    <c:v>4,8</c:v>
                  </c:pt>
                  <c:pt idx="4">
                    <c:v>5,0</c:v>
                  </c:pt>
                </c15:dlblRangeCache>
              </c15:datalabelsRange>
            </c:ext>
            <c:ext xmlns:c16="http://schemas.microsoft.com/office/drawing/2014/chart" uri="{C3380CC4-5D6E-409C-BE32-E72D297353CC}">
              <c16:uniqueId val="{00000018-7042-43AB-9FFE-D1CB341BE38C}"/>
            </c:ext>
          </c:extLst>
        </c:ser>
        <c:ser>
          <c:idx val="5"/>
          <c:order val="5"/>
          <c:tx>
            <c:strRef>
              <c:f>Pakalpojumu_eksports_Y!$N$12</c:f>
              <c:strCache>
                <c:ptCount val="1"/>
                <c:pt idx="0">
                  <c:v>Citi pakalpojumi</c:v>
                </c:pt>
              </c:strCache>
            </c:strRef>
          </c:tx>
          <c:spPr>
            <a:solidFill>
              <a:schemeClr val="bg1">
                <a:lumMod val="75000"/>
              </a:schemeClr>
            </a:solidFill>
            <a:ln>
              <a:noFill/>
            </a:ln>
            <a:effectLst/>
          </c:spPr>
          <c:invertIfNegative val="0"/>
          <c:dLbls>
            <c:dLbl>
              <c:idx val="0"/>
              <c:tx>
                <c:rich>
                  <a:bodyPr/>
                  <a:lstStyle/>
                  <a:p>
                    <a:fld id="{2312AEAE-79F3-46C4-B5A4-E466FA0C88D2}" type="CELLRANGE">
                      <a:rPr lang="en-US"/>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7042-43AB-9FFE-D1CB341BE38C}"/>
                </c:ext>
              </c:extLst>
            </c:dLbl>
            <c:dLbl>
              <c:idx val="1"/>
              <c:tx>
                <c:rich>
                  <a:bodyPr/>
                  <a:lstStyle/>
                  <a:p>
                    <a:fld id="{88ADF922-F091-47FF-B014-E6259449AA18}"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7042-43AB-9FFE-D1CB341BE38C}"/>
                </c:ext>
              </c:extLst>
            </c:dLbl>
            <c:dLbl>
              <c:idx val="2"/>
              <c:tx>
                <c:rich>
                  <a:bodyPr/>
                  <a:lstStyle/>
                  <a:p>
                    <a:fld id="{22F928AE-0BB7-4E48-8D29-BD06F7955D14}"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7042-43AB-9FFE-D1CB341BE38C}"/>
                </c:ext>
              </c:extLst>
            </c:dLbl>
            <c:dLbl>
              <c:idx val="3"/>
              <c:tx>
                <c:rich>
                  <a:bodyPr/>
                  <a:lstStyle/>
                  <a:p>
                    <a:fld id="{70F7D6CB-17D5-4BCE-9ECD-52AD9B8264F5}"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7042-43AB-9FFE-D1CB341BE38C}"/>
                </c:ext>
              </c:extLst>
            </c:dLbl>
            <c:dLbl>
              <c:idx val="4"/>
              <c:tx>
                <c:rich>
                  <a:bodyPr/>
                  <a:lstStyle/>
                  <a:p>
                    <a:fld id="{F72865DD-78A2-41C4-BAD5-D9183E11ABF3}" type="CELLRANGE">
                      <a:rPr lang="lv-LV"/>
                      <a:pPr/>
                      <a:t>[CELLRANGE]</a:t>
                    </a:fld>
                    <a:endParaRPr lang="lv-LV"/>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7042-43AB-9FFE-D1CB341BE38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lv-LV"/>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numRef>
              <c:f>Pakalpojumu_eksports_Y!$T$6:$X$6</c:f>
              <c:numCache>
                <c:formatCode>General</c:formatCode>
                <c:ptCount val="5"/>
                <c:pt idx="0">
                  <c:v>2020</c:v>
                </c:pt>
                <c:pt idx="1">
                  <c:v>2021</c:v>
                </c:pt>
                <c:pt idx="2">
                  <c:v>2022</c:v>
                </c:pt>
                <c:pt idx="3">
                  <c:v>2023</c:v>
                </c:pt>
                <c:pt idx="4">
                  <c:v>2024</c:v>
                </c:pt>
              </c:numCache>
            </c:numRef>
          </c:cat>
          <c:val>
            <c:numRef>
              <c:f>Pakalpojumu_eksports_Y!$T$12:$X$12</c:f>
              <c:numCache>
                <c:formatCode>0</c:formatCode>
                <c:ptCount val="5"/>
                <c:pt idx="0">
                  <c:v>1364</c:v>
                </c:pt>
                <c:pt idx="1">
                  <c:v>1601</c:v>
                </c:pt>
                <c:pt idx="2">
                  <c:v>2115</c:v>
                </c:pt>
                <c:pt idx="3">
                  <c:v>2139</c:v>
                </c:pt>
                <c:pt idx="4">
                  <c:v>2117</c:v>
                </c:pt>
              </c:numCache>
            </c:numRef>
          </c:val>
          <c:extLst>
            <c:ext xmlns:c15="http://schemas.microsoft.com/office/drawing/2012/chart" uri="{02D57815-91ED-43cb-92C2-25804820EDAC}">
              <c15:datalabelsRange>
                <c15:f>Pakalpojumu_eksports_Y!$T$21:$X$21</c15:f>
                <c15:dlblRangeCache>
                  <c:ptCount val="5"/>
                  <c:pt idx="0">
                    <c:v>28,1</c:v>
                  </c:pt>
                  <c:pt idx="1">
                    <c:v>29,9</c:v>
                  </c:pt>
                  <c:pt idx="2">
                    <c:v>29,1</c:v>
                  </c:pt>
                  <c:pt idx="3">
                    <c:v>28,5</c:v>
                  </c:pt>
                  <c:pt idx="4">
                    <c:v>27,2</c:v>
                  </c:pt>
                </c15:dlblRangeCache>
              </c15:datalabelsRange>
            </c:ext>
            <c:ext xmlns:c16="http://schemas.microsoft.com/office/drawing/2014/chart" uri="{C3380CC4-5D6E-409C-BE32-E72D297353CC}">
              <c16:uniqueId val="{0000001E-7042-43AB-9FFE-D1CB341BE38C}"/>
            </c:ext>
          </c:extLst>
        </c:ser>
        <c:dLbls>
          <c:showLegendKey val="0"/>
          <c:showVal val="0"/>
          <c:showCatName val="0"/>
          <c:showSerName val="0"/>
          <c:showPercent val="0"/>
          <c:showBubbleSize val="0"/>
        </c:dLbls>
        <c:gapWidth val="30"/>
        <c:overlap val="100"/>
        <c:axId val="736298447"/>
        <c:axId val="736275407"/>
      </c:barChart>
      <c:catAx>
        <c:axId val="7362984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736275407"/>
        <c:crosses val="autoZero"/>
        <c:auto val="1"/>
        <c:lblAlgn val="ctr"/>
        <c:lblOffset val="100"/>
        <c:noMultiLvlLbl val="0"/>
      </c:catAx>
      <c:valAx>
        <c:axId val="73627540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7362984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047467405982008E-2"/>
          <c:y val="3.9412357239128899E-2"/>
          <c:w val="0.8075790597198077"/>
          <c:h val="0.64453241111610426"/>
        </c:manualLayout>
      </c:layout>
      <c:barChart>
        <c:barDir val="col"/>
        <c:grouping val="stacked"/>
        <c:varyColors val="0"/>
        <c:ser>
          <c:idx val="0"/>
          <c:order val="0"/>
          <c:tx>
            <c:strRef>
              <c:f>Pakalp_eksports_Q!$AK$35</c:f>
              <c:strCache>
                <c:ptCount val="1"/>
                <c:pt idx="0">
                  <c:v>Transporta pakalpojumi</c:v>
                </c:pt>
              </c:strCache>
            </c:strRef>
          </c:tx>
          <c:spPr>
            <a:solidFill>
              <a:schemeClr val="accent1"/>
            </a:solidFill>
            <a:ln>
              <a:noFill/>
            </a:ln>
            <a:effectLst/>
          </c:spPr>
          <c:invertIfNegative val="0"/>
          <c:cat>
            <c:multiLvlStrRef>
              <c:f>Pakalp_eksports_Q!$CC$5:$CL$6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Pakalp_eksports_Q!$CC$35:$CL$35</c:f>
              <c:numCache>
                <c:formatCode>0.0</c:formatCode>
                <c:ptCount val="10"/>
                <c:pt idx="0">
                  <c:v>4.0816326530612255</c:v>
                </c:pt>
                <c:pt idx="1">
                  <c:v>2.5611838360842345</c:v>
                </c:pt>
                <c:pt idx="2">
                  <c:v>4.8732943469785572E-2</c:v>
                </c:pt>
                <c:pt idx="3">
                  <c:v>-2.829711975745326</c:v>
                </c:pt>
                <c:pt idx="4">
                  <c:v>2.5717703349282295</c:v>
                </c:pt>
                <c:pt idx="5">
                  <c:v>1.6494845360824744</c:v>
                </c:pt>
                <c:pt idx="6">
                  <c:v>-0.58708414872798442</c:v>
                </c:pt>
                <c:pt idx="7">
                  <c:v>1.3498920086393089</c:v>
                </c:pt>
                <c:pt idx="8">
                  <c:v>-2.6978417266187047</c:v>
                </c:pt>
                <c:pt idx="9">
                  <c:v>-2.4289405684754519</c:v>
                </c:pt>
              </c:numCache>
            </c:numRef>
          </c:val>
          <c:extLst>
            <c:ext xmlns:c16="http://schemas.microsoft.com/office/drawing/2014/chart" uri="{C3380CC4-5D6E-409C-BE32-E72D297353CC}">
              <c16:uniqueId val="{00000000-6B50-44CF-B8F4-03EE5A855257}"/>
            </c:ext>
          </c:extLst>
        </c:ser>
        <c:ser>
          <c:idx val="1"/>
          <c:order val="1"/>
          <c:tx>
            <c:strRef>
              <c:f>Pakalp_eksports_Q!$AK$36</c:f>
              <c:strCache>
                <c:ptCount val="1"/>
                <c:pt idx="0">
                  <c:v>Braucieni</c:v>
                </c:pt>
              </c:strCache>
            </c:strRef>
          </c:tx>
          <c:spPr>
            <a:solidFill>
              <a:schemeClr val="accent2"/>
            </a:solidFill>
            <a:ln>
              <a:noFill/>
            </a:ln>
            <a:effectLst/>
          </c:spPr>
          <c:invertIfNegative val="0"/>
          <c:cat>
            <c:multiLvlStrRef>
              <c:f>Pakalp_eksports_Q!$CC$5:$CL$6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Pakalp_eksports_Q!$CC$36:$CL$36</c:f>
              <c:numCache>
                <c:formatCode>0.0</c:formatCode>
                <c:ptCount val="10"/>
                <c:pt idx="0">
                  <c:v>2.72108843537415</c:v>
                </c:pt>
                <c:pt idx="1">
                  <c:v>3.301081388730791</c:v>
                </c:pt>
                <c:pt idx="2">
                  <c:v>2.0467836257309941</c:v>
                </c:pt>
                <c:pt idx="3">
                  <c:v>0.65689742294087927</c:v>
                </c:pt>
                <c:pt idx="4">
                  <c:v>1.1961722488038278</c:v>
                </c:pt>
                <c:pt idx="5">
                  <c:v>0.15463917525773196</c:v>
                </c:pt>
                <c:pt idx="6">
                  <c:v>0.97847358121330708</c:v>
                </c:pt>
                <c:pt idx="7">
                  <c:v>2.4298056155507561</c:v>
                </c:pt>
                <c:pt idx="8">
                  <c:v>2.0383693045563547</c:v>
                </c:pt>
                <c:pt idx="9">
                  <c:v>2.3772609819121446</c:v>
                </c:pt>
              </c:numCache>
            </c:numRef>
          </c:val>
          <c:extLst>
            <c:ext xmlns:c16="http://schemas.microsoft.com/office/drawing/2014/chart" uri="{C3380CC4-5D6E-409C-BE32-E72D297353CC}">
              <c16:uniqueId val="{00000001-6B50-44CF-B8F4-03EE5A855257}"/>
            </c:ext>
          </c:extLst>
        </c:ser>
        <c:ser>
          <c:idx val="2"/>
          <c:order val="2"/>
          <c:tx>
            <c:strRef>
              <c:f>Pakalp_eksports_Q!$AK$37</c:f>
              <c:strCache>
                <c:ptCount val="1"/>
                <c:pt idx="0">
                  <c:v>Telesakaru un IT</c:v>
                </c:pt>
              </c:strCache>
            </c:strRef>
          </c:tx>
          <c:spPr>
            <a:solidFill>
              <a:schemeClr val="accent6">
                <a:lumMod val="40000"/>
                <a:lumOff val="60000"/>
              </a:schemeClr>
            </a:solidFill>
            <a:ln>
              <a:noFill/>
            </a:ln>
            <a:effectLst/>
          </c:spPr>
          <c:invertIfNegative val="0"/>
          <c:cat>
            <c:multiLvlStrRef>
              <c:f>Pakalp_eksports_Q!$CC$5:$CL$6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Pakalp_eksports_Q!$CC$37:$CL$37</c:f>
              <c:numCache>
                <c:formatCode>0.0</c:formatCode>
                <c:ptCount val="10"/>
                <c:pt idx="0">
                  <c:v>2.5850340136054419</c:v>
                </c:pt>
                <c:pt idx="1">
                  <c:v>0.96755833807626646</c:v>
                </c:pt>
                <c:pt idx="2">
                  <c:v>4.8732943469785572E-2</c:v>
                </c:pt>
                <c:pt idx="3">
                  <c:v>-1.3137948458817585</c:v>
                </c:pt>
                <c:pt idx="4">
                  <c:v>-0.23923444976076552</c:v>
                </c:pt>
                <c:pt idx="5">
                  <c:v>0.46391752577319589</c:v>
                </c:pt>
                <c:pt idx="6">
                  <c:v>1.4187866927592954</c:v>
                </c:pt>
                <c:pt idx="7">
                  <c:v>2.7537796976241906</c:v>
                </c:pt>
                <c:pt idx="8">
                  <c:v>3.8369304556354913</c:v>
                </c:pt>
                <c:pt idx="9">
                  <c:v>3.3591731266149871</c:v>
                </c:pt>
              </c:numCache>
            </c:numRef>
          </c:val>
          <c:extLst>
            <c:ext xmlns:c16="http://schemas.microsoft.com/office/drawing/2014/chart" uri="{C3380CC4-5D6E-409C-BE32-E72D297353CC}">
              <c16:uniqueId val="{00000002-6B50-44CF-B8F4-03EE5A855257}"/>
            </c:ext>
          </c:extLst>
        </c:ser>
        <c:ser>
          <c:idx val="3"/>
          <c:order val="3"/>
          <c:tx>
            <c:strRef>
              <c:f>Pakalp_eksports_Q!$AK$38</c:f>
              <c:strCache>
                <c:ptCount val="1"/>
                <c:pt idx="0">
                  <c:v>Finanšu pakalpojumi</c:v>
                </c:pt>
              </c:strCache>
            </c:strRef>
          </c:tx>
          <c:spPr>
            <a:solidFill>
              <a:schemeClr val="accent4"/>
            </a:solidFill>
            <a:ln>
              <a:noFill/>
            </a:ln>
            <a:effectLst/>
          </c:spPr>
          <c:invertIfNegative val="0"/>
          <c:cat>
            <c:multiLvlStrRef>
              <c:f>Pakalp_eksports_Q!$CC$5:$CL$6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Pakalp_eksports_Q!$CC$38:$CL$38</c:f>
              <c:numCache>
                <c:formatCode>0.0</c:formatCode>
                <c:ptCount val="10"/>
                <c:pt idx="0">
                  <c:v>-0.61224489795918358</c:v>
                </c:pt>
                <c:pt idx="1">
                  <c:v>5.6915196357427436E-2</c:v>
                </c:pt>
                <c:pt idx="2">
                  <c:v>-1.5107212475633527</c:v>
                </c:pt>
                <c:pt idx="3">
                  <c:v>0.20212228398180901</c:v>
                </c:pt>
                <c:pt idx="4">
                  <c:v>0.11961722488038276</c:v>
                </c:pt>
                <c:pt idx="5">
                  <c:v>-0.46391752577319584</c:v>
                </c:pt>
                <c:pt idx="6">
                  <c:v>-0.83170254403131105</c:v>
                </c:pt>
                <c:pt idx="7">
                  <c:v>1.4578833693304534</c:v>
                </c:pt>
                <c:pt idx="8">
                  <c:v>0.17985611510791369</c:v>
                </c:pt>
                <c:pt idx="9">
                  <c:v>-0.15503875968992245</c:v>
                </c:pt>
              </c:numCache>
            </c:numRef>
          </c:val>
          <c:extLst>
            <c:ext xmlns:c16="http://schemas.microsoft.com/office/drawing/2014/chart" uri="{C3380CC4-5D6E-409C-BE32-E72D297353CC}">
              <c16:uniqueId val="{00000003-6B50-44CF-B8F4-03EE5A855257}"/>
            </c:ext>
          </c:extLst>
        </c:ser>
        <c:ser>
          <c:idx val="4"/>
          <c:order val="4"/>
          <c:tx>
            <c:strRef>
              <c:f>Pakalp_eksports_Q!$AK$39</c:f>
              <c:strCache>
                <c:ptCount val="1"/>
                <c:pt idx="0">
                  <c:v>Būvniecība</c:v>
                </c:pt>
              </c:strCache>
            </c:strRef>
          </c:tx>
          <c:spPr>
            <a:solidFill>
              <a:schemeClr val="accent5"/>
            </a:solidFill>
            <a:ln>
              <a:noFill/>
            </a:ln>
            <a:effectLst/>
          </c:spPr>
          <c:invertIfNegative val="0"/>
          <c:cat>
            <c:multiLvlStrRef>
              <c:f>Pakalp_eksports_Q!$CC$5:$CL$6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Pakalp_eksports_Q!$CC$39:$CL$39</c:f>
              <c:numCache>
                <c:formatCode>0.0</c:formatCode>
                <c:ptCount val="10"/>
                <c:pt idx="0">
                  <c:v>0.27210884353741499</c:v>
                </c:pt>
                <c:pt idx="1">
                  <c:v>1.4228799089356858</c:v>
                </c:pt>
                <c:pt idx="2">
                  <c:v>-0.29239766081871343</c:v>
                </c:pt>
                <c:pt idx="3">
                  <c:v>0.45477513895907029</c:v>
                </c:pt>
                <c:pt idx="4">
                  <c:v>0</c:v>
                </c:pt>
                <c:pt idx="5">
                  <c:v>0</c:v>
                </c:pt>
                <c:pt idx="6">
                  <c:v>0.73385518590998033</c:v>
                </c:pt>
                <c:pt idx="7">
                  <c:v>0.64794816414686829</c:v>
                </c:pt>
                <c:pt idx="8">
                  <c:v>1.1390887290167866</c:v>
                </c:pt>
                <c:pt idx="9">
                  <c:v>0.36175710594315241</c:v>
                </c:pt>
              </c:numCache>
            </c:numRef>
          </c:val>
          <c:extLst>
            <c:ext xmlns:c16="http://schemas.microsoft.com/office/drawing/2014/chart" uri="{C3380CC4-5D6E-409C-BE32-E72D297353CC}">
              <c16:uniqueId val="{00000004-6B50-44CF-B8F4-03EE5A855257}"/>
            </c:ext>
          </c:extLst>
        </c:ser>
        <c:ser>
          <c:idx val="5"/>
          <c:order val="5"/>
          <c:tx>
            <c:strRef>
              <c:f>Pakalp_eksports_Q!$AK$40</c:f>
              <c:strCache>
                <c:ptCount val="1"/>
                <c:pt idx="0">
                  <c:v>Citi pakalpojumi</c:v>
                </c:pt>
              </c:strCache>
            </c:strRef>
          </c:tx>
          <c:spPr>
            <a:solidFill>
              <a:schemeClr val="bg1">
                <a:lumMod val="75000"/>
              </a:schemeClr>
            </a:solidFill>
            <a:ln>
              <a:noFill/>
            </a:ln>
            <a:effectLst/>
          </c:spPr>
          <c:invertIfNegative val="0"/>
          <c:cat>
            <c:multiLvlStrRef>
              <c:f>Pakalp_eksports_Q!$CC$5:$CL$6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Pakalp_eksports_Q!$CC$40:$CL$40</c:f>
              <c:numCache>
                <c:formatCode>0.0</c:formatCode>
                <c:ptCount val="10"/>
                <c:pt idx="0">
                  <c:v>4.6938775510204085</c:v>
                </c:pt>
                <c:pt idx="1">
                  <c:v>2.1058622652248151</c:v>
                </c:pt>
                <c:pt idx="2">
                  <c:v>-0.73099415204678364</c:v>
                </c:pt>
                <c:pt idx="3">
                  <c:v>-3.5876705406771094</c:v>
                </c:pt>
                <c:pt idx="4">
                  <c:v>-3.8875598086124401</c:v>
                </c:pt>
                <c:pt idx="5">
                  <c:v>-2.0618556701030926</c:v>
                </c:pt>
                <c:pt idx="6">
                  <c:v>0.78277886497064586</c:v>
                </c:pt>
                <c:pt idx="7">
                  <c:v>3.8876889848812097</c:v>
                </c:pt>
                <c:pt idx="8">
                  <c:v>2.4580335731414866</c:v>
                </c:pt>
                <c:pt idx="9">
                  <c:v>4.909560723514212</c:v>
                </c:pt>
              </c:numCache>
            </c:numRef>
          </c:val>
          <c:extLst>
            <c:ext xmlns:c16="http://schemas.microsoft.com/office/drawing/2014/chart" uri="{C3380CC4-5D6E-409C-BE32-E72D297353CC}">
              <c16:uniqueId val="{00000005-6B50-44CF-B8F4-03EE5A855257}"/>
            </c:ext>
          </c:extLst>
        </c:ser>
        <c:dLbls>
          <c:showLegendKey val="0"/>
          <c:showVal val="0"/>
          <c:showCatName val="0"/>
          <c:showSerName val="0"/>
          <c:showPercent val="0"/>
          <c:showBubbleSize val="0"/>
        </c:dLbls>
        <c:gapWidth val="30"/>
        <c:overlap val="100"/>
        <c:axId val="348099048"/>
        <c:axId val="348099440"/>
      </c:barChart>
      <c:lineChart>
        <c:grouping val="standard"/>
        <c:varyColors val="0"/>
        <c:ser>
          <c:idx val="6"/>
          <c:order val="6"/>
          <c:tx>
            <c:strRef>
              <c:f>Pakalp_eksports_Q!$AK$41</c:f>
              <c:strCache>
                <c:ptCount val="1"/>
                <c:pt idx="0">
                  <c:v>Kopējais pieaugums</c:v>
                </c:pt>
              </c:strCache>
            </c:strRef>
          </c:tx>
          <c:spPr>
            <a:ln w="28575" cap="rnd">
              <a:solidFill>
                <a:schemeClr val="tx1"/>
              </a:solidFill>
              <a:round/>
            </a:ln>
            <a:effectLst/>
          </c:spPr>
          <c:marker>
            <c:symbol val="none"/>
          </c:marker>
          <c:cat>
            <c:multiLvlStrRef>
              <c:f>Pakalp_eksports_Q!$CC$5:$CL$6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Pakalp_eksports_Q!$CC$41:$CL$41</c:f>
              <c:numCache>
                <c:formatCode>0.0</c:formatCode>
                <c:ptCount val="10"/>
                <c:pt idx="0">
                  <c:v>13.741496598639458</c:v>
                </c:pt>
                <c:pt idx="1">
                  <c:v>10.415480933409221</c:v>
                </c:pt>
                <c:pt idx="2">
                  <c:v>-0.38986354775828436</c:v>
                </c:pt>
                <c:pt idx="3">
                  <c:v>-6.4173825164224354</c:v>
                </c:pt>
                <c:pt idx="4">
                  <c:v>-0.23923444976076613</c:v>
                </c:pt>
                <c:pt idx="5">
                  <c:v>-0.2577319587628859</c:v>
                </c:pt>
                <c:pt idx="6">
                  <c:v>2.4951076320939332</c:v>
                </c:pt>
                <c:pt idx="7">
                  <c:v>12.526997840172788</c:v>
                </c:pt>
                <c:pt idx="8">
                  <c:v>6.9544364508393279</c:v>
                </c:pt>
                <c:pt idx="9">
                  <c:v>8.423772609819121</c:v>
                </c:pt>
              </c:numCache>
            </c:numRef>
          </c:val>
          <c:smooth val="0"/>
          <c:extLst>
            <c:ext xmlns:c16="http://schemas.microsoft.com/office/drawing/2014/chart" uri="{C3380CC4-5D6E-409C-BE32-E72D297353CC}">
              <c16:uniqueId val="{00000006-6B50-44CF-B8F4-03EE5A855257}"/>
            </c:ext>
          </c:extLst>
        </c:ser>
        <c:dLbls>
          <c:showLegendKey val="0"/>
          <c:showVal val="0"/>
          <c:showCatName val="0"/>
          <c:showSerName val="0"/>
          <c:showPercent val="0"/>
          <c:showBubbleSize val="0"/>
        </c:dLbls>
        <c:marker val="1"/>
        <c:smooth val="0"/>
        <c:axId val="348099048"/>
        <c:axId val="348099440"/>
      </c:lineChart>
      <c:catAx>
        <c:axId val="348099048"/>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348099440"/>
        <c:crosses val="autoZero"/>
        <c:auto val="1"/>
        <c:lblAlgn val="ctr"/>
        <c:lblOffset val="100"/>
        <c:noMultiLvlLbl val="0"/>
      </c:catAx>
      <c:valAx>
        <c:axId val="348099440"/>
        <c:scaling>
          <c:orientation val="minMax"/>
          <c:max val="18"/>
          <c:min val="-9"/>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48099048"/>
        <c:crosses val="autoZero"/>
        <c:crossBetween val="between"/>
        <c:majorUnit val="3"/>
      </c:valAx>
      <c:spPr>
        <a:noFill/>
        <a:ln w="25400">
          <a:noFill/>
        </a:ln>
      </c:spPr>
    </c:plotArea>
    <c:legend>
      <c:legendPos val="b"/>
      <c:layout>
        <c:manualLayout>
          <c:xMode val="edge"/>
          <c:yMode val="edge"/>
          <c:x val="1.4385737294201858E-2"/>
          <c:y val="0.81410796623395065"/>
          <c:w val="0.89411813580120669"/>
          <c:h val="0.1642704121444278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1"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lv-LV" i="1"/>
              <a:t>milj. euro</a:t>
            </a:r>
          </a:p>
        </c:rich>
      </c:tx>
      <c:layout>
        <c:manualLayout>
          <c:xMode val="edge"/>
          <c:yMode val="edge"/>
          <c:x val="1.7082160758786018E-3"/>
          <c:y val="6.1748785466857296E-3"/>
        </c:manualLayout>
      </c:layout>
      <c:overlay val="0"/>
      <c:spPr>
        <a:noFill/>
        <a:ln>
          <a:noFill/>
        </a:ln>
        <a:effectLst/>
      </c:spPr>
      <c:txPr>
        <a:bodyPr rot="0" spcFirstLastPara="1" vertOverflow="ellipsis" vert="horz" wrap="square" anchor="ctr" anchorCtr="1"/>
        <a:lstStyle/>
        <a:p>
          <a:pPr>
            <a:defRPr sz="1080" b="0" i="1"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title>
    <c:autoTitleDeleted val="0"/>
    <c:plotArea>
      <c:layout>
        <c:manualLayout>
          <c:layoutTarget val="inner"/>
          <c:xMode val="edge"/>
          <c:yMode val="edge"/>
          <c:x val="0.16919791163288705"/>
          <c:y val="0.10441223832528181"/>
          <c:w val="0.66644153235358217"/>
          <c:h val="0.55536739067036911"/>
        </c:manualLayout>
      </c:layout>
      <c:barChart>
        <c:barDir val="col"/>
        <c:grouping val="stacked"/>
        <c:varyColors val="0"/>
        <c:ser>
          <c:idx val="0"/>
          <c:order val="0"/>
          <c:tx>
            <c:strRef>
              <c:f>'Tekošais konts_Y'!$B$4</c:f>
              <c:strCache>
                <c:ptCount val="1"/>
                <c:pt idx="0">
                  <c:v>Preces</c:v>
                </c:pt>
              </c:strCache>
            </c:strRef>
          </c:tx>
          <c:spPr>
            <a:solidFill>
              <a:schemeClr val="accent1"/>
            </a:solidFill>
            <a:ln>
              <a:noFill/>
            </a:ln>
            <a:effectLst/>
          </c:spPr>
          <c:invertIfNegative val="0"/>
          <c:cat>
            <c:numRef>
              <c:f>'Tekošais konts_Y'!$R$2:$V$2</c:f>
              <c:numCache>
                <c:formatCode>General</c:formatCode>
                <c:ptCount val="5"/>
                <c:pt idx="0">
                  <c:v>2020</c:v>
                </c:pt>
                <c:pt idx="1">
                  <c:v>2021</c:v>
                </c:pt>
                <c:pt idx="2">
                  <c:v>2022</c:v>
                </c:pt>
                <c:pt idx="3">
                  <c:v>2023</c:v>
                </c:pt>
                <c:pt idx="4">
                  <c:v>2024</c:v>
                </c:pt>
              </c:numCache>
            </c:numRef>
          </c:cat>
          <c:val>
            <c:numRef>
              <c:f>'Tekošais konts_Y'!$R$4:$V$4</c:f>
              <c:numCache>
                <c:formatCode>General</c:formatCode>
                <c:ptCount val="5"/>
                <c:pt idx="0">
                  <c:v>-1554</c:v>
                </c:pt>
                <c:pt idx="1">
                  <c:v>-2765</c:v>
                </c:pt>
                <c:pt idx="2">
                  <c:v>-4124</c:v>
                </c:pt>
                <c:pt idx="3">
                  <c:v>-3614</c:v>
                </c:pt>
                <c:pt idx="4" formatCode="#,##0">
                  <c:v>-3008</c:v>
                </c:pt>
              </c:numCache>
            </c:numRef>
          </c:val>
          <c:extLst>
            <c:ext xmlns:c16="http://schemas.microsoft.com/office/drawing/2014/chart" uri="{C3380CC4-5D6E-409C-BE32-E72D297353CC}">
              <c16:uniqueId val="{00000000-4DB1-411E-8DF6-C967DA4251FD}"/>
            </c:ext>
          </c:extLst>
        </c:ser>
        <c:ser>
          <c:idx val="1"/>
          <c:order val="1"/>
          <c:tx>
            <c:strRef>
              <c:f>'Tekošais konts_Y'!$B$5</c:f>
              <c:strCache>
                <c:ptCount val="1"/>
                <c:pt idx="0">
                  <c:v>Pakalpojumi</c:v>
                </c:pt>
              </c:strCache>
            </c:strRef>
          </c:tx>
          <c:spPr>
            <a:solidFill>
              <a:schemeClr val="accent2"/>
            </a:solidFill>
            <a:ln>
              <a:noFill/>
            </a:ln>
            <a:effectLst/>
          </c:spPr>
          <c:invertIfNegative val="0"/>
          <c:cat>
            <c:numRef>
              <c:f>'Tekošais konts_Y'!$R$2:$V$2</c:f>
              <c:numCache>
                <c:formatCode>General</c:formatCode>
                <c:ptCount val="5"/>
                <c:pt idx="0">
                  <c:v>2020</c:v>
                </c:pt>
                <c:pt idx="1">
                  <c:v>2021</c:v>
                </c:pt>
                <c:pt idx="2">
                  <c:v>2022</c:v>
                </c:pt>
                <c:pt idx="3">
                  <c:v>2023</c:v>
                </c:pt>
                <c:pt idx="4">
                  <c:v>2024</c:v>
                </c:pt>
              </c:numCache>
            </c:numRef>
          </c:cat>
          <c:val>
            <c:numRef>
              <c:f>'Tekošais konts_Y'!$R$5:$V$5</c:f>
              <c:numCache>
                <c:formatCode>General</c:formatCode>
                <c:ptCount val="5"/>
                <c:pt idx="0">
                  <c:v>1973</c:v>
                </c:pt>
                <c:pt idx="1">
                  <c:v>1740</c:v>
                </c:pt>
                <c:pt idx="2">
                  <c:v>2359</c:v>
                </c:pt>
                <c:pt idx="3">
                  <c:v>2164</c:v>
                </c:pt>
                <c:pt idx="4" formatCode="#,##0">
                  <c:v>2364</c:v>
                </c:pt>
              </c:numCache>
            </c:numRef>
          </c:val>
          <c:extLst>
            <c:ext xmlns:c16="http://schemas.microsoft.com/office/drawing/2014/chart" uri="{C3380CC4-5D6E-409C-BE32-E72D297353CC}">
              <c16:uniqueId val="{00000001-4DB1-411E-8DF6-C967DA4251FD}"/>
            </c:ext>
          </c:extLst>
        </c:ser>
        <c:ser>
          <c:idx val="2"/>
          <c:order val="2"/>
          <c:tx>
            <c:strRef>
              <c:f>'Tekošais konts_Y'!$B$6</c:f>
              <c:strCache>
                <c:ptCount val="1"/>
                <c:pt idx="0">
                  <c:v>Sākotnējie ienākumi</c:v>
                </c:pt>
              </c:strCache>
            </c:strRef>
          </c:tx>
          <c:spPr>
            <a:solidFill>
              <a:srgbClr val="FFC000"/>
            </a:solidFill>
            <a:ln>
              <a:noFill/>
            </a:ln>
            <a:effectLst/>
          </c:spPr>
          <c:invertIfNegative val="0"/>
          <c:cat>
            <c:numRef>
              <c:f>'Tekošais konts_Y'!$R$2:$V$2</c:f>
              <c:numCache>
                <c:formatCode>General</c:formatCode>
                <c:ptCount val="5"/>
                <c:pt idx="0">
                  <c:v>2020</c:v>
                </c:pt>
                <c:pt idx="1">
                  <c:v>2021</c:v>
                </c:pt>
                <c:pt idx="2">
                  <c:v>2022</c:v>
                </c:pt>
                <c:pt idx="3">
                  <c:v>2023</c:v>
                </c:pt>
                <c:pt idx="4">
                  <c:v>2024</c:v>
                </c:pt>
              </c:numCache>
            </c:numRef>
          </c:cat>
          <c:val>
            <c:numRef>
              <c:f>'Tekošais konts_Y'!$R$6:$V$6</c:f>
              <c:numCache>
                <c:formatCode>General</c:formatCode>
                <c:ptCount val="5"/>
                <c:pt idx="0">
                  <c:v>13</c:v>
                </c:pt>
                <c:pt idx="1">
                  <c:v>-604</c:v>
                </c:pt>
                <c:pt idx="2">
                  <c:v>-633</c:v>
                </c:pt>
                <c:pt idx="3">
                  <c:v>-914</c:v>
                </c:pt>
                <c:pt idx="4" formatCode="#,##0">
                  <c:v>-837</c:v>
                </c:pt>
              </c:numCache>
            </c:numRef>
          </c:val>
          <c:extLst>
            <c:ext xmlns:c16="http://schemas.microsoft.com/office/drawing/2014/chart" uri="{C3380CC4-5D6E-409C-BE32-E72D297353CC}">
              <c16:uniqueId val="{00000002-4DB1-411E-8DF6-C967DA4251FD}"/>
            </c:ext>
          </c:extLst>
        </c:ser>
        <c:ser>
          <c:idx val="3"/>
          <c:order val="3"/>
          <c:tx>
            <c:strRef>
              <c:f>'Tekošais konts_Y'!$B$7</c:f>
              <c:strCache>
                <c:ptCount val="1"/>
                <c:pt idx="0">
                  <c:v>Otrreizējie ienākumi</c:v>
                </c:pt>
              </c:strCache>
            </c:strRef>
          </c:tx>
          <c:spPr>
            <a:solidFill>
              <a:schemeClr val="bg1">
                <a:lumMod val="75000"/>
              </a:schemeClr>
            </a:solidFill>
            <a:ln>
              <a:noFill/>
            </a:ln>
            <a:effectLst/>
          </c:spPr>
          <c:invertIfNegative val="0"/>
          <c:cat>
            <c:numRef>
              <c:f>'Tekošais konts_Y'!$R$2:$V$2</c:f>
              <c:numCache>
                <c:formatCode>General</c:formatCode>
                <c:ptCount val="5"/>
                <c:pt idx="0">
                  <c:v>2020</c:v>
                </c:pt>
                <c:pt idx="1">
                  <c:v>2021</c:v>
                </c:pt>
                <c:pt idx="2">
                  <c:v>2022</c:v>
                </c:pt>
                <c:pt idx="3">
                  <c:v>2023</c:v>
                </c:pt>
                <c:pt idx="4">
                  <c:v>2024</c:v>
                </c:pt>
              </c:numCache>
            </c:numRef>
          </c:cat>
          <c:val>
            <c:numRef>
              <c:f>'Tekošais konts_Y'!$R$7:$V$7</c:f>
              <c:numCache>
                <c:formatCode>General</c:formatCode>
                <c:ptCount val="5"/>
                <c:pt idx="0">
                  <c:v>456</c:v>
                </c:pt>
                <c:pt idx="1">
                  <c:v>316</c:v>
                </c:pt>
                <c:pt idx="2">
                  <c:v>424</c:v>
                </c:pt>
                <c:pt idx="3">
                  <c:v>853</c:v>
                </c:pt>
                <c:pt idx="4" formatCode="#,##0">
                  <c:v>850</c:v>
                </c:pt>
              </c:numCache>
            </c:numRef>
          </c:val>
          <c:extLst>
            <c:ext xmlns:c16="http://schemas.microsoft.com/office/drawing/2014/chart" uri="{C3380CC4-5D6E-409C-BE32-E72D297353CC}">
              <c16:uniqueId val="{00000003-4DB1-411E-8DF6-C967DA4251FD}"/>
            </c:ext>
          </c:extLst>
        </c:ser>
        <c:dLbls>
          <c:showLegendKey val="0"/>
          <c:showVal val="0"/>
          <c:showCatName val="0"/>
          <c:showSerName val="0"/>
          <c:showPercent val="0"/>
          <c:showBubbleSize val="0"/>
        </c:dLbls>
        <c:gapWidth val="30"/>
        <c:overlap val="100"/>
        <c:axId val="522491375"/>
        <c:axId val="522492623"/>
      </c:barChart>
      <c:lineChart>
        <c:grouping val="standard"/>
        <c:varyColors val="0"/>
        <c:ser>
          <c:idx val="4"/>
          <c:order val="4"/>
          <c:tx>
            <c:strRef>
              <c:f>'Tekošais konts_Y'!$B$8</c:f>
              <c:strCache>
                <c:ptCount val="1"/>
                <c:pt idx="0">
                  <c:v>Tekošais konts, % no IKP (labā ass)</c:v>
                </c:pt>
              </c:strCache>
            </c:strRef>
          </c:tx>
          <c:spPr>
            <a:ln w="28575" cap="rnd">
              <a:solidFill>
                <a:schemeClr val="tx1"/>
              </a:solidFill>
              <a:round/>
            </a:ln>
            <a:effectLst/>
          </c:spPr>
          <c:marker>
            <c:symbol val="none"/>
          </c:marker>
          <c:cat>
            <c:numRef>
              <c:f>'Tekošais konts_Y'!$R$2:$V$2</c:f>
              <c:numCache>
                <c:formatCode>General</c:formatCode>
                <c:ptCount val="5"/>
                <c:pt idx="0">
                  <c:v>2020</c:v>
                </c:pt>
                <c:pt idx="1">
                  <c:v>2021</c:v>
                </c:pt>
                <c:pt idx="2">
                  <c:v>2022</c:v>
                </c:pt>
                <c:pt idx="3">
                  <c:v>2023</c:v>
                </c:pt>
                <c:pt idx="4">
                  <c:v>2024</c:v>
                </c:pt>
              </c:numCache>
            </c:numRef>
          </c:cat>
          <c:val>
            <c:numRef>
              <c:f>'Tekošais konts_Y'!$R$8:$V$8</c:f>
              <c:numCache>
                <c:formatCode>0.0%</c:formatCode>
                <c:ptCount val="5"/>
                <c:pt idx="0">
                  <c:v>0.03</c:v>
                </c:pt>
                <c:pt idx="1">
                  <c:v>-4.1000000000000002E-2</c:v>
                </c:pt>
                <c:pt idx="2">
                  <c:v>-5.5E-2</c:v>
                </c:pt>
                <c:pt idx="3">
                  <c:v>-3.7999999999999999E-2</c:v>
                </c:pt>
                <c:pt idx="4">
                  <c:v>-1.6E-2</c:v>
                </c:pt>
              </c:numCache>
            </c:numRef>
          </c:val>
          <c:smooth val="0"/>
          <c:extLst>
            <c:ext xmlns:c16="http://schemas.microsoft.com/office/drawing/2014/chart" uri="{C3380CC4-5D6E-409C-BE32-E72D297353CC}">
              <c16:uniqueId val="{00000004-4DB1-411E-8DF6-C967DA4251FD}"/>
            </c:ext>
          </c:extLst>
        </c:ser>
        <c:dLbls>
          <c:showLegendKey val="0"/>
          <c:showVal val="0"/>
          <c:showCatName val="0"/>
          <c:showSerName val="0"/>
          <c:showPercent val="0"/>
          <c:showBubbleSize val="0"/>
        </c:dLbls>
        <c:marker val="1"/>
        <c:smooth val="0"/>
        <c:axId val="819454831"/>
        <c:axId val="819451919"/>
      </c:lineChart>
      <c:catAx>
        <c:axId val="522491375"/>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22492623"/>
        <c:crosses val="autoZero"/>
        <c:auto val="1"/>
        <c:lblAlgn val="ctr"/>
        <c:lblOffset val="100"/>
        <c:noMultiLvlLbl val="0"/>
      </c:catAx>
      <c:valAx>
        <c:axId val="52249262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22491375"/>
        <c:crosses val="autoZero"/>
        <c:crossBetween val="between"/>
      </c:valAx>
      <c:valAx>
        <c:axId val="819451919"/>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819454831"/>
        <c:crosses val="max"/>
        <c:crossBetween val="between"/>
      </c:valAx>
      <c:catAx>
        <c:axId val="819454831"/>
        <c:scaling>
          <c:orientation val="minMax"/>
        </c:scaling>
        <c:delete val="1"/>
        <c:axPos val="b"/>
        <c:numFmt formatCode="General" sourceLinked="1"/>
        <c:majorTickMark val="out"/>
        <c:minorTickMark val="none"/>
        <c:tickLblPos val="nextTo"/>
        <c:crossAx val="819451919"/>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sz="1080" b="0" i="1"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lv-LV" i="1"/>
              <a:t>milj. eiro</a:t>
            </a:r>
          </a:p>
        </c:rich>
      </c:tx>
      <c:layout>
        <c:manualLayout>
          <c:xMode val="edge"/>
          <c:yMode val="edge"/>
          <c:x val="4.7687172150715855E-5"/>
          <c:y val="0"/>
        </c:manualLayout>
      </c:layout>
      <c:overlay val="0"/>
      <c:spPr>
        <a:noFill/>
        <a:ln>
          <a:noFill/>
        </a:ln>
        <a:effectLst/>
      </c:spPr>
      <c:txPr>
        <a:bodyPr rot="0" spcFirstLastPara="1" vertOverflow="ellipsis" vert="horz" wrap="square" anchor="ctr" anchorCtr="1"/>
        <a:lstStyle/>
        <a:p>
          <a:pPr algn="ctr" rtl="0">
            <a:defRPr sz="1080" b="0" i="1"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title>
    <c:autoTitleDeleted val="0"/>
    <c:plotArea>
      <c:layout>
        <c:manualLayout>
          <c:layoutTarget val="inner"/>
          <c:xMode val="edge"/>
          <c:yMode val="edge"/>
          <c:x val="0.13929714087194403"/>
          <c:y val="8.5729967069154769E-2"/>
          <c:w val="0.70756862252925257"/>
          <c:h val="0.59974751304235119"/>
        </c:manualLayout>
      </c:layout>
      <c:barChart>
        <c:barDir val="col"/>
        <c:grouping val="stacked"/>
        <c:varyColors val="0"/>
        <c:ser>
          <c:idx val="0"/>
          <c:order val="0"/>
          <c:tx>
            <c:strRef>
              <c:f>'Tekošais konts_Q'!$U$7</c:f>
              <c:strCache>
                <c:ptCount val="1"/>
                <c:pt idx="0">
                  <c:v>Preces</c:v>
                </c:pt>
              </c:strCache>
            </c:strRef>
          </c:tx>
          <c:spPr>
            <a:solidFill>
              <a:schemeClr val="accent1"/>
            </a:solidFill>
            <a:ln>
              <a:noFill/>
            </a:ln>
            <a:effectLst/>
          </c:spPr>
          <c:invertIfNegative val="0"/>
          <c:cat>
            <c:multiLvlStrRef>
              <c:f>'Tekošais konts_Q'!$BG$5:$BP$6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'Tekošais konts_Q'!$BG$7:$BP$7</c:f>
              <c:numCache>
                <c:formatCode>General</c:formatCode>
                <c:ptCount val="10"/>
                <c:pt idx="0">
                  <c:v>-821</c:v>
                </c:pt>
                <c:pt idx="1">
                  <c:v>-893</c:v>
                </c:pt>
                <c:pt idx="2">
                  <c:v>-1094</c:v>
                </c:pt>
                <c:pt idx="3">
                  <c:v>-807</c:v>
                </c:pt>
                <c:pt idx="4">
                  <c:v>-427</c:v>
                </c:pt>
                <c:pt idx="5">
                  <c:v>-870</c:v>
                </c:pt>
                <c:pt idx="6">
                  <c:v>-968</c:v>
                </c:pt>
                <c:pt idx="7">
                  <c:v>-744</c:v>
                </c:pt>
                <c:pt idx="8">
                  <c:v>-662</c:v>
                </c:pt>
                <c:pt idx="9">
                  <c:v>-1138</c:v>
                </c:pt>
              </c:numCache>
            </c:numRef>
          </c:val>
          <c:extLst>
            <c:ext xmlns:c16="http://schemas.microsoft.com/office/drawing/2014/chart" uri="{C3380CC4-5D6E-409C-BE32-E72D297353CC}">
              <c16:uniqueId val="{00000000-F7F6-4FBD-8460-B15EA978462D}"/>
            </c:ext>
          </c:extLst>
        </c:ser>
        <c:ser>
          <c:idx val="1"/>
          <c:order val="1"/>
          <c:tx>
            <c:strRef>
              <c:f>'Tekošais konts_Q'!$U$8</c:f>
              <c:strCache>
                <c:ptCount val="1"/>
                <c:pt idx="0">
                  <c:v>Pakalpojumi</c:v>
                </c:pt>
              </c:strCache>
            </c:strRef>
          </c:tx>
          <c:spPr>
            <a:solidFill>
              <a:schemeClr val="accent2"/>
            </a:solidFill>
            <a:ln>
              <a:noFill/>
            </a:ln>
            <a:effectLst/>
          </c:spPr>
          <c:invertIfNegative val="0"/>
          <c:cat>
            <c:multiLvlStrRef>
              <c:f>'Tekošais konts_Q'!$BG$5:$BP$6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'Tekošais konts_Q'!$BG$8:$BP$8</c:f>
              <c:numCache>
                <c:formatCode>General</c:formatCode>
                <c:ptCount val="10"/>
                <c:pt idx="0">
                  <c:v>392</c:v>
                </c:pt>
                <c:pt idx="1">
                  <c:v>586</c:v>
                </c:pt>
                <c:pt idx="2">
                  <c:v>650</c:v>
                </c:pt>
                <c:pt idx="3">
                  <c:v>536</c:v>
                </c:pt>
                <c:pt idx="4">
                  <c:v>435</c:v>
                </c:pt>
                <c:pt idx="5">
                  <c:v>593</c:v>
                </c:pt>
                <c:pt idx="6">
                  <c:v>652</c:v>
                </c:pt>
                <c:pt idx="7">
                  <c:v>685</c:v>
                </c:pt>
                <c:pt idx="8">
                  <c:v>357</c:v>
                </c:pt>
                <c:pt idx="9">
                  <c:v>493</c:v>
                </c:pt>
              </c:numCache>
            </c:numRef>
          </c:val>
          <c:extLst>
            <c:ext xmlns:c16="http://schemas.microsoft.com/office/drawing/2014/chart" uri="{C3380CC4-5D6E-409C-BE32-E72D297353CC}">
              <c16:uniqueId val="{00000001-F7F6-4FBD-8460-B15EA978462D}"/>
            </c:ext>
          </c:extLst>
        </c:ser>
        <c:ser>
          <c:idx val="2"/>
          <c:order val="2"/>
          <c:tx>
            <c:strRef>
              <c:f>'Tekošais konts_Q'!$U$9</c:f>
              <c:strCache>
                <c:ptCount val="1"/>
                <c:pt idx="0">
                  <c:v>Sākotnējie ienākumi</c:v>
                </c:pt>
              </c:strCache>
            </c:strRef>
          </c:tx>
          <c:spPr>
            <a:solidFill>
              <a:srgbClr val="FFC000"/>
            </a:solidFill>
            <a:ln>
              <a:noFill/>
            </a:ln>
            <a:effectLst/>
          </c:spPr>
          <c:invertIfNegative val="0"/>
          <c:cat>
            <c:multiLvlStrRef>
              <c:f>'Tekošais konts_Q'!$BG$5:$BP$6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'Tekošais konts_Q'!$BG$9:$BP$9</c:f>
              <c:numCache>
                <c:formatCode>General</c:formatCode>
                <c:ptCount val="10"/>
                <c:pt idx="0">
                  <c:v>-295</c:v>
                </c:pt>
                <c:pt idx="1">
                  <c:v>-274</c:v>
                </c:pt>
                <c:pt idx="2">
                  <c:v>-368</c:v>
                </c:pt>
                <c:pt idx="3">
                  <c:v>24</c:v>
                </c:pt>
                <c:pt idx="4">
                  <c:v>-162</c:v>
                </c:pt>
                <c:pt idx="5">
                  <c:v>-258</c:v>
                </c:pt>
                <c:pt idx="6">
                  <c:v>-316</c:v>
                </c:pt>
                <c:pt idx="7">
                  <c:v>-101</c:v>
                </c:pt>
                <c:pt idx="8">
                  <c:v>-140</c:v>
                </c:pt>
                <c:pt idx="9">
                  <c:v>-94</c:v>
                </c:pt>
              </c:numCache>
            </c:numRef>
          </c:val>
          <c:extLst>
            <c:ext xmlns:c16="http://schemas.microsoft.com/office/drawing/2014/chart" uri="{C3380CC4-5D6E-409C-BE32-E72D297353CC}">
              <c16:uniqueId val="{00000002-F7F6-4FBD-8460-B15EA978462D}"/>
            </c:ext>
          </c:extLst>
        </c:ser>
        <c:ser>
          <c:idx val="3"/>
          <c:order val="3"/>
          <c:tx>
            <c:strRef>
              <c:f>'Tekošais konts_Q'!$U$10</c:f>
              <c:strCache>
                <c:ptCount val="1"/>
                <c:pt idx="0">
                  <c:v>Otrreizējie ienākumi</c:v>
                </c:pt>
              </c:strCache>
            </c:strRef>
          </c:tx>
          <c:spPr>
            <a:solidFill>
              <a:schemeClr val="bg1">
                <a:lumMod val="75000"/>
              </a:schemeClr>
            </a:solidFill>
            <a:ln>
              <a:noFill/>
            </a:ln>
            <a:effectLst/>
          </c:spPr>
          <c:invertIfNegative val="0"/>
          <c:cat>
            <c:multiLvlStrRef>
              <c:f>'Tekošais konts_Q'!$BG$5:$BP$6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'Tekošais konts_Q'!$BG$10:$BP$10</c:f>
              <c:numCache>
                <c:formatCode>General</c:formatCode>
                <c:ptCount val="10"/>
                <c:pt idx="0">
                  <c:v>219</c:v>
                </c:pt>
                <c:pt idx="1">
                  <c:v>222</c:v>
                </c:pt>
                <c:pt idx="2">
                  <c:v>235</c:v>
                </c:pt>
                <c:pt idx="3">
                  <c:v>176</c:v>
                </c:pt>
                <c:pt idx="4">
                  <c:v>153</c:v>
                </c:pt>
                <c:pt idx="5">
                  <c:v>187</c:v>
                </c:pt>
                <c:pt idx="6">
                  <c:v>236</c:v>
                </c:pt>
                <c:pt idx="7">
                  <c:v>273</c:v>
                </c:pt>
                <c:pt idx="8">
                  <c:v>174</c:v>
                </c:pt>
                <c:pt idx="9">
                  <c:v>261</c:v>
                </c:pt>
              </c:numCache>
            </c:numRef>
          </c:val>
          <c:extLst>
            <c:ext xmlns:c16="http://schemas.microsoft.com/office/drawing/2014/chart" uri="{C3380CC4-5D6E-409C-BE32-E72D297353CC}">
              <c16:uniqueId val="{00000003-F7F6-4FBD-8460-B15EA978462D}"/>
            </c:ext>
          </c:extLst>
        </c:ser>
        <c:dLbls>
          <c:showLegendKey val="0"/>
          <c:showVal val="0"/>
          <c:showCatName val="0"/>
          <c:showSerName val="0"/>
          <c:showPercent val="0"/>
          <c:showBubbleSize val="0"/>
        </c:dLbls>
        <c:gapWidth val="30"/>
        <c:overlap val="100"/>
        <c:axId val="779003200"/>
        <c:axId val="779008192"/>
      </c:barChart>
      <c:lineChart>
        <c:grouping val="standard"/>
        <c:varyColors val="0"/>
        <c:ser>
          <c:idx val="4"/>
          <c:order val="4"/>
          <c:tx>
            <c:strRef>
              <c:f>'Tekošais konts_Q'!$U$11</c:f>
              <c:strCache>
                <c:ptCount val="1"/>
                <c:pt idx="0">
                  <c:v>Tekošais konts (% no IKP, labā ass)</c:v>
                </c:pt>
              </c:strCache>
            </c:strRef>
          </c:tx>
          <c:spPr>
            <a:ln w="28575" cap="rnd">
              <a:solidFill>
                <a:schemeClr val="tx1"/>
              </a:solidFill>
              <a:round/>
            </a:ln>
            <a:effectLst/>
          </c:spPr>
          <c:marker>
            <c:symbol val="none"/>
          </c:marker>
          <c:cat>
            <c:multiLvlStrRef>
              <c:f>'Tekošais konts_Q'!$BG$5:$BP$6</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'Tekošais konts_Q'!$BG$11:$BP$11</c:f>
              <c:numCache>
                <c:formatCode>0.0%</c:formatCode>
                <c:ptCount val="10"/>
                <c:pt idx="0">
                  <c:v>-5.7999999999999996E-2</c:v>
                </c:pt>
                <c:pt idx="1">
                  <c:v>-3.7000000000000005E-2</c:v>
                </c:pt>
                <c:pt idx="2">
                  <c:v>-5.7000000000000002E-2</c:v>
                </c:pt>
                <c:pt idx="3">
                  <c:v>-6.9999999999999993E-3</c:v>
                </c:pt>
                <c:pt idx="4">
                  <c:v>0</c:v>
                </c:pt>
                <c:pt idx="5">
                  <c:v>-3.5000000000000003E-2</c:v>
                </c:pt>
                <c:pt idx="6">
                  <c:v>-3.7999999999999999E-2</c:v>
                </c:pt>
                <c:pt idx="7">
                  <c:v>0.01</c:v>
                </c:pt>
                <c:pt idx="8">
                  <c:v>-0.03</c:v>
                </c:pt>
                <c:pt idx="9">
                  <c:v>-4.4999999999999998E-2</c:v>
                </c:pt>
              </c:numCache>
            </c:numRef>
          </c:val>
          <c:smooth val="0"/>
          <c:extLst>
            <c:ext xmlns:c16="http://schemas.microsoft.com/office/drawing/2014/chart" uri="{C3380CC4-5D6E-409C-BE32-E72D297353CC}">
              <c16:uniqueId val="{00000004-F7F6-4FBD-8460-B15EA978462D}"/>
            </c:ext>
          </c:extLst>
        </c:ser>
        <c:dLbls>
          <c:showLegendKey val="0"/>
          <c:showVal val="0"/>
          <c:showCatName val="0"/>
          <c:showSerName val="0"/>
          <c:showPercent val="0"/>
          <c:showBubbleSize val="0"/>
        </c:dLbls>
        <c:marker val="1"/>
        <c:smooth val="0"/>
        <c:axId val="778899200"/>
        <c:axId val="778907104"/>
      </c:lineChart>
      <c:catAx>
        <c:axId val="779003200"/>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779008192"/>
        <c:crosses val="autoZero"/>
        <c:auto val="1"/>
        <c:lblAlgn val="ctr"/>
        <c:lblOffset val="100"/>
        <c:noMultiLvlLbl val="0"/>
      </c:catAx>
      <c:valAx>
        <c:axId val="779008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779003200"/>
        <c:crosses val="autoZero"/>
        <c:crossBetween val="between"/>
        <c:majorUnit val="300"/>
      </c:valAx>
      <c:valAx>
        <c:axId val="778907104"/>
        <c:scaling>
          <c:orientation val="minMax"/>
          <c:max val="5.000000000000001E-2"/>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778899200"/>
        <c:crosses val="max"/>
        <c:crossBetween val="between"/>
        <c:majorUnit val="1.0000000000000002E-2"/>
      </c:valAx>
      <c:catAx>
        <c:axId val="778899200"/>
        <c:scaling>
          <c:orientation val="minMax"/>
        </c:scaling>
        <c:delete val="1"/>
        <c:axPos val="b"/>
        <c:numFmt formatCode="General" sourceLinked="1"/>
        <c:majorTickMark val="out"/>
        <c:minorTickMark val="none"/>
        <c:tickLblPos val="nextTo"/>
        <c:crossAx val="778907104"/>
        <c:crosses val="autoZero"/>
        <c:auto val="1"/>
        <c:lblAlgn val="ctr"/>
        <c:lblOffset val="100"/>
        <c:noMultiLvlLbl val="0"/>
      </c:catAx>
      <c:spPr>
        <a:noFill/>
        <a:ln>
          <a:noFill/>
        </a:ln>
        <a:effectLst/>
      </c:spPr>
    </c:plotArea>
    <c:legend>
      <c:legendPos val="b"/>
      <c:layout>
        <c:manualLayout>
          <c:xMode val="edge"/>
          <c:yMode val="edge"/>
          <c:x val="5.0388789758868534E-2"/>
          <c:y val="0.83284663187593355"/>
          <c:w val="0.90268742394726642"/>
          <c:h val="0.1584161239104371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728830997574578"/>
          <c:y val="3.5188739603326934E-2"/>
          <c:w val="0.7921020741972471"/>
          <c:h val="0.5858690888207112"/>
        </c:manualLayout>
      </c:layout>
      <c:barChart>
        <c:barDir val="col"/>
        <c:grouping val="clustered"/>
        <c:varyColors val="0"/>
        <c:ser>
          <c:idx val="0"/>
          <c:order val="0"/>
          <c:tx>
            <c:strRef>
              <c:f>IK10_070c!$U$13</c:f>
              <c:strCache>
                <c:ptCount val="1"/>
                <c:pt idx="0">
                  <c:v>Bruto pamatkapitāla veidošana (fakt. c.)</c:v>
                </c:pt>
              </c:strCache>
            </c:strRef>
          </c:tx>
          <c:spPr>
            <a:solidFill>
              <a:schemeClr val="bg1">
                <a:lumMod val="75000"/>
              </a:schemeClr>
            </a:solidFill>
            <a:ln>
              <a:noFill/>
            </a:ln>
            <a:effectLst/>
          </c:spPr>
          <c:invertIfNegative val="0"/>
          <c:cat>
            <c:multiLvlStrRef>
              <c:f>IK10_070c!$A$66:$B$75</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IK10_070c!$O$66:$O$75</c:f>
              <c:numCache>
                <c:formatCode>0</c:formatCode>
                <c:ptCount val="10"/>
                <c:pt idx="0">
                  <c:v>136.50038034672974</c:v>
                </c:pt>
                <c:pt idx="1">
                  <c:v>130.48937495430636</c:v>
                </c:pt>
                <c:pt idx="2">
                  <c:v>128.13434692459703</c:v>
                </c:pt>
                <c:pt idx="3">
                  <c:v>133.55377091923907</c:v>
                </c:pt>
                <c:pt idx="4">
                  <c:v>127.83428585560176</c:v>
                </c:pt>
                <c:pt idx="5">
                  <c:v>125.85694233121936</c:v>
                </c:pt>
                <c:pt idx="6">
                  <c:v>126.39127914747196</c:v>
                </c:pt>
                <c:pt idx="7">
                  <c:v>124.77897118405605</c:v>
                </c:pt>
                <c:pt idx="8">
                  <c:v>138.90211217100074</c:v>
                </c:pt>
                <c:pt idx="9">
                  <c:v>138.4471285612488</c:v>
                </c:pt>
              </c:numCache>
            </c:numRef>
          </c:val>
          <c:extLst>
            <c:ext xmlns:c16="http://schemas.microsoft.com/office/drawing/2014/chart" uri="{C3380CC4-5D6E-409C-BE32-E72D297353CC}">
              <c16:uniqueId val="{00000000-DCC4-453D-8FE6-4A1E8B807E96}"/>
            </c:ext>
          </c:extLst>
        </c:ser>
        <c:dLbls>
          <c:showLegendKey val="0"/>
          <c:showVal val="0"/>
          <c:showCatName val="0"/>
          <c:showSerName val="0"/>
          <c:showPercent val="0"/>
          <c:showBubbleSize val="0"/>
        </c:dLbls>
        <c:gapWidth val="30"/>
        <c:axId val="915359616"/>
        <c:axId val="915364192"/>
      </c:barChart>
      <c:lineChart>
        <c:grouping val="standard"/>
        <c:varyColors val="0"/>
        <c:ser>
          <c:idx val="1"/>
          <c:order val="1"/>
          <c:tx>
            <c:strRef>
              <c:f>IK10_070c!$V$13</c:f>
              <c:strCache>
                <c:ptCount val="1"/>
                <c:pt idx="0">
                  <c:v>Kapitālpreču imports (fakt. c.)</c:v>
                </c:pt>
              </c:strCache>
            </c:strRef>
          </c:tx>
          <c:spPr>
            <a:ln w="38100" cap="rnd">
              <a:solidFill>
                <a:schemeClr val="accent2"/>
              </a:solidFill>
              <a:round/>
            </a:ln>
            <a:effectLst/>
          </c:spPr>
          <c:marker>
            <c:symbol val="none"/>
          </c:marker>
          <c:cat>
            <c:numRef>
              <c:f>IK10_070c!$A$66:$A$74</c:f>
              <c:numCache>
                <c:formatCode>General</c:formatCode>
                <c:ptCount val="9"/>
                <c:pt idx="0">
                  <c:v>2023</c:v>
                </c:pt>
                <c:pt idx="4">
                  <c:v>2024</c:v>
                </c:pt>
                <c:pt idx="8">
                  <c:v>2025</c:v>
                </c:pt>
              </c:numCache>
            </c:numRef>
          </c:cat>
          <c:val>
            <c:numRef>
              <c:f>IK10_070c!$P$66:$P$75</c:f>
              <c:numCache>
                <c:formatCode>0</c:formatCode>
                <c:ptCount val="10"/>
                <c:pt idx="0">
                  <c:v>116.67496191362218</c:v>
                </c:pt>
                <c:pt idx="1">
                  <c:v>113.33183387416048</c:v>
                </c:pt>
                <c:pt idx="2">
                  <c:v>105.99803187372578</c:v>
                </c:pt>
                <c:pt idx="3">
                  <c:v>121.42450458431513</c:v>
                </c:pt>
                <c:pt idx="4">
                  <c:v>98.646319028653565</c:v>
                </c:pt>
                <c:pt idx="5">
                  <c:v>103.11466143853704</c:v>
                </c:pt>
                <c:pt idx="6">
                  <c:v>100.02324965409682</c:v>
                </c:pt>
                <c:pt idx="7">
                  <c:v>105.27222933872129</c:v>
                </c:pt>
                <c:pt idx="8">
                  <c:v>97.081600085972056</c:v>
                </c:pt>
                <c:pt idx="9">
                  <c:v>91.182181189548743</c:v>
                </c:pt>
              </c:numCache>
            </c:numRef>
          </c:val>
          <c:smooth val="0"/>
          <c:extLst>
            <c:ext xmlns:c16="http://schemas.microsoft.com/office/drawing/2014/chart" uri="{C3380CC4-5D6E-409C-BE32-E72D297353CC}">
              <c16:uniqueId val="{00000001-DCC4-453D-8FE6-4A1E8B807E96}"/>
            </c:ext>
          </c:extLst>
        </c:ser>
        <c:ser>
          <c:idx val="2"/>
          <c:order val="2"/>
          <c:tx>
            <c:strRef>
              <c:f>IK10_070c!$W$13</c:f>
              <c:strCache>
                <c:ptCount val="1"/>
                <c:pt idx="0">
                  <c:v>Ēku būvniecība</c:v>
                </c:pt>
              </c:strCache>
            </c:strRef>
          </c:tx>
          <c:spPr>
            <a:ln w="38100" cap="rnd">
              <a:solidFill>
                <a:schemeClr val="accent3"/>
              </a:solidFill>
              <a:round/>
            </a:ln>
            <a:effectLst/>
          </c:spPr>
          <c:marker>
            <c:symbol val="none"/>
          </c:marker>
          <c:cat>
            <c:numRef>
              <c:f>IK10_070c!$A$66:$A$74</c:f>
              <c:numCache>
                <c:formatCode>General</c:formatCode>
                <c:ptCount val="9"/>
                <c:pt idx="0">
                  <c:v>2023</c:v>
                </c:pt>
                <c:pt idx="4">
                  <c:v>2024</c:v>
                </c:pt>
                <c:pt idx="8">
                  <c:v>2025</c:v>
                </c:pt>
              </c:numCache>
            </c:numRef>
          </c:cat>
          <c:val>
            <c:numRef>
              <c:f>IK10_070c!$Q$66:$Q$75</c:f>
              <c:numCache>
                <c:formatCode>0</c:formatCode>
                <c:ptCount val="10"/>
                <c:pt idx="0">
                  <c:v>119.5</c:v>
                </c:pt>
                <c:pt idx="1">
                  <c:v>113</c:v>
                </c:pt>
                <c:pt idx="2">
                  <c:v>111.1</c:v>
                </c:pt>
                <c:pt idx="3">
                  <c:v>113.7</c:v>
                </c:pt>
                <c:pt idx="4">
                  <c:v>94.7</c:v>
                </c:pt>
                <c:pt idx="5">
                  <c:v>96.8</c:v>
                </c:pt>
                <c:pt idx="6">
                  <c:v>91.1</c:v>
                </c:pt>
                <c:pt idx="7">
                  <c:v>86.5</c:v>
                </c:pt>
                <c:pt idx="8">
                  <c:v>92.7</c:v>
                </c:pt>
                <c:pt idx="9">
                  <c:v>94</c:v>
                </c:pt>
              </c:numCache>
            </c:numRef>
          </c:val>
          <c:smooth val="0"/>
          <c:extLst>
            <c:ext xmlns:c16="http://schemas.microsoft.com/office/drawing/2014/chart" uri="{C3380CC4-5D6E-409C-BE32-E72D297353CC}">
              <c16:uniqueId val="{00000002-DCC4-453D-8FE6-4A1E8B807E96}"/>
            </c:ext>
          </c:extLst>
        </c:ser>
        <c:ser>
          <c:idx val="3"/>
          <c:order val="3"/>
          <c:tx>
            <c:strRef>
              <c:f>IK10_070c!$X$13</c:f>
              <c:strCache>
                <c:ptCount val="1"/>
                <c:pt idx="0">
                  <c:v>Inženierbūvniecība</c:v>
                </c:pt>
              </c:strCache>
            </c:strRef>
          </c:tx>
          <c:spPr>
            <a:ln w="38100" cap="rnd">
              <a:solidFill>
                <a:schemeClr val="accent4"/>
              </a:solidFill>
              <a:round/>
            </a:ln>
            <a:effectLst/>
          </c:spPr>
          <c:marker>
            <c:symbol val="none"/>
          </c:marker>
          <c:cat>
            <c:numRef>
              <c:f>IK10_070c!$A$66:$A$74</c:f>
              <c:numCache>
                <c:formatCode>General</c:formatCode>
                <c:ptCount val="9"/>
                <c:pt idx="0">
                  <c:v>2023</c:v>
                </c:pt>
                <c:pt idx="4">
                  <c:v>2024</c:v>
                </c:pt>
                <c:pt idx="8">
                  <c:v>2025</c:v>
                </c:pt>
              </c:numCache>
            </c:numRef>
          </c:cat>
          <c:val>
            <c:numRef>
              <c:f>IK10_070c!$R$66:$R$75</c:f>
              <c:numCache>
                <c:formatCode>0</c:formatCode>
                <c:ptCount val="10"/>
                <c:pt idx="0">
                  <c:v>93.8</c:v>
                </c:pt>
                <c:pt idx="1">
                  <c:v>89.9</c:v>
                </c:pt>
                <c:pt idx="2">
                  <c:v>97.1</c:v>
                </c:pt>
                <c:pt idx="3">
                  <c:v>104.4</c:v>
                </c:pt>
                <c:pt idx="4">
                  <c:v>100.9</c:v>
                </c:pt>
                <c:pt idx="5">
                  <c:v>103</c:v>
                </c:pt>
                <c:pt idx="6">
                  <c:v>101.8</c:v>
                </c:pt>
                <c:pt idx="7">
                  <c:v>113.2</c:v>
                </c:pt>
                <c:pt idx="8">
                  <c:v>121</c:v>
                </c:pt>
                <c:pt idx="9">
                  <c:v>128.19999999999999</c:v>
                </c:pt>
              </c:numCache>
            </c:numRef>
          </c:val>
          <c:smooth val="0"/>
          <c:extLst>
            <c:ext xmlns:c16="http://schemas.microsoft.com/office/drawing/2014/chart" uri="{C3380CC4-5D6E-409C-BE32-E72D297353CC}">
              <c16:uniqueId val="{00000003-DCC4-453D-8FE6-4A1E8B807E96}"/>
            </c:ext>
          </c:extLst>
        </c:ser>
        <c:dLbls>
          <c:showLegendKey val="0"/>
          <c:showVal val="0"/>
          <c:showCatName val="0"/>
          <c:showSerName val="0"/>
          <c:showPercent val="0"/>
          <c:showBubbleSize val="0"/>
        </c:dLbls>
        <c:marker val="1"/>
        <c:smooth val="0"/>
        <c:axId val="915359616"/>
        <c:axId val="915364192"/>
      </c:lineChart>
      <c:catAx>
        <c:axId val="915359616"/>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15364192"/>
        <c:crosses val="autoZero"/>
        <c:auto val="1"/>
        <c:lblAlgn val="ctr"/>
        <c:lblOffset val="100"/>
        <c:noMultiLvlLbl val="0"/>
      </c:catAx>
      <c:valAx>
        <c:axId val="915364192"/>
        <c:scaling>
          <c:orientation val="minMax"/>
          <c:max val="150"/>
          <c:min val="50"/>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15359616"/>
        <c:crosses val="autoZero"/>
        <c:crossBetween val="between"/>
        <c:majorUnit val="10"/>
      </c:valAx>
      <c:spPr>
        <a:pattFill prst="ltDnDiag">
          <a:fgClr>
            <a:srgbClr val="000000">
              <a:alpha val="0"/>
            </a:srgbClr>
          </a:fgClr>
          <a:bgClr>
            <a:srgbClr val="FFFFFF"/>
          </a:bgClr>
        </a:patt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lt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931472061567525"/>
          <c:y val="3.2679738562091505E-2"/>
          <c:w val="0.65283565218064554"/>
          <c:h val="0.54223101791420458"/>
        </c:manualLayout>
      </c:layout>
      <c:barChart>
        <c:barDir val="col"/>
        <c:grouping val="stacked"/>
        <c:varyColors val="0"/>
        <c:ser>
          <c:idx val="0"/>
          <c:order val="0"/>
          <c:tx>
            <c:strRef>
              <c:f>Invest_Eurostat_Q!$D$21</c:f>
              <c:strCache>
                <c:ptCount val="1"/>
                <c:pt idx="0">
                  <c:v>Ēkas, būves, celtnes</c:v>
                </c:pt>
              </c:strCache>
            </c:strRef>
          </c:tx>
          <c:spPr>
            <a:solidFill>
              <a:schemeClr val="accent1">
                <a:lumMod val="40000"/>
                <a:lumOff val="60000"/>
              </a:schemeClr>
            </a:solidFill>
            <a:ln w="25400">
              <a:noFill/>
            </a:ln>
          </c:spPr>
          <c:invertIfNegative val="0"/>
          <c:cat>
            <c:multiLvlStrRef>
              <c:f>Invest_Eurostat_Q!$AA$3:$AJ$4</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Invest_Eurostat_Q!$AA$21:$AJ$21</c:f>
              <c:numCache>
                <c:formatCode>0</c:formatCode>
                <c:ptCount val="10"/>
                <c:pt idx="0">
                  <c:v>138.65899999999999</c:v>
                </c:pt>
                <c:pt idx="1">
                  <c:v>110.178</c:v>
                </c:pt>
                <c:pt idx="2">
                  <c:v>126.0390000000001</c:v>
                </c:pt>
                <c:pt idx="3">
                  <c:v>247.74599999999987</c:v>
                </c:pt>
                <c:pt idx="4">
                  <c:v>-48.751999999999953</c:v>
                </c:pt>
                <c:pt idx="5">
                  <c:v>-9.4089999999999918</c:v>
                </c:pt>
                <c:pt idx="6">
                  <c:v>-50.460000000000036</c:v>
                </c:pt>
                <c:pt idx="7">
                  <c:v>-85.267999999999802</c:v>
                </c:pt>
                <c:pt idx="8">
                  <c:v>67.402000000000044</c:v>
                </c:pt>
                <c:pt idx="9">
                  <c:v>62.740999999999985</c:v>
                </c:pt>
              </c:numCache>
            </c:numRef>
          </c:val>
          <c:extLst>
            <c:ext xmlns:c16="http://schemas.microsoft.com/office/drawing/2014/chart" uri="{C3380CC4-5D6E-409C-BE32-E72D297353CC}">
              <c16:uniqueId val="{00000000-13A1-4C65-9A93-199EDE47822A}"/>
            </c:ext>
          </c:extLst>
        </c:ser>
        <c:ser>
          <c:idx val="1"/>
          <c:order val="1"/>
          <c:tx>
            <c:strRef>
              <c:f>Invest_Eurostat_Q!$D$22</c:f>
              <c:strCache>
                <c:ptCount val="1"/>
                <c:pt idx="0">
                  <c:v>Tehnoģiskās iekārtas un mašīnas</c:v>
                </c:pt>
              </c:strCache>
            </c:strRef>
          </c:tx>
          <c:spPr>
            <a:solidFill>
              <a:schemeClr val="accent2">
                <a:lumMod val="60000"/>
                <a:lumOff val="40000"/>
              </a:schemeClr>
            </a:solidFill>
            <a:ln w="25400">
              <a:noFill/>
            </a:ln>
          </c:spPr>
          <c:invertIfNegative val="0"/>
          <c:cat>
            <c:multiLvlStrRef>
              <c:f>Invest_Eurostat_Q!$AA$3:$AJ$4</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Invest_Eurostat_Q!$AA$22:$AJ$22</c:f>
              <c:numCache>
                <c:formatCode>0</c:formatCode>
                <c:ptCount val="10"/>
                <c:pt idx="0">
                  <c:v>42.68100000000004</c:v>
                </c:pt>
                <c:pt idx="1">
                  <c:v>15.325000000000045</c:v>
                </c:pt>
                <c:pt idx="2">
                  <c:v>-46.110000000000014</c:v>
                </c:pt>
                <c:pt idx="3">
                  <c:v>29.83400000000006</c:v>
                </c:pt>
                <c:pt idx="4">
                  <c:v>-90.645000000000095</c:v>
                </c:pt>
                <c:pt idx="5">
                  <c:v>-70.927000000000021</c:v>
                </c:pt>
                <c:pt idx="6">
                  <c:v>-22.59699999999998</c:v>
                </c:pt>
                <c:pt idx="7">
                  <c:v>-114.95900000000006</c:v>
                </c:pt>
                <c:pt idx="8">
                  <c:v>16.741000000000099</c:v>
                </c:pt>
                <c:pt idx="9">
                  <c:v>99.365000000000009</c:v>
                </c:pt>
              </c:numCache>
            </c:numRef>
          </c:val>
          <c:extLst>
            <c:ext xmlns:c16="http://schemas.microsoft.com/office/drawing/2014/chart" uri="{C3380CC4-5D6E-409C-BE32-E72D297353CC}">
              <c16:uniqueId val="{00000001-13A1-4C65-9A93-199EDE47822A}"/>
            </c:ext>
          </c:extLst>
        </c:ser>
        <c:ser>
          <c:idx val="2"/>
          <c:order val="2"/>
          <c:tx>
            <c:strRef>
              <c:f>Invest_Eurostat_Q!$D$23</c:f>
              <c:strCache>
                <c:ptCount val="1"/>
                <c:pt idx="0">
                  <c:v>Intelektuāla īpašuma produkti</c:v>
                </c:pt>
              </c:strCache>
            </c:strRef>
          </c:tx>
          <c:spPr>
            <a:solidFill>
              <a:srgbClr val="A5A5A5"/>
            </a:solidFill>
            <a:ln w="25400">
              <a:noFill/>
            </a:ln>
          </c:spPr>
          <c:invertIfNegative val="0"/>
          <c:cat>
            <c:multiLvlStrRef>
              <c:f>Invest_Eurostat_Q!$AA$3:$AJ$4</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Invest_Eurostat_Q!$AA$23:$AJ$23</c:f>
              <c:numCache>
                <c:formatCode>0</c:formatCode>
                <c:ptCount val="10"/>
                <c:pt idx="0">
                  <c:v>3.9890000000000043</c:v>
                </c:pt>
                <c:pt idx="1">
                  <c:v>0.16599999999999682</c:v>
                </c:pt>
                <c:pt idx="2">
                  <c:v>-3.2079999999999984</c:v>
                </c:pt>
                <c:pt idx="3">
                  <c:v>-5.9039999999999964</c:v>
                </c:pt>
                <c:pt idx="4">
                  <c:v>-8.7109999999999985</c:v>
                </c:pt>
                <c:pt idx="5">
                  <c:v>-18.353000000000009</c:v>
                </c:pt>
                <c:pt idx="6">
                  <c:v>-11.075000000000017</c:v>
                </c:pt>
                <c:pt idx="7">
                  <c:v>-4.171999999999997</c:v>
                </c:pt>
                <c:pt idx="8">
                  <c:v>1.3160000000000025</c:v>
                </c:pt>
                <c:pt idx="9">
                  <c:v>0.32400000000001228</c:v>
                </c:pt>
              </c:numCache>
            </c:numRef>
          </c:val>
          <c:extLst>
            <c:ext xmlns:c16="http://schemas.microsoft.com/office/drawing/2014/chart" uri="{C3380CC4-5D6E-409C-BE32-E72D297353CC}">
              <c16:uniqueId val="{00000002-13A1-4C65-9A93-199EDE47822A}"/>
            </c:ext>
          </c:extLst>
        </c:ser>
        <c:ser>
          <c:idx val="3"/>
          <c:order val="3"/>
          <c:tx>
            <c:strRef>
              <c:f>Invest_Eurostat_Q!$D$24</c:f>
              <c:strCache>
                <c:ptCount val="1"/>
                <c:pt idx="0">
                  <c:v>Pārējie pamatlīdzekļi </c:v>
                </c:pt>
              </c:strCache>
            </c:strRef>
          </c:tx>
          <c:spPr>
            <a:solidFill>
              <a:srgbClr val="C00000"/>
            </a:solidFill>
            <a:ln w="25400">
              <a:noFill/>
            </a:ln>
          </c:spPr>
          <c:invertIfNegative val="0"/>
          <c:cat>
            <c:multiLvlStrRef>
              <c:f>Invest_Eurostat_Q!$AA$3:$AJ$4</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Invest_Eurostat_Q!$AA$24:$AJ$24</c:f>
              <c:numCache>
                <c:formatCode>0</c:formatCode>
                <c:ptCount val="10"/>
                <c:pt idx="0">
                  <c:v>-0.37600000000000033</c:v>
                </c:pt>
                <c:pt idx="1">
                  <c:v>-0.38900000000000023</c:v>
                </c:pt>
                <c:pt idx="2">
                  <c:v>-0.52999999999999936</c:v>
                </c:pt>
                <c:pt idx="3">
                  <c:v>-0.4610000000000003</c:v>
                </c:pt>
                <c:pt idx="4">
                  <c:v>0</c:v>
                </c:pt>
                <c:pt idx="5">
                  <c:v>0</c:v>
                </c:pt>
                <c:pt idx="6">
                  <c:v>0</c:v>
                </c:pt>
                <c:pt idx="7">
                  <c:v>0</c:v>
                </c:pt>
                <c:pt idx="8">
                  <c:v>0</c:v>
                </c:pt>
                <c:pt idx="9">
                  <c:v>0</c:v>
                </c:pt>
              </c:numCache>
            </c:numRef>
          </c:val>
          <c:extLst>
            <c:ext xmlns:c16="http://schemas.microsoft.com/office/drawing/2014/chart" uri="{C3380CC4-5D6E-409C-BE32-E72D297353CC}">
              <c16:uniqueId val="{00000003-13A1-4C65-9A93-199EDE47822A}"/>
            </c:ext>
          </c:extLst>
        </c:ser>
        <c:dLbls>
          <c:showLegendKey val="0"/>
          <c:showVal val="0"/>
          <c:showCatName val="0"/>
          <c:showSerName val="0"/>
          <c:showPercent val="0"/>
          <c:showBubbleSize val="0"/>
        </c:dLbls>
        <c:gapWidth val="30"/>
        <c:overlap val="100"/>
        <c:axId val="661113408"/>
        <c:axId val="1"/>
      </c:barChart>
      <c:lineChart>
        <c:grouping val="standard"/>
        <c:varyColors val="0"/>
        <c:ser>
          <c:idx val="4"/>
          <c:order val="4"/>
          <c:tx>
            <c:strRef>
              <c:f>Invest_Eurostat_Q!$D$25</c:f>
              <c:strCache>
                <c:ptCount val="1"/>
                <c:pt idx="0">
                  <c:v>Investīciju izmaiņas, % (labā ass)</c:v>
                </c:pt>
              </c:strCache>
            </c:strRef>
          </c:tx>
          <c:spPr>
            <a:ln w="28575" cap="rnd">
              <a:solidFill>
                <a:schemeClr val="tx1"/>
              </a:solidFill>
              <a:round/>
            </a:ln>
            <a:effectLst/>
          </c:spPr>
          <c:marker>
            <c:symbol val="none"/>
          </c:marker>
          <c:cat>
            <c:multiLvlStrRef>
              <c:f>Invest_Eurostat_Q!$AA$3:$AJ$4</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multiLvlStrRef>
          </c:cat>
          <c:val>
            <c:numRef>
              <c:f>Invest_Eurostat_Q!$AA$25:$AJ$25</c:f>
              <c:numCache>
                <c:formatCode>0.0</c:formatCode>
                <c:ptCount val="10"/>
                <c:pt idx="0">
                  <c:v>14.039622714530529</c:v>
                </c:pt>
                <c:pt idx="1">
                  <c:v>7.2908108803735718</c:v>
                </c:pt>
                <c:pt idx="2">
                  <c:v>4.3495275159396645</c:v>
                </c:pt>
                <c:pt idx="3">
                  <c:v>15.238764227913423</c:v>
                </c:pt>
                <c:pt idx="4">
                  <c:v>-8.7826039629002253</c:v>
                </c:pt>
                <c:pt idx="5">
                  <c:v>-5.0739863754119163</c:v>
                </c:pt>
                <c:pt idx="6">
                  <c:v>-4.1143469185931023</c:v>
                </c:pt>
                <c:pt idx="7">
                  <c:v>-9.1405553699067124</c:v>
                </c:pt>
                <c:pt idx="8">
                  <c:v>6.4174272449167136</c:v>
                </c:pt>
                <c:pt idx="9">
                  <c:v>8.6486581010622476</c:v>
                </c:pt>
              </c:numCache>
            </c:numRef>
          </c:val>
          <c:smooth val="0"/>
          <c:extLst>
            <c:ext xmlns:c16="http://schemas.microsoft.com/office/drawing/2014/chart" uri="{C3380CC4-5D6E-409C-BE32-E72D297353CC}">
              <c16:uniqueId val="{00000004-13A1-4C65-9A93-199EDE47822A}"/>
            </c:ext>
          </c:extLst>
        </c:ser>
        <c:dLbls>
          <c:showLegendKey val="0"/>
          <c:showVal val="0"/>
          <c:showCatName val="0"/>
          <c:showSerName val="0"/>
          <c:showPercent val="0"/>
          <c:showBubbleSize val="0"/>
        </c:dLbls>
        <c:marker val="1"/>
        <c:smooth val="0"/>
        <c:axId val="3"/>
        <c:axId val="4"/>
      </c:lineChart>
      <c:catAx>
        <c:axId val="661113408"/>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vert="horz"/>
          <a:lstStyle/>
          <a:p>
            <a:pPr>
              <a:defRPr sz="900"/>
            </a:pPr>
            <a:endParaRPr lang="lv-LV"/>
          </a:p>
        </c:txPr>
        <c:crossAx val="1"/>
        <c:crosses val="autoZero"/>
        <c:auto val="1"/>
        <c:lblAlgn val="ctr"/>
        <c:lblOffset val="100"/>
        <c:noMultiLvlLbl val="0"/>
      </c:catAx>
      <c:valAx>
        <c:axId val="1"/>
        <c:scaling>
          <c:orientation val="minMax"/>
          <c:max val="3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vert="horz"/>
          <a:lstStyle/>
          <a:p>
            <a:pPr>
              <a:defRPr sz="900"/>
            </a:pPr>
            <a:endParaRPr lang="lv-LV"/>
          </a:p>
        </c:txPr>
        <c:crossAx val="661113408"/>
        <c:crosses val="autoZero"/>
        <c:crossBetween val="between"/>
        <c:majorUnit val="5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30"/>
          <c:min val="-25"/>
        </c:scaling>
        <c:delete val="0"/>
        <c:axPos val="r"/>
        <c:numFmt formatCode="0" sourceLinked="0"/>
        <c:majorTickMark val="out"/>
        <c:minorTickMark val="none"/>
        <c:tickLblPos val="nextTo"/>
        <c:spPr>
          <a:ln w="6350">
            <a:noFill/>
          </a:ln>
        </c:spPr>
        <c:txPr>
          <a:bodyPr rot="-60000000" vert="horz"/>
          <a:lstStyle/>
          <a:p>
            <a:pPr>
              <a:defRPr sz="900"/>
            </a:pPr>
            <a:endParaRPr lang="lv-LV"/>
          </a:p>
        </c:txPr>
        <c:crossAx val="3"/>
        <c:crosses val="max"/>
        <c:crossBetween val="between"/>
        <c:majorUnit val="5"/>
      </c:valAx>
      <c:spPr>
        <a:noFill/>
        <a:ln w="25400">
          <a:noFill/>
        </a:ln>
      </c:spPr>
    </c:plotArea>
    <c:legend>
      <c:legendPos val="b"/>
      <c:layout>
        <c:manualLayout>
          <c:xMode val="edge"/>
          <c:yMode val="edge"/>
          <c:x val="0.1095475344343019"/>
          <c:y val="0.73963582092345403"/>
          <c:w val="0.84481801500476172"/>
          <c:h val="0.22768444051445441"/>
        </c:manualLayout>
      </c:layout>
      <c:overlay val="0"/>
      <c:spPr>
        <a:noFill/>
        <a:ln w="25400">
          <a:noFill/>
        </a:ln>
      </c:spPr>
      <c:txPr>
        <a:bodyPr rot="0" vert="horz"/>
        <a:lstStyle/>
        <a:p>
          <a:pPr>
            <a:defRPr sz="900">
              <a:solidFill>
                <a:sysClr val="windowText" lastClr="000000"/>
              </a:solidFill>
            </a:defRPr>
          </a:pPr>
          <a:endParaRPr lang="lv-LV"/>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968547681539809"/>
          <c:y val="5.0925925925925923E-2"/>
          <c:w val="0.85221653543307074"/>
          <c:h val="0.48528397491980169"/>
        </c:manualLayout>
      </c:layout>
      <c:barChart>
        <c:barDir val="col"/>
        <c:grouping val="clustered"/>
        <c:varyColors val="0"/>
        <c:ser>
          <c:idx val="0"/>
          <c:order val="0"/>
          <c:tx>
            <c:strRef>
              <c:f>'[Chart in Microsoft Word]Sheet1'!$B$10</c:f>
              <c:strCache>
                <c:ptCount val="1"/>
                <c:pt idx="0">
                  <c:v>2023</c:v>
                </c:pt>
              </c:strCache>
            </c:strRef>
          </c:tx>
          <c:spPr>
            <a:solidFill>
              <a:schemeClr val="accent1"/>
            </a:solidFill>
            <a:ln>
              <a:noFill/>
            </a:ln>
            <a:effectLst/>
          </c:spPr>
          <c:invertIfNegative val="0"/>
          <c:cat>
            <c:strRef>
              <c:f>[1]Sheet1!$A$11:$A$23</c:f>
              <c:strCache>
                <c:ptCount val="13"/>
                <c:pt idx="0">
                  <c:v>Tekošā konta bilance </c:v>
                </c:pt>
                <c:pt idx="1">
                  <c:v>Neto starptautiskā inv. poz.</c:v>
                </c:pt>
                <c:pt idx="2">
                  <c:v>Reālais efektīvais  maiņas kurss</c:v>
                </c:pt>
                <c:pt idx="3">
                  <c:v>Eksporta tirgus daļa % no attīstītajām ekonomikām</c:v>
                </c:pt>
                <c:pt idx="4">
                  <c:v>Nominālās darbaspēka vienības izmaksu indekss</c:v>
                </c:pt>
                <c:pt idx="5">
                  <c:v>Mājokļu cenu indekss</c:v>
                </c:pt>
                <c:pt idx="6">
                  <c:v>Mājsaimniecību kredītplūsma</c:v>
                </c:pt>
                <c:pt idx="7">
                  <c:v>Mājsaimniecību parādsaistības (kosolidētas)</c:v>
                </c:pt>
                <c:pt idx="8">
                  <c:v>Nefinanšu sabiedrību parādsaistības (konsolidētas)</c:v>
                </c:pt>
                <c:pt idx="9">
                  <c:v>Nefinanšu sabiedrību kredītplūsma (konsolidētas)</c:v>
                </c:pt>
                <c:pt idx="10">
                  <c:v>Vispārējais valdības parāds</c:v>
                </c:pt>
                <c:pt idx="11">
                  <c:v>Bezdarba līmenis</c:v>
                </c:pt>
                <c:pt idx="12">
                  <c:v>Ekonomiski aktīvo iedzīvotāju īpatsvars </c:v>
                </c:pt>
              </c:strCache>
            </c:strRef>
          </c:cat>
          <c:val>
            <c:numRef>
              <c:f>[1]Sheet1!$B$11:$B$23</c:f>
              <c:numCache>
                <c:formatCode>General</c:formatCode>
                <c:ptCount val="13"/>
                <c:pt idx="0">
                  <c:v>10</c:v>
                </c:pt>
                <c:pt idx="1">
                  <c:v>8</c:v>
                </c:pt>
                <c:pt idx="2">
                  <c:v>7</c:v>
                </c:pt>
                <c:pt idx="3">
                  <c:v>9</c:v>
                </c:pt>
                <c:pt idx="4">
                  <c:v>22</c:v>
                </c:pt>
                <c:pt idx="5">
                  <c:v>4</c:v>
                </c:pt>
                <c:pt idx="6">
                  <c:v>1</c:v>
                </c:pt>
                <c:pt idx="7">
                  <c:v>9</c:v>
                </c:pt>
                <c:pt idx="8">
                  <c:v>8</c:v>
                </c:pt>
                <c:pt idx="9">
                  <c:v>2</c:v>
                </c:pt>
                <c:pt idx="10">
                  <c:v>15</c:v>
                </c:pt>
                <c:pt idx="11">
                  <c:v>2</c:v>
                </c:pt>
                <c:pt idx="12">
                  <c:v>1</c:v>
                </c:pt>
              </c:numCache>
            </c:numRef>
          </c:val>
          <c:extLst>
            <c:ext xmlns:c16="http://schemas.microsoft.com/office/drawing/2014/chart" uri="{C3380CC4-5D6E-409C-BE32-E72D297353CC}">
              <c16:uniqueId val="{00000000-1532-4C8F-8A61-E28FA5529462}"/>
            </c:ext>
          </c:extLst>
        </c:ser>
        <c:dLbls>
          <c:showLegendKey val="0"/>
          <c:showVal val="0"/>
          <c:showCatName val="0"/>
          <c:showSerName val="0"/>
          <c:showPercent val="0"/>
          <c:showBubbleSize val="0"/>
        </c:dLbls>
        <c:gapWidth val="50"/>
        <c:overlap val="-27"/>
        <c:axId val="471984496"/>
        <c:axId val="471985936"/>
      </c:barChart>
      <c:catAx>
        <c:axId val="471984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471985936"/>
        <c:crosses val="autoZero"/>
        <c:auto val="1"/>
        <c:lblAlgn val="ctr"/>
        <c:lblOffset val="100"/>
        <c:noMultiLvlLbl val="0"/>
      </c:catAx>
      <c:valAx>
        <c:axId val="471985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47198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6592407348070176E-2"/>
          <c:y val="5.2884615384615384E-2"/>
          <c:w val="0.9069207156955128"/>
          <c:h val="0.67832828588734095"/>
        </c:manualLayout>
      </c:layout>
      <c:lineChart>
        <c:grouping val="standard"/>
        <c:varyColors val="0"/>
        <c:ser>
          <c:idx val="0"/>
          <c:order val="0"/>
          <c:tx>
            <c:strRef>
              <c:f>LV!$A$14</c:f>
              <c:strCache>
                <c:ptCount val="1"/>
                <c:pt idx="0">
                  <c:v>2026.g. budž. progn.</c:v>
                </c:pt>
              </c:strCache>
            </c:strRef>
          </c:tx>
          <c:spPr>
            <a:ln w="28575" cap="rnd">
              <a:solidFill>
                <a:schemeClr val="accent1"/>
              </a:solidFill>
              <a:round/>
            </a:ln>
            <a:effectLst/>
          </c:spPr>
          <c:marker>
            <c:symbol val="none"/>
          </c:marker>
          <c:cat>
            <c:numRef>
              <c:f>LV!$J$12:$X$12</c:f>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extLst/>
            </c:numRef>
          </c:cat>
          <c:val>
            <c:numRef>
              <c:f>LV!$J$14:$X$14</c:f>
              <c:numCache>
                <c:formatCode>General</c:formatCode>
                <c:ptCount val="14"/>
                <c:pt idx="9" formatCode="0.0">
                  <c:v>114.54792026537753</c:v>
                </c:pt>
                <c:pt idx="10" formatCode="0.0">
                  <c:v>115.77872738070387</c:v>
                </c:pt>
                <c:pt idx="11" formatCode="0.0">
                  <c:v>118.25285535600464</c:v>
                </c:pt>
                <c:pt idx="12" formatCode="0.0">
                  <c:v>120.80961196736716</c:v>
                </c:pt>
                <c:pt idx="13" formatCode="0.0">
                  <c:v>123.44278090149919</c:v>
                </c:pt>
              </c:numCache>
              <c:extLst/>
            </c:numRef>
          </c:val>
          <c:smooth val="0"/>
          <c:extLst>
            <c:ext xmlns:c16="http://schemas.microsoft.com/office/drawing/2014/chart" uri="{C3380CC4-5D6E-409C-BE32-E72D297353CC}">
              <c16:uniqueId val="{00000000-3528-4E97-BDA9-3E6AEA95717C}"/>
            </c:ext>
          </c:extLst>
        </c:ser>
        <c:ser>
          <c:idx val="1"/>
          <c:order val="1"/>
          <c:tx>
            <c:strRef>
              <c:f>LV!$A$15</c:f>
              <c:strCache>
                <c:ptCount val="1"/>
                <c:pt idx="0">
                  <c:v>2025.g. budž. progn.</c:v>
                </c:pt>
              </c:strCache>
            </c:strRef>
          </c:tx>
          <c:spPr>
            <a:ln w="28575" cap="rnd">
              <a:solidFill>
                <a:schemeClr val="accent2"/>
              </a:solidFill>
              <a:round/>
            </a:ln>
            <a:effectLst/>
          </c:spPr>
          <c:marker>
            <c:symbol val="none"/>
          </c:marker>
          <c:cat>
            <c:numRef>
              <c:f>LV!$J$12:$X$12</c:f>
              <c:numCache>
                <c:formatCode>General</c:formatCode>
                <c:ptCount val="15"/>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numCache>
              <c:extLst/>
            </c:numRef>
          </c:cat>
          <c:val>
            <c:numRef>
              <c:f>LV!$J$15:$W$15</c:f>
              <c:numCache>
                <c:formatCode>General</c:formatCode>
                <c:ptCount val="14"/>
                <c:pt idx="8" formatCode="0.0">
                  <c:v>115.05703744631091</c:v>
                </c:pt>
                <c:pt idx="9" formatCode="0.0">
                  <c:v>116.63960475508263</c:v>
                </c:pt>
                <c:pt idx="10" formatCode="0.0">
                  <c:v>120.03328996394244</c:v>
                </c:pt>
                <c:pt idx="11" formatCode="0.0">
                  <c:v>123.34782089688106</c:v>
                </c:pt>
                <c:pt idx="12" formatCode="0.0">
                  <c:v>126.55050338580004</c:v>
                </c:pt>
              </c:numCache>
              <c:extLst/>
            </c:numRef>
          </c:val>
          <c:smooth val="0"/>
          <c:extLst>
            <c:ext xmlns:c16="http://schemas.microsoft.com/office/drawing/2014/chart" uri="{C3380CC4-5D6E-409C-BE32-E72D297353CC}">
              <c16:uniqueId val="{00000001-3528-4E97-BDA9-3E6AEA95717C}"/>
            </c:ext>
          </c:extLst>
        </c:ser>
        <c:ser>
          <c:idx val="2"/>
          <c:order val="2"/>
          <c:tx>
            <c:strRef>
              <c:f>LV!$A$16</c:f>
              <c:strCache>
                <c:ptCount val="1"/>
                <c:pt idx="0">
                  <c:v>2024.g. budž. progn.</c:v>
                </c:pt>
              </c:strCache>
            </c:strRef>
          </c:tx>
          <c:spPr>
            <a:ln w="28575" cap="rnd">
              <a:solidFill>
                <a:schemeClr val="accent3"/>
              </a:solidFill>
              <a:round/>
            </a:ln>
            <a:effectLst/>
          </c:spPr>
          <c:marker>
            <c:symbol val="none"/>
          </c:marker>
          <c:cat>
            <c:numRef>
              <c:f>LV!$J$12:$X$12</c:f>
              <c:numCache>
                <c:formatCode>General</c:formatCode>
                <c:ptCount val="15"/>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numCache>
              <c:extLst/>
            </c:numRef>
          </c:cat>
          <c:val>
            <c:numRef>
              <c:f>LV!$J$16:$W$16</c:f>
              <c:numCache>
                <c:formatCode>General</c:formatCode>
                <c:ptCount val="14"/>
                <c:pt idx="7" formatCode="0.0">
                  <c:v>111.86418960972371</c:v>
                </c:pt>
                <c:pt idx="8" formatCode="0.0">
                  <c:v>112.97082650383749</c:v>
                </c:pt>
                <c:pt idx="9" formatCode="0.0">
                  <c:v>115.77408735166124</c:v>
                </c:pt>
                <c:pt idx="10" formatCode="0.0">
                  <c:v>119.16494159597127</c:v>
                </c:pt>
                <c:pt idx="11" formatCode="0.0">
                  <c:v>122.64612155060865</c:v>
                </c:pt>
              </c:numCache>
              <c:extLst/>
            </c:numRef>
          </c:val>
          <c:smooth val="0"/>
          <c:extLst>
            <c:ext xmlns:c16="http://schemas.microsoft.com/office/drawing/2014/chart" uri="{C3380CC4-5D6E-409C-BE32-E72D297353CC}">
              <c16:uniqueId val="{00000002-3528-4E97-BDA9-3E6AEA95717C}"/>
            </c:ext>
          </c:extLst>
        </c:ser>
        <c:ser>
          <c:idx val="3"/>
          <c:order val="3"/>
          <c:tx>
            <c:strRef>
              <c:f>LV!$A$17</c:f>
              <c:strCache>
                <c:ptCount val="1"/>
                <c:pt idx="0">
                  <c:v>2023.g. budž. progn.</c:v>
                </c:pt>
              </c:strCache>
            </c:strRef>
          </c:tx>
          <c:spPr>
            <a:ln w="28575" cap="rnd">
              <a:solidFill>
                <a:schemeClr val="accent4"/>
              </a:solidFill>
              <a:round/>
            </a:ln>
            <a:effectLst/>
          </c:spPr>
          <c:marker>
            <c:symbol val="none"/>
          </c:marker>
          <c:cat>
            <c:numRef>
              <c:f>LV!$J$12:$X$12</c:f>
              <c:numCache>
                <c:formatCode>General</c:formatCode>
                <c:ptCount val="15"/>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numCache>
              <c:extLst/>
            </c:numRef>
          </c:cat>
          <c:val>
            <c:numRef>
              <c:f>LV!$J$17:$W$17</c:f>
              <c:numCache>
                <c:formatCode>General</c:formatCode>
                <c:ptCount val="14"/>
                <c:pt idx="6" formatCode="0.0">
                  <c:v>109.87892792790923</c:v>
                </c:pt>
                <c:pt idx="7" formatCode="0.0">
                  <c:v>111.63999204558121</c:v>
                </c:pt>
                <c:pt idx="8" formatCode="0.0">
                  <c:v>110.96477178954167</c:v>
                </c:pt>
                <c:pt idx="9" formatCode="0.0">
                  <c:v>114.30849614138887</c:v>
                </c:pt>
                <c:pt idx="10" formatCode="0.0">
                  <c:v>117.72487507522915</c:v>
                </c:pt>
              </c:numCache>
              <c:extLst/>
            </c:numRef>
          </c:val>
          <c:smooth val="0"/>
          <c:extLst>
            <c:ext xmlns:c16="http://schemas.microsoft.com/office/drawing/2014/chart" uri="{C3380CC4-5D6E-409C-BE32-E72D297353CC}">
              <c16:uniqueId val="{00000003-3528-4E97-BDA9-3E6AEA95717C}"/>
            </c:ext>
          </c:extLst>
        </c:ser>
        <c:ser>
          <c:idx val="4"/>
          <c:order val="4"/>
          <c:tx>
            <c:strRef>
              <c:f>LV!$A$18</c:f>
              <c:strCache>
                <c:ptCount val="1"/>
                <c:pt idx="0">
                  <c:v>2022.g. budž. progn.</c:v>
                </c:pt>
              </c:strCache>
            </c:strRef>
          </c:tx>
          <c:spPr>
            <a:ln w="28575" cap="rnd">
              <a:solidFill>
                <a:schemeClr val="accent5"/>
              </a:solidFill>
              <a:round/>
            </a:ln>
            <a:effectLst/>
          </c:spPr>
          <c:marker>
            <c:symbol val="none"/>
          </c:marker>
          <c:cat>
            <c:numRef>
              <c:f>LV!$J$12:$X$12</c:f>
              <c:numCache>
                <c:formatCode>General</c:formatCode>
                <c:ptCount val="15"/>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numCache>
              <c:extLst/>
            </c:numRef>
          </c:cat>
          <c:val>
            <c:numRef>
              <c:f>LV!$J$18:$W$18</c:f>
              <c:numCache>
                <c:formatCode>General</c:formatCode>
                <c:ptCount val="14"/>
                <c:pt idx="5" formatCode="0.0">
                  <c:v>102.74576062038967</c:v>
                </c:pt>
                <c:pt idx="6" formatCode="0.0">
                  <c:v>106.52752200592261</c:v>
                </c:pt>
                <c:pt idx="7" formatCode="0.0">
                  <c:v>111.81023899859547</c:v>
                </c:pt>
                <c:pt idx="8" formatCode="0.0">
                  <c:v>115.68172059562524</c:v>
                </c:pt>
                <c:pt idx="9" formatCode="0.0">
                  <c:v>119.57007953827136</c:v>
                </c:pt>
              </c:numCache>
              <c:extLst/>
            </c:numRef>
          </c:val>
          <c:smooth val="0"/>
          <c:extLst>
            <c:ext xmlns:c16="http://schemas.microsoft.com/office/drawing/2014/chart" uri="{C3380CC4-5D6E-409C-BE32-E72D297353CC}">
              <c16:uniqueId val="{00000004-3528-4E97-BDA9-3E6AEA95717C}"/>
            </c:ext>
          </c:extLst>
        </c:ser>
        <c:ser>
          <c:idx val="5"/>
          <c:order val="5"/>
          <c:tx>
            <c:strRef>
              <c:f>LV!$A$19</c:f>
              <c:strCache>
                <c:ptCount val="1"/>
                <c:pt idx="0">
                  <c:v>2021.g.  budž. progn.</c:v>
                </c:pt>
              </c:strCache>
            </c:strRef>
          </c:tx>
          <c:spPr>
            <a:ln w="28575" cap="rnd">
              <a:solidFill>
                <a:schemeClr val="bg1">
                  <a:lumMod val="50000"/>
                </a:schemeClr>
              </a:solidFill>
              <a:round/>
            </a:ln>
            <a:effectLst/>
          </c:spPr>
          <c:marker>
            <c:symbol val="none"/>
          </c:marker>
          <c:cat>
            <c:numRef>
              <c:f>LV!$J$12:$X$12</c:f>
              <c:numCache>
                <c:formatCode>General</c:formatCode>
                <c:ptCount val="15"/>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numCache>
              <c:extLst/>
            </c:numRef>
          </c:cat>
          <c:val>
            <c:numRef>
              <c:f>LV!$J$19:$W$19</c:f>
              <c:numCache>
                <c:formatCode>General</c:formatCode>
                <c:ptCount val="14"/>
                <c:pt idx="4" formatCode="0.0">
                  <c:v>106.43834910644453</c:v>
                </c:pt>
                <c:pt idx="5" formatCode="0.0">
                  <c:v>98.987664668993204</c:v>
                </c:pt>
                <c:pt idx="6" formatCode="0.0">
                  <c:v>104.03709595312377</c:v>
                </c:pt>
                <c:pt idx="7" formatCode="0.0">
                  <c:v>107.31390941325205</c:v>
                </c:pt>
                <c:pt idx="8" formatCode="0.0">
                  <c:v>110.66714506334999</c:v>
                </c:pt>
              </c:numCache>
              <c:extLst/>
            </c:numRef>
          </c:val>
          <c:smooth val="0"/>
          <c:extLst>
            <c:ext xmlns:c16="http://schemas.microsoft.com/office/drawing/2014/chart" uri="{C3380CC4-5D6E-409C-BE32-E72D297353CC}">
              <c16:uniqueId val="{00000005-3528-4E97-BDA9-3E6AEA95717C}"/>
            </c:ext>
          </c:extLst>
        </c:ser>
        <c:ser>
          <c:idx val="6"/>
          <c:order val="6"/>
          <c:tx>
            <c:strRef>
              <c:f>LV!$A$20</c:f>
              <c:strCache>
                <c:ptCount val="1"/>
                <c:pt idx="0">
                  <c:v>2020.g.  budž. progn.</c:v>
                </c:pt>
              </c:strCache>
            </c:strRef>
          </c:tx>
          <c:spPr>
            <a:ln w="28575" cap="rnd">
              <a:solidFill>
                <a:schemeClr val="accent1">
                  <a:lumMod val="60000"/>
                </a:schemeClr>
              </a:solidFill>
              <a:round/>
            </a:ln>
            <a:effectLst/>
          </c:spPr>
          <c:marker>
            <c:symbol val="none"/>
          </c:marker>
          <c:cat>
            <c:numRef>
              <c:f>LV!$J$12:$X$12</c:f>
              <c:numCache>
                <c:formatCode>General</c:formatCode>
                <c:ptCount val="15"/>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numCache>
              <c:extLst/>
            </c:numRef>
          </c:cat>
          <c:val>
            <c:numRef>
              <c:f>LV!$J$20:$W$20</c:f>
              <c:numCache>
                <c:formatCode>General</c:formatCode>
                <c:ptCount val="14"/>
                <c:pt idx="3" formatCode="0.0">
                  <c:v>105.72431586383931</c:v>
                </c:pt>
                <c:pt idx="4" formatCode="0.0">
                  <c:v>109.07067649201095</c:v>
                </c:pt>
                <c:pt idx="5" formatCode="0.0">
                  <c:v>112.12677548281589</c:v>
                </c:pt>
                <c:pt idx="6" formatCode="0.0">
                  <c:v>115.26220177685887</c:v>
                </c:pt>
                <c:pt idx="7" formatCode="0.0">
                  <c:v>118.48360398709163</c:v>
                </c:pt>
              </c:numCache>
              <c:extLst/>
            </c:numRef>
          </c:val>
          <c:smooth val="0"/>
          <c:extLst>
            <c:ext xmlns:c16="http://schemas.microsoft.com/office/drawing/2014/chart" uri="{C3380CC4-5D6E-409C-BE32-E72D297353CC}">
              <c16:uniqueId val="{00000006-3528-4E97-BDA9-3E6AEA95717C}"/>
            </c:ext>
          </c:extLst>
        </c:ser>
        <c:ser>
          <c:idx val="7"/>
          <c:order val="7"/>
          <c:tx>
            <c:strRef>
              <c:f>LV!$A$21</c:f>
              <c:strCache>
                <c:ptCount val="1"/>
                <c:pt idx="0">
                  <c:v>2019.g.  budž. progn.</c:v>
                </c:pt>
              </c:strCache>
            </c:strRef>
          </c:tx>
          <c:spPr>
            <a:ln w="28575" cap="rnd">
              <a:solidFill>
                <a:schemeClr val="accent2">
                  <a:lumMod val="60000"/>
                </a:schemeClr>
              </a:solidFill>
              <a:round/>
            </a:ln>
            <a:effectLst/>
          </c:spPr>
          <c:marker>
            <c:symbol val="none"/>
          </c:marker>
          <c:cat>
            <c:numRef>
              <c:f>LV!$J$12:$X$12</c:f>
              <c:numCache>
                <c:formatCode>General</c:formatCode>
                <c:ptCount val="15"/>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numCache>
              <c:extLst/>
            </c:numRef>
          </c:cat>
          <c:val>
            <c:numRef>
              <c:f>LV!$J$21:$W$21</c:f>
              <c:numCache>
                <c:formatCode>General</c:formatCode>
                <c:ptCount val="14"/>
                <c:pt idx="2" formatCode="0.0">
                  <c:v>101.3561565477157</c:v>
                </c:pt>
                <c:pt idx="3" formatCode="0.0">
                  <c:v>105.61311512271973</c:v>
                </c:pt>
                <c:pt idx="4" formatCode="0.0">
                  <c:v>108.78150857640132</c:v>
                </c:pt>
                <c:pt idx="5" formatCode="0.0">
                  <c:v>112.04495394247483</c:v>
                </c:pt>
                <c:pt idx="6" formatCode="0.0">
                  <c:v>115.29425771885155</c:v>
                </c:pt>
              </c:numCache>
              <c:extLst/>
            </c:numRef>
          </c:val>
          <c:smooth val="0"/>
          <c:extLst>
            <c:ext xmlns:c16="http://schemas.microsoft.com/office/drawing/2014/chart" uri="{C3380CC4-5D6E-409C-BE32-E72D297353CC}">
              <c16:uniqueId val="{00000007-3528-4E97-BDA9-3E6AEA95717C}"/>
            </c:ext>
          </c:extLst>
        </c:ser>
        <c:ser>
          <c:idx val="8"/>
          <c:order val="8"/>
          <c:tx>
            <c:strRef>
              <c:f>LV!$A$25</c:f>
              <c:strCache>
                <c:ptCount val="1"/>
                <c:pt idx="0">
                  <c:v>Faktiskā IKP izaugsme</c:v>
                </c:pt>
              </c:strCache>
            </c:strRef>
          </c:tx>
          <c:spPr>
            <a:ln w="28575" cap="rnd">
              <a:solidFill>
                <a:schemeClr val="accent3">
                  <a:lumMod val="60000"/>
                </a:schemeClr>
              </a:solidFill>
              <a:round/>
            </a:ln>
            <a:effectLst/>
          </c:spPr>
          <c:marker>
            <c:symbol val="circle"/>
            <c:size val="5"/>
            <c:spPr>
              <a:solidFill>
                <a:srgbClr val="0070C0"/>
              </a:solidFill>
              <a:ln w="9525">
                <a:solidFill>
                  <a:schemeClr val="tx1"/>
                </a:solidFill>
              </a:ln>
              <a:effectLst/>
            </c:spPr>
          </c:marker>
          <c:cat>
            <c:numRef>
              <c:f>LV!$J$12:$X$12</c:f>
              <c:numCache>
                <c:formatCode>General</c:formatCode>
                <c:ptCount val="15"/>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numCache>
              <c:extLst/>
            </c:numRef>
          </c:cat>
          <c:val>
            <c:numRef>
              <c:f>LV!$J$25:$W$25</c:f>
              <c:numCache>
                <c:formatCode>0.0</c:formatCode>
                <c:ptCount val="14"/>
                <c:pt idx="0">
                  <c:v>95.585321563871432</c:v>
                </c:pt>
                <c:pt idx="1">
                  <c:v>98.024358851140605</c:v>
                </c:pt>
                <c:pt idx="2">
                  <c:v>101.3561565477157</c:v>
                </c:pt>
                <c:pt idx="3">
                  <c:v>105.72431586383931</c:v>
                </c:pt>
                <c:pt idx="4">
                  <c:v>106.43834910644453</c:v>
                </c:pt>
                <c:pt idx="5">
                  <c:v>102.74576062038967</c:v>
                </c:pt>
                <c:pt idx="6">
                  <c:v>109.87892792790923</c:v>
                </c:pt>
                <c:pt idx="7">
                  <c:v>111.86418960972371</c:v>
                </c:pt>
                <c:pt idx="8">
                  <c:v>115.05703744631091</c:v>
                </c:pt>
                <c:pt idx="9">
                  <c:v>114.54792026537753</c:v>
                </c:pt>
              </c:numCache>
              <c:extLst/>
            </c:numRef>
          </c:val>
          <c:smooth val="0"/>
          <c:extLst>
            <c:ext xmlns:c16="http://schemas.microsoft.com/office/drawing/2014/chart" uri="{C3380CC4-5D6E-409C-BE32-E72D297353CC}">
              <c16:uniqueId val="{00000008-3528-4E97-BDA9-3E6AEA95717C}"/>
            </c:ext>
          </c:extLst>
        </c:ser>
        <c:dLbls>
          <c:showLegendKey val="0"/>
          <c:showVal val="0"/>
          <c:showCatName val="0"/>
          <c:showSerName val="0"/>
          <c:showPercent val="0"/>
          <c:showBubbleSize val="0"/>
        </c:dLbls>
        <c:smooth val="0"/>
        <c:axId val="581874224"/>
        <c:axId val="581892944"/>
        <c:extLst>
          <c:ext xmlns:c15="http://schemas.microsoft.com/office/drawing/2012/chart" uri="{02D57815-91ED-43cb-92C2-25804820EDAC}">
            <c15:filteredLineSeries>
              <c15:ser>
                <c:idx val="9"/>
                <c:order val="9"/>
                <c:tx>
                  <c:strRef>
                    <c:extLst>
                      <c:ext uri="{02D57815-91ED-43cb-92C2-25804820EDAC}">
                        <c15:formulaRef>
                          <c15:sqref>LV!$A$23</c15:sqref>
                        </c15:formulaRef>
                      </c:ext>
                    </c:extLst>
                    <c:strCache>
                      <c:ptCount val="1"/>
                      <c:pt idx="0">
                        <c:v>2017.g.  budž. progn.</c:v>
                      </c:pt>
                    </c:strCache>
                  </c:strRef>
                </c:tx>
                <c:spPr>
                  <a:ln w="28575" cap="rnd">
                    <a:solidFill>
                      <a:schemeClr val="accent4">
                        <a:lumMod val="60000"/>
                      </a:schemeClr>
                    </a:solidFill>
                    <a:round/>
                  </a:ln>
                  <a:effectLst/>
                </c:spPr>
                <c:marker>
                  <c:symbol val="none"/>
                </c:marker>
                <c:cat>
                  <c:numRef>
                    <c:extLst>
                      <c:ext uri="{02D57815-91ED-43cb-92C2-25804820EDAC}">
                        <c15:formulaRef>
                          <c15:sqref>LV!$J$12:$X$12</c15:sqref>
                        </c15:formulaRef>
                      </c:ext>
                    </c:extLst>
                    <c:numCache>
                      <c:formatCode>General</c:formatCode>
                      <c:ptCount val="15"/>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numCache>
                  </c:numRef>
                </c:cat>
                <c:val>
                  <c:numRef>
                    <c:extLst>
                      <c:ext uri="{02D57815-91ED-43cb-92C2-25804820EDAC}">
                        <c15:formulaRef>
                          <c15:sqref>LV!$J$23:$W$23</c15:sqref>
                        </c15:formulaRef>
                      </c:ext>
                    </c:extLst>
                    <c:numCache>
                      <c:formatCode>0.0</c:formatCode>
                      <c:ptCount val="14"/>
                      <c:pt idx="0">
                        <c:v>95.585321563871432</c:v>
                      </c:pt>
                      <c:pt idx="1">
                        <c:v>98.416156769335913</c:v>
                      </c:pt>
                      <c:pt idx="2">
                        <c:v>101.96899955047266</c:v>
                      </c:pt>
                      <c:pt idx="3">
                        <c:v>105.61988721408888</c:v>
                      </c:pt>
                    </c:numCache>
                  </c:numRef>
                </c:val>
                <c:smooth val="0"/>
                <c:extLst>
                  <c:ext xmlns:c16="http://schemas.microsoft.com/office/drawing/2014/chart" uri="{C3380CC4-5D6E-409C-BE32-E72D297353CC}">
                    <c16:uniqueId val="{00000009-3528-4E97-BDA9-3E6AEA95717C}"/>
                  </c:ext>
                </c:extLst>
              </c15:ser>
            </c15:filteredLineSeries>
            <c15:filteredLineSeries>
              <c15:ser>
                <c:idx val="10"/>
                <c:order val="10"/>
                <c:tx>
                  <c:strRef>
                    <c:extLst xmlns:c15="http://schemas.microsoft.com/office/drawing/2012/chart">
                      <c:ext xmlns:c15="http://schemas.microsoft.com/office/drawing/2012/chart" uri="{02D57815-91ED-43cb-92C2-25804820EDAC}">
                        <c15:formulaRef>
                          <c15:sqref>LV!$A$24</c15:sqref>
                        </c15:formulaRef>
                      </c:ext>
                    </c:extLst>
                    <c:strCache>
                      <c:ptCount val="1"/>
                      <c:pt idx="0">
                        <c:v>2016.g. budž. progn.</c:v>
                      </c:pt>
                    </c:strCache>
                  </c:strRef>
                </c:tx>
                <c:spPr>
                  <a:ln w="28575" cap="rnd">
                    <a:solidFill>
                      <a:schemeClr val="accent5">
                        <a:lumMod val="60000"/>
                      </a:schemeClr>
                    </a:solidFill>
                    <a:round/>
                  </a:ln>
                  <a:effectLst/>
                </c:spPr>
                <c:marker>
                  <c:symbol val="none"/>
                </c:marker>
                <c:cat>
                  <c:numRef>
                    <c:extLst xmlns:c15="http://schemas.microsoft.com/office/drawing/2012/chart">
                      <c:ext xmlns:c15="http://schemas.microsoft.com/office/drawing/2012/chart" uri="{02D57815-91ED-43cb-92C2-25804820EDAC}">
                        <c15:formulaRef>
                          <c15:sqref>LV!$J$12:$X$12</c15:sqref>
                        </c15:formulaRef>
                      </c:ext>
                    </c:extLst>
                    <c:numCache>
                      <c:formatCode>General</c:formatCode>
                      <c:ptCount val="15"/>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numCache>
                  </c:numRef>
                </c:cat>
                <c:val>
                  <c:numRef>
                    <c:extLst xmlns:c15="http://schemas.microsoft.com/office/drawing/2012/chart">
                      <c:ext xmlns:c15="http://schemas.microsoft.com/office/drawing/2012/chart" uri="{02D57815-91ED-43cb-92C2-25804820EDAC}">
                        <c15:formulaRef>
                          <c15:sqref>LV!$J$24:$W$24</c15:sqref>
                        </c15:formulaRef>
                      </c:ext>
                    </c:extLst>
                    <c:numCache>
                      <c:formatCode>0.0</c:formatCode>
                      <c:ptCount val="14"/>
                      <c:pt idx="0">
                        <c:v>94.635072525936991</c:v>
                      </c:pt>
                      <c:pt idx="1">
                        <c:v>97.7364844720326</c:v>
                      </c:pt>
                      <c:pt idx="2">
                        <c:v>101.23409208029774</c:v>
                      </c:pt>
                    </c:numCache>
                  </c:numRef>
                </c:val>
                <c:smooth val="0"/>
                <c:extLst xmlns:c15="http://schemas.microsoft.com/office/drawing/2012/chart">
                  <c:ext xmlns:c16="http://schemas.microsoft.com/office/drawing/2014/chart" uri="{C3380CC4-5D6E-409C-BE32-E72D297353CC}">
                    <c16:uniqueId val="{0000000A-3528-4E97-BDA9-3E6AEA95717C}"/>
                  </c:ext>
                </c:extLst>
              </c15:ser>
            </c15:filteredLineSeries>
            <c15:filteredLineSeries>
              <c15:ser>
                <c:idx val="11"/>
                <c:order val="11"/>
                <c:tx>
                  <c:strRef>
                    <c:extLst xmlns:c15="http://schemas.microsoft.com/office/drawing/2012/chart">
                      <c:ext xmlns:c15="http://schemas.microsoft.com/office/drawing/2012/chart" uri="{02D57815-91ED-43cb-92C2-25804820EDAC}">
                        <c15:formulaRef>
                          <c15:sqref>LV!$A$25</c15:sqref>
                        </c15:formulaRef>
                      </c:ext>
                    </c:extLst>
                    <c:strCache>
                      <c:ptCount val="1"/>
                      <c:pt idx="0">
                        <c:v>Faktiskā IKP izaugsme</c:v>
                      </c:pt>
                    </c:strCache>
                  </c:strRef>
                </c:tx>
                <c:spPr>
                  <a:ln w="28575" cap="rnd">
                    <a:solidFill>
                      <a:schemeClr val="accent6">
                        <a:lumMod val="60000"/>
                      </a:schemeClr>
                    </a:solidFill>
                    <a:round/>
                  </a:ln>
                  <a:effectLst/>
                </c:spPr>
                <c:marker>
                  <c:symbol val="none"/>
                </c:marker>
                <c:cat>
                  <c:numRef>
                    <c:extLst xmlns:c15="http://schemas.microsoft.com/office/drawing/2012/chart">
                      <c:ext xmlns:c15="http://schemas.microsoft.com/office/drawing/2012/chart" uri="{02D57815-91ED-43cb-92C2-25804820EDAC}">
                        <c15:formulaRef>
                          <c15:sqref>LV!$J$12:$X$12</c15:sqref>
                        </c15:formulaRef>
                      </c:ext>
                    </c:extLst>
                    <c:numCache>
                      <c:formatCode>General</c:formatCode>
                      <c:ptCount val="15"/>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numCache>
                  </c:numRef>
                </c:cat>
                <c:val>
                  <c:numRef>
                    <c:extLst xmlns:c15="http://schemas.microsoft.com/office/drawing/2012/chart">
                      <c:ext xmlns:c15="http://schemas.microsoft.com/office/drawing/2012/chart" uri="{02D57815-91ED-43cb-92C2-25804820EDAC}">
                        <c15:formulaRef>
                          <c15:sqref>LV!$J$25:$W$25</c15:sqref>
                        </c15:formulaRef>
                      </c:ext>
                    </c:extLst>
                    <c:numCache>
                      <c:formatCode>0.0</c:formatCode>
                      <c:ptCount val="14"/>
                      <c:pt idx="0">
                        <c:v>95.585321563871432</c:v>
                      </c:pt>
                      <c:pt idx="1">
                        <c:v>98.024358851140605</c:v>
                      </c:pt>
                      <c:pt idx="2">
                        <c:v>101.3561565477157</c:v>
                      </c:pt>
                      <c:pt idx="3">
                        <c:v>105.72431586383931</c:v>
                      </c:pt>
                      <c:pt idx="4">
                        <c:v>106.43834910644453</c:v>
                      </c:pt>
                      <c:pt idx="5">
                        <c:v>102.74576062038967</c:v>
                      </c:pt>
                      <c:pt idx="6">
                        <c:v>109.87892792790923</c:v>
                      </c:pt>
                      <c:pt idx="7">
                        <c:v>111.86418960972371</c:v>
                      </c:pt>
                      <c:pt idx="8">
                        <c:v>115.05703744631091</c:v>
                      </c:pt>
                      <c:pt idx="9">
                        <c:v>114.54792026537753</c:v>
                      </c:pt>
                    </c:numCache>
                  </c:numRef>
                </c:val>
                <c:smooth val="0"/>
                <c:extLst xmlns:c15="http://schemas.microsoft.com/office/drawing/2012/chart">
                  <c:ext xmlns:c16="http://schemas.microsoft.com/office/drawing/2014/chart" uri="{C3380CC4-5D6E-409C-BE32-E72D297353CC}">
                    <c16:uniqueId val="{0000000B-3528-4E97-BDA9-3E6AEA95717C}"/>
                  </c:ext>
                </c:extLst>
              </c15:ser>
            </c15:filteredLineSeries>
          </c:ext>
        </c:extLst>
      </c:lineChart>
      <c:catAx>
        <c:axId val="581874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81892944"/>
        <c:crosses val="autoZero"/>
        <c:auto val="1"/>
        <c:lblAlgn val="ctr"/>
        <c:lblOffset val="100"/>
        <c:noMultiLvlLbl val="0"/>
      </c:catAx>
      <c:valAx>
        <c:axId val="581892944"/>
        <c:scaling>
          <c:orientation val="minMax"/>
          <c:min val="9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81874224"/>
        <c:crosses val="autoZero"/>
        <c:crossBetween val="between"/>
        <c:majorUnit val="10"/>
      </c:valAx>
      <c:spPr>
        <a:noFill/>
        <a:ln>
          <a:noFill/>
        </a:ln>
        <a:effectLst/>
      </c:spPr>
    </c:plotArea>
    <c:legend>
      <c:legendPos val="b"/>
      <c:layout>
        <c:manualLayout>
          <c:xMode val="edge"/>
          <c:yMode val="edge"/>
          <c:x val="3.2336931276318606E-2"/>
          <c:y val="0.81764755039148374"/>
          <c:w val="0.94014193325762041"/>
          <c:h val="0.1563615464246306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2641934954684342E-2"/>
          <c:y val="3.1382314399572675E-2"/>
          <c:w val="0.92967914286418507"/>
          <c:h val="0.75773043075497915"/>
        </c:manualLayout>
      </c:layout>
      <c:barChart>
        <c:barDir val="col"/>
        <c:grouping val="clustered"/>
        <c:varyColors val="0"/>
        <c:ser>
          <c:idx val="0"/>
          <c:order val="0"/>
          <c:tx>
            <c:strRef>
              <c:f>Rūpniecība!$J$1</c:f>
              <c:strCache>
                <c:ptCount val="1"/>
                <c:pt idx="0">
                  <c:v>Rūpniecības produkcijas apjoma indekss, sez. izl. (2015=100)</c:v>
                </c:pt>
              </c:strCache>
            </c:strRef>
          </c:tx>
          <c:spPr>
            <a:solidFill>
              <a:srgbClr val="70AD47">
                <a:lumMod val="60000"/>
                <a:lumOff val="40000"/>
              </a:srgbClr>
            </a:solidFill>
            <a:ln>
              <a:solidFill>
                <a:srgbClr val="00B050"/>
              </a:solidFill>
            </a:ln>
            <a:effectLst/>
          </c:spPr>
          <c:invertIfNegative val="0"/>
          <c:cat>
            <c:multiLvlStrRef>
              <c:f>Rūpniecība!$A$194:$B$224</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2023</c:v>
                  </c:pt>
                  <c:pt idx="12">
                    <c:v>2024</c:v>
                  </c:pt>
                  <c:pt idx="24">
                    <c:v>2025</c:v>
                  </c:pt>
                </c:lvl>
              </c:multiLvlStrCache>
            </c:multiLvlStrRef>
          </c:cat>
          <c:val>
            <c:numRef>
              <c:f>Rūpniecība!$J$194:$J$224</c:f>
              <c:numCache>
                <c:formatCode>General</c:formatCode>
                <c:ptCount val="31"/>
                <c:pt idx="0">
                  <c:v>97.6</c:v>
                </c:pt>
                <c:pt idx="1">
                  <c:v>96.6</c:v>
                </c:pt>
                <c:pt idx="2">
                  <c:v>97.1</c:v>
                </c:pt>
                <c:pt idx="3">
                  <c:v>98.1</c:v>
                </c:pt>
                <c:pt idx="4">
                  <c:v>95.3</c:v>
                </c:pt>
                <c:pt idx="5">
                  <c:v>97.3</c:v>
                </c:pt>
                <c:pt idx="6">
                  <c:v>91.5</c:v>
                </c:pt>
                <c:pt idx="7">
                  <c:v>93.6</c:v>
                </c:pt>
                <c:pt idx="8">
                  <c:v>94.9</c:v>
                </c:pt>
                <c:pt idx="9">
                  <c:v>96.1</c:v>
                </c:pt>
                <c:pt idx="10">
                  <c:v>97.2</c:v>
                </c:pt>
                <c:pt idx="11">
                  <c:v>97.2</c:v>
                </c:pt>
                <c:pt idx="12">
                  <c:v>95.1</c:v>
                </c:pt>
                <c:pt idx="13">
                  <c:v>96.2</c:v>
                </c:pt>
                <c:pt idx="14">
                  <c:v>96.8</c:v>
                </c:pt>
                <c:pt idx="15">
                  <c:v>93</c:v>
                </c:pt>
                <c:pt idx="16">
                  <c:v>94.8</c:v>
                </c:pt>
                <c:pt idx="17">
                  <c:v>92.5</c:v>
                </c:pt>
                <c:pt idx="18">
                  <c:v>92.9</c:v>
                </c:pt>
                <c:pt idx="19">
                  <c:v>93.9</c:v>
                </c:pt>
                <c:pt idx="20">
                  <c:v>93.5</c:v>
                </c:pt>
                <c:pt idx="21">
                  <c:v>94.2</c:v>
                </c:pt>
                <c:pt idx="22">
                  <c:v>93.6</c:v>
                </c:pt>
                <c:pt idx="23">
                  <c:v>93</c:v>
                </c:pt>
                <c:pt idx="24">
                  <c:v>95.3</c:v>
                </c:pt>
                <c:pt idx="25">
                  <c:v>97.1</c:v>
                </c:pt>
                <c:pt idx="26">
                  <c:v>95.1</c:v>
                </c:pt>
                <c:pt idx="27">
                  <c:v>96.3</c:v>
                </c:pt>
                <c:pt idx="28">
                  <c:v>97.8</c:v>
                </c:pt>
                <c:pt idx="29">
                  <c:v>98.7</c:v>
                </c:pt>
                <c:pt idx="30">
                  <c:v>100.2</c:v>
                </c:pt>
              </c:numCache>
            </c:numRef>
          </c:val>
          <c:extLst>
            <c:ext xmlns:c16="http://schemas.microsoft.com/office/drawing/2014/chart" uri="{C3380CC4-5D6E-409C-BE32-E72D297353CC}">
              <c16:uniqueId val="{00000000-F553-4A92-8375-7DA57CE9623F}"/>
            </c:ext>
          </c:extLst>
        </c:ser>
        <c:dLbls>
          <c:showLegendKey val="0"/>
          <c:showVal val="0"/>
          <c:showCatName val="0"/>
          <c:showSerName val="0"/>
          <c:showPercent val="0"/>
          <c:showBubbleSize val="0"/>
        </c:dLbls>
        <c:gapWidth val="50"/>
        <c:axId val="343594496"/>
        <c:axId val="343594888"/>
      </c:barChart>
      <c:catAx>
        <c:axId val="3435944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343594888"/>
        <c:crosses val="autoZero"/>
        <c:auto val="1"/>
        <c:lblAlgn val="ctr"/>
        <c:lblOffset val="100"/>
        <c:tickMarkSkip val="12"/>
        <c:noMultiLvlLbl val="0"/>
      </c:catAx>
      <c:valAx>
        <c:axId val="343594888"/>
        <c:scaling>
          <c:orientation val="minMax"/>
          <c:max val="105"/>
          <c:min val="85"/>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343594496"/>
        <c:crosses val="autoZero"/>
        <c:crossBetween val="between"/>
        <c:majorUnit val="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928625440933664"/>
          <c:y val="2.0973812726748999E-2"/>
          <c:w val="0.78993943328806204"/>
          <c:h val="0.72686145406808678"/>
        </c:manualLayout>
      </c:layout>
      <c:barChart>
        <c:barDir val="col"/>
        <c:grouping val="clustered"/>
        <c:varyColors val="0"/>
        <c:ser>
          <c:idx val="0"/>
          <c:order val="0"/>
          <c:tx>
            <c:strRef>
              <c:f>Sheet1!$A$4</c:f>
              <c:strCache>
                <c:ptCount val="1"/>
                <c:pt idx="0">
                  <c:v>Nato uzskaite</c:v>
                </c:pt>
              </c:strCache>
            </c:strRef>
          </c:tx>
          <c:spPr>
            <a:solidFill>
              <a:schemeClr val="tx2">
                <a:lumMod val="40000"/>
                <a:lumOff val="60000"/>
              </a:schemeClr>
            </a:solidFill>
            <a:ln>
              <a:noFill/>
            </a:ln>
            <a:effectLst/>
          </c:spPr>
          <c:invertIfNegative val="0"/>
          <c:cat>
            <c:multiLvlStrRef>
              <c:f>Sheet1!$B$2:$I$3</c:f>
              <c:multiLvlStrCache>
                <c:ptCount val="8"/>
                <c:lvl>
                  <c:pt idx="0">
                    <c:v>2021</c:v>
                  </c:pt>
                  <c:pt idx="1">
                    <c:v>2022</c:v>
                  </c:pt>
                  <c:pt idx="2">
                    <c:v>2023</c:v>
                  </c:pt>
                  <c:pt idx="3">
                    <c:v>2024</c:v>
                  </c:pt>
                  <c:pt idx="4">
                    <c:v>2025</c:v>
                  </c:pt>
                  <c:pt idx="5">
                    <c:v>2026</c:v>
                  </c:pt>
                  <c:pt idx="6">
                    <c:v>2027</c:v>
                  </c:pt>
                  <c:pt idx="7">
                    <c:v>2028</c:v>
                  </c:pt>
                </c:lvl>
                <c:lvl>
                  <c:pt idx="0">
                    <c:v>Fakts</c:v>
                  </c:pt>
                  <c:pt idx="4">
                    <c:v>Novērt.</c:v>
                  </c:pt>
                  <c:pt idx="5">
                    <c:v>Prognoze</c:v>
                  </c:pt>
                </c:lvl>
              </c:multiLvlStrCache>
            </c:multiLvlStrRef>
          </c:cat>
          <c:val>
            <c:numRef>
              <c:f>Sheet1!$B$4:$I$4</c:f>
              <c:numCache>
                <c:formatCode>#\ ##0.0</c:formatCode>
                <c:ptCount val="8"/>
                <c:pt idx="0">
                  <c:v>2.1562221696536827</c:v>
                </c:pt>
                <c:pt idx="1">
                  <c:v>2.2524302504108413</c:v>
                </c:pt>
                <c:pt idx="2">
                  <c:v>2.9451130880736018</c:v>
                </c:pt>
                <c:pt idx="3">
                  <c:v>3.3114010937220364</c:v>
                </c:pt>
                <c:pt idx="4">
                  <c:v>3.7953221345793686</c:v>
                </c:pt>
                <c:pt idx="5">
                  <c:v>4.9095517714664725</c:v>
                </c:pt>
                <c:pt idx="6">
                  <c:v>4.9973350843493085</c:v>
                </c:pt>
                <c:pt idx="7">
                  <c:v>4.8680020480905792</c:v>
                </c:pt>
              </c:numCache>
            </c:numRef>
          </c:val>
          <c:extLst>
            <c:ext xmlns:c16="http://schemas.microsoft.com/office/drawing/2014/chart" uri="{C3380CC4-5D6E-409C-BE32-E72D297353CC}">
              <c16:uniqueId val="{00000000-2407-4773-A565-5461860DD270}"/>
            </c:ext>
          </c:extLst>
        </c:ser>
        <c:ser>
          <c:idx val="1"/>
          <c:order val="1"/>
          <c:tx>
            <c:strRef>
              <c:f>Sheet1!$A$5</c:f>
              <c:strCache>
                <c:ptCount val="1"/>
                <c:pt idx="0">
                  <c:v>COFOG aizsardzība*</c:v>
                </c:pt>
              </c:strCache>
            </c:strRef>
          </c:tx>
          <c:spPr>
            <a:solidFill>
              <a:schemeClr val="tx2">
                <a:lumMod val="75000"/>
              </a:schemeClr>
            </a:solidFill>
            <a:ln>
              <a:noFill/>
            </a:ln>
            <a:effectLst/>
          </c:spPr>
          <c:invertIfNegative val="0"/>
          <c:val>
            <c:numRef>
              <c:f>Sheet1!$B$5:$I$5</c:f>
              <c:numCache>
                <c:formatCode>#\ ##0.0</c:formatCode>
                <c:ptCount val="8"/>
                <c:pt idx="0">
                  <c:v>2.4851489659869124</c:v>
                </c:pt>
                <c:pt idx="1">
                  <c:v>2.3947805624288856</c:v>
                </c:pt>
                <c:pt idx="2">
                  <c:v>3.1240734311158493</c:v>
                </c:pt>
                <c:pt idx="3">
                  <c:v>3.0045161153538356</c:v>
                </c:pt>
                <c:pt idx="4">
                  <c:v>3.3371291976310209</c:v>
                </c:pt>
                <c:pt idx="5">
                  <c:v>4.1867206114547351</c:v>
                </c:pt>
                <c:pt idx="6">
                  <c:v>5.1728139379663407</c:v>
                </c:pt>
                <c:pt idx="7">
                  <c:v>5.0857201011462392</c:v>
                </c:pt>
              </c:numCache>
            </c:numRef>
          </c:val>
          <c:extLst>
            <c:ext xmlns:c16="http://schemas.microsoft.com/office/drawing/2014/chart" uri="{C3380CC4-5D6E-409C-BE32-E72D297353CC}">
              <c16:uniqueId val="{00000001-2407-4773-A565-5461860DD270}"/>
            </c:ext>
          </c:extLst>
        </c:ser>
        <c:dLbls>
          <c:showLegendKey val="0"/>
          <c:showVal val="0"/>
          <c:showCatName val="0"/>
          <c:showSerName val="0"/>
          <c:showPercent val="0"/>
          <c:showBubbleSize val="0"/>
        </c:dLbls>
        <c:gapWidth val="219"/>
        <c:overlap val="-27"/>
        <c:axId val="1719903856"/>
        <c:axId val="1719901456"/>
      </c:barChart>
      <c:catAx>
        <c:axId val="1719903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crossAx val="1719901456"/>
        <c:crosses val="autoZero"/>
        <c:auto val="1"/>
        <c:lblAlgn val="ctr"/>
        <c:lblOffset val="100"/>
        <c:noMultiLvlLbl val="0"/>
      </c:catAx>
      <c:valAx>
        <c:axId val="1719901456"/>
        <c:scaling>
          <c:orientation val="minMax"/>
          <c:max val="5.5"/>
          <c:min val="0"/>
        </c:scaling>
        <c:delete val="0"/>
        <c:axPos val="l"/>
        <c:majorGridlines>
          <c:spPr>
            <a:ln w="9525" cap="flat" cmpd="sng" algn="ctr">
              <a:solidFill>
                <a:schemeClr val="tx1">
                  <a:lumMod val="15000"/>
                  <a:lumOff val="85000"/>
                </a:schemeClr>
              </a:solidFill>
              <a:round/>
            </a:ln>
            <a:effectLst/>
          </c:spPr>
        </c:majorGridlines>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crossAx val="171990385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ofPieChart>
        <c:ofPieType val="pie"/>
        <c:varyColors val="1"/>
        <c:ser>
          <c:idx val="0"/>
          <c:order val="0"/>
          <c:explosion val="2"/>
          <c:dPt>
            <c:idx val="0"/>
            <c:bubble3D val="0"/>
            <c:spPr>
              <a:solidFill>
                <a:schemeClr val="accent5">
                  <a:shade val="47000"/>
                </a:schemeClr>
              </a:solidFill>
              <a:ln w="19050">
                <a:solidFill>
                  <a:schemeClr val="lt1"/>
                </a:solidFill>
              </a:ln>
              <a:effectLst/>
            </c:spPr>
            <c:extLst>
              <c:ext xmlns:c16="http://schemas.microsoft.com/office/drawing/2014/chart" uri="{C3380CC4-5D6E-409C-BE32-E72D297353CC}">
                <c16:uniqueId val="{00000001-7577-4E02-92BB-F7F9B7F884CF}"/>
              </c:ext>
            </c:extLst>
          </c:dPt>
          <c:dPt>
            <c:idx val="1"/>
            <c:bubble3D val="0"/>
            <c:explosion val="23"/>
            <c:spPr>
              <a:solidFill>
                <a:schemeClr val="accent5">
                  <a:shade val="65000"/>
                </a:schemeClr>
              </a:solidFill>
              <a:ln w="19050">
                <a:solidFill>
                  <a:schemeClr val="lt1"/>
                </a:solidFill>
              </a:ln>
              <a:effectLst/>
            </c:spPr>
            <c:extLst>
              <c:ext xmlns:c16="http://schemas.microsoft.com/office/drawing/2014/chart" uri="{C3380CC4-5D6E-409C-BE32-E72D297353CC}">
                <c16:uniqueId val="{00000003-7577-4E02-92BB-F7F9B7F884CF}"/>
              </c:ext>
            </c:extLst>
          </c:dPt>
          <c:dPt>
            <c:idx val="2"/>
            <c:bubble3D val="0"/>
            <c:spPr>
              <a:solidFill>
                <a:schemeClr val="accent5">
                  <a:shade val="82000"/>
                </a:schemeClr>
              </a:solidFill>
              <a:ln w="19050">
                <a:solidFill>
                  <a:schemeClr val="lt1"/>
                </a:solidFill>
              </a:ln>
              <a:effectLst/>
            </c:spPr>
            <c:extLst>
              <c:ext xmlns:c16="http://schemas.microsoft.com/office/drawing/2014/chart" uri="{C3380CC4-5D6E-409C-BE32-E72D297353CC}">
                <c16:uniqueId val="{00000005-7577-4E02-92BB-F7F9B7F884CF}"/>
              </c:ext>
            </c:extLst>
          </c:dPt>
          <c:dPt>
            <c:idx val="3"/>
            <c:bubble3D val="0"/>
            <c:spPr>
              <a:solidFill>
                <a:schemeClr val="accent5"/>
              </a:solidFill>
              <a:ln w="19050">
                <a:solidFill>
                  <a:schemeClr val="lt1"/>
                </a:solidFill>
              </a:ln>
              <a:effectLst/>
            </c:spPr>
            <c:extLst>
              <c:ext xmlns:c16="http://schemas.microsoft.com/office/drawing/2014/chart" uri="{C3380CC4-5D6E-409C-BE32-E72D297353CC}">
                <c16:uniqueId val="{00000007-7577-4E02-92BB-F7F9B7F884CF}"/>
              </c:ext>
            </c:extLst>
          </c:dPt>
          <c:dPt>
            <c:idx val="4"/>
            <c:bubble3D val="0"/>
            <c:explosion val="20"/>
            <c:spPr>
              <a:solidFill>
                <a:schemeClr val="accent5">
                  <a:tint val="83000"/>
                </a:schemeClr>
              </a:solidFill>
              <a:ln w="19050">
                <a:solidFill>
                  <a:schemeClr val="lt1"/>
                </a:solidFill>
              </a:ln>
              <a:effectLst/>
            </c:spPr>
            <c:extLst>
              <c:ext xmlns:c16="http://schemas.microsoft.com/office/drawing/2014/chart" uri="{C3380CC4-5D6E-409C-BE32-E72D297353CC}">
                <c16:uniqueId val="{00000009-7577-4E02-92BB-F7F9B7F884CF}"/>
              </c:ext>
            </c:extLst>
          </c:dPt>
          <c:dPt>
            <c:idx val="5"/>
            <c:bubble3D val="0"/>
            <c:explosion val="37"/>
            <c:spPr>
              <a:solidFill>
                <a:schemeClr val="accent5">
                  <a:tint val="65000"/>
                </a:schemeClr>
              </a:solidFill>
              <a:ln w="19050">
                <a:solidFill>
                  <a:schemeClr val="lt1"/>
                </a:solidFill>
              </a:ln>
              <a:effectLst/>
            </c:spPr>
            <c:extLst>
              <c:ext xmlns:c16="http://schemas.microsoft.com/office/drawing/2014/chart" uri="{C3380CC4-5D6E-409C-BE32-E72D297353CC}">
                <c16:uniqueId val="{0000000B-7577-4E02-92BB-F7F9B7F884CF}"/>
              </c:ext>
            </c:extLst>
          </c:dPt>
          <c:dPt>
            <c:idx val="6"/>
            <c:bubble3D val="0"/>
            <c:explosion val="59"/>
            <c:spPr>
              <a:solidFill>
                <a:schemeClr val="accent5">
                  <a:tint val="48000"/>
                </a:schemeClr>
              </a:solidFill>
              <a:ln w="19050">
                <a:solidFill>
                  <a:schemeClr val="lt1"/>
                </a:solidFill>
              </a:ln>
              <a:effectLst/>
            </c:spPr>
            <c:extLst>
              <c:ext xmlns:c16="http://schemas.microsoft.com/office/drawing/2014/chart" uri="{C3380CC4-5D6E-409C-BE32-E72D297353CC}">
                <c16:uniqueId val="{0000000D-7577-4E02-92BB-F7F9B7F884CF}"/>
              </c:ext>
            </c:extLst>
          </c:dPt>
          <c:dPt>
            <c:idx val="7"/>
            <c:bubble3D val="0"/>
            <c:spPr>
              <a:solidFill>
                <a:schemeClr val="accent5">
                  <a:tint val="30000"/>
                </a:schemeClr>
              </a:solidFill>
              <a:ln w="19050">
                <a:solidFill>
                  <a:schemeClr val="lt1"/>
                </a:solidFill>
              </a:ln>
              <a:effectLst/>
            </c:spPr>
            <c:extLst>
              <c:ext xmlns:c16="http://schemas.microsoft.com/office/drawing/2014/chart" uri="{C3380CC4-5D6E-409C-BE32-E72D297353CC}">
                <c16:uniqueId val="{0000000F-7577-4E02-92BB-F7F9B7F884CF}"/>
              </c:ext>
            </c:extLst>
          </c:dPt>
          <c:dLbls>
            <c:dLbl>
              <c:idx val="0"/>
              <c:layout>
                <c:manualLayout>
                  <c:x val="0.10680834113993612"/>
                  <c:y val="-5.6049586184658377E-3"/>
                </c:manualLayout>
              </c:layout>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7577-4E02-92BB-F7F9B7F884CF}"/>
                </c:ext>
              </c:extLst>
            </c:dLbl>
            <c:dLbl>
              <c:idx val="2"/>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577-4E02-92BB-F7F9B7F884CF}"/>
                </c:ext>
              </c:extLst>
            </c:dLbl>
            <c:dLbl>
              <c:idx val="3"/>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577-4E02-92BB-F7F9B7F884CF}"/>
                </c:ext>
              </c:extLst>
            </c:dLbl>
            <c:dLbl>
              <c:idx val="4"/>
              <c:layout>
                <c:manualLayout>
                  <c:x val="6.0562940029470821E-3"/>
                  <c:y val="-6.6879358526786253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9-7577-4E02-92BB-F7F9B7F884CF}"/>
                </c:ext>
              </c:extLst>
            </c:dLbl>
            <c:dLbl>
              <c:idx val="5"/>
              <c:layout>
                <c:manualLayout>
                  <c:x val="0.16230911589737484"/>
                  <c:y val="-2.0657611973260623E-3"/>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B-7577-4E02-92BB-F7F9B7F884CF}"/>
                </c:ext>
              </c:extLst>
            </c:dLbl>
            <c:dLbl>
              <c:idx val="6"/>
              <c:layout>
                <c:manualLayout>
                  <c:x val="-1.3781065646567336E-2"/>
                  <c:y val="-4.1199704405881308E-3"/>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D-7577-4E02-92BB-F7F9B7F884CF}"/>
                </c:ext>
              </c:extLst>
            </c:dLbl>
            <c:dLbl>
              <c:idx val="7"/>
              <c:tx>
                <c:rich>
                  <a:bodyPr/>
                  <a:lstStyle/>
                  <a:p>
                    <a:fld id="{D2C24C45-6BEB-47CF-9538-83F7C637A73F}" type="CELLREF">
                      <a:rPr lang="lv-LV"/>
                      <a:pPr/>
                      <a:t>[CELLREF]</a:t>
                    </a:fld>
                    <a:endParaRPr lang="lv-LV" baseline="0"/>
                  </a:p>
                  <a:p>
                    <a:fld id="{0EF63C13-C11E-468F-AD1E-63289741E273}" type="VALUE">
                      <a:rPr lang="lv-LV"/>
                      <a:pPr/>
                      <a:t>[VALUE]</a:t>
                    </a:fld>
                    <a:endParaRPr lang="lv-LV"/>
                  </a:p>
                </c:rich>
              </c:tx>
              <c:dLblPos val="bestFit"/>
              <c:showLegendKey val="0"/>
              <c:showVal val="1"/>
              <c:showCatName val="1"/>
              <c:showSerName val="0"/>
              <c:showPercent val="0"/>
              <c:showBubbleSize val="0"/>
              <c:separator>
</c:separator>
              <c:extLst>
                <c:ext xmlns:c15="http://schemas.microsoft.com/office/drawing/2012/chart" uri="{CE6537A1-D6FC-4f65-9D91-7224C49458BB}">
                  <c15:dlblFieldTable>
                    <c15:dlblFTEntry>
                      <c15:txfldGUID>{D2C24C45-6BEB-47CF-9538-83F7C637A73F}</c15:txfldGUID>
                      <c15:f>'https://fmlv-my.sharepoint.com/_Budžeta projekts/Budžeta projekts 2024/Budžeta paskaidrojumi/[grafiki_.xlsx]Sheet2'!$E$4</c15:f>
                      <c15:dlblFieldTableCache>
                        <c:ptCount val="1"/>
                        <c:pt idx="0">
                          <c:v>Tiešie nodokļi</c:v>
                        </c:pt>
                      </c15:dlblFieldTableCache>
                    </c15:dlblFTEntry>
                  </c15:dlblFieldTable>
                  <c15:showDataLabelsRange val="0"/>
                </c:ext>
                <c:ext xmlns:c16="http://schemas.microsoft.com/office/drawing/2014/chart" uri="{C3380CC4-5D6E-409C-BE32-E72D297353CC}">
                  <c16:uniqueId val="{0000000F-7577-4E02-92BB-F7F9B7F884C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graf_tiesie_netiesie!$G$3:$G$9</c:f>
              <c:strCache>
                <c:ptCount val="7"/>
                <c:pt idx="0">
                  <c:v>Netiešie nodokļi</c:v>
                </c:pt>
                <c:pt idx="1">
                  <c:v>Pārējie nodokļi</c:v>
                </c:pt>
                <c:pt idx="2">
                  <c:v>IIN</c:v>
                </c:pt>
                <c:pt idx="3">
                  <c:v>VSAOI (valsts budžetā)</c:v>
                </c:pt>
                <c:pt idx="4">
                  <c:v>UIN</c:v>
                </c:pt>
                <c:pt idx="5">
                  <c:v>Nekustamā īpašuma nodoklis</c:v>
                </c:pt>
                <c:pt idx="6">
                  <c:v>Ieņēmumi no solidaritātes iemaksām</c:v>
                </c:pt>
              </c:strCache>
            </c:strRef>
          </c:cat>
          <c:val>
            <c:numRef>
              <c:f>graf_tiesie_netiesie!$H$3:$H$9</c:f>
              <c:numCache>
                <c:formatCode>0.0%</c:formatCode>
                <c:ptCount val="7"/>
                <c:pt idx="0">
                  <c:v>0.39017459122032777</c:v>
                </c:pt>
                <c:pt idx="1">
                  <c:v>1.1024573166159296E-2</c:v>
                </c:pt>
                <c:pt idx="2">
                  <c:v>0.19186389393915856</c:v>
                </c:pt>
                <c:pt idx="3">
                  <c:v>0.33756034407314339</c:v>
                </c:pt>
                <c:pt idx="4">
                  <c:v>4.6386972582055729E-2</c:v>
                </c:pt>
                <c:pt idx="5">
                  <c:v>1.600535197103815E-2</c:v>
                </c:pt>
                <c:pt idx="6">
                  <c:v>6.9842730481172229E-3</c:v>
                </c:pt>
              </c:numCache>
            </c:numRef>
          </c:val>
          <c:extLst>
            <c:ext xmlns:c16="http://schemas.microsoft.com/office/drawing/2014/chart" uri="{C3380CC4-5D6E-409C-BE32-E72D297353CC}">
              <c16:uniqueId val="{00000010-7577-4E02-92BB-F7F9B7F884CF}"/>
            </c:ext>
          </c:extLst>
        </c:ser>
        <c:dLbls>
          <c:dLblPos val="bestFit"/>
          <c:showLegendKey val="0"/>
          <c:showVal val="1"/>
          <c:showCatName val="1"/>
          <c:showSerName val="0"/>
          <c:showPercent val="0"/>
          <c:showBubbleSize val="0"/>
          <c:showLeaderLines val="1"/>
        </c:dLbls>
        <c:gapWidth val="100"/>
        <c:splitType val="pos"/>
        <c:splitPos val="5"/>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ofPieChart>
        <c:ofPieType val="pie"/>
        <c:varyColors val="1"/>
        <c:ser>
          <c:idx val="0"/>
          <c:order val="0"/>
          <c:explosion val="2"/>
          <c:dPt>
            <c:idx val="0"/>
            <c:bubble3D val="0"/>
            <c:spPr>
              <a:solidFill>
                <a:schemeClr val="accent5">
                  <a:shade val="47000"/>
                </a:schemeClr>
              </a:solidFill>
              <a:ln w="19050">
                <a:solidFill>
                  <a:schemeClr val="lt1"/>
                </a:solidFill>
              </a:ln>
              <a:effectLst/>
            </c:spPr>
            <c:extLst>
              <c:ext xmlns:c16="http://schemas.microsoft.com/office/drawing/2014/chart" uri="{C3380CC4-5D6E-409C-BE32-E72D297353CC}">
                <c16:uniqueId val="{00000001-4601-4141-A446-C8BE6F9E648F}"/>
              </c:ext>
            </c:extLst>
          </c:dPt>
          <c:dPt>
            <c:idx val="1"/>
            <c:bubble3D val="0"/>
            <c:explosion val="20"/>
            <c:spPr>
              <a:solidFill>
                <a:schemeClr val="accent5">
                  <a:shade val="65000"/>
                </a:schemeClr>
              </a:solidFill>
              <a:ln w="19050">
                <a:solidFill>
                  <a:schemeClr val="lt1"/>
                </a:solidFill>
              </a:ln>
              <a:effectLst/>
            </c:spPr>
            <c:extLst>
              <c:ext xmlns:c16="http://schemas.microsoft.com/office/drawing/2014/chart" uri="{C3380CC4-5D6E-409C-BE32-E72D297353CC}">
                <c16:uniqueId val="{00000003-4601-4141-A446-C8BE6F9E648F}"/>
              </c:ext>
            </c:extLst>
          </c:dPt>
          <c:dPt>
            <c:idx val="2"/>
            <c:bubble3D val="0"/>
            <c:spPr>
              <a:solidFill>
                <a:schemeClr val="accent5">
                  <a:shade val="82000"/>
                </a:schemeClr>
              </a:solidFill>
              <a:ln w="19050">
                <a:solidFill>
                  <a:schemeClr val="lt1"/>
                </a:solidFill>
              </a:ln>
              <a:effectLst/>
            </c:spPr>
            <c:extLst>
              <c:ext xmlns:c16="http://schemas.microsoft.com/office/drawing/2014/chart" uri="{C3380CC4-5D6E-409C-BE32-E72D297353CC}">
                <c16:uniqueId val="{00000005-4601-4141-A446-C8BE6F9E648F}"/>
              </c:ext>
            </c:extLst>
          </c:dPt>
          <c:dPt>
            <c:idx val="3"/>
            <c:bubble3D val="0"/>
            <c:spPr>
              <a:solidFill>
                <a:schemeClr val="accent5"/>
              </a:solidFill>
              <a:ln w="19050">
                <a:solidFill>
                  <a:schemeClr val="lt1"/>
                </a:solidFill>
              </a:ln>
              <a:effectLst/>
            </c:spPr>
            <c:extLst>
              <c:ext xmlns:c16="http://schemas.microsoft.com/office/drawing/2014/chart" uri="{C3380CC4-5D6E-409C-BE32-E72D297353CC}">
                <c16:uniqueId val="{00000007-4601-4141-A446-C8BE6F9E648F}"/>
              </c:ext>
            </c:extLst>
          </c:dPt>
          <c:dPt>
            <c:idx val="4"/>
            <c:bubble3D val="0"/>
            <c:explosion val="19"/>
            <c:spPr>
              <a:solidFill>
                <a:schemeClr val="accent5">
                  <a:tint val="83000"/>
                </a:schemeClr>
              </a:solidFill>
              <a:ln w="19050">
                <a:solidFill>
                  <a:schemeClr val="lt1"/>
                </a:solidFill>
              </a:ln>
              <a:effectLst/>
            </c:spPr>
            <c:extLst>
              <c:ext xmlns:c16="http://schemas.microsoft.com/office/drawing/2014/chart" uri="{C3380CC4-5D6E-409C-BE32-E72D297353CC}">
                <c16:uniqueId val="{00000009-4601-4141-A446-C8BE6F9E648F}"/>
              </c:ext>
            </c:extLst>
          </c:dPt>
          <c:dPt>
            <c:idx val="5"/>
            <c:bubble3D val="0"/>
            <c:explosion val="36"/>
            <c:spPr>
              <a:solidFill>
                <a:schemeClr val="accent5">
                  <a:tint val="65000"/>
                </a:schemeClr>
              </a:solidFill>
              <a:ln w="19050">
                <a:solidFill>
                  <a:schemeClr val="lt1"/>
                </a:solidFill>
              </a:ln>
              <a:effectLst/>
            </c:spPr>
            <c:extLst>
              <c:ext xmlns:c16="http://schemas.microsoft.com/office/drawing/2014/chart" uri="{C3380CC4-5D6E-409C-BE32-E72D297353CC}">
                <c16:uniqueId val="{0000000B-4601-4141-A446-C8BE6F9E648F}"/>
              </c:ext>
            </c:extLst>
          </c:dPt>
          <c:dPt>
            <c:idx val="6"/>
            <c:bubble3D val="0"/>
            <c:explosion val="19"/>
            <c:spPr>
              <a:solidFill>
                <a:schemeClr val="accent5">
                  <a:tint val="48000"/>
                </a:schemeClr>
              </a:solidFill>
              <a:ln w="19050">
                <a:solidFill>
                  <a:schemeClr val="lt1"/>
                </a:solidFill>
              </a:ln>
              <a:effectLst/>
            </c:spPr>
            <c:extLst>
              <c:ext xmlns:c16="http://schemas.microsoft.com/office/drawing/2014/chart" uri="{C3380CC4-5D6E-409C-BE32-E72D297353CC}">
                <c16:uniqueId val="{0000000D-4601-4141-A446-C8BE6F9E648F}"/>
              </c:ext>
            </c:extLst>
          </c:dPt>
          <c:dPt>
            <c:idx val="7"/>
            <c:bubble3D val="0"/>
            <c:spPr>
              <a:solidFill>
                <a:schemeClr val="accent5">
                  <a:tint val="30000"/>
                </a:schemeClr>
              </a:solidFill>
              <a:ln w="19050">
                <a:solidFill>
                  <a:schemeClr val="lt1"/>
                </a:solidFill>
              </a:ln>
              <a:effectLst/>
            </c:spPr>
            <c:extLst>
              <c:ext xmlns:c16="http://schemas.microsoft.com/office/drawing/2014/chart" uri="{C3380CC4-5D6E-409C-BE32-E72D297353CC}">
                <c16:uniqueId val="{0000000F-4601-4141-A446-C8BE6F9E648F}"/>
              </c:ext>
            </c:extLst>
          </c:dPt>
          <c:dLbls>
            <c:dLbl>
              <c:idx val="0"/>
              <c:layout>
                <c:manualLayout>
                  <c:x val="0.11075837859808595"/>
                  <c:y val="-4.2970832944487121E-2"/>
                </c:manualLayout>
              </c:layout>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601-4141-A446-C8BE6F9E648F}"/>
                </c:ext>
              </c:extLst>
            </c:dLbl>
            <c:dLbl>
              <c:idx val="2"/>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6="http://schemas.microsoft.com/office/drawing/2014/chart" uri="{C3380CC4-5D6E-409C-BE32-E72D297353CC}">
                  <c16:uniqueId val="{00000005-4601-4141-A446-C8BE6F9E648F}"/>
                </c:ext>
              </c:extLst>
            </c:dLbl>
            <c:dLbl>
              <c:idx val="3"/>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6="http://schemas.microsoft.com/office/drawing/2014/chart" uri="{C3380CC4-5D6E-409C-BE32-E72D297353CC}">
                  <c16:uniqueId val="{00000007-4601-4141-A446-C8BE6F9E648F}"/>
                </c:ext>
              </c:extLst>
            </c:dLbl>
            <c:dLbl>
              <c:idx val="4"/>
              <c:layout>
                <c:manualLayout>
                  <c:x val="-2.1232528350224166E-3"/>
                  <c:y val="-8.704384031349497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4601-4141-A446-C8BE6F9E648F}"/>
                </c:ext>
              </c:extLst>
            </c:dLbl>
            <c:dLbl>
              <c:idx val="5"/>
              <c:layout>
                <c:manualLayout>
                  <c:x val="-0.13159693704554873"/>
                  <c:y val="-2.5471467058536287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4601-4141-A446-C8BE6F9E648F}"/>
                </c:ext>
              </c:extLst>
            </c:dLbl>
            <c:dLbl>
              <c:idx val="6"/>
              <c:layout>
                <c:manualLayout>
                  <c:x val="-0.30350073465697169"/>
                  <c:y val="-3.273415216925952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4601-4141-A446-C8BE6F9E648F}"/>
                </c:ext>
              </c:extLst>
            </c:dLbl>
            <c:dLbl>
              <c:idx val="7"/>
              <c:tx>
                <c:rich>
                  <a:bodyPr/>
                  <a:lstStyle/>
                  <a:p>
                    <a:r>
                      <a:rPr lang="lv-LV"/>
                      <a:t>Netiešie nodokļi</a:t>
                    </a:r>
                    <a:r>
                      <a:rPr lang="lv-LV" baseline="0"/>
                      <a:t>
</a:t>
                    </a:r>
                    <a:fld id="{538DD57E-281B-4A74-BE38-ECD95CE2D0B5}" type="PERCENTAGE">
                      <a:rPr lang="en-US" baseline="0"/>
                      <a:pPr/>
                      <a:t>[PERCENTAGE]</a:t>
                    </a:fld>
                    <a:endParaRPr lang="lv-LV"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4601-4141-A446-C8BE6F9E648F}"/>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graf_tiesie_netiesie!$O$3:$O$9</c:f>
              <c:strCache>
                <c:ptCount val="7"/>
                <c:pt idx="0">
                  <c:v>Tiešie nodokļi</c:v>
                </c:pt>
                <c:pt idx="1">
                  <c:v>Pārējie nodokļi</c:v>
                </c:pt>
                <c:pt idx="2">
                  <c:v>PVN</c:v>
                </c:pt>
                <c:pt idx="3">
                  <c:v>Akcīzes nodoklis</c:v>
                </c:pt>
                <c:pt idx="4">
                  <c:v>Transportlīdzekļu ekspluatācijas nodoklis</c:v>
                </c:pt>
                <c:pt idx="5">
                  <c:v>Uzņēmumu vieglo transportlīdzekļu nodoklis</c:v>
                </c:pt>
                <c:pt idx="6">
                  <c:v>Muitas nodoklis</c:v>
                </c:pt>
              </c:strCache>
            </c:strRef>
          </c:cat>
          <c:val>
            <c:numRef>
              <c:f>graf_tiesie_netiesie!$P$3:$P$9</c:f>
              <c:numCache>
                <c:formatCode>#\ ##0.0</c:formatCode>
                <c:ptCount val="7"/>
                <c:pt idx="0">
                  <c:v>9113.694207999999</c:v>
                </c:pt>
                <c:pt idx="1">
                  <c:v>167.79300000000001</c:v>
                </c:pt>
                <c:pt idx="2">
                  <c:v>4329.9557600000007</c:v>
                </c:pt>
                <c:pt idx="3">
                  <c:v>1380.7660000000001</c:v>
                </c:pt>
                <c:pt idx="4">
                  <c:v>123.5</c:v>
                </c:pt>
                <c:pt idx="5">
                  <c:v>33.299999999999997</c:v>
                </c:pt>
                <c:pt idx="6">
                  <c:v>70.900000000000006</c:v>
                </c:pt>
              </c:numCache>
            </c:numRef>
          </c:val>
          <c:extLst>
            <c:ext xmlns:c16="http://schemas.microsoft.com/office/drawing/2014/chart" uri="{C3380CC4-5D6E-409C-BE32-E72D297353CC}">
              <c16:uniqueId val="{00000010-4601-4141-A446-C8BE6F9E648F}"/>
            </c:ext>
          </c:extLst>
        </c:ser>
        <c:ser>
          <c:idx val="1"/>
          <c:order val="1"/>
          <c:dPt>
            <c:idx val="0"/>
            <c:bubble3D val="0"/>
            <c:spPr>
              <a:solidFill>
                <a:schemeClr val="accent5">
                  <a:shade val="47000"/>
                </a:schemeClr>
              </a:solidFill>
              <a:ln w="19050">
                <a:solidFill>
                  <a:schemeClr val="lt1"/>
                </a:solidFill>
              </a:ln>
              <a:effectLst/>
            </c:spPr>
            <c:extLst>
              <c:ext xmlns:c16="http://schemas.microsoft.com/office/drawing/2014/chart" uri="{C3380CC4-5D6E-409C-BE32-E72D297353CC}">
                <c16:uniqueId val="{00000012-4601-4141-A446-C8BE6F9E648F}"/>
              </c:ext>
            </c:extLst>
          </c:dPt>
          <c:dPt>
            <c:idx val="1"/>
            <c:bubble3D val="0"/>
            <c:spPr>
              <a:solidFill>
                <a:schemeClr val="accent5">
                  <a:shade val="65000"/>
                </a:schemeClr>
              </a:solidFill>
              <a:ln w="19050">
                <a:solidFill>
                  <a:schemeClr val="lt1"/>
                </a:solidFill>
              </a:ln>
              <a:effectLst/>
            </c:spPr>
            <c:extLst>
              <c:ext xmlns:c16="http://schemas.microsoft.com/office/drawing/2014/chart" uri="{C3380CC4-5D6E-409C-BE32-E72D297353CC}">
                <c16:uniqueId val="{00000014-4601-4141-A446-C8BE6F9E648F}"/>
              </c:ext>
            </c:extLst>
          </c:dPt>
          <c:dPt>
            <c:idx val="2"/>
            <c:bubble3D val="0"/>
            <c:spPr>
              <a:solidFill>
                <a:schemeClr val="accent5">
                  <a:shade val="82000"/>
                </a:schemeClr>
              </a:solidFill>
              <a:ln w="19050">
                <a:solidFill>
                  <a:schemeClr val="lt1"/>
                </a:solidFill>
              </a:ln>
              <a:effectLst/>
            </c:spPr>
            <c:extLst>
              <c:ext xmlns:c16="http://schemas.microsoft.com/office/drawing/2014/chart" uri="{C3380CC4-5D6E-409C-BE32-E72D297353CC}">
                <c16:uniqueId val="{00000016-4601-4141-A446-C8BE6F9E648F}"/>
              </c:ext>
            </c:extLst>
          </c:dPt>
          <c:dPt>
            <c:idx val="3"/>
            <c:bubble3D val="0"/>
            <c:spPr>
              <a:solidFill>
                <a:schemeClr val="accent5"/>
              </a:solidFill>
              <a:ln w="19050">
                <a:solidFill>
                  <a:schemeClr val="lt1"/>
                </a:solidFill>
              </a:ln>
              <a:effectLst/>
            </c:spPr>
            <c:extLst>
              <c:ext xmlns:c16="http://schemas.microsoft.com/office/drawing/2014/chart" uri="{C3380CC4-5D6E-409C-BE32-E72D297353CC}">
                <c16:uniqueId val="{00000018-4601-4141-A446-C8BE6F9E648F}"/>
              </c:ext>
            </c:extLst>
          </c:dPt>
          <c:dPt>
            <c:idx val="4"/>
            <c:bubble3D val="0"/>
            <c:spPr>
              <a:solidFill>
                <a:schemeClr val="accent5">
                  <a:tint val="83000"/>
                </a:schemeClr>
              </a:solidFill>
              <a:ln w="19050">
                <a:solidFill>
                  <a:schemeClr val="lt1"/>
                </a:solidFill>
              </a:ln>
              <a:effectLst/>
            </c:spPr>
            <c:extLst>
              <c:ext xmlns:c16="http://schemas.microsoft.com/office/drawing/2014/chart" uri="{C3380CC4-5D6E-409C-BE32-E72D297353CC}">
                <c16:uniqueId val="{0000001A-4601-4141-A446-C8BE6F9E648F}"/>
              </c:ext>
            </c:extLst>
          </c:dPt>
          <c:dPt>
            <c:idx val="5"/>
            <c:bubble3D val="0"/>
            <c:spPr>
              <a:solidFill>
                <a:schemeClr val="accent5">
                  <a:tint val="65000"/>
                </a:schemeClr>
              </a:solidFill>
              <a:ln w="19050">
                <a:solidFill>
                  <a:schemeClr val="lt1"/>
                </a:solidFill>
              </a:ln>
              <a:effectLst/>
            </c:spPr>
            <c:extLst>
              <c:ext xmlns:c16="http://schemas.microsoft.com/office/drawing/2014/chart" uri="{C3380CC4-5D6E-409C-BE32-E72D297353CC}">
                <c16:uniqueId val="{0000001C-4601-4141-A446-C8BE6F9E648F}"/>
              </c:ext>
            </c:extLst>
          </c:dPt>
          <c:dPt>
            <c:idx val="6"/>
            <c:bubble3D val="0"/>
            <c:spPr>
              <a:solidFill>
                <a:schemeClr val="accent5">
                  <a:tint val="48000"/>
                </a:schemeClr>
              </a:solidFill>
              <a:ln w="19050">
                <a:solidFill>
                  <a:schemeClr val="lt1"/>
                </a:solidFill>
              </a:ln>
              <a:effectLst/>
            </c:spPr>
            <c:extLst>
              <c:ext xmlns:c16="http://schemas.microsoft.com/office/drawing/2014/chart" uri="{C3380CC4-5D6E-409C-BE32-E72D297353CC}">
                <c16:uniqueId val="{0000001E-4601-4141-A446-C8BE6F9E648F}"/>
              </c:ext>
            </c:extLst>
          </c:dPt>
          <c:dPt>
            <c:idx val="7"/>
            <c:bubble3D val="0"/>
            <c:spPr>
              <a:solidFill>
                <a:schemeClr val="accent5">
                  <a:tint val="30000"/>
                </a:schemeClr>
              </a:solidFill>
              <a:ln w="19050">
                <a:solidFill>
                  <a:schemeClr val="lt1"/>
                </a:solidFill>
              </a:ln>
              <a:effectLst/>
            </c:spPr>
            <c:extLst>
              <c:ext xmlns:c16="http://schemas.microsoft.com/office/drawing/2014/chart" uri="{C3380CC4-5D6E-409C-BE32-E72D297353CC}">
                <c16:uniqueId val="{00000020-4601-4141-A446-C8BE6F9E648F}"/>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graf_tiesie_netiesie!$O$3:$O$9</c:f>
              <c:strCache>
                <c:ptCount val="7"/>
                <c:pt idx="0">
                  <c:v>Tiešie nodokļi</c:v>
                </c:pt>
                <c:pt idx="1">
                  <c:v>Pārējie nodokļi</c:v>
                </c:pt>
                <c:pt idx="2">
                  <c:v>PVN</c:v>
                </c:pt>
                <c:pt idx="3">
                  <c:v>Akcīzes nodoklis</c:v>
                </c:pt>
                <c:pt idx="4">
                  <c:v>Transportlīdzekļu ekspluatācijas nodoklis</c:v>
                </c:pt>
                <c:pt idx="5">
                  <c:v>Uzņēmumu vieglo transportlīdzekļu nodoklis</c:v>
                </c:pt>
                <c:pt idx="6">
                  <c:v>Muitas nodoklis</c:v>
                </c:pt>
              </c:strCache>
            </c:strRef>
          </c:cat>
          <c:val>
            <c:numRef>
              <c:f>graf_tiesie_netiesie!$Q$3:$Q$9</c:f>
              <c:numCache>
                <c:formatCode>0.0%</c:formatCode>
                <c:ptCount val="7"/>
                <c:pt idx="0">
                  <c:v>0.59880083561351305</c:v>
                </c:pt>
                <c:pt idx="1">
                  <c:v>1.1024573166159296E-2</c:v>
                </c:pt>
                <c:pt idx="2">
                  <c:v>0.28449288160026276</c:v>
                </c:pt>
                <c:pt idx="3">
                  <c:v>9.0721041952555273E-2</c:v>
                </c:pt>
                <c:pt idx="4">
                  <c:v>8.1143717915566974E-3</c:v>
                </c:pt>
                <c:pt idx="5">
                  <c:v>2.1879237300310773E-3</c:v>
                </c:pt>
                <c:pt idx="6">
                  <c:v>4.6583721459220236E-3</c:v>
                </c:pt>
              </c:numCache>
            </c:numRef>
          </c:val>
          <c:extLst>
            <c:ext xmlns:c16="http://schemas.microsoft.com/office/drawing/2014/chart" uri="{C3380CC4-5D6E-409C-BE32-E72D297353CC}">
              <c16:uniqueId val="{00000021-4601-4141-A446-C8BE6F9E648F}"/>
            </c:ext>
          </c:extLst>
        </c:ser>
        <c:dLbls>
          <c:dLblPos val="bestFit"/>
          <c:showLegendKey val="0"/>
          <c:showVal val="0"/>
          <c:showCatName val="1"/>
          <c:showSerName val="0"/>
          <c:showPercent val="1"/>
          <c:showBubbleSize val="0"/>
          <c:showLeaderLines val="1"/>
        </c:dLbls>
        <c:gapWidth val="100"/>
        <c:splitType val="pos"/>
        <c:splitPos val="5"/>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0582435367941561"/>
          <c:y val="5.8589843505056749E-2"/>
          <c:w val="0.56873731051077758"/>
          <c:h val="0.75393226017396286"/>
        </c:manualLayout>
      </c:layout>
      <c:barChart>
        <c:barDir val="bar"/>
        <c:grouping val="clustered"/>
        <c:varyColors val="0"/>
        <c:ser>
          <c:idx val="0"/>
          <c:order val="0"/>
          <c:tx>
            <c:strRef>
              <c:f>nenodokli!$D$6</c:f>
              <c:strCache>
                <c:ptCount val="1"/>
                <c:pt idx="0">
                  <c:v>2025. gada prognoze</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nenodokli!$C$7:$C$10</c:f>
              <c:strCache>
                <c:ptCount val="4"/>
                <c:pt idx="0">
                  <c:v>Ieņēmumi no uzņēmējdarbības un īpašuma</c:v>
                </c:pt>
                <c:pt idx="1">
                  <c:v>Naudas sodi un sankcijas</c:v>
                </c:pt>
                <c:pt idx="2">
                  <c:v>Valsts (pašvaldību) nodevas un kancelejas nodevas</c:v>
                </c:pt>
                <c:pt idx="3">
                  <c:v>Pārējie nenodokļu ieņēmumi</c:v>
                </c:pt>
              </c:strCache>
            </c:strRef>
          </c:cat>
          <c:val>
            <c:numRef>
              <c:f>nenodokli!$D$7:$D$10</c:f>
              <c:numCache>
                <c:formatCode>0.0</c:formatCode>
                <c:ptCount val="4"/>
                <c:pt idx="0">
                  <c:v>597.65715597999997</c:v>
                </c:pt>
                <c:pt idx="1">
                  <c:v>42.073898210000003</c:v>
                </c:pt>
                <c:pt idx="2">
                  <c:v>180.44641720999996</c:v>
                </c:pt>
                <c:pt idx="3">
                  <c:v>79.008605189999997</c:v>
                </c:pt>
              </c:numCache>
            </c:numRef>
          </c:val>
          <c:extLst>
            <c:ext xmlns:c16="http://schemas.microsoft.com/office/drawing/2014/chart" uri="{C3380CC4-5D6E-409C-BE32-E72D297353CC}">
              <c16:uniqueId val="{00000000-19BE-49FC-94EF-D5FE23927756}"/>
            </c:ext>
          </c:extLst>
        </c:ser>
        <c:ser>
          <c:idx val="1"/>
          <c:order val="1"/>
          <c:tx>
            <c:strRef>
              <c:f>nenodokli!$E$6</c:f>
              <c:strCache>
                <c:ptCount val="1"/>
                <c:pt idx="0">
                  <c:v>2026. gada prognoze</c:v>
                </c:pt>
              </c:strCache>
            </c:strRef>
          </c:tx>
          <c:spPr>
            <a:solidFill>
              <a:schemeClr val="accent5">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nenodokli!$C$7:$C$10</c:f>
              <c:strCache>
                <c:ptCount val="4"/>
                <c:pt idx="0">
                  <c:v>Ieņēmumi no uzņēmējdarbības un īpašuma</c:v>
                </c:pt>
                <c:pt idx="1">
                  <c:v>Naudas sodi un sankcijas</c:v>
                </c:pt>
                <c:pt idx="2">
                  <c:v>Valsts (pašvaldību) nodevas un kancelejas nodevas</c:v>
                </c:pt>
                <c:pt idx="3">
                  <c:v>Pārējie nenodokļu ieņēmumi</c:v>
                </c:pt>
              </c:strCache>
            </c:strRef>
          </c:cat>
          <c:val>
            <c:numRef>
              <c:f>nenodokli!$E$7:$E$10</c:f>
              <c:numCache>
                <c:formatCode>0.0</c:formatCode>
                <c:ptCount val="4"/>
                <c:pt idx="0">
                  <c:v>557.43954499999995</c:v>
                </c:pt>
                <c:pt idx="1">
                  <c:v>43.561421000000003</c:v>
                </c:pt>
                <c:pt idx="2">
                  <c:v>180.149935</c:v>
                </c:pt>
                <c:pt idx="3">
                  <c:v>75.280631</c:v>
                </c:pt>
              </c:numCache>
            </c:numRef>
          </c:val>
          <c:extLst>
            <c:ext xmlns:c16="http://schemas.microsoft.com/office/drawing/2014/chart" uri="{C3380CC4-5D6E-409C-BE32-E72D297353CC}">
              <c16:uniqueId val="{00000001-19BE-49FC-94EF-D5FE23927756}"/>
            </c:ext>
          </c:extLst>
        </c:ser>
        <c:dLbls>
          <c:showLegendKey val="0"/>
          <c:showVal val="0"/>
          <c:showCatName val="0"/>
          <c:showSerName val="0"/>
          <c:showPercent val="0"/>
          <c:showBubbleSize val="0"/>
        </c:dLbls>
        <c:gapWidth val="182"/>
        <c:axId val="1532269120"/>
        <c:axId val="1532275360"/>
      </c:barChart>
      <c:catAx>
        <c:axId val="15322691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532275360"/>
        <c:crosses val="autoZero"/>
        <c:auto val="1"/>
        <c:lblAlgn val="ctr"/>
        <c:lblOffset val="100"/>
        <c:noMultiLvlLbl val="0"/>
      </c:catAx>
      <c:valAx>
        <c:axId val="153227536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532269120"/>
        <c:crosses val="autoZero"/>
        <c:crossBetween val="between"/>
      </c:valAx>
      <c:spPr>
        <a:noFill/>
        <a:ln>
          <a:noFill/>
        </a:ln>
        <a:effectLst/>
      </c:spPr>
    </c:plotArea>
    <c:legend>
      <c:legendPos val="b"/>
      <c:layout>
        <c:manualLayout>
          <c:xMode val="edge"/>
          <c:yMode val="edge"/>
          <c:x val="0.27724070044105253"/>
          <c:y val="0.89254754940258274"/>
          <c:w val="0.44551842550934578"/>
          <c:h val="0.107452450597417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7726125631466165E-2"/>
          <c:y val="4.2842749808650556E-2"/>
          <c:w val="0.91378135773604119"/>
          <c:h val="0.86325003274268342"/>
        </c:manualLayout>
      </c:layout>
      <c:ofPieChart>
        <c:ofPieType val="pie"/>
        <c:varyColors val="1"/>
        <c:ser>
          <c:idx val="0"/>
          <c:order val="0"/>
          <c:explosion val="3"/>
          <c:dPt>
            <c:idx val="0"/>
            <c:bubble3D val="0"/>
            <c:explosion val="10"/>
            <c:spPr>
              <a:solidFill>
                <a:schemeClr val="accent5">
                  <a:shade val="45000"/>
                </a:schemeClr>
              </a:solidFill>
              <a:ln w="19050">
                <a:solidFill>
                  <a:schemeClr val="lt1"/>
                </a:solidFill>
              </a:ln>
              <a:effectLst/>
            </c:spPr>
            <c:extLst>
              <c:ext xmlns:c16="http://schemas.microsoft.com/office/drawing/2014/chart" uri="{C3380CC4-5D6E-409C-BE32-E72D297353CC}">
                <c16:uniqueId val="{00000001-1696-4482-A488-7BA451AF01E5}"/>
              </c:ext>
            </c:extLst>
          </c:dPt>
          <c:dPt>
            <c:idx val="1"/>
            <c:bubble3D val="0"/>
            <c:spPr>
              <a:solidFill>
                <a:schemeClr val="accent5">
                  <a:shade val="61000"/>
                </a:schemeClr>
              </a:solidFill>
              <a:ln w="19050">
                <a:solidFill>
                  <a:schemeClr val="lt1"/>
                </a:solidFill>
              </a:ln>
              <a:effectLst/>
            </c:spPr>
            <c:extLst>
              <c:ext xmlns:c16="http://schemas.microsoft.com/office/drawing/2014/chart" uri="{C3380CC4-5D6E-409C-BE32-E72D297353CC}">
                <c16:uniqueId val="{00000003-1696-4482-A488-7BA451AF01E5}"/>
              </c:ext>
            </c:extLst>
          </c:dPt>
          <c:dPt>
            <c:idx val="2"/>
            <c:bubble3D val="0"/>
            <c:spPr>
              <a:solidFill>
                <a:schemeClr val="accent5">
                  <a:shade val="76000"/>
                </a:schemeClr>
              </a:solidFill>
              <a:ln w="19050">
                <a:solidFill>
                  <a:schemeClr val="lt1"/>
                </a:solidFill>
              </a:ln>
              <a:effectLst/>
            </c:spPr>
            <c:extLst>
              <c:ext xmlns:c16="http://schemas.microsoft.com/office/drawing/2014/chart" uri="{C3380CC4-5D6E-409C-BE32-E72D297353CC}">
                <c16:uniqueId val="{00000005-1696-4482-A488-7BA451AF01E5}"/>
              </c:ext>
            </c:extLst>
          </c:dPt>
          <c:dPt>
            <c:idx val="3"/>
            <c:bubble3D val="0"/>
            <c:spPr>
              <a:solidFill>
                <a:schemeClr val="accent5">
                  <a:shade val="92000"/>
                </a:schemeClr>
              </a:solidFill>
              <a:ln w="19050">
                <a:solidFill>
                  <a:schemeClr val="lt1"/>
                </a:solidFill>
              </a:ln>
              <a:effectLst/>
            </c:spPr>
            <c:extLst>
              <c:ext xmlns:c16="http://schemas.microsoft.com/office/drawing/2014/chart" uri="{C3380CC4-5D6E-409C-BE32-E72D297353CC}">
                <c16:uniqueId val="{00000007-1696-4482-A488-7BA451AF01E5}"/>
              </c:ext>
            </c:extLst>
          </c:dPt>
          <c:dPt>
            <c:idx val="4"/>
            <c:bubble3D val="0"/>
            <c:spPr>
              <a:solidFill>
                <a:schemeClr val="accent5">
                  <a:tint val="93000"/>
                </a:schemeClr>
              </a:solidFill>
              <a:ln w="19050">
                <a:solidFill>
                  <a:schemeClr val="lt1"/>
                </a:solidFill>
              </a:ln>
              <a:effectLst/>
            </c:spPr>
            <c:extLst>
              <c:ext xmlns:c16="http://schemas.microsoft.com/office/drawing/2014/chart" uri="{C3380CC4-5D6E-409C-BE32-E72D297353CC}">
                <c16:uniqueId val="{00000009-1696-4482-A488-7BA451AF01E5}"/>
              </c:ext>
            </c:extLst>
          </c:dPt>
          <c:dPt>
            <c:idx val="5"/>
            <c:bubble3D val="0"/>
            <c:explosion val="10"/>
            <c:spPr>
              <a:solidFill>
                <a:schemeClr val="accent5">
                  <a:tint val="77000"/>
                </a:schemeClr>
              </a:solidFill>
              <a:ln w="19050">
                <a:solidFill>
                  <a:schemeClr val="lt1"/>
                </a:solidFill>
              </a:ln>
              <a:effectLst/>
            </c:spPr>
            <c:extLst>
              <c:ext xmlns:c16="http://schemas.microsoft.com/office/drawing/2014/chart" uri="{C3380CC4-5D6E-409C-BE32-E72D297353CC}">
                <c16:uniqueId val="{0000000B-1696-4482-A488-7BA451AF01E5}"/>
              </c:ext>
            </c:extLst>
          </c:dPt>
          <c:dPt>
            <c:idx val="6"/>
            <c:bubble3D val="0"/>
            <c:spPr>
              <a:solidFill>
                <a:schemeClr val="accent5">
                  <a:tint val="62000"/>
                </a:schemeClr>
              </a:solidFill>
              <a:ln w="19050">
                <a:solidFill>
                  <a:schemeClr val="lt1"/>
                </a:solidFill>
              </a:ln>
              <a:effectLst/>
            </c:spPr>
            <c:extLst>
              <c:ext xmlns:c16="http://schemas.microsoft.com/office/drawing/2014/chart" uri="{C3380CC4-5D6E-409C-BE32-E72D297353CC}">
                <c16:uniqueId val="{0000000D-1696-4482-A488-7BA451AF01E5}"/>
              </c:ext>
            </c:extLst>
          </c:dPt>
          <c:dPt>
            <c:idx val="7"/>
            <c:bubble3D val="0"/>
            <c:explosion val="10"/>
            <c:spPr>
              <a:solidFill>
                <a:schemeClr val="accent5">
                  <a:tint val="46000"/>
                </a:schemeClr>
              </a:solidFill>
              <a:ln w="19050">
                <a:solidFill>
                  <a:schemeClr val="lt1"/>
                </a:solidFill>
              </a:ln>
              <a:effectLst/>
            </c:spPr>
            <c:extLst>
              <c:ext xmlns:c16="http://schemas.microsoft.com/office/drawing/2014/chart" uri="{C3380CC4-5D6E-409C-BE32-E72D297353CC}">
                <c16:uniqueId val="{0000000F-1696-4482-A488-7BA451AF01E5}"/>
              </c:ext>
            </c:extLst>
          </c:dPt>
          <c:dPt>
            <c:idx val="8"/>
            <c:bubble3D val="0"/>
            <c:spPr>
              <a:solidFill>
                <a:schemeClr val="accent5">
                  <a:tint val="30000"/>
                </a:schemeClr>
              </a:solidFill>
              <a:ln w="19050">
                <a:solidFill>
                  <a:schemeClr val="lt1"/>
                </a:solidFill>
              </a:ln>
              <a:effectLst/>
            </c:spPr>
            <c:extLst>
              <c:ext xmlns:c16="http://schemas.microsoft.com/office/drawing/2014/chart" uri="{C3380CC4-5D6E-409C-BE32-E72D297353CC}">
                <c16:uniqueId val="{00000011-1696-4482-A488-7BA451AF01E5}"/>
              </c:ext>
            </c:extLst>
          </c:dPt>
          <c:dLbls>
            <c:dLbl>
              <c:idx val="0"/>
              <c:layout>
                <c:manualLayout>
                  <c:x val="9.6909160194684589E-3"/>
                  <c:y val="1.1709707847896574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8424771509448205"/>
                      <c:h val="0.14103954309746777"/>
                    </c:manualLayout>
                  </c15:layout>
                </c:ext>
                <c:ext xmlns:c16="http://schemas.microsoft.com/office/drawing/2014/chart" uri="{C3380CC4-5D6E-409C-BE32-E72D297353CC}">
                  <c16:uniqueId val="{00000001-1696-4482-A488-7BA451AF01E5}"/>
                </c:ext>
              </c:extLst>
            </c:dLbl>
            <c:dLbl>
              <c:idx val="1"/>
              <c:layout>
                <c:manualLayout>
                  <c:x val="4.3944805991748319E-2"/>
                  <c:y val="-5.4289299813993865E-2"/>
                </c:manualLayout>
              </c:layout>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5="http://schemas.microsoft.com/office/drawing/2012/chart" uri="{CE6537A1-D6FC-4f65-9D91-7224C49458BB}">
                  <c15:layout>
                    <c:manualLayout>
                      <c:w val="0.17156045520092839"/>
                      <c:h val="0.24398676114182449"/>
                    </c:manualLayout>
                  </c15:layout>
                </c:ext>
                <c:ext xmlns:c16="http://schemas.microsoft.com/office/drawing/2014/chart" uri="{C3380CC4-5D6E-409C-BE32-E72D297353CC}">
                  <c16:uniqueId val="{00000003-1696-4482-A488-7BA451AF01E5}"/>
                </c:ext>
              </c:extLst>
            </c:dLbl>
            <c:dLbl>
              <c:idx val="2"/>
              <c:layout>
                <c:manualLayout>
                  <c:x val="1.1834894797559407E-3"/>
                  <c:y val="2.9759553877865413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3947485149958724"/>
                      <c:h val="0.23340492537735552"/>
                    </c:manualLayout>
                  </c15:layout>
                </c:ext>
                <c:ext xmlns:c16="http://schemas.microsoft.com/office/drawing/2014/chart" uri="{C3380CC4-5D6E-409C-BE32-E72D297353CC}">
                  <c16:uniqueId val="{00000005-1696-4482-A488-7BA451AF01E5}"/>
                </c:ext>
              </c:extLst>
            </c:dLbl>
            <c:dLbl>
              <c:idx val="3"/>
              <c:layout>
                <c:manualLayout>
                  <c:x val="0.16385875282879245"/>
                  <c:y val="0.24710362428461738"/>
                </c:manualLayout>
              </c:layout>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extLst>
                <c:ext xmlns:c15="http://schemas.microsoft.com/office/drawing/2012/chart" uri="{CE6537A1-D6FC-4f65-9D91-7224C49458BB}">
                  <c15:layout>
                    <c:manualLayout>
                      <c:w val="0.18272381577510477"/>
                      <c:h val="0.30115398433397778"/>
                    </c:manualLayout>
                  </c15:layout>
                </c:ext>
                <c:ext xmlns:c16="http://schemas.microsoft.com/office/drawing/2014/chart" uri="{C3380CC4-5D6E-409C-BE32-E72D297353CC}">
                  <c16:uniqueId val="{00000007-1696-4482-A488-7BA451AF01E5}"/>
                </c:ext>
              </c:extLst>
            </c:dLbl>
            <c:dLbl>
              <c:idx val="4"/>
              <c:layout>
                <c:manualLayout>
                  <c:x val="-1.6966676707027922E-2"/>
                  <c:y val="1.5930699345024297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205926648651886"/>
                      <c:h val="0.26757911863594697"/>
                    </c:manualLayout>
                  </c15:layout>
                </c:ext>
                <c:ext xmlns:c16="http://schemas.microsoft.com/office/drawing/2014/chart" uri="{C3380CC4-5D6E-409C-BE32-E72D297353CC}">
                  <c16:uniqueId val="{00000009-1696-4482-A488-7BA451AF01E5}"/>
                </c:ext>
              </c:extLst>
            </c:dLbl>
            <c:dLbl>
              <c:idx val="5"/>
              <c:layout>
                <c:manualLayout>
                  <c:x val="-5.3308241111026857E-3"/>
                  <c:y val="5.5423887564445308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5926726775733344"/>
                      <c:h val="0.27406698819313546"/>
                    </c:manualLayout>
                  </c15:layout>
                </c:ext>
                <c:ext xmlns:c16="http://schemas.microsoft.com/office/drawing/2014/chart" uri="{C3380CC4-5D6E-409C-BE32-E72D297353CC}">
                  <c16:uniqueId val="{0000000B-1696-4482-A488-7BA451AF01E5}"/>
                </c:ext>
              </c:extLst>
            </c:dLbl>
            <c:dLbl>
              <c:idx val="6"/>
              <c:layout>
                <c:manualLayout>
                  <c:x val="-4.1474387964760939E-2"/>
                  <c:y val="-0.16072840884325343"/>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0546632558373704"/>
                      <c:h val="0.25525086883683168"/>
                    </c:manualLayout>
                  </c15:layout>
                </c:ext>
                <c:ext xmlns:c16="http://schemas.microsoft.com/office/drawing/2014/chart" uri="{C3380CC4-5D6E-409C-BE32-E72D297353CC}">
                  <c16:uniqueId val="{0000000D-1696-4482-A488-7BA451AF01E5}"/>
                </c:ext>
              </c:extLst>
            </c:dLbl>
            <c:dLbl>
              <c:idx val="7"/>
              <c:layout>
                <c:manualLayout>
                  <c:x val="7.0299843546896446E-2"/>
                  <c:y val="3.534505156881055E-2"/>
                </c:manualLayout>
              </c:layout>
              <c:tx>
                <c:rich>
                  <a:bodyPr/>
                  <a:lstStyle/>
                  <a:p>
                    <a:r>
                      <a:rPr lang="lv-LV"/>
                      <a:t>Ieņēmumi no uzņēmējdarbības un īpašuma</a:t>
                    </a:r>
                    <a:r>
                      <a:rPr lang="lv-LV" baseline="0"/>
                      <a:t>
</a:t>
                    </a:r>
                    <a:fld id="{0993C71D-CF2F-4A96-8733-7B8D50E9A80D}" type="PERCENTAGE">
                      <a:rPr lang="en-US" baseline="0"/>
                      <a:pPr/>
                      <a:t>[PERCENTAGE]</a:t>
                    </a:fld>
                    <a:endParaRPr lang="lv-LV"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1696-4482-A488-7BA451AF01E5}"/>
                </c:ext>
              </c:extLst>
            </c:dLbl>
            <c:dLbl>
              <c:idx val="8"/>
              <c:tx>
                <c:rich>
                  <a:bodyPr/>
                  <a:lstStyle/>
                  <a:p>
                    <a:r>
                      <a:rPr lang="lv-LV"/>
                      <a:t>Ieņēmumi no uzņēmējdarbības un īpašuma</a:t>
                    </a:r>
                    <a:r>
                      <a:rPr lang="lv-LV" baseline="0"/>
                      <a:t>
</a:t>
                    </a:r>
                    <a:fld id="{6EEDFE69-F5AF-4E69-9245-F99F0C501698}" type="PERCENTAGE">
                      <a:rPr lang="en-US" baseline="0"/>
                      <a:pPr/>
                      <a:t>[PERCENTAGE]</a:t>
                    </a:fld>
                    <a:endParaRPr lang="lv-LV"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1696-4482-A488-7BA451AF01E5}"/>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nenodokli!$C$18:$C$25</c:f>
              <c:strCache>
                <c:ptCount val="8"/>
                <c:pt idx="0">
                  <c:v>Naudas sodi un sankcijas</c:v>
                </c:pt>
                <c:pt idx="1">
                  <c:v>Valsts (pašvaldību) nodevas un kancelejas nodevas</c:v>
                </c:pt>
                <c:pt idx="2">
                  <c:v>Pārējie nenodokļu ieņēmumi</c:v>
                </c:pt>
                <c:pt idx="3">
                  <c:v>Ieņēmumi no dividendēm (ieņēmumi no valsts kapitāla izmantošanas) </c:v>
                </c:pt>
                <c:pt idx="4">
                  <c:v>Procentu ieņēmumi par aizdevumiem</c:v>
                </c:pt>
                <c:pt idx="5">
                  <c:v>Procentu ieņēmumi par depozītiem un kontu atlikumiem</c:v>
                </c:pt>
                <c:pt idx="6">
                  <c:v>Pārējie finanšu ieņēmumi</c:v>
                </c:pt>
                <c:pt idx="7">
                  <c:v>Ieņēmumi no atvasināto finanšu instrumentu rezultāta</c:v>
                </c:pt>
              </c:strCache>
            </c:strRef>
          </c:cat>
          <c:val>
            <c:numRef>
              <c:f>nenodokli!$E$18:$E$25</c:f>
              <c:numCache>
                <c:formatCode>0.0</c:formatCode>
                <c:ptCount val="8"/>
                <c:pt idx="0">
                  <c:v>43.561421000000003</c:v>
                </c:pt>
                <c:pt idx="1">
                  <c:v>180.149935</c:v>
                </c:pt>
                <c:pt idx="2">
                  <c:v>75.280631</c:v>
                </c:pt>
                <c:pt idx="3">
                  <c:v>341.14139999999998</c:v>
                </c:pt>
                <c:pt idx="4">
                  <c:v>71.634739999999994</c:v>
                </c:pt>
                <c:pt idx="5">
                  <c:v>54.541938000000002</c:v>
                </c:pt>
                <c:pt idx="6">
                  <c:v>68.575258000000005</c:v>
                </c:pt>
                <c:pt idx="7">
                  <c:v>21.546209000000001</c:v>
                </c:pt>
              </c:numCache>
            </c:numRef>
          </c:val>
          <c:extLst>
            <c:ext xmlns:c16="http://schemas.microsoft.com/office/drawing/2014/chart" uri="{C3380CC4-5D6E-409C-BE32-E72D297353CC}">
              <c16:uniqueId val="{00000012-1696-4482-A488-7BA451AF01E5}"/>
            </c:ext>
          </c:extLst>
        </c:ser>
        <c:dLbls>
          <c:dLblPos val="bestFit"/>
          <c:showLegendKey val="0"/>
          <c:showVal val="0"/>
          <c:showCatName val="1"/>
          <c:showSerName val="0"/>
          <c:showPercent val="1"/>
          <c:showBubbleSize val="0"/>
          <c:showLeaderLines val="1"/>
        </c:dLbls>
        <c:gapWidth val="86"/>
        <c:splitType val="pos"/>
        <c:splitPos val="5"/>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109264210641713"/>
          <c:y val="2.3592808227961733E-2"/>
          <c:w val="0.6520601472110974"/>
          <c:h val="0.85540185855146489"/>
        </c:manualLayout>
      </c:layout>
      <c:barChart>
        <c:barDir val="bar"/>
        <c:grouping val="clustered"/>
        <c:varyColors val="0"/>
        <c:ser>
          <c:idx val="0"/>
          <c:order val="0"/>
          <c:tx>
            <c:strRef>
              <c:f>'Subsect graf'!$R$4</c:f>
              <c:strCache>
                <c:ptCount val="1"/>
                <c:pt idx="0">
                  <c:v>2024</c:v>
                </c:pt>
              </c:strCache>
            </c:strRef>
          </c:tx>
          <c:spPr>
            <a:solidFill>
              <a:schemeClr val="tx1">
                <a:lumMod val="50000"/>
                <a:lumOff val="50000"/>
              </a:schemeClr>
            </a:solidFill>
            <a:ln>
              <a:noFill/>
            </a:ln>
            <a:effectLst/>
          </c:spPr>
          <c:invertIfNegative val="0"/>
          <c:dPt>
            <c:idx val="0"/>
            <c:invertIfNegative val="0"/>
            <c:bubble3D val="0"/>
            <c:extLst>
              <c:ext xmlns:c16="http://schemas.microsoft.com/office/drawing/2014/chart" uri="{C3380CC4-5D6E-409C-BE32-E72D297353CC}">
                <c16:uniqueId val="{00000000-561A-48B5-A2DD-57E05CB3B940}"/>
              </c:ext>
            </c:extLst>
          </c:dPt>
          <c:dPt>
            <c:idx val="1"/>
            <c:invertIfNegative val="0"/>
            <c:bubble3D val="0"/>
            <c:extLst>
              <c:ext xmlns:c16="http://schemas.microsoft.com/office/drawing/2014/chart" uri="{C3380CC4-5D6E-409C-BE32-E72D297353CC}">
                <c16:uniqueId val="{00000001-561A-48B5-A2DD-57E05CB3B940}"/>
              </c:ext>
            </c:extLst>
          </c:dPt>
          <c:dPt>
            <c:idx val="4"/>
            <c:invertIfNegative val="0"/>
            <c:bubble3D val="0"/>
            <c:extLst>
              <c:ext xmlns:c16="http://schemas.microsoft.com/office/drawing/2014/chart" uri="{C3380CC4-5D6E-409C-BE32-E72D297353CC}">
                <c16:uniqueId val="{00000002-561A-48B5-A2DD-57E05CB3B940}"/>
              </c:ext>
            </c:extLst>
          </c:dPt>
          <c:dPt>
            <c:idx val="5"/>
            <c:invertIfNegative val="0"/>
            <c:bubble3D val="0"/>
            <c:extLst>
              <c:ext xmlns:c16="http://schemas.microsoft.com/office/drawing/2014/chart" uri="{C3380CC4-5D6E-409C-BE32-E72D297353CC}">
                <c16:uniqueId val="{00000003-561A-48B5-A2DD-57E05CB3B940}"/>
              </c:ext>
            </c:extLst>
          </c:dPt>
          <c:dPt>
            <c:idx val="6"/>
            <c:invertIfNegative val="0"/>
            <c:bubble3D val="0"/>
            <c:extLst>
              <c:ext xmlns:c16="http://schemas.microsoft.com/office/drawing/2014/chart" uri="{C3380CC4-5D6E-409C-BE32-E72D297353CC}">
                <c16:uniqueId val="{00000004-561A-48B5-A2DD-57E05CB3B940}"/>
              </c:ext>
            </c:extLst>
          </c:dPt>
          <c:dPt>
            <c:idx val="7"/>
            <c:invertIfNegative val="0"/>
            <c:bubble3D val="0"/>
            <c:extLst>
              <c:ext xmlns:c16="http://schemas.microsoft.com/office/drawing/2014/chart" uri="{C3380CC4-5D6E-409C-BE32-E72D297353CC}">
                <c16:uniqueId val="{00000005-561A-48B5-A2DD-57E05CB3B940}"/>
              </c:ext>
            </c:extLst>
          </c:dPt>
          <c:dPt>
            <c:idx val="9"/>
            <c:invertIfNegative val="0"/>
            <c:bubble3D val="0"/>
            <c:extLst>
              <c:ext xmlns:c16="http://schemas.microsoft.com/office/drawing/2014/chart" uri="{C3380CC4-5D6E-409C-BE32-E72D297353CC}">
                <c16:uniqueId val="{00000006-561A-48B5-A2DD-57E05CB3B940}"/>
              </c:ext>
            </c:extLst>
          </c:dPt>
          <c:dPt>
            <c:idx val="10"/>
            <c:invertIfNegative val="0"/>
            <c:bubble3D val="0"/>
            <c:extLst>
              <c:ext xmlns:c16="http://schemas.microsoft.com/office/drawing/2014/chart" uri="{C3380CC4-5D6E-409C-BE32-E72D297353CC}">
                <c16:uniqueId val="{00000007-561A-48B5-A2DD-57E05CB3B940}"/>
              </c:ext>
            </c:extLst>
          </c:dPt>
          <c:dPt>
            <c:idx val="11"/>
            <c:invertIfNegative val="0"/>
            <c:bubble3D val="0"/>
            <c:extLst>
              <c:ext xmlns:c16="http://schemas.microsoft.com/office/drawing/2014/chart" uri="{C3380CC4-5D6E-409C-BE32-E72D297353CC}">
                <c16:uniqueId val="{00000008-561A-48B5-A2DD-57E05CB3B940}"/>
              </c:ext>
            </c:extLst>
          </c:dPt>
          <c:dPt>
            <c:idx val="12"/>
            <c:invertIfNegative val="0"/>
            <c:bubble3D val="0"/>
            <c:extLst>
              <c:ext xmlns:c16="http://schemas.microsoft.com/office/drawing/2014/chart" uri="{C3380CC4-5D6E-409C-BE32-E72D297353CC}">
                <c16:uniqueId val="{00000009-561A-48B5-A2DD-57E05CB3B940}"/>
              </c:ext>
            </c:extLst>
          </c:dPt>
          <c:dPt>
            <c:idx val="13"/>
            <c:invertIfNegative val="0"/>
            <c:bubble3D val="0"/>
            <c:extLst>
              <c:ext xmlns:c16="http://schemas.microsoft.com/office/drawing/2014/chart" uri="{C3380CC4-5D6E-409C-BE32-E72D297353CC}">
                <c16:uniqueId val="{0000000A-561A-48B5-A2DD-57E05CB3B940}"/>
              </c:ext>
            </c:extLst>
          </c:dPt>
          <c:cat>
            <c:strRef>
              <c:f>'Subsect graf'!$P$5:$P$18</c:f>
              <c:strCache>
                <c:ptCount val="14"/>
                <c:pt idx="0">
                  <c:v>ELEKTROENERĢIJA UN GĀZES APGĀDE</c:v>
                </c:pt>
                <c:pt idx="1">
                  <c:v>Mēbeļu ražošana</c:v>
                </c:pt>
                <c:pt idx="2">
                  <c:v>Datoru un elektronikas ražošana</c:v>
                </c:pt>
                <c:pt idx="3">
                  <c:v>Mašīnbūve </c:v>
                </c:pt>
                <c:pt idx="4">
                  <c:v>Gatavo metālizstrādājumu ražošana</c:v>
                </c:pt>
                <c:pt idx="5">
                  <c:v>Nemetālisko minerālu ražošana</c:v>
                </c:pt>
                <c:pt idx="6">
                  <c:v>Ķīmiskās vielas un produkti</c:v>
                </c:pt>
                <c:pt idx="7">
                  <c:v>Poligrāfija un papīra izstr. ražošana</c:v>
                </c:pt>
                <c:pt idx="8">
                  <c:v>Kokapstrāde</c:v>
                </c:pt>
                <c:pt idx="9">
                  <c:v>Vieglā rūpniecība</c:v>
                </c:pt>
                <c:pt idx="10">
                  <c:v>Pārtika un dzērieni</c:v>
                </c:pt>
                <c:pt idx="11">
                  <c:v>APSTRĀDES RŪPNIECĪBA</c:v>
                </c:pt>
                <c:pt idx="12">
                  <c:v>IEGUVES RŪPNIECĪBA</c:v>
                </c:pt>
                <c:pt idx="13">
                  <c:v>RŪPNIECĪBA</c:v>
                </c:pt>
              </c:strCache>
            </c:strRef>
          </c:cat>
          <c:val>
            <c:numRef>
              <c:f>'Subsect graf'!$R$5:$R$18</c:f>
              <c:numCache>
                <c:formatCode>0.0</c:formatCode>
                <c:ptCount val="14"/>
                <c:pt idx="0">
                  <c:v>-2.7000000000000028</c:v>
                </c:pt>
                <c:pt idx="1">
                  <c:v>-4.7000000000000028</c:v>
                </c:pt>
                <c:pt idx="2">
                  <c:v>-13.799999999999997</c:v>
                </c:pt>
                <c:pt idx="3">
                  <c:v>-9.92173913043478</c:v>
                </c:pt>
                <c:pt idx="4">
                  <c:v>-7.2000000000000028</c:v>
                </c:pt>
                <c:pt idx="5">
                  <c:v>4</c:v>
                </c:pt>
                <c:pt idx="6">
                  <c:v>5.9000000000000057</c:v>
                </c:pt>
                <c:pt idx="7">
                  <c:v>6.6944444444444429</c:v>
                </c:pt>
                <c:pt idx="8">
                  <c:v>0</c:v>
                </c:pt>
                <c:pt idx="9">
                  <c:v>1.0485714285714325</c:v>
                </c:pt>
                <c:pt idx="10">
                  <c:v>-0.48130841121495566</c:v>
                </c:pt>
                <c:pt idx="11">
                  <c:v>-2.5999999999999943</c:v>
                </c:pt>
                <c:pt idx="12">
                  <c:v>16.5</c:v>
                </c:pt>
                <c:pt idx="13">
                  <c:v>-2.2000000000000028</c:v>
                </c:pt>
              </c:numCache>
            </c:numRef>
          </c:val>
          <c:extLst>
            <c:ext xmlns:c16="http://schemas.microsoft.com/office/drawing/2014/chart" uri="{C3380CC4-5D6E-409C-BE32-E72D297353CC}">
              <c16:uniqueId val="{0000000B-561A-48B5-A2DD-57E05CB3B940}"/>
            </c:ext>
          </c:extLst>
        </c:ser>
        <c:ser>
          <c:idx val="1"/>
          <c:order val="1"/>
          <c:tx>
            <c:strRef>
              <c:f>'Subsect graf'!$S$4</c:f>
              <c:strCache>
                <c:ptCount val="1"/>
                <c:pt idx="0">
                  <c:v>2025 I-VII</c:v>
                </c:pt>
              </c:strCache>
            </c:strRef>
          </c:tx>
          <c:spPr>
            <a:solidFill>
              <a:srgbClr val="00B050"/>
            </a:solidFill>
            <a:ln>
              <a:noFill/>
            </a:ln>
            <a:effectLst/>
          </c:spPr>
          <c:invertIfNegative val="0"/>
          <c:dPt>
            <c:idx val="0"/>
            <c:invertIfNegative val="0"/>
            <c:bubble3D val="0"/>
            <c:spPr>
              <a:solidFill>
                <a:srgbClr val="C00000"/>
              </a:solidFill>
              <a:ln>
                <a:noFill/>
              </a:ln>
              <a:effectLst/>
            </c:spPr>
            <c:extLst>
              <c:ext xmlns:c16="http://schemas.microsoft.com/office/drawing/2014/chart" uri="{C3380CC4-5D6E-409C-BE32-E72D297353CC}">
                <c16:uniqueId val="{0000000D-561A-48B5-A2DD-57E05CB3B940}"/>
              </c:ext>
            </c:extLst>
          </c:dPt>
          <c:dPt>
            <c:idx val="1"/>
            <c:invertIfNegative val="0"/>
            <c:bubble3D val="0"/>
            <c:spPr>
              <a:solidFill>
                <a:srgbClr val="00B050"/>
              </a:solidFill>
              <a:ln>
                <a:noFill/>
              </a:ln>
              <a:effectLst/>
            </c:spPr>
            <c:extLst>
              <c:ext xmlns:c16="http://schemas.microsoft.com/office/drawing/2014/chart" uri="{C3380CC4-5D6E-409C-BE32-E72D297353CC}">
                <c16:uniqueId val="{0000000F-561A-48B5-A2DD-57E05CB3B940}"/>
              </c:ext>
            </c:extLst>
          </c:dPt>
          <c:dPt>
            <c:idx val="2"/>
            <c:invertIfNegative val="0"/>
            <c:bubble3D val="0"/>
            <c:spPr>
              <a:solidFill>
                <a:srgbClr val="00B050"/>
              </a:solidFill>
              <a:ln>
                <a:noFill/>
              </a:ln>
              <a:effectLst/>
            </c:spPr>
            <c:extLst>
              <c:ext xmlns:c16="http://schemas.microsoft.com/office/drawing/2014/chart" uri="{C3380CC4-5D6E-409C-BE32-E72D297353CC}">
                <c16:uniqueId val="{00000011-561A-48B5-A2DD-57E05CB3B940}"/>
              </c:ext>
            </c:extLst>
          </c:dPt>
          <c:dPt>
            <c:idx val="3"/>
            <c:invertIfNegative val="0"/>
            <c:bubble3D val="0"/>
            <c:spPr>
              <a:solidFill>
                <a:srgbClr val="00B050"/>
              </a:solidFill>
              <a:ln>
                <a:noFill/>
              </a:ln>
              <a:effectLst/>
            </c:spPr>
            <c:extLst>
              <c:ext xmlns:c16="http://schemas.microsoft.com/office/drawing/2014/chart" uri="{C3380CC4-5D6E-409C-BE32-E72D297353CC}">
                <c16:uniqueId val="{00000013-561A-48B5-A2DD-57E05CB3B940}"/>
              </c:ext>
            </c:extLst>
          </c:dPt>
          <c:dPt>
            <c:idx val="4"/>
            <c:invertIfNegative val="0"/>
            <c:bubble3D val="0"/>
            <c:spPr>
              <a:solidFill>
                <a:srgbClr val="00B050"/>
              </a:solidFill>
              <a:ln>
                <a:noFill/>
              </a:ln>
              <a:effectLst/>
            </c:spPr>
            <c:extLst>
              <c:ext xmlns:c16="http://schemas.microsoft.com/office/drawing/2014/chart" uri="{C3380CC4-5D6E-409C-BE32-E72D297353CC}">
                <c16:uniqueId val="{00000015-561A-48B5-A2DD-57E05CB3B940}"/>
              </c:ext>
            </c:extLst>
          </c:dPt>
          <c:dPt>
            <c:idx val="5"/>
            <c:invertIfNegative val="0"/>
            <c:bubble3D val="0"/>
            <c:spPr>
              <a:solidFill>
                <a:srgbClr val="00B050"/>
              </a:solidFill>
              <a:ln>
                <a:noFill/>
              </a:ln>
              <a:effectLst/>
            </c:spPr>
            <c:extLst>
              <c:ext xmlns:c16="http://schemas.microsoft.com/office/drawing/2014/chart" uri="{C3380CC4-5D6E-409C-BE32-E72D297353CC}">
                <c16:uniqueId val="{00000017-561A-48B5-A2DD-57E05CB3B940}"/>
              </c:ext>
            </c:extLst>
          </c:dPt>
          <c:dPt>
            <c:idx val="6"/>
            <c:invertIfNegative val="0"/>
            <c:bubble3D val="0"/>
            <c:spPr>
              <a:solidFill>
                <a:srgbClr val="C00000"/>
              </a:solidFill>
              <a:ln>
                <a:noFill/>
              </a:ln>
              <a:effectLst/>
            </c:spPr>
            <c:extLst>
              <c:ext xmlns:c16="http://schemas.microsoft.com/office/drawing/2014/chart" uri="{C3380CC4-5D6E-409C-BE32-E72D297353CC}">
                <c16:uniqueId val="{00000019-561A-48B5-A2DD-57E05CB3B940}"/>
              </c:ext>
            </c:extLst>
          </c:dPt>
          <c:dPt>
            <c:idx val="7"/>
            <c:invertIfNegative val="0"/>
            <c:bubble3D val="0"/>
            <c:spPr>
              <a:solidFill>
                <a:srgbClr val="00B050"/>
              </a:solidFill>
              <a:ln>
                <a:noFill/>
              </a:ln>
              <a:effectLst/>
            </c:spPr>
            <c:extLst>
              <c:ext xmlns:c16="http://schemas.microsoft.com/office/drawing/2014/chart" uri="{C3380CC4-5D6E-409C-BE32-E72D297353CC}">
                <c16:uniqueId val="{0000001B-561A-48B5-A2DD-57E05CB3B940}"/>
              </c:ext>
            </c:extLst>
          </c:dPt>
          <c:dPt>
            <c:idx val="8"/>
            <c:invertIfNegative val="0"/>
            <c:bubble3D val="0"/>
            <c:spPr>
              <a:solidFill>
                <a:srgbClr val="00B050"/>
              </a:solidFill>
              <a:ln>
                <a:noFill/>
              </a:ln>
              <a:effectLst/>
            </c:spPr>
            <c:extLst>
              <c:ext xmlns:c16="http://schemas.microsoft.com/office/drawing/2014/chart" uri="{C3380CC4-5D6E-409C-BE32-E72D297353CC}">
                <c16:uniqueId val="{0000001D-561A-48B5-A2DD-57E05CB3B940}"/>
              </c:ext>
            </c:extLst>
          </c:dPt>
          <c:dPt>
            <c:idx val="9"/>
            <c:invertIfNegative val="0"/>
            <c:bubble3D val="0"/>
            <c:spPr>
              <a:solidFill>
                <a:srgbClr val="C00000"/>
              </a:solidFill>
              <a:ln>
                <a:noFill/>
              </a:ln>
              <a:effectLst/>
            </c:spPr>
            <c:extLst>
              <c:ext xmlns:c16="http://schemas.microsoft.com/office/drawing/2014/chart" uri="{C3380CC4-5D6E-409C-BE32-E72D297353CC}">
                <c16:uniqueId val="{0000001F-561A-48B5-A2DD-57E05CB3B940}"/>
              </c:ext>
            </c:extLst>
          </c:dPt>
          <c:dPt>
            <c:idx val="10"/>
            <c:invertIfNegative val="0"/>
            <c:bubble3D val="0"/>
            <c:spPr>
              <a:solidFill>
                <a:srgbClr val="00B050"/>
              </a:solidFill>
              <a:ln>
                <a:noFill/>
              </a:ln>
              <a:effectLst/>
            </c:spPr>
            <c:extLst>
              <c:ext xmlns:c16="http://schemas.microsoft.com/office/drawing/2014/chart" uri="{C3380CC4-5D6E-409C-BE32-E72D297353CC}">
                <c16:uniqueId val="{00000021-561A-48B5-A2DD-57E05CB3B940}"/>
              </c:ext>
            </c:extLst>
          </c:dPt>
          <c:dPt>
            <c:idx val="11"/>
            <c:invertIfNegative val="0"/>
            <c:bubble3D val="0"/>
            <c:spPr>
              <a:solidFill>
                <a:srgbClr val="00B050"/>
              </a:solidFill>
              <a:ln>
                <a:noFill/>
              </a:ln>
              <a:effectLst/>
            </c:spPr>
            <c:extLst>
              <c:ext xmlns:c16="http://schemas.microsoft.com/office/drawing/2014/chart" uri="{C3380CC4-5D6E-409C-BE32-E72D297353CC}">
                <c16:uniqueId val="{00000023-561A-48B5-A2DD-57E05CB3B940}"/>
              </c:ext>
            </c:extLst>
          </c:dPt>
          <c:dPt>
            <c:idx val="12"/>
            <c:invertIfNegative val="0"/>
            <c:bubble3D val="0"/>
            <c:spPr>
              <a:solidFill>
                <a:srgbClr val="C00000"/>
              </a:solidFill>
              <a:ln>
                <a:noFill/>
              </a:ln>
              <a:effectLst/>
            </c:spPr>
            <c:extLst>
              <c:ext xmlns:c16="http://schemas.microsoft.com/office/drawing/2014/chart" uri="{C3380CC4-5D6E-409C-BE32-E72D297353CC}">
                <c16:uniqueId val="{00000025-561A-48B5-A2DD-57E05CB3B940}"/>
              </c:ext>
            </c:extLst>
          </c:dPt>
          <c:dPt>
            <c:idx val="13"/>
            <c:invertIfNegative val="0"/>
            <c:bubble3D val="0"/>
            <c:spPr>
              <a:solidFill>
                <a:srgbClr val="00B050"/>
              </a:solidFill>
              <a:ln>
                <a:noFill/>
              </a:ln>
              <a:effectLst/>
            </c:spPr>
            <c:extLst>
              <c:ext xmlns:c16="http://schemas.microsoft.com/office/drawing/2014/chart" uri="{C3380CC4-5D6E-409C-BE32-E72D297353CC}">
                <c16:uniqueId val="{00000027-561A-48B5-A2DD-57E05CB3B940}"/>
              </c:ext>
            </c:extLst>
          </c:dPt>
          <c:dLbls>
            <c:dLbl>
              <c:idx val="5"/>
              <c:layout>
                <c:manualLayout>
                  <c:x val="-6.4724409448818901E-3"/>
                  <c:y val="1.578906871168791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61A-48B5-A2DD-57E05CB3B94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'Subsect graf'!$P$5:$P$18</c:f>
              <c:strCache>
                <c:ptCount val="14"/>
                <c:pt idx="0">
                  <c:v>ELEKTROENERĢIJA UN GĀZES APGĀDE</c:v>
                </c:pt>
                <c:pt idx="1">
                  <c:v>Mēbeļu ražošana</c:v>
                </c:pt>
                <c:pt idx="2">
                  <c:v>Datoru un elektronikas ražošana</c:v>
                </c:pt>
                <c:pt idx="3">
                  <c:v>Mašīnbūve </c:v>
                </c:pt>
                <c:pt idx="4">
                  <c:v>Gatavo metālizstrādājumu ražošana</c:v>
                </c:pt>
                <c:pt idx="5">
                  <c:v>Nemetālisko minerālu ražošana</c:v>
                </c:pt>
                <c:pt idx="6">
                  <c:v>Ķīmiskās vielas un produkti</c:v>
                </c:pt>
                <c:pt idx="7">
                  <c:v>Poligrāfija un papīra izstr. ražošana</c:v>
                </c:pt>
                <c:pt idx="8">
                  <c:v>Kokapstrāde</c:v>
                </c:pt>
                <c:pt idx="9">
                  <c:v>Vieglā rūpniecība</c:v>
                </c:pt>
                <c:pt idx="10">
                  <c:v>Pārtika un dzērieni</c:v>
                </c:pt>
                <c:pt idx="11">
                  <c:v>APSTRĀDES RŪPNIECĪBA</c:v>
                </c:pt>
                <c:pt idx="12">
                  <c:v>IEGUVES RŪPNIECĪBA</c:v>
                </c:pt>
                <c:pt idx="13">
                  <c:v>RŪPNIECĪBA</c:v>
                </c:pt>
              </c:strCache>
            </c:strRef>
          </c:cat>
          <c:val>
            <c:numRef>
              <c:f>'Subsect graf'!$S$5:$S$18</c:f>
              <c:numCache>
                <c:formatCode>0.0</c:formatCode>
                <c:ptCount val="14"/>
                <c:pt idx="0">
                  <c:v>-2.5267400403038351</c:v>
                </c:pt>
                <c:pt idx="1">
                  <c:v>6.0648801128349703</c:v>
                </c:pt>
                <c:pt idx="2">
                  <c:v>-1.2965222696766432</c:v>
                </c:pt>
                <c:pt idx="3">
                  <c:v>2.1539859552621432</c:v>
                </c:pt>
                <c:pt idx="4">
                  <c:v>-1.0992671552298248</c:v>
                </c:pt>
                <c:pt idx="5">
                  <c:v>16.559322033898312</c:v>
                </c:pt>
                <c:pt idx="6">
                  <c:v>-9.9406276505513205</c:v>
                </c:pt>
                <c:pt idx="7">
                  <c:v>6.6140139894811867</c:v>
                </c:pt>
                <c:pt idx="8">
                  <c:v>5.8041301627033732</c:v>
                </c:pt>
                <c:pt idx="9">
                  <c:v>-2.0505691699033521</c:v>
                </c:pt>
                <c:pt idx="10">
                  <c:v>7.6262712595607063</c:v>
                </c:pt>
                <c:pt idx="11">
                  <c:v>4.8973143759873636</c:v>
                </c:pt>
                <c:pt idx="12">
                  <c:v>-10.06017589878104</c:v>
                </c:pt>
                <c:pt idx="13">
                  <c:v>3.4477305076704141</c:v>
                </c:pt>
              </c:numCache>
            </c:numRef>
          </c:val>
          <c:extLst>
            <c:ext xmlns:c16="http://schemas.microsoft.com/office/drawing/2014/chart" uri="{C3380CC4-5D6E-409C-BE32-E72D297353CC}">
              <c16:uniqueId val="{00000028-561A-48B5-A2DD-57E05CB3B940}"/>
            </c:ext>
          </c:extLst>
        </c:ser>
        <c:dLbls>
          <c:showLegendKey val="0"/>
          <c:showVal val="0"/>
          <c:showCatName val="0"/>
          <c:showSerName val="0"/>
          <c:showPercent val="0"/>
          <c:showBubbleSize val="0"/>
        </c:dLbls>
        <c:gapWidth val="50"/>
        <c:axId val="239680264"/>
        <c:axId val="239680656"/>
      </c:barChart>
      <c:catAx>
        <c:axId val="239680264"/>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239680656"/>
        <c:crosses val="autoZero"/>
        <c:auto val="1"/>
        <c:lblAlgn val="ctr"/>
        <c:lblOffset val="100"/>
        <c:noMultiLvlLbl val="0"/>
      </c:catAx>
      <c:valAx>
        <c:axId val="239680656"/>
        <c:scaling>
          <c:orientation val="minMax"/>
          <c:max val="20"/>
          <c:min val="-20"/>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239680264"/>
        <c:crosses val="autoZero"/>
        <c:crossBetween val="between"/>
        <c:majorUnit val="5"/>
      </c:valAx>
      <c:spPr>
        <a:noFill/>
        <a:ln>
          <a:noFill/>
        </a:ln>
        <a:effectLst/>
      </c:spPr>
    </c:plotArea>
    <c:legend>
      <c:legendPos val="b"/>
      <c:layout>
        <c:manualLayout>
          <c:xMode val="edge"/>
          <c:yMode val="edge"/>
          <c:x val="0.40951986399427343"/>
          <c:y val="0.94180974675462847"/>
          <c:w val="0.32329187544738724"/>
          <c:h val="5.678172660849826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Verdana" panose="020B0604030504040204" pitchFamily="34" charset="0"/>
          <a:ea typeface="Verdana" panose="020B0604030504040204" pitchFamily="34" charset="0"/>
        </a:defRPr>
      </a:pPr>
      <a:endParaRPr lang="lv-LV"/>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3A1-43E3-A082-A7D8257C08A1}"/>
              </c:ext>
            </c:extLst>
          </c:dPt>
          <c:dPt>
            <c:idx val="1"/>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03-63A1-43E3-A082-A7D8257C08A1}"/>
              </c:ext>
            </c:extLst>
          </c:dPt>
          <c:dPt>
            <c:idx val="2"/>
            <c:bubble3D val="0"/>
            <c:spPr>
              <a:pattFill prst="pct25">
                <a:fgClr>
                  <a:srgbClr val="00B050"/>
                </a:fgClr>
                <a:bgClr>
                  <a:schemeClr val="bg1"/>
                </a:bgClr>
              </a:pattFill>
              <a:ln w="19050">
                <a:solidFill>
                  <a:schemeClr val="lt1"/>
                </a:solidFill>
              </a:ln>
              <a:effectLst/>
            </c:spPr>
            <c:extLst>
              <c:ext xmlns:c16="http://schemas.microsoft.com/office/drawing/2014/chart" uri="{C3380CC4-5D6E-409C-BE32-E72D297353CC}">
                <c16:uniqueId val="{00000005-63A1-43E3-A082-A7D8257C08A1}"/>
              </c:ext>
            </c:extLst>
          </c:dPt>
          <c:dPt>
            <c:idx val="3"/>
            <c:bubble3D val="0"/>
            <c:spPr>
              <a:solidFill>
                <a:schemeClr val="tx1">
                  <a:lumMod val="50000"/>
                  <a:lumOff val="50000"/>
                </a:schemeClr>
              </a:solidFill>
              <a:ln w="19050">
                <a:solidFill>
                  <a:schemeClr val="lt1"/>
                </a:solidFill>
              </a:ln>
              <a:effectLst/>
            </c:spPr>
            <c:extLst>
              <c:ext xmlns:c16="http://schemas.microsoft.com/office/drawing/2014/chart" uri="{C3380CC4-5D6E-409C-BE32-E72D297353CC}">
                <c16:uniqueId val="{00000007-63A1-43E3-A082-A7D8257C08A1}"/>
              </c:ext>
            </c:extLst>
          </c:dPt>
          <c:dPt>
            <c:idx val="4"/>
            <c:bubble3D val="0"/>
            <c:spPr>
              <a:solidFill>
                <a:schemeClr val="accent3"/>
              </a:solidFill>
              <a:ln w="19050">
                <a:solidFill>
                  <a:schemeClr val="lt1"/>
                </a:solidFill>
              </a:ln>
              <a:effectLst/>
            </c:spPr>
            <c:extLst>
              <c:ext xmlns:c16="http://schemas.microsoft.com/office/drawing/2014/chart" uri="{C3380CC4-5D6E-409C-BE32-E72D297353CC}">
                <c16:uniqueId val="{00000009-63A1-43E3-A082-A7D8257C08A1}"/>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63A1-43E3-A082-A7D8257C08A1}"/>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63A1-43E3-A082-A7D8257C08A1}"/>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63A1-43E3-A082-A7D8257C08A1}"/>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63A1-43E3-A082-A7D8257C08A1}"/>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63A1-43E3-A082-A7D8257C08A1}"/>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63A1-43E3-A082-A7D8257C08A1}"/>
              </c:ext>
            </c:extLst>
          </c:dPt>
          <c:dLbls>
            <c:dLbl>
              <c:idx val="3"/>
              <c:layout>
                <c:manualLayout>
                  <c:x val="8.2397874964424536E-2"/>
                  <c:y val="-0.1721124213540293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63A1-43E3-A082-A7D8257C08A1}"/>
                </c:ext>
              </c:extLst>
            </c:dLbl>
            <c:dLbl>
              <c:idx val="5"/>
              <c:layout>
                <c:manualLayout>
                  <c:x val="0.1118945071625083"/>
                  <c:y val="-8.2055532532117701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63A1-43E3-A082-A7D8257C08A1}"/>
                </c:ext>
              </c:extLst>
            </c:dLbl>
            <c:dLbl>
              <c:idx val="6"/>
              <c:layout>
                <c:manualLayout>
                  <c:x val="-0.20122379280903141"/>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63A1-43E3-A082-A7D8257C08A1}"/>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'izlaide &amp; apgr. fakt. cenas'!$AI$60:$AI$70</c:f>
              <c:strCache>
                <c:ptCount val="11"/>
                <c:pt idx="0">
                  <c:v>Pārtika un dzērieni</c:v>
                </c:pt>
                <c:pt idx="1">
                  <c:v>Vieglā rūpniecība</c:v>
                </c:pt>
                <c:pt idx="2">
                  <c:v>Kokapstrāde</c:v>
                </c:pt>
                <c:pt idx="3">
                  <c:v>Papīra izstrādājumi un poligrāfija</c:v>
                </c:pt>
                <c:pt idx="4">
                  <c:v>Ķīmiskās vielas un produkti</c:v>
                </c:pt>
                <c:pt idx="5">
                  <c:v>Nemetālisko minerālu ražošana</c:v>
                </c:pt>
                <c:pt idx="6">
                  <c:v>Datoru, elektron. un opt.iek. ražošana</c:v>
                </c:pt>
                <c:pt idx="7">
                  <c:v>Metālapstrāde</c:v>
                </c:pt>
                <c:pt idx="8">
                  <c:v>Mašīnbūve</c:v>
                </c:pt>
                <c:pt idx="9">
                  <c:v>Mēbeļu ražošana</c:v>
                </c:pt>
                <c:pt idx="10">
                  <c:v>Pārējās apakšnozares</c:v>
                </c:pt>
              </c:strCache>
            </c:strRef>
          </c:cat>
          <c:val>
            <c:numRef>
              <c:f>'izlaide &amp; apgr. fakt. cenas'!$AT$60:$AT$70</c:f>
              <c:numCache>
                <c:formatCode>0.0</c:formatCode>
                <c:ptCount val="11"/>
                <c:pt idx="0">
                  <c:v>23.079711011658773</c:v>
                </c:pt>
                <c:pt idx="1">
                  <c:v>3.1244402745101252</c:v>
                </c:pt>
                <c:pt idx="2">
                  <c:v>26.394997941774541</c:v>
                </c:pt>
                <c:pt idx="3">
                  <c:v>3.4424309101138162</c:v>
                </c:pt>
                <c:pt idx="4">
                  <c:v>3.8482772537257888</c:v>
                </c:pt>
                <c:pt idx="5">
                  <c:v>5.1090911963430896</c:v>
                </c:pt>
                <c:pt idx="6">
                  <c:v>4.9514318838333393</c:v>
                </c:pt>
                <c:pt idx="7">
                  <c:v>8.9155830627331571</c:v>
                </c:pt>
                <c:pt idx="8">
                  <c:v>9.2938085900262664</c:v>
                </c:pt>
                <c:pt idx="9">
                  <c:v>2.6616295801637864</c:v>
                </c:pt>
                <c:pt idx="10">
                  <c:v>9.1785982951173182</c:v>
                </c:pt>
              </c:numCache>
            </c:numRef>
          </c:val>
          <c:extLst>
            <c:ext xmlns:c16="http://schemas.microsoft.com/office/drawing/2014/chart" uri="{C3380CC4-5D6E-409C-BE32-E72D297353CC}">
              <c16:uniqueId val="{00000016-63A1-43E3-A082-A7D8257C08A1}"/>
            </c:ext>
          </c:extLst>
        </c:ser>
        <c:dLbls>
          <c:dLblPos val="bestFit"/>
          <c:showLegendKey val="0"/>
          <c:showVal val="1"/>
          <c:showCatName val="0"/>
          <c:showSerName val="0"/>
          <c:showPercent val="0"/>
          <c:showBubbleSize val="0"/>
          <c:showLeaderLines val="1"/>
        </c:dLbls>
        <c:firstSliceAng val="30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447297096964993E-2"/>
          <c:y val="3.0197089000238608E-2"/>
          <c:w val="0.9138012477016686"/>
          <c:h val="0.66565306609401098"/>
        </c:manualLayout>
      </c:layout>
      <c:areaChart>
        <c:grouping val="standard"/>
        <c:varyColors val="0"/>
        <c:ser>
          <c:idx val="0"/>
          <c:order val="0"/>
          <c:tx>
            <c:strRef>
              <c:f>'Apgr. indeksi'!$A$115</c:f>
              <c:strCache>
                <c:ptCount val="1"/>
                <c:pt idx="0">
                  <c:v>Visa apstrādes rūpniecības produkcija</c:v>
                </c:pt>
              </c:strCache>
            </c:strRef>
          </c:tx>
          <c:spPr>
            <a:pattFill prst="pct25">
              <a:fgClr>
                <a:schemeClr val="tx1">
                  <a:lumMod val="50000"/>
                  <a:lumOff val="50000"/>
                </a:schemeClr>
              </a:fgClr>
              <a:bgClr>
                <a:schemeClr val="bg1"/>
              </a:bgClr>
            </a:pattFill>
            <a:ln w="0">
              <a:solidFill>
                <a:schemeClr val="tx1">
                  <a:lumMod val="50000"/>
                  <a:lumOff val="50000"/>
                </a:schemeClr>
              </a:solidFill>
            </a:ln>
            <a:effectLst/>
          </c:spPr>
          <c:cat>
            <c:multiLvlStrRef>
              <c:f>'Apgr. indeksi'!$JR$111:$KV$112</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2023</c:v>
                  </c:pt>
                  <c:pt idx="12">
                    <c:v>2024</c:v>
                  </c:pt>
                  <c:pt idx="24">
                    <c:v>2025</c:v>
                  </c:pt>
                </c:lvl>
              </c:multiLvlStrCache>
              <c:extLst/>
            </c:multiLvlStrRef>
          </c:cat>
          <c:val>
            <c:numRef>
              <c:f>'Apgr. indeksi'!$JR$115:$KV$115</c:f>
              <c:numCache>
                <c:formatCode>0.0</c:formatCode>
                <c:ptCount val="31"/>
                <c:pt idx="0">
                  <c:v>9.1999999999999993</c:v>
                </c:pt>
                <c:pt idx="1">
                  <c:v>10.3</c:v>
                </c:pt>
                <c:pt idx="2">
                  <c:v>5.0999999999999996</c:v>
                </c:pt>
                <c:pt idx="3">
                  <c:v>-5.7</c:v>
                </c:pt>
                <c:pt idx="4">
                  <c:v>-3.9</c:v>
                </c:pt>
                <c:pt idx="5">
                  <c:v>-2.7</c:v>
                </c:pt>
                <c:pt idx="6">
                  <c:v>-6.3</c:v>
                </c:pt>
                <c:pt idx="7">
                  <c:v>-4.8</c:v>
                </c:pt>
                <c:pt idx="8">
                  <c:v>-7.4</c:v>
                </c:pt>
                <c:pt idx="9">
                  <c:v>-9.1</c:v>
                </c:pt>
                <c:pt idx="10">
                  <c:v>-3.7</c:v>
                </c:pt>
                <c:pt idx="11">
                  <c:v>-0.6</c:v>
                </c:pt>
                <c:pt idx="12">
                  <c:v>-4.5999999999999996</c:v>
                </c:pt>
                <c:pt idx="13">
                  <c:v>-4.7</c:v>
                </c:pt>
                <c:pt idx="14">
                  <c:v>-5.4</c:v>
                </c:pt>
                <c:pt idx="15">
                  <c:v>-5.6</c:v>
                </c:pt>
                <c:pt idx="16">
                  <c:v>-3.4</c:v>
                </c:pt>
                <c:pt idx="17">
                  <c:v>-1.7</c:v>
                </c:pt>
                <c:pt idx="18">
                  <c:v>-6.7</c:v>
                </c:pt>
                <c:pt idx="19">
                  <c:v>0.1</c:v>
                </c:pt>
                <c:pt idx="20">
                  <c:v>-3.6</c:v>
                </c:pt>
                <c:pt idx="21">
                  <c:v>-0.1</c:v>
                </c:pt>
                <c:pt idx="22">
                  <c:v>-1.8</c:v>
                </c:pt>
                <c:pt idx="23">
                  <c:v>3.4</c:v>
                </c:pt>
                <c:pt idx="24">
                  <c:v>0.1</c:v>
                </c:pt>
                <c:pt idx="25" formatCode="General">
                  <c:v>1.1000000000000001</c:v>
                </c:pt>
                <c:pt idx="26" formatCode="General">
                  <c:v>5</c:v>
                </c:pt>
                <c:pt idx="27" formatCode="General">
                  <c:v>7</c:v>
                </c:pt>
                <c:pt idx="28" formatCode="General">
                  <c:v>3.1</c:v>
                </c:pt>
                <c:pt idx="29" formatCode="General">
                  <c:v>6.4</c:v>
                </c:pt>
                <c:pt idx="30" formatCode="General">
                  <c:v>11.9</c:v>
                </c:pt>
              </c:numCache>
              <c:extLst/>
            </c:numRef>
          </c:val>
          <c:extLst>
            <c:ext xmlns:c16="http://schemas.microsoft.com/office/drawing/2014/chart" uri="{C3380CC4-5D6E-409C-BE32-E72D297353CC}">
              <c16:uniqueId val="{00000000-D813-4E52-93F4-E4260CFF13B9}"/>
            </c:ext>
          </c:extLst>
        </c:ser>
        <c:dLbls>
          <c:showLegendKey val="0"/>
          <c:showVal val="0"/>
          <c:showCatName val="0"/>
          <c:showSerName val="0"/>
          <c:showPercent val="0"/>
          <c:showBubbleSize val="0"/>
        </c:dLbls>
        <c:axId val="116528976"/>
        <c:axId val="116529368"/>
      </c:areaChart>
      <c:lineChart>
        <c:grouping val="standard"/>
        <c:varyColors val="0"/>
        <c:ser>
          <c:idx val="1"/>
          <c:order val="1"/>
          <c:tx>
            <c:strRef>
              <c:f>'Apgr. indeksi'!$A$147</c:f>
              <c:strCache>
                <c:ptCount val="1"/>
                <c:pt idx="0">
                  <c:v>Vietējais tirgus</c:v>
                </c:pt>
              </c:strCache>
            </c:strRef>
          </c:tx>
          <c:spPr>
            <a:ln w="28575" cap="rnd">
              <a:solidFill>
                <a:srgbClr val="00B050"/>
              </a:solidFill>
              <a:round/>
            </a:ln>
            <a:effectLst/>
          </c:spPr>
          <c:marker>
            <c:symbol val="none"/>
          </c:marker>
          <c:cat>
            <c:multiLvlStrRef>
              <c:f>'Apgr. indeksi'!$HV$111:$KV$112</c:f>
              <c:multiLvlStrCache>
                <c:ptCount val="7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pt idx="55">
                    <c:v>VIII</c:v>
                  </c:pt>
                  <c:pt idx="56">
                    <c:v>IX</c:v>
                  </c:pt>
                  <c:pt idx="57">
                    <c:v>X</c:v>
                  </c:pt>
                  <c:pt idx="58">
                    <c:v>XI</c:v>
                  </c:pt>
                  <c:pt idx="59">
                    <c:v>XII</c:v>
                  </c:pt>
                  <c:pt idx="60">
                    <c:v>I</c:v>
                  </c:pt>
                  <c:pt idx="61">
                    <c:v>II</c:v>
                  </c:pt>
                  <c:pt idx="62">
                    <c:v>III</c:v>
                  </c:pt>
                  <c:pt idx="63">
                    <c:v>IV</c:v>
                  </c:pt>
                  <c:pt idx="64">
                    <c:v>V</c:v>
                  </c:pt>
                  <c:pt idx="65">
                    <c:v>VI</c:v>
                  </c:pt>
                  <c:pt idx="66">
                    <c:v>VII</c:v>
                  </c:pt>
                  <c:pt idx="67">
                    <c:v>VIII</c:v>
                  </c:pt>
                  <c:pt idx="68">
                    <c:v>IX</c:v>
                  </c:pt>
                  <c:pt idx="69">
                    <c:v>X</c:v>
                  </c:pt>
                  <c:pt idx="70">
                    <c:v>XI</c:v>
                  </c:pt>
                  <c:pt idx="71">
                    <c:v>XII</c:v>
                  </c:pt>
                  <c:pt idx="72">
                    <c:v>I</c:v>
                  </c:pt>
                  <c:pt idx="73">
                    <c:v>II</c:v>
                  </c:pt>
                  <c:pt idx="74">
                    <c:v>III</c:v>
                  </c:pt>
                  <c:pt idx="75">
                    <c:v>IV</c:v>
                  </c:pt>
                  <c:pt idx="76">
                    <c:v>V</c:v>
                  </c:pt>
                  <c:pt idx="77">
                    <c:v>VI</c:v>
                  </c:pt>
                  <c:pt idx="78">
                    <c:v>VII</c:v>
                  </c:pt>
                </c:lvl>
                <c:lvl>
                  <c:pt idx="0">
                    <c:v>2019</c:v>
                  </c:pt>
                  <c:pt idx="12">
                    <c:v>2020</c:v>
                  </c:pt>
                  <c:pt idx="24">
                    <c:v>2021</c:v>
                  </c:pt>
                  <c:pt idx="36">
                    <c:v>2022</c:v>
                  </c:pt>
                  <c:pt idx="48">
                    <c:v>2023</c:v>
                  </c:pt>
                  <c:pt idx="60">
                    <c:v>2024</c:v>
                  </c:pt>
                  <c:pt idx="72">
                    <c:v>2025</c:v>
                  </c:pt>
                </c:lvl>
              </c:multiLvlStrCache>
              <c:extLst/>
            </c:multiLvlStrRef>
          </c:cat>
          <c:val>
            <c:numRef>
              <c:f>'Apgr. indeksi'!$JR$150:$KV$150</c:f>
              <c:numCache>
                <c:formatCode>0.0</c:formatCode>
                <c:ptCount val="31"/>
                <c:pt idx="0">
                  <c:v>21.5</c:v>
                </c:pt>
                <c:pt idx="1">
                  <c:v>24.6</c:v>
                </c:pt>
                <c:pt idx="2">
                  <c:v>6.2</c:v>
                </c:pt>
                <c:pt idx="3">
                  <c:v>-1.6</c:v>
                </c:pt>
                <c:pt idx="4">
                  <c:v>-1.1000000000000001</c:v>
                </c:pt>
                <c:pt idx="5">
                  <c:v>-4.9000000000000004</c:v>
                </c:pt>
                <c:pt idx="6">
                  <c:v>-2.7</c:v>
                </c:pt>
                <c:pt idx="7">
                  <c:v>-6.1</c:v>
                </c:pt>
                <c:pt idx="8">
                  <c:v>-8</c:v>
                </c:pt>
                <c:pt idx="9">
                  <c:v>-9.6999999999999993</c:v>
                </c:pt>
                <c:pt idx="10">
                  <c:v>-2.2000000000000002</c:v>
                </c:pt>
                <c:pt idx="11">
                  <c:v>-2.1</c:v>
                </c:pt>
                <c:pt idx="12">
                  <c:v>-4.5</c:v>
                </c:pt>
                <c:pt idx="13">
                  <c:v>-4.7</c:v>
                </c:pt>
                <c:pt idx="14">
                  <c:v>-4.7</c:v>
                </c:pt>
                <c:pt idx="15">
                  <c:v>-3.8</c:v>
                </c:pt>
                <c:pt idx="16">
                  <c:v>-2.7</c:v>
                </c:pt>
                <c:pt idx="17">
                  <c:v>-1</c:v>
                </c:pt>
                <c:pt idx="18">
                  <c:v>-2.5</c:v>
                </c:pt>
                <c:pt idx="19">
                  <c:v>4.4000000000000004</c:v>
                </c:pt>
                <c:pt idx="20">
                  <c:v>1.7</c:v>
                </c:pt>
                <c:pt idx="21">
                  <c:v>1.3</c:v>
                </c:pt>
                <c:pt idx="22">
                  <c:v>-3.3</c:v>
                </c:pt>
                <c:pt idx="23">
                  <c:v>4.7</c:v>
                </c:pt>
                <c:pt idx="24">
                  <c:v>-1.3</c:v>
                </c:pt>
                <c:pt idx="25" formatCode="General">
                  <c:v>-2.2999999999999998</c:v>
                </c:pt>
                <c:pt idx="26" formatCode="General">
                  <c:v>6.6</c:v>
                </c:pt>
                <c:pt idx="27" formatCode="General">
                  <c:v>6.1</c:v>
                </c:pt>
                <c:pt idx="28" formatCode="General">
                  <c:v>3.3</c:v>
                </c:pt>
                <c:pt idx="29" formatCode="General">
                  <c:v>7.4</c:v>
                </c:pt>
                <c:pt idx="30" formatCode="General">
                  <c:v>9.1</c:v>
                </c:pt>
              </c:numCache>
              <c:extLst/>
            </c:numRef>
          </c:val>
          <c:smooth val="1"/>
          <c:extLst>
            <c:ext xmlns:c16="http://schemas.microsoft.com/office/drawing/2014/chart" uri="{C3380CC4-5D6E-409C-BE32-E72D297353CC}">
              <c16:uniqueId val="{00000001-D813-4E52-93F4-E4260CFF13B9}"/>
            </c:ext>
          </c:extLst>
        </c:ser>
        <c:ser>
          <c:idx val="2"/>
          <c:order val="2"/>
          <c:tx>
            <c:strRef>
              <c:f>'Apgr. indeksi'!$A$182</c:f>
              <c:strCache>
                <c:ptCount val="1"/>
                <c:pt idx="0">
                  <c:v>Eksports</c:v>
                </c:pt>
              </c:strCache>
            </c:strRef>
          </c:tx>
          <c:spPr>
            <a:ln w="28575" cap="rnd">
              <a:solidFill>
                <a:srgbClr val="0070C0"/>
              </a:solidFill>
              <a:round/>
            </a:ln>
            <a:effectLst/>
          </c:spPr>
          <c:marker>
            <c:symbol val="none"/>
          </c:marker>
          <c:cat>
            <c:multiLvlStrRef>
              <c:f>'Apgr. indeksi'!$HV$111:$KV$112</c:f>
              <c:multiLvlStrCache>
                <c:ptCount val="7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pt idx="55">
                    <c:v>VIII</c:v>
                  </c:pt>
                  <c:pt idx="56">
                    <c:v>IX</c:v>
                  </c:pt>
                  <c:pt idx="57">
                    <c:v>X</c:v>
                  </c:pt>
                  <c:pt idx="58">
                    <c:v>XI</c:v>
                  </c:pt>
                  <c:pt idx="59">
                    <c:v>XII</c:v>
                  </c:pt>
                  <c:pt idx="60">
                    <c:v>I</c:v>
                  </c:pt>
                  <c:pt idx="61">
                    <c:v>II</c:v>
                  </c:pt>
                  <c:pt idx="62">
                    <c:v>III</c:v>
                  </c:pt>
                  <c:pt idx="63">
                    <c:v>IV</c:v>
                  </c:pt>
                  <c:pt idx="64">
                    <c:v>V</c:v>
                  </c:pt>
                  <c:pt idx="65">
                    <c:v>VI</c:v>
                  </c:pt>
                  <c:pt idx="66">
                    <c:v>VII</c:v>
                  </c:pt>
                  <c:pt idx="67">
                    <c:v>VIII</c:v>
                  </c:pt>
                  <c:pt idx="68">
                    <c:v>IX</c:v>
                  </c:pt>
                  <c:pt idx="69">
                    <c:v>X</c:v>
                  </c:pt>
                  <c:pt idx="70">
                    <c:v>XI</c:v>
                  </c:pt>
                  <c:pt idx="71">
                    <c:v>XII</c:v>
                  </c:pt>
                  <c:pt idx="72">
                    <c:v>I</c:v>
                  </c:pt>
                  <c:pt idx="73">
                    <c:v>II</c:v>
                  </c:pt>
                  <c:pt idx="74">
                    <c:v>III</c:v>
                  </c:pt>
                  <c:pt idx="75">
                    <c:v>IV</c:v>
                  </c:pt>
                  <c:pt idx="76">
                    <c:v>V</c:v>
                  </c:pt>
                  <c:pt idx="77">
                    <c:v>VI</c:v>
                  </c:pt>
                  <c:pt idx="78">
                    <c:v>VII</c:v>
                  </c:pt>
                </c:lvl>
                <c:lvl>
                  <c:pt idx="0">
                    <c:v>2019</c:v>
                  </c:pt>
                  <c:pt idx="12">
                    <c:v>2020</c:v>
                  </c:pt>
                  <c:pt idx="24">
                    <c:v>2021</c:v>
                  </c:pt>
                  <c:pt idx="36">
                    <c:v>2022</c:v>
                  </c:pt>
                  <c:pt idx="48">
                    <c:v>2023</c:v>
                  </c:pt>
                  <c:pt idx="60">
                    <c:v>2024</c:v>
                  </c:pt>
                  <c:pt idx="72">
                    <c:v>2025</c:v>
                  </c:pt>
                </c:lvl>
              </c:multiLvlStrCache>
              <c:extLst/>
            </c:multiLvlStrRef>
          </c:cat>
          <c:val>
            <c:numRef>
              <c:f>'Apgr. indeksi'!$JR$185:$KV$185</c:f>
              <c:numCache>
                <c:formatCode>0.0</c:formatCode>
                <c:ptCount val="31"/>
                <c:pt idx="0">
                  <c:v>4.0999999999999996</c:v>
                </c:pt>
                <c:pt idx="1">
                  <c:v>4.3</c:v>
                </c:pt>
                <c:pt idx="2">
                  <c:v>4.5</c:v>
                </c:pt>
                <c:pt idx="3">
                  <c:v>-7.7</c:v>
                </c:pt>
                <c:pt idx="4">
                  <c:v>-5.3</c:v>
                </c:pt>
                <c:pt idx="5">
                  <c:v>-1.5</c:v>
                </c:pt>
                <c:pt idx="6">
                  <c:v>-8.1999999999999993</c:v>
                </c:pt>
                <c:pt idx="7">
                  <c:v>-4</c:v>
                </c:pt>
                <c:pt idx="8">
                  <c:v>-7</c:v>
                </c:pt>
                <c:pt idx="9">
                  <c:v>-8.8000000000000007</c:v>
                </c:pt>
                <c:pt idx="10">
                  <c:v>-4.5</c:v>
                </c:pt>
                <c:pt idx="11">
                  <c:v>0.3</c:v>
                </c:pt>
                <c:pt idx="12">
                  <c:v>-4.7</c:v>
                </c:pt>
                <c:pt idx="13">
                  <c:v>-4.7</c:v>
                </c:pt>
                <c:pt idx="14">
                  <c:v>-5.8</c:v>
                </c:pt>
                <c:pt idx="15">
                  <c:v>-6.5</c:v>
                </c:pt>
                <c:pt idx="16">
                  <c:v>-3.8</c:v>
                </c:pt>
                <c:pt idx="17">
                  <c:v>-2</c:v>
                </c:pt>
                <c:pt idx="18">
                  <c:v>-9</c:v>
                </c:pt>
                <c:pt idx="19">
                  <c:v>-2.2000000000000002</c:v>
                </c:pt>
                <c:pt idx="20">
                  <c:v>-6.3</c:v>
                </c:pt>
                <c:pt idx="21">
                  <c:v>-0.9</c:v>
                </c:pt>
                <c:pt idx="22">
                  <c:v>-1</c:v>
                </c:pt>
                <c:pt idx="23">
                  <c:v>2.8</c:v>
                </c:pt>
                <c:pt idx="24">
                  <c:v>0.8</c:v>
                </c:pt>
                <c:pt idx="25" formatCode="General">
                  <c:v>2.7</c:v>
                </c:pt>
                <c:pt idx="26" formatCode="General">
                  <c:v>4.2</c:v>
                </c:pt>
                <c:pt idx="27" formatCode="General">
                  <c:v>7.5</c:v>
                </c:pt>
                <c:pt idx="28" formatCode="General">
                  <c:v>3.1</c:v>
                </c:pt>
                <c:pt idx="29" formatCode="General">
                  <c:v>5.8</c:v>
                </c:pt>
                <c:pt idx="30" formatCode="General">
                  <c:v>13.6</c:v>
                </c:pt>
              </c:numCache>
              <c:extLst/>
            </c:numRef>
          </c:val>
          <c:smooth val="1"/>
          <c:extLst>
            <c:ext xmlns:c16="http://schemas.microsoft.com/office/drawing/2014/chart" uri="{C3380CC4-5D6E-409C-BE32-E72D297353CC}">
              <c16:uniqueId val="{00000002-D813-4E52-93F4-E4260CFF13B9}"/>
            </c:ext>
          </c:extLst>
        </c:ser>
        <c:dLbls>
          <c:showLegendKey val="0"/>
          <c:showVal val="0"/>
          <c:showCatName val="0"/>
          <c:showSerName val="0"/>
          <c:showPercent val="0"/>
          <c:showBubbleSize val="0"/>
        </c:dLbls>
        <c:marker val="1"/>
        <c:smooth val="0"/>
        <c:axId val="116528976"/>
        <c:axId val="116529368"/>
      </c:lineChart>
      <c:catAx>
        <c:axId val="1165289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lang="lv-LV"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16529368"/>
        <c:crosses val="autoZero"/>
        <c:auto val="1"/>
        <c:lblAlgn val="ctr"/>
        <c:lblOffset val="100"/>
        <c:tickLblSkip val="1"/>
        <c:noMultiLvlLbl val="0"/>
      </c:catAx>
      <c:valAx>
        <c:axId val="116529368"/>
        <c:scaling>
          <c:orientation val="minMax"/>
          <c:max val="25"/>
          <c:min val="-1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lv-LV"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16528976"/>
        <c:crosses val="autoZero"/>
        <c:crossBetween val="between"/>
      </c:valAx>
      <c:spPr>
        <a:noFill/>
        <a:ln>
          <a:noFill/>
        </a:ln>
        <a:effectLst/>
      </c:spPr>
    </c:plotArea>
    <c:legend>
      <c:legendPos val="b"/>
      <c:layout>
        <c:manualLayout>
          <c:xMode val="edge"/>
          <c:yMode val="edge"/>
          <c:x val="4.999991082654872E-2"/>
          <c:y val="0.89055690765926987"/>
          <c:w val="0.9"/>
          <c:h val="0.10944309234073013"/>
        </c:manualLayout>
      </c:layout>
      <c:overlay val="0"/>
      <c:spPr>
        <a:noFill/>
        <a:ln>
          <a:noFill/>
        </a:ln>
        <a:effectLst/>
      </c:spPr>
      <c:txPr>
        <a:bodyPr rot="0" spcFirstLastPara="1" vertOverflow="ellipsis" vert="horz" wrap="square" anchor="ctr" anchorCtr="1"/>
        <a:lstStyle/>
        <a:p>
          <a:pPr>
            <a:defRPr lang="lv-LV"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lgn="ctr">
        <a:defRPr lang="lv-LV"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1"/>
          <c:order val="1"/>
          <c:tx>
            <c:strRef>
              <c:f>Mazumtirdzniecība!$L$2</c:f>
              <c:strCache>
                <c:ptCount val="1"/>
                <c:pt idx="0">
                  <c:v>Degviela</c:v>
                </c:pt>
              </c:strCache>
            </c:strRef>
          </c:tx>
          <c:spPr>
            <a:solidFill>
              <a:schemeClr val="tx1">
                <a:lumMod val="50000"/>
                <a:lumOff val="50000"/>
              </a:schemeClr>
            </a:solidFill>
            <a:ln>
              <a:solidFill>
                <a:schemeClr val="tx1">
                  <a:lumMod val="50000"/>
                  <a:lumOff val="50000"/>
                </a:schemeClr>
              </a:solidFill>
            </a:ln>
            <a:effectLst/>
          </c:spPr>
          <c:invertIfNegative val="0"/>
          <c:cat>
            <c:multiLvlStrRef>
              <c:f>Mazumtirdzniecība!$A$255:$B$309</c:f>
              <c:multiLvlStrCache>
                <c:ptCount val="5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lvl>
                <c:lvl>
                  <c:pt idx="0">
                    <c:v>2021</c:v>
                  </c:pt>
                  <c:pt idx="12">
                    <c:v>2022</c:v>
                  </c:pt>
                  <c:pt idx="24">
                    <c:v>2023</c:v>
                  </c:pt>
                  <c:pt idx="36">
                    <c:v>2024</c:v>
                  </c:pt>
                  <c:pt idx="48">
                    <c:v>2025</c:v>
                  </c:pt>
                </c:lvl>
              </c:multiLvlStrCache>
              <c:extLst/>
            </c:multiLvlStrRef>
          </c:cat>
          <c:val>
            <c:numRef>
              <c:f>Mazumtirdzniecība!$L$279:$L$309</c:f>
              <c:numCache>
                <c:formatCode>0.0</c:formatCode>
                <c:ptCount val="31"/>
                <c:pt idx="0">
                  <c:v>0.79246030795049827</c:v>
                </c:pt>
                <c:pt idx="1">
                  <c:v>0.77342346476088653</c:v>
                </c:pt>
                <c:pt idx="2">
                  <c:v>-0.92464233077532809</c:v>
                </c:pt>
                <c:pt idx="3">
                  <c:v>1.4596563414792938</c:v>
                </c:pt>
                <c:pt idx="4">
                  <c:v>0.88600505134307961</c:v>
                </c:pt>
                <c:pt idx="5">
                  <c:v>1.1668226649366538</c:v>
                </c:pt>
                <c:pt idx="6">
                  <c:v>1.1679709241081451</c:v>
                </c:pt>
                <c:pt idx="7">
                  <c:v>0.72484465533905951</c:v>
                </c:pt>
                <c:pt idx="8">
                  <c:v>1.1702217776977895</c:v>
                </c:pt>
                <c:pt idx="9">
                  <c:v>1.6559037227311992</c:v>
                </c:pt>
                <c:pt idx="10">
                  <c:v>7.7118275357734592E-2</c:v>
                </c:pt>
                <c:pt idx="11">
                  <c:v>0.16020646195019195</c:v>
                </c:pt>
                <c:pt idx="12">
                  <c:v>0.87979295244701705</c:v>
                </c:pt>
                <c:pt idx="13">
                  <c:v>0.42972742246383289</c:v>
                </c:pt>
                <c:pt idx="14">
                  <c:v>1.0458349796722548</c:v>
                </c:pt>
                <c:pt idx="15">
                  <c:v>0.70539835756308622</c:v>
                </c:pt>
                <c:pt idx="16">
                  <c:v>0.74430496487456588</c:v>
                </c:pt>
                <c:pt idx="17">
                  <c:v>0.35228337133076848</c:v>
                </c:pt>
                <c:pt idx="18">
                  <c:v>-6.8015927882563984E-2</c:v>
                </c:pt>
                <c:pt idx="19">
                  <c:v>0.43295673547010144</c:v>
                </c:pt>
                <c:pt idx="20">
                  <c:v>0.5179337861615988</c:v>
                </c:pt>
                <c:pt idx="21">
                  <c:v>0.47374824028743945</c:v>
                </c:pt>
                <c:pt idx="22">
                  <c:v>0.3299266850793301</c:v>
                </c:pt>
                <c:pt idx="23">
                  <c:v>0.1807136140863253</c:v>
                </c:pt>
                <c:pt idx="24">
                  <c:v>-0.35510261482054811</c:v>
                </c:pt>
                <c:pt idx="25">
                  <c:v>0.77507196132148537</c:v>
                </c:pt>
                <c:pt idx="26">
                  <c:v>-0.18619753176596246</c:v>
                </c:pt>
                <c:pt idx="27">
                  <c:v>-0.79201483789355209</c:v>
                </c:pt>
                <c:pt idx="28">
                  <c:v>-0.17655604632202088</c:v>
                </c:pt>
                <c:pt idx="29">
                  <c:v>-8.0071698361484117E-2</c:v>
                </c:pt>
                <c:pt idx="30">
                  <c:v>0.16157670870487417</c:v>
                </c:pt>
              </c:numCache>
              <c:extLst/>
            </c:numRef>
          </c:val>
          <c:extLst>
            <c:ext xmlns:c16="http://schemas.microsoft.com/office/drawing/2014/chart" uri="{C3380CC4-5D6E-409C-BE32-E72D297353CC}">
              <c16:uniqueId val="{00000000-786C-4B4C-861D-6E3527AC1E28}"/>
            </c:ext>
          </c:extLst>
        </c:ser>
        <c:ser>
          <c:idx val="2"/>
          <c:order val="2"/>
          <c:tx>
            <c:strRef>
              <c:f>Mazumtirdzniecība!$M$2</c:f>
              <c:strCache>
                <c:ptCount val="1"/>
                <c:pt idx="0">
                  <c:v>Pārtika</c:v>
                </c:pt>
              </c:strCache>
            </c:strRef>
          </c:tx>
          <c:spPr>
            <a:pattFill prst="dkUpDiag">
              <a:fgClr>
                <a:srgbClr val="00B050"/>
              </a:fgClr>
              <a:bgClr>
                <a:schemeClr val="bg1"/>
              </a:bgClr>
            </a:pattFill>
            <a:ln>
              <a:solidFill>
                <a:srgbClr val="00B050"/>
              </a:solidFill>
            </a:ln>
            <a:effectLst/>
          </c:spPr>
          <c:invertIfNegative val="0"/>
          <c:cat>
            <c:multiLvlStrRef>
              <c:f>Mazumtirdzniecība!$A$255:$B$309</c:f>
              <c:multiLvlStrCache>
                <c:ptCount val="5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lvl>
                <c:lvl>
                  <c:pt idx="0">
                    <c:v>2021</c:v>
                  </c:pt>
                  <c:pt idx="12">
                    <c:v>2022</c:v>
                  </c:pt>
                  <c:pt idx="24">
                    <c:v>2023</c:v>
                  </c:pt>
                  <c:pt idx="36">
                    <c:v>2024</c:v>
                  </c:pt>
                  <c:pt idx="48">
                    <c:v>2025</c:v>
                  </c:pt>
                </c:lvl>
              </c:multiLvlStrCache>
              <c:extLst/>
            </c:multiLvlStrRef>
          </c:cat>
          <c:val>
            <c:numRef>
              <c:f>Mazumtirdzniecība!$M$279:$M$309</c:f>
              <c:numCache>
                <c:formatCode>0.0</c:formatCode>
                <c:ptCount val="31"/>
                <c:pt idx="0">
                  <c:v>-2.1906433562722691</c:v>
                </c:pt>
                <c:pt idx="1">
                  <c:v>-2.1372311872768552</c:v>
                </c:pt>
                <c:pt idx="2">
                  <c:v>-5.0874932289969674</c:v>
                </c:pt>
                <c:pt idx="3">
                  <c:v>-3.8222328962981318</c:v>
                </c:pt>
                <c:pt idx="4">
                  <c:v>-2.8398379281864279</c:v>
                </c:pt>
                <c:pt idx="5">
                  <c:v>-2.3283400425118366</c:v>
                </c:pt>
                <c:pt idx="6">
                  <c:v>-2.3076449536028081</c:v>
                </c:pt>
                <c:pt idx="7">
                  <c:v>-0.76241331678018531</c:v>
                </c:pt>
                <c:pt idx="8">
                  <c:v>-0.91593638586205073</c:v>
                </c:pt>
                <c:pt idx="9">
                  <c:v>-1.0196137871497362</c:v>
                </c:pt>
                <c:pt idx="10">
                  <c:v>-1.3585167943946592</c:v>
                </c:pt>
                <c:pt idx="11">
                  <c:v>-0.16054261583332674</c:v>
                </c:pt>
                <c:pt idx="12">
                  <c:v>-1.670637111635235</c:v>
                </c:pt>
                <c:pt idx="13">
                  <c:v>0</c:v>
                </c:pt>
                <c:pt idx="14">
                  <c:v>1.7291818006143509</c:v>
                </c:pt>
                <c:pt idx="15">
                  <c:v>-1.3172449329741973</c:v>
                </c:pt>
                <c:pt idx="16">
                  <c:v>-0.21481069302652001</c:v>
                </c:pt>
                <c:pt idx="17">
                  <c:v>-1.5404630913072459</c:v>
                </c:pt>
                <c:pt idx="18">
                  <c:v>-0.3764409552230914</c:v>
                </c:pt>
                <c:pt idx="19">
                  <c:v>-1.7911668533030414</c:v>
                </c:pt>
                <c:pt idx="20">
                  <c:v>-1.0442606430343266</c:v>
                </c:pt>
                <c:pt idx="21">
                  <c:v>-0.75686267244699912</c:v>
                </c:pt>
                <c:pt idx="22">
                  <c:v>0.18791620072978862</c:v>
                </c:pt>
                <c:pt idx="23">
                  <c:v>-0.75813201026059251</c:v>
                </c:pt>
                <c:pt idx="24">
                  <c:v>-0.29982048601450567</c:v>
                </c:pt>
                <c:pt idx="25">
                  <c:v>-1.820247224602441</c:v>
                </c:pt>
                <c:pt idx="26">
                  <c:v>-2.2316735900905504</c:v>
                </c:pt>
                <c:pt idx="27">
                  <c:v>-0.51798719080649602</c:v>
                </c:pt>
                <c:pt idx="28">
                  <c:v>-2.1817279984766014</c:v>
                </c:pt>
                <c:pt idx="29">
                  <c:v>-1.4219379354937105</c:v>
                </c:pt>
                <c:pt idx="30">
                  <c:v>-0.59271201310218247</c:v>
                </c:pt>
              </c:numCache>
              <c:extLst/>
            </c:numRef>
          </c:val>
          <c:extLst>
            <c:ext xmlns:c16="http://schemas.microsoft.com/office/drawing/2014/chart" uri="{C3380CC4-5D6E-409C-BE32-E72D297353CC}">
              <c16:uniqueId val="{00000001-786C-4B4C-861D-6E3527AC1E28}"/>
            </c:ext>
          </c:extLst>
        </c:ser>
        <c:ser>
          <c:idx val="3"/>
          <c:order val="3"/>
          <c:tx>
            <c:strRef>
              <c:f>Mazumtirdzniecība!$N$2</c:f>
              <c:strCache>
                <c:ptCount val="1"/>
                <c:pt idx="0">
                  <c:v>Nepārtika (-degviela)</c:v>
                </c:pt>
              </c:strCache>
            </c:strRef>
          </c:tx>
          <c:spPr>
            <a:solidFill>
              <a:srgbClr val="0070C0"/>
            </a:solidFill>
            <a:ln>
              <a:solidFill>
                <a:srgbClr val="0070C0"/>
              </a:solidFill>
            </a:ln>
            <a:effectLst/>
          </c:spPr>
          <c:invertIfNegative val="0"/>
          <c:cat>
            <c:multiLvlStrRef>
              <c:f>Mazumtirdzniecība!$A$255:$B$309</c:f>
              <c:multiLvlStrCache>
                <c:ptCount val="5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lvl>
                <c:lvl>
                  <c:pt idx="0">
                    <c:v>2021</c:v>
                  </c:pt>
                  <c:pt idx="12">
                    <c:v>2022</c:v>
                  </c:pt>
                  <c:pt idx="24">
                    <c:v>2023</c:v>
                  </c:pt>
                  <c:pt idx="36">
                    <c:v>2024</c:v>
                  </c:pt>
                  <c:pt idx="48">
                    <c:v>2025</c:v>
                  </c:pt>
                </c:lvl>
              </c:multiLvlStrCache>
              <c:extLst/>
            </c:multiLvlStrRef>
          </c:cat>
          <c:val>
            <c:numRef>
              <c:f>Mazumtirdzniecība!$N$279:$N$309</c:f>
              <c:numCache>
                <c:formatCode>0.0</c:formatCode>
                <c:ptCount val="31"/>
                <c:pt idx="0">
                  <c:v>1.7079478065546398</c:v>
                </c:pt>
                <c:pt idx="1">
                  <c:v>2.1987224498525966</c:v>
                </c:pt>
                <c:pt idx="2">
                  <c:v>-1.3294479225550697</c:v>
                </c:pt>
                <c:pt idx="3">
                  <c:v>-2.7767719257046388</c:v>
                </c:pt>
                <c:pt idx="4">
                  <c:v>0.29539934488375441</c:v>
                </c:pt>
                <c:pt idx="5">
                  <c:v>-0.62703516829615302</c:v>
                </c:pt>
                <c:pt idx="6">
                  <c:v>-2.0054349492953416</c:v>
                </c:pt>
                <c:pt idx="7">
                  <c:v>-2.2131056967530673</c:v>
                </c:pt>
                <c:pt idx="8">
                  <c:v>-2.3803672200047443</c:v>
                </c:pt>
                <c:pt idx="9">
                  <c:v>-0.9520860748237554</c:v>
                </c:pt>
                <c:pt idx="10">
                  <c:v>-0.61174004675109472</c:v>
                </c:pt>
                <c:pt idx="11">
                  <c:v>0.75867823659536526</c:v>
                </c:pt>
                <c:pt idx="12">
                  <c:v>-0.16261163623231198</c:v>
                </c:pt>
                <c:pt idx="13">
                  <c:v>-0.21340922867645812</c:v>
                </c:pt>
                <c:pt idx="14">
                  <c:v>0.14794038762035325</c:v>
                </c:pt>
                <c:pt idx="15">
                  <c:v>0.85855903908326381</c:v>
                </c:pt>
                <c:pt idx="16">
                  <c:v>0.54513763078656219</c:v>
                </c:pt>
                <c:pt idx="17">
                  <c:v>0</c:v>
                </c:pt>
                <c:pt idx="18">
                  <c:v>0.93132711611328367</c:v>
                </c:pt>
                <c:pt idx="19">
                  <c:v>1.6469534589931705</c:v>
                </c:pt>
                <c:pt idx="20">
                  <c:v>0.73601137215687429</c:v>
                </c:pt>
                <c:pt idx="21">
                  <c:v>0.57548924565604409</c:v>
                </c:pt>
                <c:pt idx="22">
                  <c:v>2.5036621714988598</c:v>
                </c:pt>
                <c:pt idx="23">
                  <c:v>3.1322578390640392</c:v>
                </c:pt>
                <c:pt idx="24">
                  <c:v>1.5940364517093204</c:v>
                </c:pt>
                <c:pt idx="25">
                  <c:v>-0.12791503155376308</c:v>
                </c:pt>
                <c:pt idx="26">
                  <c:v>1.1910078796810248</c:v>
                </c:pt>
                <c:pt idx="27">
                  <c:v>1.5297525513284882</c:v>
                </c:pt>
                <c:pt idx="28">
                  <c:v>0.36455112845272952</c:v>
                </c:pt>
                <c:pt idx="29">
                  <c:v>2.5857796555715771</c:v>
                </c:pt>
                <c:pt idx="30">
                  <c:v>1.717173947360547</c:v>
                </c:pt>
              </c:numCache>
              <c:extLst/>
            </c:numRef>
          </c:val>
          <c:extLst>
            <c:ext xmlns:c16="http://schemas.microsoft.com/office/drawing/2014/chart" uri="{C3380CC4-5D6E-409C-BE32-E72D297353CC}">
              <c16:uniqueId val="{00000002-786C-4B4C-861D-6E3527AC1E28}"/>
            </c:ext>
          </c:extLst>
        </c:ser>
        <c:dLbls>
          <c:showLegendKey val="0"/>
          <c:showVal val="0"/>
          <c:showCatName val="0"/>
          <c:showSerName val="0"/>
          <c:showPercent val="0"/>
          <c:showBubbleSize val="0"/>
        </c:dLbls>
        <c:gapWidth val="30"/>
        <c:overlap val="100"/>
        <c:axId val="343843672"/>
        <c:axId val="343844064"/>
      </c:barChart>
      <c:lineChart>
        <c:grouping val="standard"/>
        <c:varyColors val="0"/>
        <c:ser>
          <c:idx val="0"/>
          <c:order val="0"/>
          <c:tx>
            <c:strRef>
              <c:f>Mazumtirdzniecība!$K$2</c:f>
              <c:strCache>
                <c:ptCount val="1"/>
                <c:pt idx="0">
                  <c:v>Mazumtirdzniecība</c:v>
                </c:pt>
              </c:strCache>
            </c:strRef>
          </c:tx>
          <c:spPr>
            <a:ln w="28575" cap="rnd">
              <a:solidFill>
                <a:schemeClr val="tx1"/>
              </a:solidFill>
              <a:prstDash val="solid"/>
              <a:round/>
            </a:ln>
            <a:effectLst/>
          </c:spPr>
          <c:marker>
            <c:symbol val="none"/>
          </c:marker>
          <c:cat>
            <c:multiLvlStrRef>
              <c:f>Mazumtirdzniecība!$A$279:$B$309</c:f>
              <c:multiLvlStrCache>
                <c:ptCount val="31"/>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lvl>
                <c:lvl>
                  <c:pt idx="0">
                    <c:v>2023</c:v>
                  </c:pt>
                  <c:pt idx="12">
                    <c:v>2024</c:v>
                  </c:pt>
                  <c:pt idx="24">
                    <c:v>2025</c:v>
                  </c:pt>
                </c:lvl>
              </c:multiLvlStrCache>
              <c:extLst/>
            </c:multiLvlStrRef>
          </c:cat>
          <c:val>
            <c:numRef>
              <c:f>Mazumtirdzniecība!$K$279:$K$309</c:f>
              <c:numCache>
                <c:formatCode>0.0</c:formatCode>
                <c:ptCount val="31"/>
                <c:pt idx="0">
                  <c:v>0.65573770491802463</c:v>
                </c:pt>
                <c:pt idx="1">
                  <c:v>1.2658227848101111</c:v>
                </c:pt>
                <c:pt idx="2">
                  <c:v>-6.9194312796208468</c:v>
                </c:pt>
                <c:pt idx="3">
                  <c:v>-5.3346265761396676</c:v>
                </c:pt>
                <c:pt idx="4">
                  <c:v>-1.2464046021092967</c:v>
                </c:pt>
                <c:pt idx="5">
                  <c:v>-1.7159199237369083</c:v>
                </c:pt>
                <c:pt idx="6">
                  <c:v>-3.2786885245901565</c:v>
                </c:pt>
                <c:pt idx="7">
                  <c:v>-2.729754322111011</c:v>
                </c:pt>
                <c:pt idx="8">
                  <c:v>-2.8292682926829293</c:v>
                </c:pt>
                <c:pt idx="9">
                  <c:v>-0.68965517241379448</c:v>
                </c:pt>
                <c:pt idx="10">
                  <c:v>-1.7982017982017928</c:v>
                </c:pt>
                <c:pt idx="11">
                  <c:v>0.96491228070174628</c:v>
                </c:pt>
                <c:pt idx="12">
                  <c:v>-0.76004343105319228</c:v>
                </c:pt>
                <c:pt idx="13">
                  <c:v>0.1136363636363491</c:v>
                </c:pt>
                <c:pt idx="14">
                  <c:v>2.6476578411405161</c:v>
                </c:pt>
                <c:pt idx="15">
                  <c:v>0.4098360655737654</c:v>
                </c:pt>
                <c:pt idx="16">
                  <c:v>1.0679611650485477</c:v>
                </c:pt>
                <c:pt idx="17">
                  <c:v>-0.87293889427739746</c:v>
                </c:pt>
                <c:pt idx="18">
                  <c:v>0.7532956685499137</c:v>
                </c:pt>
                <c:pt idx="19">
                  <c:v>0.74836295603366576</c:v>
                </c:pt>
                <c:pt idx="20">
                  <c:v>0.60240963855422436</c:v>
                </c:pt>
                <c:pt idx="21">
                  <c:v>0.49603174603174427</c:v>
                </c:pt>
                <c:pt idx="22">
                  <c:v>3.3570701932858604</c:v>
                </c:pt>
                <c:pt idx="23">
                  <c:v>3.2145960034752452</c:v>
                </c:pt>
                <c:pt idx="24">
                  <c:v>1.2035010940919078</c:v>
                </c:pt>
                <c:pt idx="25">
                  <c:v>-0.90805902383654935</c:v>
                </c:pt>
                <c:pt idx="26">
                  <c:v>-0.69444444444444198</c:v>
                </c:pt>
                <c:pt idx="27">
                  <c:v>0.61224489795916881</c:v>
                </c:pt>
                <c:pt idx="28">
                  <c:v>-1.4409221902017322</c:v>
                </c:pt>
                <c:pt idx="29">
                  <c:v>1.6634050880626194</c:v>
                </c:pt>
                <c:pt idx="30">
                  <c:v>1.6822429906542036</c:v>
                </c:pt>
              </c:numCache>
              <c:extLst/>
            </c:numRef>
          </c:val>
          <c:smooth val="0"/>
          <c:extLst>
            <c:ext xmlns:c16="http://schemas.microsoft.com/office/drawing/2014/chart" uri="{C3380CC4-5D6E-409C-BE32-E72D297353CC}">
              <c16:uniqueId val="{00000003-786C-4B4C-861D-6E3527AC1E28}"/>
            </c:ext>
          </c:extLst>
        </c:ser>
        <c:dLbls>
          <c:showLegendKey val="0"/>
          <c:showVal val="0"/>
          <c:showCatName val="0"/>
          <c:showSerName val="0"/>
          <c:showPercent val="0"/>
          <c:showBubbleSize val="0"/>
        </c:dLbls>
        <c:marker val="1"/>
        <c:smooth val="0"/>
        <c:axId val="343843672"/>
        <c:axId val="343844064"/>
      </c:lineChart>
      <c:catAx>
        <c:axId val="3438436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Verdana" panose="020B0604030504040204" pitchFamily="34" charset="0"/>
                <a:ea typeface="Verdana" panose="020B0604030504040204" pitchFamily="34" charset="0"/>
                <a:cs typeface="Times New Roman" panose="02020603050405020304" pitchFamily="18" charset="0"/>
              </a:defRPr>
            </a:pPr>
            <a:endParaRPr lang="lv-LV"/>
          </a:p>
        </c:txPr>
        <c:crossAx val="343844064"/>
        <c:crosses val="autoZero"/>
        <c:auto val="1"/>
        <c:lblAlgn val="ctr"/>
        <c:lblOffset val="100"/>
        <c:noMultiLvlLbl val="0"/>
      </c:catAx>
      <c:valAx>
        <c:axId val="343844064"/>
        <c:scaling>
          <c:orientation val="minMax"/>
          <c:max val="4"/>
          <c:min val="-8"/>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Verdana" panose="020B0604030504040204" pitchFamily="34" charset="0"/>
                <a:ea typeface="Verdana" panose="020B0604030504040204" pitchFamily="34" charset="0"/>
                <a:cs typeface="Times New Roman" panose="02020603050405020304" pitchFamily="18" charset="0"/>
              </a:defRPr>
            </a:pPr>
            <a:endParaRPr lang="lv-LV"/>
          </a:p>
        </c:txPr>
        <c:crossAx val="343843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Verdana" panose="020B0604030504040204" pitchFamily="34"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803149606299214E-2"/>
          <c:y val="3.2407407407407406E-2"/>
          <c:w val="0.89019685039370078"/>
          <c:h val="0.87904043598448012"/>
        </c:manualLayout>
      </c:layout>
      <c:barChart>
        <c:barDir val="col"/>
        <c:grouping val="clustered"/>
        <c:varyColors val="0"/>
        <c:ser>
          <c:idx val="0"/>
          <c:order val="0"/>
          <c:tx>
            <c:strRef>
              <c:f>'ostas dz'!$X$4</c:f>
              <c:strCache>
                <c:ptCount val="1"/>
                <c:pt idx="0">
                  <c:v>2010</c:v>
                </c:pt>
              </c:strCache>
            </c:strRef>
          </c:tx>
          <c:spPr>
            <a:pattFill prst="dkUpDiag">
              <a:fgClr>
                <a:srgbClr val="5B9BD5">
                  <a:lumMod val="50000"/>
                </a:srgbClr>
              </a:fgClr>
              <a:bgClr>
                <a:sysClr val="window" lastClr="FFFFFF"/>
              </a:bgClr>
            </a:patt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002060"/>
                </a:solidFill>
              </a:ln>
              <a:effectLst/>
            </c:spPr>
            <c:extLst>
              <c:ext xmlns:c16="http://schemas.microsoft.com/office/drawing/2014/chart" uri="{C3380CC4-5D6E-409C-BE32-E72D297353CC}">
                <c16:uniqueId val="{00000001-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03-0F05-48D8-93AE-87303B994A9A}"/>
              </c:ext>
            </c:extLst>
          </c:dPt>
          <c:dLbls>
            <c:dLbl>
              <c:idx val="0"/>
              <c:layout>
                <c:manualLayout>
                  <c:x val="-5.1374261494990889E-3"/>
                  <c:y val="0.7690281801422175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0F05-48D8-93AE-87303B994A9A}"/>
                </c:ext>
              </c:extLst>
            </c:dLbl>
            <c:dLbl>
              <c:idx val="1"/>
              <c:layout>
                <c:manualLayout>
                  <c:x val="-5.1374261494991011E-3"/>
                  <c:y val="0.5741374769554912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0F05-48D8-93AE-87303B994A9A}"/>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'ostas dz'!$V$5:$V$6</c:f>
              <c:strCache>
                <c:ptCount val="2"/>
                <c:pt idx="0">
                  <c:v>Ostas</c:v>
                </c:pt>
                <c:pt idx="1">
                  <c:v>Dzelzceļš</c:v>
                </c:pt>
              </c:strCache>
            </c:strRef>
          </c:cat>
          <c:val>
            <c:numRef>
              <c:f>'ostas dz'!$X$5:$X$6</c:f>
              <c:numCache>
                <c:formatCode>General</c:formatCode>
                <c:ptCount val="2"/>
                <c:pt idx="0">
                  <c:v>40776.410000000003</c:v>
                </c:pt>
                <c:pt idx="1">
                  <c:v>32917.5</c:v>
                </c:pt>
              </c:numCache>
            </c:numRef>
          </c:val>
          <c:extLst>
            <c:ext xmlns:c16="http://schemas.microsoft.com/office/drawing/2014/chart" uri="{C3380CC4-5D6E-409C-BE32-E72D297353CC}">
              <c16:uniqueId val="{00000004-0F05-48D8-93AE-87303B994A9A}"/>
            </c:ext>
          </c:extLst>
        </c:ser>
        <c:ser>
          <c:idx val="1"/>
          <c:order val="1"/>
          <c:tx>
            <c:strRef>
              <c:f>'ostas dz'!$Y$4</c:f>
              <c:strCache>
                <c:ptCount val="1"/>
                <c:pt idx="0">
                  <c:v>2011</c:v>
                </c:pt>
              </c:strCache>
            </c:strRef>
          </c:tx>
          <c:spPr>
            <a:pattFill prst="dkUpDiag">
              <a:fgClr>
                <a:srgbClr val="5B9BD5">
                  <a:lumMod val="50000"/>
                </a:srgbClr>
              </a:fgClr>
              <a:bgClr>
                <a:sysClr val="window" lastClr="FFFFFF"/>
              </a:bgClr>
            </a:patt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06-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08-0F05-48D8-93AE-87303B994A9A}"/>
              </c:ext>
            </c:extLst>
          </c:dPt>
          <c:cat>
            <c:strRef>
              <c:f>'ostas dz'!$V$5:$V$6</c:f>
              <c:strCache>
                <c:ptCount val="2"/>
                <c:pt idx="0">
                  <c:v>Ostas</c:v>
                </c:pt>
                <c:pt idx="1">
                  <c:v>Dzelzceļš</c:v>
                </c:pt>
              </c:strCache>
            </c:strRef>
          </c:cat>
          <c:val>
            <c:numRef>
              <c:f>'ostas dz'!$Y$5:$Y$6</c:f>
              <c:numCache>
                <c:formatCode>General</c:formatCode>
                <c:ptCount val="2"/>
                <c:pt idx="0">
                  <c:v>45674.09</c:v>
                </c:pt>
                <c:pt idx="1">
                  <c:v>38885.699999999997</c:v>
                </c:pt>
              </c:numCache>
            </c:numRef>
          </c:val>
          <c:extLst>
            <c:ext xmlns:c16="http://schemas.microsoft.com/office/drawing/2014/chart" uri="{C3380CC4-5D6E-409C-BE32-E72D297353CC}">
              <c16:uniqueId val="{00000009-0F05-48D8-93AE-87303B994A9A}"/>
            </c:ext>
          </c:extLst>
        </c:ser>
        <c:ser>
          <c:idx val="2"/>
          <c:order val="2"/>
          <c:tx>
            <c:strRef>
              <c:f>'ostas dz'!$Z$4</c:f>
              <c:strCache>
                <c:ptCount val="1"/>
                <c:pt idx="0">
                  <c:v>2012</c:v>
                </c:pt>
              </c:strCache>
            </c:strRef>
          </c:tx>
          <c:spPr>
            <a:solidFill>
              <a:schemeClr val="accent3"/>
            </a:solid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0B-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0D-0F05-48D8-93AE-87303B994A9A}"/>
              </c:ext>
            </c:extLst>
          </c:dPt>
          <c:cat>
            <c:strRef>
              <c:f>'ostas dz'!$V$5:$V$6</c:f>
              <c:strCache>
                <c:ptCount val="2"/>
                <c:pt idx="0">
                  <c:v>Ostas</c:v>
                </c:pt>
                <c:pt idx="1">
                  <c:v>Dzelzceļš</c:v>
                </c:pt>
              </c:strCache>
            </c:strRef>
          </c:cat>
          <c:val>
            <c:numRef>
              <c:f>'ostas dz'!$Z$5:$Z$6</c:f>
              <c:numCache>
                <c:formatCode>General</c:formatCode>
                <c:ptCount val="2"/>
                <c:pt idx="0">
                  <c:v>52148.6</c:v>
                </c:pt>
                <c:pt idx="1">
                  <c:v>43019.1</c:v>
                </c:pt>
              </c:numCache>
            </c:numRef>
          </c:val>
          <c:extLst>
            <c:ext xmlns:c16="http://schemas.microsoft.com/office/drawing/2014/chart" uri="{C3380CC4-5D6E-409C-BE32-E72D297353CC}">
              <c16:uniqueId val="{0000000E-0F05-48D8-93AE-87303B994A9A}"/>
            </c:ext>
          </c:extLst>
        </c:ser>
        <c:ser>
          <c:idx val="3"/>
          <c:order val="3"/>
          <c:tx>
            <c:strRef>
              <c:f>'ostas dz'!$AA$4</c:f>
              <c:strCache>
                <c:ptCount val="1"/>
                <c:pt idx="0">
                  <c:v>2013</c:v>
                </c:pt>
              </c:strCache>
            </c:strRef>
          </c:tx>
          <c:spPr>
            <a:pattFill prst="dkUpDiag">
              <a:fgClr>
                <a:srgbClr val="5B9BD5">
                  <a:lumMod val="50000"/>
                </a:srgbClr>
              </a:fgClr>
              <a:bgClr>
                <a:sysClr val="window" lastClr="FFFFFF"/>
              </a:bgClr>
            </a:pattFill>
            <a:ln>
              <a:no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0-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12-0F05-48D8-93AE-87303B994A9A}"/>
              </c:ext>
            </c:extLst>
          </c:dPt>
          <c:cat>
            <c:strRef>
              <c:f>'ostas dz'!$V$5:$V$6</c:f>
              <c:strCache>
                <c:ptCount val="2"/>
                <c:pt idx="0">
                  <c:v>Ostas</c:v>
                </c:pt>
                <c:pt idx="1">
                  <c:v>Dzelzceļš</c:v>
                </c:pt>
              </c:strCache>
            </c:strRef>
          </c:cat>
          <c:val>
            <c:numRef>
              <c:f>'ostas dz'!$AA$5:$AA$6</c:f>
              <c:numCache>
                <c:formatCode>General</c:formatCode>
                <c:ptCount val="2"/>
                <c:pt idx="0">
                  <c:v>48172.800000000003</c:v>
                </c:pt>
                <c:pt idx="1">
                  <c:v>37820.400000000001</c:v>
                </c:pt>
              </c:numCache>
            </c:numRef>
          </c:val>
          <c:extLst>
            <c:ext xmlns:c16="http://schemas.microsoft.com/office/drawing/2014/chart" uri="{C3380CC4-5D6E-409C-BE32-E72D297353CC}">
              <c16:uniqueId val="{00000013-0F05-48D8-93AE-87303B994A9A}"/>
            </c:ext>
          </c:extLst>
        </c:ser>
        <c:ser>
          <c:idx val="4"/>
          <c:order val="4"/>
          <c:tx>
            <c:strRef>
              <c:f>'ostas dz'!$AB$4</c:f>
              <c:strCache>
                <c:ptCount val="1"/>
                <c:pt idx="0">
                  <c:v>2014</c:v>
                </c:pt>
              </c:strCache>
            </c:strRef>
          </c:tx>
          <c:spPr>
            <a:pattFill prst="dkUpDiag">
              <a:fgClr>
                <a:srgbClr val="5B9BD5">
                  <a:lumMod val="50000"/>
                </a:srgbClr>
              </a:fgClr>
              <a:bgClr>
                <a:sysClr val="window" lastClr="FFFFFF"/>
              </a:bgClr>
            </a:patt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5-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17-0F05-48D8-93AE-87303B994A9A}"/>
              </c:ext>
            </c:extLst>
          </c:dPt>
          <c:cat>
            <c:strRef>
              <c:f>'ostas dz'!$V$5:$V$6</c:f>
              <c:strCache>
                <c:ptCount val="2"/>
                <c:pt idx="0">
                  <c:v>Ostas</c:v>
                </c:pt>
                <c:pt idx="1">
                  <c:v>Dzelzceļš</c:v>
                </c:pt>
              </c:strCache>
            </c:strRef>
          </c:cat>
          <c:val>
            <c:numRef>
              <c:f>'ostas dz'!$AB$5:$AB$6</c:f>
              <c:numCache>
                <c:formatCode>General</c:formatCode>
                <c:ptCount val="2"/>
                <c:pt idx="0">
                  <c:v>50030.2</c:v>
                </c:pt>
                <c:pt idx="1">
                  <c:v>38891.1</c:v>
                </c:pt>
              </c:numCache>
            </c:numRef>
          </c:val>
          <c:extLst>
            <c:ext xmlns:c16="http://schemas.microsoft.com/office/drawing/2014/chart" uri="{C3380CC4-5D6E-409C-BE32-E72D297353CC}">
              <c16:uniqueId val="{00000018-0F05-48D8-93AE-87303B994A9A}"/>
            </c:ext>
          </c:extLst>
        </c:ser>
        <c:ser>
          <c:idx val="5"/>
          <c:order val="5"/>
          <c:tx>
            <c:strRef>
              <c:f>'ostas dz'!$AC$4</c:f>
              <c:strCache>
                <c:ptCount val="1"/>
                <c:pt idx="0">
                  <c:v>2015</c:v>
                </c:pt>
              </c:strCache>
            </c:strRef>
          </c:tx>
          <c:spPr>
            <a:pattFill prst="dkUpDiag">
              <a:fgClr>
                <a:srgbClr val="4472C4">
                  <a:lumMod val="50000"/>
                </a:srgbClr>
              </a:fgClr>
              <a:bgClr>
                <a:sysClr val="window" lastClr="FFFFFF"/>
              </a:bgClr>
            </a:pattFill>
            <a:ln>
              <a:solidFill>
                <a:srgbClr val="4472C4">
                  <a:lumMod val="50000"/>
                </a:srgbClr>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A-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1C-0F05-48D8-93AE-87303B994A9A}"/>
              </c:ext>
            </c:extLst>
          </c:dPt>
          <c:cat>
            <c:strRef>
              <c:f>'ostas dz'!$V$5:$V$6</c:f>
              <c:strCache>
                <c:ptCount val="2"/>
                <c:pt idx="0">
                  <c:v>Ostas</c:v>
                </c:pt>
                <c:pt idx="1">
                  <c:v>Dzelzceļš</c:v>
                </c:pt>
              </c:strCache>
            </c:strRef>
          </c:cat>
          <c:val>
            <c:numRef>
              <c:f>'ostas dz'!$AC$5:$AC$6</c:f>
              <c:numCache>
                <c:formatCode>General</c:formatCode>
                <c:ptCount val="2"/>
                <c:pt idx="0">
                  <c:v>47478.5</c:v>
                </c:pt>
                <c:pt idx="1">
                  <c:v>38506.5</c:v>
                </c:pt>
              </c:numCache>
            </c:numRef>
          </c:val>
          <c:extLst>
            <c:ext xmlns:c16="http://schemas.microsoft.com/office/drawing/2014/chart" uri="{C3380CC4-5D6E-409C-BE32-E72D297353CC}">
              <c16:uniqueId val="{0000001D-0F05-48D8-93AE-87303B994A9A}"/>
            </c:ext>
          </c:extLst>
        </c:ser>
        <c:ser>
          <c:idx val="6"/>
          <c:order val="6"/>
          <c:tx>
            <c:strRef>
              <c:f>'ostas dz'!$AD$4</c:f>
              <c:strCache>
                <c:ptCount val="1"/>
                <c:pt idx="0">
                  <c:v>2016</c:v>
                </c:pt>
              </c:strCache>
            </c:strRef>
          </c:tx>
          <c:spPr>
            <a:solidFill>
              <a:schemeClr val="accent1">
                <a:lumMod val="60000"/>
              </a:schemeClr>
            </a:solidFill>
            <a:ln>
              <a:no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F-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21-0F05-48D8-93AE-87303B994A9A}"/>
              </c:ext>
            </c:extLst>
          </c:dPt>
          <c:cat>
            <c:strRef>
              <c:f>'ostas dz'!$V$5:$V$6</c:f>
              <c:strCache>
                <c:ptCount val="2"/>
                <c:pt idx="0">
                  <c:v>Ostas</c:v>
                </c:pt>
                <c:pt idx="1">
                  <c:v>Dzelzceļš</c:v>
                </c:pt>
              </c:strCache>
            </c:strRef>
          </c:cat>
          <c:val>
            <c:numRef>
              <c:f>'ostas dz'!$AD$5:$AD$6</c:f>
              <c:numCache>
                <c:formatCode>General</c:formatCode>
                <c:ptCount val="2"/>
                <c:pt idx="0">
                  <c:v>41104.300000000003</c:v>
                </c:pt>
                <c:pt idx="1">
                  <c:v>30600.3</c:v>
                </c:pt>
              </c:numCache>
            </c:numRef>
          </c:val>
          <c:extLst>
            <c:ext xmlns:c16="http://schemas.microsoft.com/office/drawing/2014/chart" uri="{C3380CC4-5D6E-409C-BE32-E72D297353CC}">
              <c16:uniqueId val="{00000022-0F05-48D8-93AE-87303B994A9A}"/>
            </c:ext>
          </c:extLst>
        </c:ser>
        <c:ser>
          <c:idx val="7"/>
          <c:order val="7"/>
          <c:tx>
            <c:strRef>
              <c:f>'ostas dz'!$AE$4</c:f>
              <c:strCache>
                <c:ptCount val="1"/>
                <c:pt idx="0">
                  <c:v>2017</c:v>
                </c:pt>
              </c:strCache>
            </c:strRef>
          </c:tx>
          <c:spPr>
            <a:pattFill prst="dkUpDiag">
              <a:fgClr>
                <a:srgbClr val="00B050"/>
              </a:fgClr>
              <a:bgClr>
                <a:sysClr val="window" lastClr="FFFFFF"/>
              </a:bgClr>
            </a:pattFill>
            <a:ln>
              <a:solidFill>
                <a:srgbClr val="00B050"/>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24-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26-0F05-48D8-93AE-87303B994A9A}"/>
              </c:ext>
            </c:extLst>
          </c:dPt>
          <c:cat>
            <c:strRef>
              <c:f>'ostas dz'!$V$5:$V$6</c:f>
              <c:strCache>
                <c:ptCount val="2"/>
                <c:pt idx="0">
                  <c:v>Ostas</c:v>
                </c:pt>
                <c:pt idx="1">
                  <c:v>Dzelzceļš</c:v>
                </c:pt>
              </c:strCache>
            </c:strRef>
          </c:cat>
          <c:val>
            <c:numRef>
              <c:f>'ostas dz'!$AE$5:$AE$6</c:f>
              <c:numCache>
                <c:formatCode>General</c:formatCode>
                <c:ptCount val="2"/>
                <c:pt idx="0">
                  <c:v>43058.5</c:v>
                </c:pt>
                <c:pt idx="1">
                  <c:v>30368.7</c:v>
                </c:pt>
              </c:numCache>
            </c:numRef>
          </c:val>
          <c:extLst>
            <c:ext xmlns:c16="http://schemas.microsoft.com/office/drawing/2014/chart" uri="{C3380CC4-5D6E-409C-BE32-E72D297353CC}">
              <c16:uniqueId val="{00000027-0F05-48D8-93AE-87303B994A9A}"/>
            </c:ext>
          </c:extLst>
        </c:ser>
        <c:ser>
          <c:idx val="8"/>
          <c:order val="8"/>
          <c:tx>
            <c:strRef>
              <c:f>'ostas dz'!$AF$4</c:f>
              <c:strCache>
                <c:ptCount val="1"/>
                <c:pt idx="0">
                  <c:v>2018</c:v>
                </c:pt>
              </c:strCache>
            </c:strRef>
          </c:tx>
          <c:spPr>
            <a:pattFill prst="dkUpDiag">
              <a:fgClr>
                <a:srgbClr val="002060"/>
              </a:fgClr>
              <a:bgClr>
                <a:sysClr val="window" lastClr="FFFFFF"/>
              </a:bgClr>
            </a:pattFill>
            <a:ln>
              <a:solidFill>
                <a:srgbClr val="002060"/>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29-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2B-0F05-48D8-93AE-87303B994A9A}"/>
              </c:ext>
            </c:extLst>
          </c:dPt>
          <c:cat>
            <c:strRef>
              <c:f>'ostas dz'!$V$5:$V$6</c:f>
              <c:strCache>
                <c:ptCount val="2"/>
                <c:pt idx="0">
                  <c:v>Ostas</c:v>
                </c:pt>
                <c:pt idx="1">
                  <c:v>Dzelzceļš</c:v>
                </c:pt>
              </c:strCache>
            </c:strRef>
          </c:cat>
          <c:val>
            <c:numRef>
              <c:f>'ostas dz'!$AF$5:$AF$6</c:f>
              <c:numCache>
                <c:formatCode>General</c:formatCode>
                <c:ptCount val="2"/>
                <c:pt idx="0">
                  <c:v>43468.44</c:v>
                </c:pt>
                <c:pt idx="1">
                  <c:v>32337.9</c:v>
                </c:pt>
              </c:numCache>
            </c:numRef>
          </c:val>
          <c:extLst>
            <c:ext xmlns:c16="http://schemas.microsoft.com/office/drawing/2014/chart" uri="{C3380CC4-5D6E-409C-BE32-E72D297353CC}">
              <c16:uniqueId val="{0000002C-0F05-48D8-93AE-87303B994A9A}"/>
            </c:ext>
          </c:extLst>
        </c:ser>
        <c:ser>
          <c:idx val="9"/>
          <c:order val="9"/>
          <c:tx>
            <c:strRef>
              <c:f>'ostas dz'!$AG$4</c:f>
              <c:strCache>
                <c:ptCount val="1"/>
                <c:pt idx="0">
                  <c:v>2019</c:v>
                </c:pt>
              </c:strCache>
            </c:strRef>
          </c:tx>
          <c:spPr>
            <a:pattFill prst="dkUpDiag">
              <a:fgClr>
                <a:srgbClr val="002060"/>
              </a:fgClr>
              <a:bgClr>
                <a:sysClr val="window" lastClr="FFFFFF"/>
              </a:bgClr>
            </a:pattFill>
            <a:ln>
              <a:noFill/>
            </a:ln>
            <a:effectLst/>
          </c:spPr>
          <c:invertIfNegative val="0"/>
          <c:dPt>
            <c:idx val="0"/>
            <c:invertIfNegative val="0"/>
            <c:bubble3D val="0"/>
            <c:spPr>
              <a:pattFill prst="dkUpDiag">
                <a:fgClr>
                  <a:srgbClr val="002060"/>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2E-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30-0F05-48D8-93AE-87303B994A9A}"/>
              </c:ext>
            </c:extLst>
          </c:dPt>
          <c:dLbls>
            <c:dLbl>
              <c:idx val="0"/>
              <c:layout>
                <c:manualLayout>
                  <c:x val="0.14384793218597483"/>
                  <c:y val="0.70318672636291801"/>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1"/>
                      <a:t>2025. </a:t>
                    </a:r>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extLst>
                <c:ext xmlns:c15="http://schemas.microsoft.com/office/drawing/2012/chart" uri="{CE6537A1-D6FC-4f65-9D91-7224C49458BB}">
                  <c15:layout>
                    <c:manualLayout>
                      <c:w val="9.8253275109170299E-2"/>
                      <c:h val="6.5025227127093688E-2"/>
                    </c:manualLayout>
                  </c15:layout>
                  <c15:showDataLabelsRange val="0"/>
                </c:ext>
                <c:ext xmlns:c16="http://schemas.microsoft.com/office/drawing/2014/chart" uri="{C3380CC4-5D6E-409C-BE32-E72D297353CC}">
                  <c16:uniqueId val="{0000002E-0F05-48D8-93AE-87303B994A9A}"/>
                </c:ext>
              </c:extLst>
            </c:dLbl>
            <c:dLbl>
              <c:idx val="1"/>
              <c:layout>
                <c:manualLayout>
                  <c:x val="0.15412278448497302"/>
                  <c:y val="0.5022220194558904"/>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1"/>
                      <a:t>2025.</a:t>
                    </a:r>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extLst>
                <c:ext xmlns:c15="http://schemas.microsoft.com/office/drawing/2012/chart" uri="{CE6537A1-D6FC-4f65-9D91-7224C49458BB}">
                  <c15:layout>
                    <c:manualLayout>
                      <c:w val="6.7428718212175706E-2"/>
                      <c:h val="7.5559859731781615E-2"/>
                    </c:manualLayout>
                  </c15:layout>
                  <c15:showDataLabelsRange val="0"/>
                </c:ext>
                <c:ext xmlns:c16="http://schemas.microsoft.com/office/drawing/2014/chart" uri="{C3380CC4-5D6E-409C-BE32-E72D297353CC}">
                  <c16:uniqueId val="{00000030-0F05-48D8-93AE-87303B994A9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'ostas dz'!$V$5:$V$6</c:f>
              <c:strCache>
                <c:ptCount val="2"/>
                <c:pt idx="0">
                  <c:v>Ostas</c:v>
                </c:pt>
                <c:pt idx="1">
                  <c:v>Dzelzceļš</c:v>
                </c:pt>
              </c:strCache>
            </c:strRef>
          </c:cat>
          <c:val>
            <c:numRef>
              <c:f>'ostas dz'!$AG$5:$AG$6</c:f>
              <c:numCache>
                <c:formatCode>General</c:formatCode>
                <c:ptCount val="2"/>
                <c:pt idx="0">
                  <c:v>42321.4</c:v>
                </c:pt>
                <c:pt idx="1">
                  <c:v>28372.7</c:v>
                </c:pt>
              </c:numCache>
            </c:numRef>
          </c:val>
          <c:extLst>
            <c:ext xmlns:c16="http://schemas.microsoft.com/office/drawing/2014/chart" uri="{C3380CC4-5D6E-409C-BE32-E72D297353CC}">
              <c16:uniqueId val="{00000031-0F05-48D8-93AE-87303B994A9A}"/>
            </c:ext>
          </c:extLst>
        </c:ser>
        <c:ser>
          <c:idx val="10"/>
          <c:order val="10"/>
          <c:tx>
            <c:strRef>
              <c:f>'ostas dz'!$AH$4</c:f>
              <c:strCache>
                <c:ptCount val="1"/>
                <c:pt idx="0">
                  <c:v>2020</c:v>
                </c:pt>
              </c:strCache>
            </c:strRef>
          </c:tx>
          <c:spPr>
            <a:pattFill prst="dkUpDiag">
              <a:fgClr>
                <a:srgbClr val="4472C4">
                  <a:lumMod val="50000"/>
                </a:srgbClr>
              </a:fgClr>
              <a:bgClr>
                <a:sysClr val="window" lastClr="FFFFFF"/>
              </a:bgClr>
            </a:pattFill>
            <a:ln>
              <a:solidFill>
                <a:srgbClr val="4472C4">
                  <a:lumMod val="50000"/>
                </a:srgbClr>
              </a:solidFill>
            </a:ln>
            <a:effectLst/>
          </c:spPr>
          <c:invertIfNegative val="0"/>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33-0F05-48D8-93AE-87303B994A9A}"/>
              </c:ext>
            </c:extLst>
          </c:dPt>
          <c:cat>
            <c:strRef>
              <c:f>'ostas dz'!$V$5:$V$6</c:f>
              <c:strCache>
                <c:ptCount val="2"/>
                <c:pt idx="0">
                  <c:v>Ostas</c:v>
                </c:pt>
                <c:pt idx="1">
                  <c:v>Dzelzceļš</c:v>
                </c:pt>
              </c:strCache>
            </c:strRef>
          </c:cat>
          <c:val>
            <c:numRef>
              <c:f>'ostas dz'!$AH$5:$AH$6</c:f>
              <c:numCache>
                <c:formatCode>General</c:formatCode>
                <c:ptCount val="2"/>
                <c:pt idx="0">
                  <c:v>29744.1</c:v>
                </c:pt>
                <c:pt idx="1">
                  <c:v>15524.8</c:v>
                </c:pt>
              </c:numCache>
            </c:numRef>
          </c:val>
          <c:extLst>
            <c:ext xmlns:c16="http://schemas.microsoft.com/office/drawing/2014/chart" uri="{C3380CC4-5D6E-409C-BE32-E72D297353CC}">
              <c16:uniqueId val="{00000034-0F05-48D8-93AE-87303B994A9A}"/>
            </c:ext>
          </c:extLst>
        </c:ser>
        <c:ser>
          <c:idx val="11"/>
          <c:order val="11"/>
          <c:tx>
            <c:strRef>
              <c:f>'ostas dz'!$AI$4</c:f>
              <c:strCache>
                <c:ptCount val="1"/>
                <c:pt idx="0">
                  <c:v>2021</c:v>
                </c:pt>
              </c:strCache>
            </c:strRef>
          </c:tx>
          <c:spPr>
            <a:pattFill prst="dkUpDiag">
              <a:fgClr>
                <a:srgbClr val="002060"/>
              </a:fgClr>
              <a:bgClr>
                <a:sysClr val="window" lastClr="FFFFFF"/>
              </a:bgClr>
            </a:pattFill>
            <a:ln>
              <a:solidFill>
                <a:srgbClr val="002060"/>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36-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38-0F05-48D8-93AE-87303B994A9A}"/>
              </c:ext>
            </c:extLst>
          </c:dPt>
          <c:cat>
            <c:strRef>
              <c:f>'ostas dz'!$V$5:$V$6</c:f>
              <c:strCache>
                <c:ptCount val="2"/>
                <c:pt idx="0">
                  <c:v>Ostas</c:v>
                </c:pt>
                <c:pt idx="1">
                  <c:v>Dzelzceļš</c:v>
                </c:pt>
              </c:strCache>
            </c:strRef>
          </c:cat>
          <c:val>
            <c:numRef>
              <c:f>'ostas dz'!$AI$5:$AI$6</c:f>
              <c:numCache>
                <c:formatCode>General</c:formatCode>
                <c:ptCount val="2"/>
                <c:pt idx="0">
                  <c:v>26549.5</c:v>
                </c:pt>
                <c:pt idx="1">
                  <c:v>13226.4</c:v>
                </c:pt>
              </c:numCache>
            </c:numRef>
          </c:val>
          <c:extLst>
            <c:ext xmlns:c16="http://schemas.microsoft.com/office/drawing/2014/chart" uri="{C3380CC4-5D6E-409C-BE32-E72D297353CC}">
              <c16:uniqueId val="{00000039-0F05-48D8-93AE-87303B994A9A}"/>
            </c:ext>
          </c:extLst>
        </c:ser>
        <c:ser>
          <c:idx val="12"/>
          <c:order val="12"/>
          <c:tx>
            <c:strRef>
              <c:f>'ostas dz'!$AJ$4</c:f>
              <c:strCache>
                <c:ptCount val="1"/>
                <c:pt idx="0">
                  <c:v>2022</c:v>
                </c:pt>
              </c:strCache>
            </c:strRef>
          </c:tx>
          <c:spPr>
            <a:solidFill>
              <a:schemeClr val="accent1">
                <a:lumMod val="80000"/>
                <a:lumOff val="20000"/>
              </a:schemeClr>
            </a:solidFill>
            <a:ln>
              <a:noFill/>
            </a:ln>
            <a:effectLst/>
          </c:spPr>
          <c:invertIfNegative val="0"/>
          <c:dPt>
            <c:idx val="0"/>
            <c:invertIfNegative val="0"/>
            <c:bubble3D val="0"/>
            <c:spPr>
              <a:pattFill prst="dkUpDiag">
                <a:fgClr>
                  <a:srgbClr val="002060"/>
                </a:fgClr>
                <a:bgClr>
                  <a:sysClr val="window" lastClr="FFFFFF"/>
                </a:bgClr>
              </a:pattFill>
              <a:ln>
                <a:solidFill>
                  <a:srgbClr val="002060"/>
                </a:solidFill>
              </a:ln>
              <a:effectLst/>
            </c:spPr>
            <c:extLst>
              <c:ext xmlns:c16="http://schemas.microsoft.com/office/drawing/2014/chart" uri="{C3380CC4-5D6E-409C-BE32-E72D297353CC}">
                <c16:uniqueId val="{0000003B-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3D-0F05-48D8-93AE-87303B994A9A}"/>
              </c:ext>
            </c:extLst>
          </c:dPt>
          <c:cat>
            <c:strRef>
              <c:f>'ostas dz'!$V$5:$V$6</c:f>
              <c:strCache>
                <c:ptCount val="2"/>
                <c:pt idx="0">
                  <c:v>Ostas</c:v>
                </c:pt>
                <c:pt idx="1">
                  <c:v>Dzelzceļš</c:v>
                </c:pt>
              </c:strCache>
            </c:strRef>
          </c:cat>
          <c:val>
            <c:numRef>
              <c:f>'ostas dz'!$AJ$5:$AJ$6</c:f>
              <c:numCache>
                <c:formatCode>0.0</c:formatCode>
                <c:ptCount val="2"/>
                <c:pt idx="0">
                  <c:v>30873.4</c:v>
                </c:pt>
                <c:pt idx="1">
                  <c:v>15080.2</c:v>
                </c:pt>
              </c:numCache>
            </c:numRef>
          </c:val>
          <c:extLst>
            <c:ext xmlns:c16="http://schemas.microsoft.com/office/drawing/2014/chart" uri="{C3380CC4-5D6E-409C-BE32-E72D297353CC}">
              <c16:uniqueId val="{0000003E-0F05-48D8-93AE-87303B994A9A}"/>
            </c:ext>
          </c:extLst>
        </c:ser>
        <c:ser>
          <c:idx val="13"/>
          <c:order val="13"/>
          <c:tx>
            <c:strRef>
              <c:f>'ostas dz'!$AK$4</c:f>
              <c:strCache>
                <c:ptCount val="1"/>
                <c:pt idx="0">
                  <c:v>2023</c:v>
                </c:pt>
              </c:strCache>
            </c:strRef>
          </c:tx>
          <c:spPr>
            <a:pattFill prst="dkUpDiag">
              <a:fgClr>
                <a:srgbClr val="002060"/>
              </a:fgClr>
              <a:bgClr>
                <a:sysClr val="window" lastClr="FFFFFF"/>
              </a:bgClr>
            </a:pattFill>
            <a:ln>
              <a:solidFill>
                <a:srgbClr val="002060"/>
              </a:solidFill>
            </a:ln>
            <a:effectLst/>
          </c:spPr>
          <c:invertIfNegative val="0"/>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40-0F05-48D8-93AE-87303B994A9A}"/>
              </c:ext>
            </c:extLst>
          </c:dPt>
          <c:cat>
            <c:strRef>
              <c:f>'ostas dz'!$V$5:$V$6</c:f>
              <c:strCache>
                <c:ptCount val="2"/>
                <c:pt idx="0">
                  <c:v>Ostas</c:v>
                </c:pt>
                <c:pt idx="1">
                  <c:v>Dzelzceļš</c:v>
                </c:pt>
              </c:strCache>
            </c:strRef>
          </c:cat>
          <c:val>
            <c:numRef>
              <c:f>'ostas dz'!$AK$5:$AK$6</c:f>
              <c:numCache>
                <c:formatCode>General</c:formatCode>
                <c:ptCount val="2"/>
                <c:pt idx="0">
                  <c:v>25702</c:v>
                </c:pt>
                <c:pt idx="1">
                  <c:v>10240.6</c:v>
                </c:pt>
              </c:numCache>
            </c:numRef>
          </c:val>
          <c:extLst>
            <c:ext xmlns:c16="http://schemas.microsoft.com/office/drawing/2014/chart" uri="{C3380CC4-5D6E-409C-BE32-E72D297353CC}">
              <c16:uniqueId val="{00000041-0F05-48D8-93AE-87303B994A9A}"/>
            </c:ext>
          </c:extLst>
        </c:ser>
        <c:ser>
          <c:idx val="14"/>
          <c:order val="14"/>
          <c:tx>
            <c:strRef>
              <c:f>'ostas dz'!$AL$4</c:f>
              <c:strCache>
                <c:ptCount val="1"/>
                <c:pt idx="0">
                  <c:v>2024</c:v>
                </c:pt>
              </c:strCache>
            </c:strRef>
          </c:tx>
          <c:spPr>
            <a:solidFill>
              <a:schemeClr val="accent3">
                <a:lumMod val="80000"/>
                <a:lumOff val="20000"/>
              </a:schemeClr>
            </a:solidFill>
            <a:ln>
              <a:noFill/>
            </a:ln>
            <a:effectLst/>
          </c:spPr>
          <c:invertIfNegative val="0"/>
          <c:dPt>
            <c:idx val="0"/>
            <c:invertIfNegative val="0"/>
            <c:bubble3D val="0"/>
            <c:spPr>
              <a:pattFill prst="dkUpDiag">
                <a:fgClr>
                  <a:srgbClr val="002060"/>
                </a:fgClr>
                <a:bgClr>
                  <a:sysClr val="window" lastClr="FFFFFF"/>
                </a:bgClr>
              </a:pattFill>
              <a:ln>
                <a:solidFill>
                  <a:srgbClr val="002060"/>
                </a:solidFill>
              </a:ln>
              <a:effectLst/>
            </c:spPr>
            <c:extLst>
              <c:ext xmlns:c16="http://schemas.microsoft.com/office/drawing/2014/chart" uri="{C3380CC4-5D6E-409C-BE32-E72D297353CC}">
                <c16:uniqueId val="{00000043-0F05-48D8-93AE-87303B994A9A}"/>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45-0F05-48D8-93AE-87303B994A9A}"/>
              </c:ext>
            </c:extLst>
          </c:dPt>
          <c:cat>
            <c:strRef>
              <c:f>'ostas dz'!$V$5:$V$6</c:f>
              <c:strCache>
                <c:ptCount val="2"/>
                <c:pt idx="0">
                  <c:v>Ostas</c:v>
                </c:pt>
                <c:pt idx="1">
                  <c:v>Dzelzceļš</c:v>
                </c:pt>
              </c:strCache>
            </c:strRef>
          </c:cat>
          <c:val>
            <c:numRef>
              <c:f>'ostas dz'!$AL$5:$AL$6</c:f>
              <c:numCache>
                <c:formatCode>General</c:formatCode>
                <c:ptCount val="2"/>
                <c:pt idx="0">
                  <c:v>23202.400000000001</c:v>
                </c:pt>
                <c:pt idx="1">
                  <c:v>7605.4</c:v>
                </c:pt>
              </c:numCache>
            </c:numRef>
          </c:val>
          <c:extLst>
            <c:ext xmlns:c16="http://schemas.microsoft.com/office/drawing/2014/chart" uri="{C3380CC4-5D6E-409C-BE32-E72D297353CC}">
              <c16:uniqueId val="{00000046-0F05-48D8-93AE-87303B994A9A}"/>
            </c:ext>
          </c:extLst>
        </c:ser>
        <c:ser>
          <c:idx val="15"/>
          <c:order val="15"/>
          <c:tx>
            <c:strRef>
              <c:f>'ostas dz'!$AM$4</c:f>
              <c:strCache>
                <c:ptCount val="1"/>
                <c:pt idx="0">
                  <c:v>2025</c:v>
                </c:pt>
              </c:strCache>
            </c:strRef>
          </c:tx>
          <c:spPr>
            <a:pattFill prst="dkUpDiag">
              <a:fgClr>
                <a:srgbClr val="002060"/>
              </a:fgClr>
              <a:bgClr>
                <a:sysClr val="window" lastClr="FFFFFF"/>
              </a:bgClr>
            </a:pattFill>
            <a:ln>
              <a:solidFill>
                <a:srgbClr val="002060"/>
              </a:solidFill>
            </a:ln>
            <a:effectLst/>
          </c:spPr>
          <c:invertIfNegative val="0"/>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48-0F05-48D8-93AE-87303B994A9A}"/>
              </c:ext>
            </c:extLst>
          </c:dPt>
          <c:cat>
            <c:strRef>
              <c:f>'ostas dz'!$V$5:$V$6</c:f>
              <c:strCache>
                <c:ptCount val="2"/>
                <c:pt idx="0">
                  <c:v>Ostas</c:v>
                </c:pt>
                <c:pt idx="1">
                  <c:v>Dzelzceļš</c:v>
                </c:pt>
              </c:strCache>
            </c:strRef>
          </c:cat>
          <c:val>
            <c:numRef>
              <c:f>'ostas dz'!$AM$5:$AM$6</c:f>
              <c:numCache>
                <c:formatCode>General</c:formatCode>
                <c:ptCount val="2"/>
                <c:pt idx="0">
                  <c:v>22635.3</c:v>
                </c:pt>
                <c:pt idx="1">
                  <c:v>5798.3</c:v>
                </c:pt>
              </c:numCache>
            </c:numRef>
          </c:val>
          <c:extLst>
            <c:ext xmlns:c16="http://schemas.microsoft.com/office/drawing/2014/chart" uri="{C3380CC4-5D6E-409C-BE32-E72D297353CC}">
              <c16:uniqueId val="{00000049-0F05-48D8-93AE-87303B994A9A}"/>
            </c:ext>
          </c:extLst>
        </c:ser>
        <c:dLbls>
          <c:showLegendKey val="0"/>
          <c:showVal val="0"/>
          <c:showCatName val="0"/>
          <c:showSerName val="0"/>
          <c:showPercent val="0"/>
          <c:showBubbleSize val="0"/>
        </c:dLbls>
        <c:gapWidth val="219"/>
        <c:overlap val="-27"/>
        <c:axId val="221658064"/>
        <c:axId val="221658456"/>
      </c:barChart>
      <c:catAx>
        <c:axId val="22165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221658456"/>
        <c:crosses val="autoZero"/>
        <c:auto val="1"/>
        <c:lblAlgn val="ctr"/>
        <c:lblOffset val="100"/>
        <c:noMultiLvlLbl val="0"/>
      </c:catAx>
      <c:valAx>
        <c:axId val="221658456"/>
        <c:scaling>
          <c:orientation val="minMax"/>
          <c:max val="60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2216580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bg1">
                <a:lumMod val="5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'Būvn apj, sal.c.'!$CP$2:$CY$3</c:f>
              <c:multiLvlStrCache>
                <c:ptCount val="10"/>
                <c:lvl>
                  <c:pt idx="0">
                    <c:v>I</c:v>
                  </c:pt>
                  <c:pt idx="1">
                    <c:v>II</c:v>
                  </c:pt>
                  <c:pt idx="2">
                    <c:v>III</c:v>
                  </c:pt>
                  <c:pt idx="3">
                    <c:v>IV</c:v>
                  </c:pt>
                  <c:pt idx="4">
                    <c:v>I</c:v>
                  </c:pt>
                  <c:pt idx="5">
                    <c:v>II</c:v>
                  </c:pt>
                  <c:pt idx="6">
                    <c:v>III</c:v>
                  </c:pt>
                  <c:pt idx="7">
                    <c:v>IV</c:v>
                  </c:pt>
                  <c:pt idx="8">
                    <c:v>I</c:v>
                  </c:pt>
                  <c:pt idx="9">
                    <c:v>II</c:v>
                  </c:pt>
                </c:lvl>
                <c:lvl>
                  <c:pt idx="0">
                    <c:v>2023</c:v>
                  </c:pt>
                  <c:pt idx="4">
                    <c:v>2024</c:v>
                  </c:pt>
                  <c:pt idx="8">
                    <c:v>2025</c:v>
                  </c:pt>
                </c:lvl>
              </c:multiLvlStrCache>
              <c:extLst/>
            </c:multiLvlStrRef>
          </c:cat>
          <c:val>
            <c:numRef>
              <c:f>'Būvn apj, sal.c.'!$CP$22:$CY$22</c:f>
              <c:numCache>
                <c:formatCode>0.0</c:formatCode>
                <c:ptCount val="10"/>
                <c:pt idx="0">
                  <c:v>17</c:v>
                </c:pt>
                <c:pt idx="1">
                  <c:v>15.4</c:v>
                </c:pt>
                <c:pt idx="2">
                  <c:v>16.100000000000001</c:v>
                </c:pt>
                <c:pt idx="3">
                  <c:v>25.7</c:v>
                </c:pt>
                <c:pt idx="4" formatCode="General">
                  <c:v>-3.6</c:v>
                </c:pt>
                <c:pt idx="5" formatCode="General">
                  <c:v>0.5</c:v>
                </c:pt>
                <c:pt idx="6" formatCode="General">
                  <c:v>-5.0999999999999996</c:v>
                </c:pt>
                <c:pt idx="7" formatCode="General">
                  <c:v>-7.3</c:v>
                </c:pt>
                <c:pt idx="8" formatCode="General">
                  <c:v>8.9</c:v>
                </c:pt>
                <c:pt idx="9" formatCode="General">
                  <c:v>7.1</c:v>
                </c:pt>
              </c:numCache>
              <c:extLst/>
            </c:numRef>
          </c:val>
          <c:extLst>
            <c:ext xmlns:c16="http://schemas.microsoft.com/office/drawing/2014/chart" uri="{C3380CC4-5D6E-409C-BE32-E72D297353CC}">
              <c16:uniqueId val="{00000000-0E1D-4A10-9F87-E30677785641}"/>
            </c:ext>
          </c:extLst>
        </c:ser>
        <c:dLbls>
          <c:dLblPos val="outEnd"/>
          <c:showLegendKey val="0"/>
          <c:showVal val="1"/>
          <c:showCatName val="0"/>
          <c:showSerName val="0"/>
          <c:showPercent val="0"/>
          <c:showBubbleSize val="0"/>
        </c:dLbls>
        <c:gapWidth val="94"/>
        <c:overlap val="-27"/>
        <c:axId val="149140703"/>
        <c:axId val="149201663"/>
      </c:barChart>
      <c:catAx>
        <c:axId val="149140703"/>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49201663"/>
        <c:crosses val="autoZero"/>
        <c:auto val="1"/>
        <c:lblAlgn val="ctr"/>
        <c:lblOffset val="100"/>
        <c:noMultiLvlLbl val="0"/>
      </c:catAx>
      <c:valAx>
        <c:axId val="149201663"/>
        <c:scaling>
          <c:orientation val="minMax"/>
          <c:min val="-15"/>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4914070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withinLinear" id="18">
  <a:schemeClr val="accent5"/>
</cs:colorStyle>
</file>

<file path=word/charts/colors28.xml><?xml version="1.0" encoding="utf-8"?>
<cs:colorStyle xmlns:cs="http://schemas.microsoft.com/office/drawing/2012/chartStyle" xmlns:a="http://schemas.openxmlformats.org/drawingml/2006/main" meth="withinLinear" id="18">
  <a:schemeClr val="accent5"/>
</cs:colorStyle>
</file>

<file path=word/charts/colors29.xml><?xml version="1.0" encoding="utf-8"?>
<cs:colorStyle xmlns:cs="http://schemas.microsoft.com/office/drawing/2012/chartStyle" xmlns:a="http://schemas.openxmlformats.org/drawingml/2006/main" meth="withinLinear" id="18">
  <a:schemeClr val="accent5"/>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withinLinear" id="18">
  <a:schemeClr val="accent5"/>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2.xml.rels><?xml version="1.0" encoding="UTF-8" standalone="yes"?>
<Relationships xmlns="http://schemas.openxmlformats.org/package/2006/relationships"><Relationship Id="rId1" Type="http://schemas.openxmlformats.org/officeDocument/2006/relationships/image" Target="../media/image2.png"/></Relationships>
</file>

<file path=word/drawings/drawing1.xml><?xml version="1.0" encoding="utf-8"?>
<c:userShapes xmlns:c="http://schemas.openxmlformats.org/drawingml/2006/chart">
  <cdr:relSizeAnchor xmlns:cdr="http://schemas.openxmlformats.org/drawingml/2006/chartDrawing">
    <cdr:from>
      <cdr:x>0.0206</cdr:x>
      <cdr:y>0.86397</cdr:y>
    </cdr:from>
    <cdr:to>
      <cdr:x>0.79863</cdr:x>
      <cdr:y>0.94994</cdr:y>
    </cdr:to>
    <cdr:sp macro="" textlink="">
      <cdr:nvSpPr>
        <cdr:cNvPr id="2" name="Text Box 2"/>
        <cdr:cNvSpPr txBox="1"/>
      </cdr:nvSpPr>
      <cdr:spPr>
        <a:xfrm xmlns:a="http://schemas.openxmlformats.org/drawingml/2006/main">
          <a:off x="48661" y="2984500"/>
          <a:ext cx="1837863" cy="296959"/>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ct val="107000"/>
            </a:lnSpc>
            <a:spcAft>
              <a:spcPts val="800"/>
            </a:spcAft>
            <a:buNone/>
          </a:pPr>
          <a:r>
            <a:rPr lang="lv-LV" sz="900">
              <a:solidFill>
                <a:sysClr val="windowText" lastClr="000000"/>
              </a:solidFill>
              <a:effectLst/>
              <a:latin typeface="Times New Roman" panose="02020603050405020304" pitchFamily="18" charset="0"/>
              <a:ea typeface="Calibri" panose="020F0502020204030204" pitchFamily="34" charset="0"/>
              <a:cs typeface="Times New Roman" panose="02020603050405020304" pitchFamily="18" charset="0"/>
            </a:rPr>
            <a:t>*Enerģijas grupā ietilpst elektroenerģija, gāze, siltumenerģija, cietais kurināmais</a:t>
          </a:r>
        </a:p>
        <a:p xmlns:a="http://schemas.openxmlformats.org/drawingml/2006/main">
          <a:pPr>
            <a:lnSpc>
              <a:spcPct val="107000"/>
            </a:lnSpc>
            <a:spcAft>
              <a:spcPts val="800"/>
            </a:spcAft>
            <a:buNone/>
          </a:pPr>
          <a:r>
            <a:rPr lang="lv-LV" sz="1100">
              <a:effectLst/>
              <a:latin typeface="Calibri" panose="020F0502020204030204" pitchFamily="34" charset="0"/>
              <a:ea typeface="Calibri" panose="020F0502020204030204" pitchFamily="34" charset="0"/>
              <a:cs typeface="Times New Roman" panose="02020603050405020304" pitchFamily="18" charset="0"/>
            </a:rPr>
            <a:t> </a:t>
          </a:r>
        </a:p>
      </cdr:txBody>
    </cdr:sp>
  </cdr:relSizeAnchor>
</c:userShapes>
</file>

<file path=word/drawings/drawing2.xml><?xml version="1.0" encoding="utf-8"?>
<c:userShapes xmlns:c="http://schemas.openxmlformats.org/drawingml/2006/chart">
  <cdr:relSizeAnchor xmlns:cdr="http://schemas.openxmlformats.org/drawingml/2006/chartDrawing">
    <cdr:from>
      <cdr:x>0.03248</cdr:x>
      <cdr:y>0.76262</cdr:y>
    </cdr:from>
    <cdr:to>
      <cdr:x>0.11811</cdr:x>
      <cdr:y>0.85435</cdr:y>
    </cdr:to>
    <cdr:pic>
      <cdr:nvPicPr>
        <cdr:cNvPr id="2" name="chart">
          <a:extLst xmlns:a="http://schemas.openxmlformats.org/drawingml/2006/main">
            <a:ext uri="{FF2B5EF4-FFF2-40B4-BE49-F238E27FC236}">
              <a16:creationId xmlns:a16="http://schemas.microsoft.com/office/drawing/2014/main" id="{59AEB541-2E09-B6DA-A72E-5F5328646A1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52401" y="1996134"/>
          <a:ext cx="401782" cy="240093"/>
        </a:xfrm>
        <a:prstGeom xmlns:a="http://schemas.openxmlformats.org/drawingml/2006/main" prst="rect">
          <a:avLst/>
        </a:prstGeom>
      </cdr:spPr>
    </cdr:pic>
  </cdr:relSizeAnchor>
</c:userShapes>
</file>

<file path=word/drawings/drawing3.xml><?xml version="1.0" encoding="utf-8"?>
<c:userShapes xmlns:c="http://schemas.openxmlformats.org/drawingml/2006/chart">
  <cdr:relSizeAnchor xmlns:cdr="http://schemas.openxmlformats.org/drawingml/2006/chartDrawing">
    <cdr:from>
      <cdr:x>0.54339</cdr:x>
      <cdr:y>0.2267</cdr:y>
    </cdr:from>
    <cdr:to>
      <cdr:x>1</cdr:x>
      <cdr:y>0.30515</cdr:y>
    </cdr:to>
    <cdr:sp macro="" textlink="">
      <cdr:nvSpPr>
        <cdr:cNvPr id="2" name="TextBox 1"/>
        <cdr:cNvSpPr txBox="1"/>
      </cdr:nvSpPr>
      <cdr:spPr>
        <a:xfrm xmlns:a="http://schemas.openxmlformats.org/drawingml/2006/main">
          <a:off x="2866008" y="675292"/>
          <a:ext cx="2408302" cy="23368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lv-LV" sz="900" b="1">
              <a:latin typeface="Times New Roman" panose="02020603050405020304" pitchFamily="18" charset="0"/>
              <a:cs typeface="Times New Roman" panose="02020603050405020304" pitchFamily="18" charset="0"/>
            </a:rPr>
            <a:t>Vidēji ES27</a:t>
          </a:r>
          <a:r>
            <a:rPr lang="lv-LV" sz="900" b="1" baseline="0">
              <a:latin typeface="Times New Roman" panose="02020603050405020304" pitchFamily="18" charset="0"/>
              <a:cs typeface="Times New Roman" panose="02020603050405020304" pitchFamily="18" charset="0"/>
            </a:rPr>
            <a:t> </a:t>
          </a:r>
          <a:r>
            <a:rPr lang="lv-LV" sz="900" b="1">
              <a:latin typeface="Times New Roman" panose="02020603050405020304" pitchFamily="18" charset="0"/>
              <a:cs typeface="Times New Roman" panose="02020603050405020304" pitchFamily="18" charset="0"/>
            </a:rPr>
            <a:t>- 100</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007 - 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 - 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ngles">
    <a:majorFont>
      <a:latin typeface="Franklin Gothic Medium"/>
      <a:ea typeface=""/>
      <a:cs typeface=""/>
      <a:font script="Jpan" typeface="HG創英角ｺﾞｼｯｸUB"/>
      <a:font script="Hang" typeface="돋움"/>
      <a:font script="Hans" typeface="微软雅黑"/>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Franklin Gothic Book"/>
      <a:ea typeface=""/>
      <a:cs typeface=""/>
      <a:font script="Jpan" typeface="ＭＳ Ｐゴシック"/>
      <a:font script="Hang" typeface="맑은 고딕"/>
      <a:font script="Hans" typeface="隶书"/>
      <a:font script="Hant" typeface="新細明體"/>
      <a:font script="Arab" typeface="Arial"/>
      <a:font script="Hebr" typeface="Arial"/>
      <a:font script="Thai" typeface="Cord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C0206B-6A7E-44A6-944B-A937BF17BB22}">
  <ds:schemaRefs>
    <ds:schemaRef ds:uri="http://schemas.openxmlformats.org/officeDocument/2006/bibliography"/>
  </ds:schemaRefs>
</ds:datastoreItem>
</file>

<file path=docMetadata/LabelInfo.xml><?xml version="1.0" encoding="utf-8"?>
<clbl:labelList xmlns:clbl="http://schemas.microsoft.com/office/2020/mipLabelMetadata">
  <clbl:label id="{1b8a7570-3ec8-4c4e-9532-5dbb2f157b31}" enabled="1" method="Standard" siteId="{fd50a0e4-c289-4266-b7ff-7d9cf5066e91}" contentBits="0" removed="0"/>
</clbl:labelList>
</file>

<file path=docProps/app.xml><?xml version="1.0" encoding="utf-8"?>
<Properties xmlns="http://schemas.openxmlformats.org/officeDocument/2006/extended-properties" xmlns:vt="http://schemas.openxmlformats.org/officeDocument/2006/docPropsVTypes">
  <Template>Normal.dotm</Template>
  <TotalTime>6</TotalTime>
  <Pages>140</Pages>
  <Words>219155</Words>
  <Characters>124919</Characters>
  <Application>Microsoft Office Word</Application>
  <DocSecurity>0</DocSecurity>
  <Lines>1040</Lines>
  <Paragraphs>686</Paragraphs>
  <ScaleCrop>false</ScaleCrop>
  <HeadingPairs>
    <vt:vector size="2" baseType="variant">
      <vt:variant>
        <vt:lpstr>Title</vt:lpstr>
      </vt:variant>
      <vt:variant>
        <vt:i4>1</vt:i4>
      </vt:variant>
    </vt:vector>
  </HeadingPairs>
  <TitlesOfParts>
    <vt:vector size="1" baseType="lpstr">
      <vt:lpstr>Likumprojekta “Par valsts budžetu 2025. gadam un budžeta ietvaru 2025., 2026. un 2027. gadam” paskaidrojumu I. nodaļa</vt:lpstr>
    </vt:vector>
  </TitlesOfParts>
  <Company>Finanšu Ministrija</Company>
  <LinksUpToDate>false</LinksUpToDate>
  <CharactersWithSpaces>343388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Likumprojekta “Par valsts budžetu 2026. gadam un budžeta ietvaru 2026., 2027. un 2028. gadam” paskaidrojumu I. nodaļa</dc:title>
  <dc:subject/>
  <dc:creator>klinta.krauze@fm.gov.lv</dc:creator>
  <cp:keywords/>
  <dc:description>klinta.krauze@fm.gov.lv; 25681938</dc:description>
  <cp:lastModifiedBy>Klinta Krauze-Tola</cp:lastModifiedBy>
  <cp:revision>3</cp:revision>
  <cp:lastPrinted>2020-02-10T11:16:00Z</cp:lastPrinted>
  <dcterms:created xsi:type="dcterms:W3CDTF">2025-10-09T07:58:00Z</dcterms:created>
  <dcterms:modified xsi:type="dcterms:W3CDTF">2025-10-10T11:22:00Z</dcterms:modified>
  <cp:contentStatus/>
</cp:coreProperties>
</file>