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21-TA-292: Noteikumu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nedublēt Ceļu satiksmes likuma regulējumu. Piemēram, projekta 4. punkta pirmie divi teikumi dublē Ceļu satiksmes likuma 22. panta pirmās daļas 3.</w:t>
            </w:r>
            <w:r w:rsidR="00000000" w:rsidRPr="00000000" w:rsidDel="00000000">
              <w:rPr>
                <w:vertAlign w:val="superscript"/>
                <w:rtl w:val="0"/>
              </w:rPr>
              <w:t xml:space="preserve">1 </w:t>
            </w:r>
            <w:r w:rsidR="00000000" w:rsidRPr="00000000" w:rsidDel="00000000">
              <w:rPr>
                <w:rtl w:val="0"/>
              </w:rPr>
              <w:t xml:space="preserve">punktu, kas noteic, ka uzvedības korekcijas programmu nodrošina fiziskās vai juridiskās personas, kuras satiksmes ministra izveidotai organizētāju atlases komisijai apliecinājušas savas prasmes un pieredzi.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tā izvairītos, lūdzam projekta vienību izteikt, piemēram, pēc šāda parauga: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"Uzvedības korekcijas programmas grupu nodarbības organizētāju atlases komisijā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Uzvedības korekcijas programmas grupu nodarbību organizētāju (turpmāk – komersants) atlases komisijā (turpmāk – komisija)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vērsts uz jaunu pakalpojumu, proti, sociālās korekcijas programmas izveidi, kas nodrošinās, ka transportlīdzekļu vadītājiem, kas sodīti par transportlīdzekļa vadīšanu alkohola reibumā vai narkotisko vai citu apreibinošo vielu ietekmē un kuriem pirmstermiņa veselības pārbaudē nekonstatē alkohola, narkotisko vai psihotropo vielu pārmērīgu, kaitējošu lietošanu vai atkarību, atgūstot transportlīdzekļu vadīšanas tiesības, obligāti būs jāapmeklē speciālas  nodarbības, kas vērstas uz personas uzvedības korekciju, likumpārkāpuma izdarīšanas cēloņiem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šis ir pavisam jauns pakalpojums, bet ar nozīmīgu sociālo mērķi - atturēt personas no transportlīdzekļa vadīšanas reibumā, veikt minēto personas uzvedības korekciju un sekmēt sabiedrības drošību, ir nepieciešama arī valsts uzraudzība, lai šis pakalpojums veiksmīgi un efektīvi darbotos. Attiecīgi valstij būtu rūpīgi jāseko līdzi nodarbību kvalitātei, dalībnieku skaitam, rezultātiem, kā arī nepieciešamajiem programmas pilnveidojumiem. Tikai tā būs iespējams noskaidrot, vai sociālās korekcijas programma ir sekmīga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w:t>
            </w:r>
            <w:r w:rsidR="00000000" w:rsidRPr="00000000" w:rsidDel="00000000">
              <w:rPr>
                <w:b w:val="1"/>
                <w:rtl w:val="0"/>
              </w:rPr>
              <w:t xml:space="preserve">lūdzam Ministru kabineta sēdes protokollēmuma projektā ietvert uzdevumu </w:t>
            </w:r>
            <w:r w:rsidR="00000000" w:rsidRPr="00000000" w:rsidDel="00000000">
              <w:rPr>
                <w:rtl w:val="0"/>
              </w:rPr>
              <w:t xml:space="preserve">Satiksmes ministrijai informēt Ministru kabinetu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kuras nodrošina uzvedības korekcijas programmu īstenošanu (jeb par organizētājiem, ar kuriem noslēgti deleģēšanas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pirmos trīs gadus katru gadu informēt par programmas rezultātiem, proti, monitorēt personas, kuras ir pabeigušas programmu, un noskaidrot, vai un cik bieži šādas personas atkal vada transportlīdzekli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apsvērt arī citus kritērijus, kurus būtu vērts uzraudzīt,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kuras sāk apmeklēt nodarbības, bet kopumā programmu nepabeidz un kādi tam varētu būt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pakalpojuma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kāda ir dalības programmā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izstrādāts saskaņā ar Ministru prezidenta uzdoto 2020.gada 6.janvāra rezolūciju Nr.12/2019-JUR-296, kas nosaka uzdevumu līdz 2020. gada 31. decembrim sagatavot un noteiktā kārtībā iesniegt Ministru kabinetā Ceļu satiksmes likuma (2019. gada 19. decembra likuma "Grozījumi Ceļu satiksmes likumā" redakcijā) 22. panta pirmās daļas 3.1 punktā minēto uzvedības korekcijas programmas organizēšanas un norises, attiecīgi nodrošinot pārejas noteikumu 48. punktā Ministru kabinetam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sanāksmē (09.12.2021. sēdes protokols #41, 2. §) Satiksmes ministrijai tika uzdots sagatavot grozījumus Ceļu satiksmes likumā, precizējot deleģējumu Ministru kabinetam un pēc grozījumu atbalstīšanas atbildīgajā Saeimas komisijā, attiecīgi precizēt noteikumu projektu un iesniegt to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veic uzdevumu izpildi atbilstoši to saturam un jauna uzdevuma paredzēšanai nav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16.</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paredzēts, ka nodarbības notiek par maksu. Minētais punkts dublē Ceļu satiksmes likuma 22.</w:t>
            </w:r>
            <w:r w:rsidR="00000000" w:rsidRPr="00000000" w:rsidDel="00000000">
              <w:rPr>
                <w:vertAlign w:val="superscript"/>
                <w:rtl w:val="0"/>
              </w:rPr>
              <w:t xml:space="preserve">1</w:t>
            </w:r>
            <w:r w:rsidR="00000000" w:rsidRPr="00000000" w:rsidDel="00000000">
              <w:rPr>
                <w:rtl w:val="0"/>
              </w:rPr>
              <w:t xml:space="preserve"> panta otrajā daļā noteikto. Līdz ar to projekta 16.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6.</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 punkta izriet, ka organizētājam tiek izsniegta "komisijas atļauja par nodarbību organizēšanu". Projekta anotācijā šā regulējuma skaidrojums nav atrodams.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programmas īstenošana ir valsts pārvaldes uzdevums, tad uzdevuma deleģēšanas procedūra ir noteikta Valsts pārvaldes iekārtas likuma V nodaļā. Ceļu satiksmes likuma regulējums neizslēdz Valsts pārvaldes iekārtas likuma piemērošanu, izņemot pakalpojuma maksas noteikšanas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nevar uzskatīt, ka pārvaldes uzdevums privātpersonai būtu deleģēts ar ārēju normatīvo aktu. Ja pārvaldes uzdevums tiek deleģēts ar normatīvo aktu, tad attiecīgajā normatīvajā aktā jau konkrēti ir noteikta persona, kurai uzdevums ir deleģēts. Savukārt, ja pārvaldes uzdevums ir deleģēts ar līgumu, tad ārējā normatīvajā aktā vispārīgi ir paredzēts pilnvarojums deleģēt kādu uzdevumu, taču konkrēta persona, kurai uzdevums ir deleģēts, tiek nosaukta tikai deleģēšanas līgumā. Turklāt pat tad, ja deleģēšana notiek ar ārējo normatīvo aktu, tas neizslēdz iespēju slēgt arī deleģēšanas līgumu. Šajā gadījumā deleģēšanas līguma mērķis ir tikai sīkāk noregulēt deleģēšanas noteikumus, piemēram, kā tiks nodrošināta kontrole par deleģētā uzdevuma izpildi (</w:t>
            </w:r>
            <w:r w:rsidR="00000000" w:rsidRPr="00000000" w:rsidDel="00000000">
              <w:rPr>
                <w:i w:val="1"/>
                <w:rtl w:val="0"/>
              </w:rPr>
              <w:t xml:space="preserve">Briede J., Danovskis E., Kovaļevska A. Administratīvās tiesības. Rīga: Tiesu namu aģentūra, 2021, 133.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Konkrētajā gadījumā Ceļu satiksmes likums nenoteic konkrētu privātpersonu, kā arī nav detalizēti regulēti noteikumi par to, kā Satiksmes ministrija īstenos pārvaldes uzdevuma izpildes kontroli. Šie un citi jautājumi tad būs ietverami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6. punktā nav izmantojami vārdi "pēc komisijas atļaujas saņemšanas par nodarbību organizēšanu". Attiecīgo procedūru jau regulē Valsts pārvaldes iekārtas likums un "atļaujas" nepieciešamība nav paredzēta. Minētie vārdi projekta 6. punktā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redakcija:"Komersants   noslēdz    līgumu  par   šo   noteikumu   15.punktā   minēto   datu   apmaiņu  ar   valsts akciju   sabiedrību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4. un 5.</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 prasība, ka organizētājs ir apliecinājis spēju organizēt nodarbības atbilstoši projekta 5. punktā ietvertajiem kritērijiem. Projekta 5. punktā ir noteikti kritēriji, kādiem jāatbilst organizētājam, proti: 1) ir iesniegta komisijai informācija par telpu pieejamību nodarbību vadīšanai, kas atbilst būvnormatīvu, ugunsdrošības un higiēnas noteikumu prasībām; 2) ir iesniegta komisijai informācija par speciālistu pieejamību ar šo noteikumu 7. punktā noteiktajām prasībām; 3) ir iesniegts komisijai rakstiski apliecināts detalizēts uzvedības programmas apraksts, kurā apliecināta spēja vadīt nodarbības atbilstoši šo noteikumu pielikumā minētajai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Normatīvajā aktā neietver normas, kas dublē pašā normatīvā akta projektā ietverto regulējumu (Ministru kabineta 2009. gada 3. februāra noteikumu Nr. 108 "Normatīvo aktu projektu sagatavošanas noteikumi" 3.3. apakšpunkts). Projekta 4. punkts paredz, ka organizētājam ir jāapliecina spēja vadīt nodarbības. Savukārt projekta 5.3. apakšpunktā arī ir paredzēts, ka organizētājs rakstiski apliecina spēju vadīt nodarbības. Turklāt, kā iepriekš minēts, šāds regulējums dublē, lai arī nepilnīgi vai neprecīzi,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ka uzvedības korekcijas programmas grupu nodarbības nodrošina fiziskās vai juridiskās personas, kuras satiksmes ministra izveidotai organizētāju atlases komisijai ir apliecinājušas spēju un pieredzi vadīt šādas nodarbības. Līdz ar to projektā tāda veida regulējumam vispār nevajadzētu būt ietvertam.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minētais regulējums ir pretrunīgs un neskaidrs. No projekta 4. punkta varētu secināt, ka organizētājam ir jāapliecina spēja vadīt nodarbības atbilstoši šo noteikumu 5. punktā noteiktajiem kritērijiem. Citiem vārdiem, organizētājam ir jāatbilst visiem projekta 5. punktā minētajiem kritērijiem. Turpretī projekta 5.3. apakšpunktā kā viens no kritērijiem arī ir minēts organizētāja rakstisks apliecinājums spējai vadīt nodarbības atbilstoši šo noteikumu pielikumā minētajai programmai. Ja kritēriju uzskaitījums ir ietverts projekta 5. punktā, tad projekta 4. punktā kritēriji nav jānorāda un nav jālieto arī tādas pašas vārdiskās izteiksmes, kādas izmantotas kritēriju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ko tieši ietver projekta 5.3. apakšpunktā minētais apliecinājums spējai vadīt nodarbības atbilstoši projekta pielikumā minētajai programmai. No projekta 4. punktā varētu secināt, ka spēju vadīt nodarbības apliecina atbilstība projekta 5. punktā paredzētajiem kritērijiem. Tomēr projekta 5.3. apakšpunktā paredzēts īpašs rakstveida apliecinājums ar nenoteiktu saturu, neskaidru nozīmi un nepieciešamību (neskarot uzvedības programmas aprakstu). Projekta anotācijā nav ietverts skaidrojums, kāds ir šāda apliecinājuma saturs un kāpēc tāds nepieciešams, ja spējai vadīt nodarbības būtu jāizriet jau no tā, ka organizētājs atbilst pārējiem kritējiem un ir izteicis vēlmi vadīt nodarbības. Šādi papildu formāliem apliecinājumiem nav nekādas nozīmes, kas liecina par izteikti birokrātisku prasību. Ievērojot minēto, precizējams projekta 5.3.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 un 5.3.apakšpunkts.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Uzvedības korekcijas programmas grupu nodarbības (turpmāk – nodarbības)  nodrošina fiziska vai juridiska persona (turpmāk – komersants) atbilstoši šo noteikumu 5.punktā noteiktajiem kritērijiem. Komersanta izvērtēšanu veic satiksmes ministra izveidota organizētāju atlases komisija (turpmāk – komisija).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ir iesniegts komisijai detalizēts uzvedības programmas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punkta pirmais teikums paredz: "Uzvedības korekcijas programmas grupu nodarbības (turpmāk – nodarbības)  nodrošina fiziska vai juridiska persona (turpmāk – organizētājs), kura satiksmes ministra izveidotai organizētāju atlases komisijai (turpmāk – komisija) apliecinājusi spēju organizēt nodarbības atbilstoši šo noteikumu 5.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Minētais regulējums nepieļaujami dublē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ka "uzvedības korekcijas programmas grupu nodarbības nodrošina fiziskās vai juridiskās personas, kuras satiksmes ministra izveidotai organizētāju atlases komisijai ir apliecinājušas spēju un pieredzi vadīt šādas nodarbības". Projektā neietver normas, kas dublē augstāka spēka normatīvā akta tiesību normās ietverto regulējumu (Ministru kabineta 2009. gada 3. februāra noteikumu Nr. 108 "Normatīvo aktu projektu sagatavošanas noteikumi" 3.2. apakšpunkts). Tas nav tikai tehnisks vai redakcionāls jautājums, tādējādi Ministru kabinets apzināti vai neapzināti var mainīt likuma saturu, pārkāpt pilnvarojuma robežas un radīt sistēmiski pretrunīgu regulējumu (</w:t>
            </w:r>
            <w:r w:rsidR="00000000" w:rsidRPr="00000000" w:rsidDel="00000000">
              <w:rPr>
                <w:i w:val="1"/>
                <w:rtl w:val="0"/>
              </w:rPr>
              <w:t xml:space="preserve">plašāk sk.: Normatīvo aktu projektu izstrādes rokasgrāmata, https://tai.mk.gov.lv/book/1/chapter/110</w:t>
            </w:r>
            <w:r w:rsidR="00000000" w:rsidRPr="00000000" w:rsidDel="00000000">
              <w:rPr>
                <w:rtl w:val="0"/>
              </w:rPr>
              <w:t xml:space="preserve">). Līdz ar to no projekta svītrojams Ceļu satiksmes likumu dublējošais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projekta 4. punkts nav pilnībā saskaņots ar Ceļu satiksmes likumu. Ja likumā ir minēta "spēja un pieredze vadīt šādas nodarbības", tad projektā iekļauta tikai "spēja organizēt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 projektā, gan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ir norādīts, ka uzvedības korekcijas programmas grupu nodarbības nodrošina fiziskās vai juridiskās personas. Savukārt Ceļu satiksmes likuma 22.</w:t>
            </w:r>
            <w:r w:rsidR="00000000" w:rsidRPr="00000000" w:rsidDel="00000000">
              <w:rPr>
                <w:vertAlign w:val="superscript"/>
                <w:rtl w:val="0"/>
              </w:rPr>
              <w:t xml:space="preserve">1</w:t>
            </w:r>
            <w:r w:rsidR="00000000" w:rsidRPr="00000000" w:rsidDel="00000000">
              <w:rPr>
                <w:rtl w:val="0"/>
              </w:rPr>
              <w:t xml:space="preserve"> panta pirmajā daļā ir noteikts, ka "uzvedības korekcijas programmas īstenošanu nodrošina komersants". Tā kā termina "komersants" tvērums ir visai atšķirīgs no vārdkopas "fiziskās vai juridiskās personas", tad pastāv jautājums, kas galu galā būs tiesīgs īstenot uzvedības korekcijas programmas. Lai arī projekts (Ministru kabineta noteikumi) šo jautājumu nevar tieši vai netieši ietekmēt, tam ir jābūt skaidram, lai varētu izstrādāt projektu (piemēram, skaidrojumu varētu ietvert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LR Saeimas Kancelejas 2001.gada 16.marta vēstuli Nr. 12/1-3-12, LZA Terminoloģijas komisija 2001.gada 26.marta Lēmumā Nr. 5 "Par Komerclikuma terminiem komersants, komercdarbība, firma u.c." norāda, ka komersants ir "fiziska vai juridiska persona, kuras saimnieciskā darbība orientēta uz peļņas gūšanu,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vietnes www.lvportals.lv 2021.gada 8.jūlija zvērinātu advokātu biroja "Sorainen" publikācijā "Saimnieciskās darbības formas – kuru izvēlēties (l) sniegto skaidrojumu "saimnieciskās darbības un komercdarbības veicēji ir akciju sabiedrība, sabiedrība ar ierobežotu atbildību, pilnsabiedrība, komandītsabiedrība un individuālais komersants. Visi minētie saimnieciskās darbības veicēji ir komersanti. Viens no  saimnieciskās darbības formu atšķirības kritērijiem ir statuss, kādā persona veic saimniecisko darbību. Proti, vai fiziskā persona saimniecisko darbību veic savā vārdā vai speciāli saimnieciskās darbības veikšanai izveidota subjekta – AS, SIA, PS, KS, KpS, ZS, ZvS – vārdā." Atbilstoši publikācijā norādītajam speciāli saimnieciskās darbības veikšanai izveidotie subjekti (AS, SIA, KpS)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 punkts un iedalījums nodaļās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pirmajā punktā secīgi raksta vārdus "noteikumi nosaka" un likumā noteikto pilnvarojumu Ministru kabinetam (Ministru kabineta 2009. gada 3. februāra noteikumu Nr. 108 "Normatīvo aktu projektu sagatavošanas noteikumi" 100. punkts). Projekta 1. punkts neatbilst Ceļu satiksmes likuma 22.</w:t>
            </w:r>
            <w:r w:rsidR="00000000" w:rsidRPr="00000000" w:rsidDel="00000000">
              <w:rPr>
                <w:vertAlign w:val="superscript"/>
                <w:rtl w:val="0"/>
              </w:rPr>
              <w:t xml:space="preserve">1</w:t>
            </w:r>
            <w:r w:rsidR="00000000" w:rsidRPr="00000000" w:rsidDel="00000000">
              <w:rPr>
                <w:rtl w:val="0"/>
              </w:rPr>
              <w:t xml:space="preserve"> panta ceturtajai daļai. Līdz ar to nepieciešams projekta 1. punktā iekļaut spēkā esošā pilnvarojuma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pievēršama uzmanība projekta struktūrai, proti, iedalījumam nodaļās. Kā redzams no pilnvarojuma teksta, tad "programmas organizēšanas un norises kārtība" (šobrīd šķietami aptver visu projekta saturu) ir tikai daļa no projektā regulējamiem jautājumiem. Tā kā projekts nav apjomīgs, tad, domājams, vienkāršākā pieeja būtu vispār atteikties no iedalījuma nodaļās. Pretējā gadījumā iedalījums nodaļās veidojams, ievērojot pilnvarojumā lietotās vārdiskās izteiksmes un pilnvarojuma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transportlīdzekļa vadītāja, kurš sodīts par transportlīdzekļa vadīšanu alkohola reibumā vai narkotisko vai citu apreibinošo vielu ietekmē un kuram pirmstermiņa veselības pārbaudē nekonstatē alkohola, narkotisko vai psihotropo vielu pārmērīgu, kaitējošu lietošanu vai atkarību, (turpmāk –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uzvedības korekcijas programmas uzdevumus, saturu un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uzvedības korekcijas programmas īstenošanai nepieciešamās kvalifikācijas, pieredzes, personāla un telpu pieejamības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uzvedības korekcijas programmas organizēšanas un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papildināts ar spēkā esošā pilnvarojuma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struktūra.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atbilstošais pilnvarojums Ministru kabinetam ir ietverts Ceļu satiksmes likuma 22.</w:t>
            </w:r>
            <w:r w:rsidR="00000000" w:rsidRPr="00000000" w:rsidDel="00000000">
              <w:rPr>
                <w:vertAlign w:val="superscript"/>
                <w:rtl w:val="0"/>
              </w:rPr>
              <w:t xml:space="preserve">1</w:t>
            </w:r>
            <w:r w:rsidR="00000000" w:rsidRPr="00000000" w:rsidDel="00000000">
              <w:rPr>
                <w:rtl w:val="0"/>
              </w:rPr>
              <w:t xml:space="preserve"> panta ceturtajā daļā. Lūdzam precizēt norādi uz noteikumu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Ceļu satiksmes likuma 22.</w:t>
            </w:r>
            <w:r w:rsidR="00000000" w:rsidRPr="00000000" w:rsidDel="00000000">
              <w:rPr>
                <w:vertAlign w:val="superscript"/>
                <w:rtl w:val="0"/>
              </w:rPr>
              <w:t xml:space="preserve">1</w:t>
            </w:r>
            <w:r w:rsidR="00000000" w:rsidRPr="00000000" w:rsidDel="00000000">
              <w:rPr>
                <w:rtl w:val="0"/>
              </w:rPr>
              <w:t xml:space="preserve">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izdošanas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"Izdoti saskaņā ar Ceļu satiksmes likuma 22.1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nav pielāgots 2023. gada 22. jūnija likuma "Grozījumi Ceļu satiksmes likumā" radītajām izmaiņām. Projekta struktūra un saturs vairs neatbilst šobrīd spēkā esošajam Ceļu satiksmes likumam. Lūdzam precizēt projektu un novērst radušās neatbilstības, ievērojot arī turpmāk atzinumā norādītos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nesaskaņo precizēto noteikumu projektu un tā anotāciju, jo projekts nav pilnā apmērā precizēts atbilstoši grozījumiem Ceļu satiksmes likumā, kuri Saeimā tika pieņemti 2023. gada 22. jūnijā. Piemēram,  projekta 4. punkta pirmajā teikumā paredzētais regulējums nav saskaņots ar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(redakcijā, kas spēkā no 06.07.2023.).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w:t>
            </w:r>
            <w:r w:rsidR="00000000" w:rsidRPr="00000000" w:rsidDel="00000000">
              <w:rPr>
                <w:u w:val="single"/>
                <w:rtl w:val="0"/>
              </w:rPr>
              <w:t xml:space="preserve">noteikumu projektā</w:t>
            </w:r>
            <w:r w:rsidR="00000000" w:rsidRPr="00000000" w:rsidDel="00000000">
              <w:rPr>
                <w:rtl w:val="0"/>
              </w:rPr>
              <w:t xml:space="preserve">, ka komisija </w:t>
            </w:r>
            <w:r w:rsidR="00000000" w:rsidRPr="00000000" w:rsidDel="00000000">
              <w:rPr>
                <w:u w:val="single"/>
                <w:rtl w:val="0"/>
              </w:rPr>
              <w:t xml:space="preserve">informē transpostlīdzekļa vadītāju</w:t>
            </w:r>
            <w:r w:rsidR="00000000" w:rsidRPr="00000000" w:rsidDel="00000000">
              <w:rPr>
                <w:rtl w:val="0"/>
              </w:rPr>
              <w:t xml:space="preserve"> par to, ka transportlīdzekļa vadīšanas tiesības var atgūt tikai pēc dalības uzvedības korekcijas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 medicīniskā komisija pēc transportlīdzekļa vadītāja veselības pārbaudes informē </w:t>
            </w:r>
            <w:r w:rsidR="00000000" w:rsidRPr="00000000" w:rsidDel="00000000">
              <w:rPr>
                <w:u w:val="single"/>
                <w:rtl w:val="0"/>
              </w:rPr>
              <w:t xml:space="preserve">transportlīdzekļa vadītāju</w:t>
            </w:r>
            <w:r w:rsidR="00000000" w:rsidRPr="00000000" w:rsidDel="00000000">
              <w:rPr>
                <w:rtl w:val="0"/>
              </w:rPr>
              <w:t xml:space="preserve">, ka tā transportlīdzekļa vadīšanas tiesības var atgūt tikai pēc dalības uzvedības korekcijas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 Specializētā medicīniskā komisija pēc transportlīdzekļa vadītāja veselības pārbaudes informē transportlīdzekļa vadītāju, ka tā transportlīdzekļa vadīšanas tiesības var atgūt tikai pēc dalības uzvedības korekcijas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2.daļā precizēt, kur tieši transportlīdzekļa vadītājs  var iegūt uzticamu informāciju par grupu nodarbību organizētājiem. Atzīmējams, ka netiks ievērots vienas pieturas un vienlīdzīgas attieksmes principi, ja transportlīdzekļa vadītājam netiks nodrošināta iespēja vienuviet iegūt drošticamu informāciju par visiem organizētājiem.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"specializētā medicīniskā komisija pēc personas veselības pārbaudes informēs (mutiski vai rakstiski) personu par nepieciešamību apmeklēt uzvedības korekciju grupu nodarbības un norādīs kontaktinformāciju par komersantiem, kuri šādas nodarbības organizē".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Oficiālās elektroniskās adreses likuma 5.pantā noteiktās prasības par obligātu oficiālās elektroniskās adreses (e-adrese) izmantošanu, informāciju par informēšanas kanālu ievietojot anotācijas 2.daļā.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2.daļu.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veicot veselības pārbaudi transportlīdzekļa vadītājam, kas sodīts par transportlīdzekļa vadīšanu alkohola, narkotisko vai citu apreibinošo vielu ietekmē, un gadījumā, ja nav konstatēta alkohola, narkotisko vai psihotropo vielu pārmērīga, kaitējoša lietošana vai atkarība, specializētā medicīniskā komisija pēc personas veselības pārbaudes informēs (mutiski </w:t>
            </w:r>
            <w:r w:rsidR="00000000" w:rsidRPr="00000000" w:rsidDel="00000000">
              <w:rPr>
                <w:u w:val="single"/>
                <w:rtl w:val="0"/>
              </w:rPr>
              <w:t xml:space="preserve">un</w:t>
            </w:r>
            <w:r w:rsidR="00000000" w:rsidRPr="00000000" w:rsidDel="00000000">
              <w:rPr>
                <w:rtl w:val="0"/>
              </w:rPr>
              <w:t xml:space="preserve"> rakstiski, </w:t>
            </w:r>
            <w:r w:rsidR="00000000" w:rsidRPr="00000000" w:rsidDel="00000000">
              <w:rPr>
                <w:u w:val="single"/>
                <w:rtl w:val="0"/>
              </w:rPr>
              <w:t xml:space="preserve">tostarp, nosūtot informāciju oficiālajā elektroniskajā adresē, ja transportlīdzekļa vadītājs ir tās lietotājs</w:t>
            </w:r>
            <w:r w:rsidR="00000000" w:rsidRPr="00000000" w:rsidDel="00000000">
              <w:rPr>
                <w:rtl w:val="0"/>
              </w:rPr>
              <w:t xml:space="preserve">) personu par nepieciešamību apmeklēt uzvedības korekciju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attiecīgi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"Saskaņā ar Noteikumu projektu, veicot veselības pārbaudi transportlīdzekļa vadītājam, kas sodīts par transportlīdzekļa vadīšanu alkohola, narkotisko vai citu apreibinošo vielu ietekmē, un gadījumā, ja nav konstatēta alkohola, narkotisko vai psihotropo vielu pārmērīga, kaitējoša lietošana vai atkarība, specializētā medicīniskā komisija pēc personas veselības pārbaudes informēs (mutiski un rakstiski, tostarp, nosūtot informāciju oficiālajā elektroniskajā adresē, ja transportlīdzekļa vadītājs ir tās lietotājs) personu par nepieciešamību apmeklēt uzvedības korekciju grupu nodarbības."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12.punkta pirmajā teikumā vārdu "organizētāju" ar vārdu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12.punkta pirmais teikums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"12. Transportlīdzekļu vadītājs piedalās nodarbībās, pamatojoties uz transportlīdzekļa vadītāja līgumu ar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15. punkta vārdisko izteiksmi, lai tiesību norma būtu stilistiski pareiza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"15. Par transportlīdzekļa vadītāja uzvedības korekcijas programmas pabeigšanu, komersants izdara atzīmi transportlīdzekļu un to vadītāju valsts reģistrā" vai "15. Ja transportlīdzekļa vadītājs apmeklējis visas nodarbības un pabeidzis transportlīdzekļa vadītāja uzvedības korekcijas programmu, komersants izdara atzīmi transportlīdzekļa un to vadītāju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projekta 12. punkta precizēšanu, lai tajā ietvertās darbības būtu secīgas. Proti, vispirms persona tiek informēta, tad tiek slēgta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 punktu, proti, tās regulējumu savstarpēji nodalot. Šobrīd projekta 9. punktā ir ietvertas divas tiesību normas: 1) nodarbību ilgums un 2) apmacību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punkta vārdkopu "komersanta pārstāvētais speciālists" uz "speciālists, kurš vada nodarbību".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programmas organizētājs nepārstāv speciālistu un  tās nav uzskatāmas par tipiskām pārstāvības attiecībām, kuras ir starp abiem šiem subjektiem. Tādējādi šāds juridisko attiecību apzīmējums nav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5.2. apakšpunktā svītrot vārdkopu "ar šo noteikumu 7. punktā noteiktajām prasībām". Minētai vārdkopai nav juridiskās slodzes, proti, ja projektā ir noteiktas prasības speciālistiem, tad tikai tādi speciālisti arī varēs darboties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šaubas par projektā paredzētā jēdziena "komersants" izpratni (projekta 4. punkts un tālākie projekta punkti), aicinām projektā izmantot terminu "organizētājs", nevis "komersants". Šāds termins atbilstu arī vairāk Ceļu satiksmes likuma 22.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 punktu, lai tā teksts būtu secīgs darbībai, kuru paredzēts veikt. Proti, vispirms norādot, ka tiek ievadīta informācija reģistros un transportlīdzekļa vadīšanas tiesības var atgūt tikai pēc dalības uzvedības korekcijas programmā. Pēc tam  noteikt informācijas apmaiņas regulējumu starp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4.panta piekto daļu, valsts akciju sabiedrība “Ceļu satiksmes drošības direkcija” nodrošina un uztur transportlīdzekļu un to vadītāju valsts reģistru, kā arī piešķir un anulē transportlīdzekļu vadītāju apliecības, līdz ar ko izsakām priekšlikumu papildināt projekta 2.punktu aiz vārda "atgūt" ar "valsts akciju sabiedrībā "Ceļu satiksmes drošības direkcija"".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Specializētā medicīniskā komisija pēc transportlīdzekļa vadītāja veselības pārbaudes informē transportlīdzekļa vadītāju, ka tā transportlīdzekļa vadīšanas tiesības var atgūt valsts akciju sabiedrībā "Ceļu satiksmes drošības direkcija" tikai pēc dalības uzvedības korekcijas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redakcionāli precizēt</w:t>
            </w:r>
            <w:r w:rsidR="00000000" w:rsidRPr="00000000" w:rsidDel="00000000">
              <w:rPr>
                <w:rtl w:val="0"/>
              </w:rPr>
              <w:t xml:space="preserve"> projektu, ievērojot vispārpieņemtās juridiskās tehnikas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punktā ietverts uzskaitījums, punktu var iedalīt apakšpunktos. Katru uzskaitījuma vienību raksta atsevišķā apakšpunktā (Ministru kabineta 2009. gada 3. februāra noteikumu Nr. 108 "Normatīvo aktu projektu sagatavošanas noteikumi" 102. punkts). Dažāda veida uzskaitījums ir ietverts, piemēram, projekta 4. un 7. punktā. Iedalījums apakšpunktos ļauj lasītājam vieglāk uztvert un saprast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vairās no vajadzības izteiksmes lietošanas, jo normatīvajā aktā noteiktās prasības jāievēro neatkarīgi no tā, vai tajā lietota vajadzības izteiksme. Ne nozīmes ziņā, ne stilistiski normatīvajā aktā neiederas šādas formas darbības vārdi (piemēram, vārdi "jābūt", "jāapmeklē") (</w:t>
            </w:r>
            <w:r w:rsidR="00000000" w:rsidRPr="00000000" w:rsidDel="00000000">
              <w:rPr>
                <w:i w:val="1"/>
                <w:rtl w:val="0"/>
              </w:rPr>
              <w:t xml:space="preserve">Normatīvo aktu projektu izstrādes rokasgrāmata, https://tai.mk.gov.lv/book/1/chapter/126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saīsinātu un vienkāršotu tiesību akta tekstu, var rakstīt atsauci uz jau esošu tiesību aktu vai atsauci uz tā paša tiesību akta citu vienību. Atsauce ir līdzeklis, kā saīsināt un vienkāršot tiesību akta tekstu, jo, izmantojot atsauces, nav jāraksta viss jau reiz uzrakstītais teksts pilnībā. Vienlaikus jāatceras, ka atsauces ir jālieto saprātīgi un pamatoti, jo to pārmērīga lietošana var sarežģīt tiesību akta satura uztveri. Iekšējā atsauce sasaista paša tiesību akta normas, lai nebūtu atkārtoti jāraksta viens un tas pats regulējums vairākās vietās (</w:t>
            </w:r>
            <w:r w:rsidR="00000000" w:rsidRPr="00000000" w:rsidDel="00000000">
              <w:rPr>
                <w:i w:val="1"/>
                <w:rtl w:val="0"/>
              </w:rPr>
              <w:t xml:space="preserve">sal. Normatīvo aktu projektu izstrādes rokasgrāmata, https://tai.mk.gov.lv/book/1/chapter/98</w:t>
            </w:r>
            <w:r w:rsidR="00000000" w:rsidRPr="00000000" w:rsidDel="00000000">
              <w:rPr>
                <w:rtl w:val="0"/>
              </w:rPr>
              <w:t xml:space="preserve">). Projektā iekšējās atsauces patiesībā nav nepieciešamas. Projekts ir salīdzinoši īss, viegli pārskatāms un pilnībā iespējams izmantot aprakstošas norādes,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vienā punktā ieteicams iekļaut tikai vienu normu – objektīvu, loģiski noslēgtu ideālu vienību, kas sastāv no visiem nepieciešamajiem un tai pašā laikā pietiekamiem normatīvajiem priekšnoteikumiem, kas vajadzīgi, lai iestātos tiesiskās sekas (</w:t>
            </w:r>
            <w:r w:rsidR="00000000" w:rsidRPr="00000000" w:rsidDel="00000000">
              <w:rPr>
                <w:i w:val="1"/>
                <w:rtl w:val="0"/>
              </w:rPr>
              <w:t xml:space="preserve">Rezevska D. Vispārējo tiesību principu nozīme un piemērošana. Rīga: Daigas Rezevskas izdevums, 2015, 52.</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Projektā vairākos gadījumos vienā punktā ir ietvertas vairākas normas (piemēram, projekta 4., 9., 11., 12., 13. punkts). Ne vienmēr arī šīs normas ir tik cieši saistītas, ka varētu atrast attaisnojums, kāpēc būtu pieļaujams tās iekļaut vienā punktā. Apjomīgas projekta vienības tikai apgrūtina regulējuma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 sadaļas 1.punktā norādīts, ka 2019.gadā gadā Latvijā ceļu satiksmē konstatēti 3730 transportlīdzekļu vadītāji alkohola reibumā, bet transportlīdzekļu vadītāji narkotisko vielu iespaidā bija 222, 2021.gadā konstatēti 3534 transportlīdzekļu vadītāji alkohola reibumā un narkotisko vielu iespaidā - 226. 2022.gadā attiecīgi – 2429 un 164.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dati neaptver visus transporlīdzekļu vadītājus, kuri attiecīgajos laika periodos aizturēti par transportlīdzekļa vadīšanu alkohola reibumā, bet tikai to transportlīdzekļu (izņemot veslosipēdu, elektroskrejriteņu un mopēdu) vadītāju skaitu, pret kuriem uzsākts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datiem personu skaits, kurus par transportlīdzekļu (izņemot velosipēdu, mopēdu/motorolleru un elektroskrejriteņu) vadīšanu alkohola reibumā aizturējusi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2020.- 5170, tai skaitā uzsākti administratīvā pārkāpuma procesi – 3527, uzsākti kriminālprocesi – 1643;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- 5288, tai skaitā uzsākti administratīvā pārkāpuma procesi – 3534, uzsākti kriminālprocesi – 1754;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- 4254, tai skaitā uzsākti administratīvā pārkāpuma procesi – 2429, uzsākti kriminālprocesi – 1825.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sadarbībā ar Valsts policiju precizēt Anotācijas II sadaļas 1.punktā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I sadaļas </w:t>
            </w:r>
            <w:r w:rsidR="00000000" w:rsidRPr="00000000" w:rsidDel="00000000">
              <w:rPr>
                <w:i w:val="1"/>
                <w:rtl w:val="0"/>
              </w:rPr>
              <w:t xml:space="preserve"> "Tiesību akta projekta izstrādes nepieciešamība" </w:t>
            </w:r>
            <w:r w:rsidR="00000000" w:rsidRPr="00000000" w:rsidDel="00000000">
              <w:rPr>
                <w:rtl w:val="0"/>
              </w:rPr>
              <w:t xml:space="preserve">apakšsadaļā </w:t>
            </w:r>
            <w:r w:rsidR="00000000" w:rsidRPr="00000000" w:rsidDel="00000000">
              <w:rPr>
                <w:i w:val="1"/>
                <w:rtl w:val="0"/>
              </w:rPr>
              <w:t xml:space="preserve">"Pašreizējā situācija un</w:t>
            </w:r>
            <w:r w:rsidR="00000000" w:rsidRPr="00000000" w:rsidDel="00000000">
              <w:rPr>
                <w:i w:val="1"/>
                <w:rtl w:val="0"/>
              </w:rPr>
              <w:t xml:space="preserve">problēmas, kuru risināšanai tiesību akta projekts izstrādāts, tiesiskā regulējuma mērķis un būtība"</w:t>
            </w:r>
            <w:r w:rsidR="00000000" w:rsidRPr="00000000" w:rsidDel="00000000">
              <w:rPr>
                <w:rtl w:val="0"/>
              </w:rPr>
              <w:t xml:space="preserve"> ir minēts, ka </w:t>
            </w:r>
            <w:r w:rsidR="00000000" w:rsidRPr="00000000" w:rsidDel="00000000">
              <w:rPr>
                <w:i w:val="1"/>
                <w:rtl w:val="0"/>
              </w:rPr>
              <w:t xml:space="preserve">"spēkā esoša ir sodu sistēma, kas par braukšanu reibumā paredz piemērot personai naudas sodu un transportlīdzekļa vadīšanas tiesību atņemšanu"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 no 2022.gada 25.novembra spēkā esoša ir jauna sodu sistēma, kas saskaņā ar Krimināllikuma 262.panta pirmo daļu turpmāk par transportlīdzekļa vadīšanu vai mācīšanu vadīt transportlīdzekli, ja izelpotā gaisa vai asins pārbaudē konstatētā alkohola koncentrācija asinīs pārsniedz 1,5 promiles, vai par transportlīdzekļa vadīšanu vai mācīšanu vadīt transportlīdzekli narkotisko, psihotropo, toksisko  vai citu apreibinošo vielu ietekmē paredz sodīt ar brīvības atņemšanu uz laiku līdz vienam gadam; īslaicīgu brīvības atņemšanu, ar probācijas uzraudzību; ar sabiedrisko darbu; ar naudas sodu; atņemot transportlīdzekļa vadīšanas tiesības uz pieciem gadiem.  Tāpat Krimināllikuma 70.</w:t>
            </w:r>
            <w:r w:rsidR="00000000" w:rsidRPr="00000000" w:rsidDel="00000000">
              <w:rPr>
                <w:vertAlign w:val="superscript"/>
                <w:rtl w:val="0"/>
              </w:rPr>
              <w:t xml:space="preserve">13</w:t>
            </w:r>
            <w:r w:rsidR="00000000" w:rsidRPr="00000000" w:rsidDel="00000000">
              <w:rPr>
                <w:rtl w:val="0"/>
              </w:rPr>
              <w:t xml:space="preserve"> panta piektā daļa paredz, ka, ja transportlīdzeklis ir vadīts apreibinošu vielu ietekmē, konfiskācijai pakļauj noziedzīgu nodarījumu izdarījušai personai piederošo transportlīdzekli, ar kuru tā izdarījusi noziedzīgo darījumu.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veikt redakcionālus precizējumus, uzskaitot aktuālus sodu veidus par braukšanu reibumā.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"Vienlaikus ar komisijas izveidošanu nav paredzēts izveidot jaunu institūciju, esošu institūciju likvidāciju vai reorganizāciju, tādējādi komisijai nav nepieciešams reglaments." Tā kā komisija ir koleģiāla institūcija, tad šāda pieeja varētu neatbilst Valsts pārvaldes iekārtas likuma 75. panta otrajai daļai, proti, iestādes izveidotās koleģiālās institūcijas reglamentu izdod tās iestādes vadītājs, kura attiecīgo koleģiālo institūciju ir izveidojusi. Minētais gan neietekmē projekta saturu, tomēr šādus apgalvojumus projekta anotācijā aicinām neietvert.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projekta anotācijas 7. sadaļas kontekstā norādāms, ka komisija pati par sevi ir jauna koleģiāla institūcija, neatkarīgi no tās izveidošanas principiem, atlīdzības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"Saskaņā ar Valsts izglītības Informācijas sistēmā pieejamajiem datiem Latvijā 2020. gadā bija aptuveni 719 klīniskās un veselības psihologi. Saskaņā ar Latvijas Atkarības Psihologu apvienības sniegto informāciju, līdzīga veida nodarbības tiek organizētas pa reģioniem (Kurzemes, Zemgales, Vidzemes, Latgales,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informācija par 2019. un 2020. gadu ietverta arī projekta anotācijas 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ietvert informāciju par situāciju 2023. gadā vai iespējami tuvu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21-TA-292</w:t>
    </w:r>
    <w:r>
      <w:br/>
    </w:r>
    <w:r w:rsidR="00000000" w:rsidRPr="00000000" w:rsidDel="00000000">
      <w:rPr>
        <w:rtl w:val="0"/>
      </w:rPr>
      <w:t xml:space="preserve">Izdrukāts 29.08.2023.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21-TA-292</w:t>
    </w:r>
    <w:r>
      <w:br/>
    </w:r>
    <w:r w:rsidR="00000000" w:rsidRPr="00000000" w:rsidDel="00000000">
      <w:rPr>
        <w:rtl w:val="0"/>
      </w:rPr>
      <w:t xml:space="preserve">Izdrukāts 29.08.2023.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Izziņa_21-TA-292.docx</dc:title>
</cp:coreProperties>
</file>

<file path=docProps/custom.xml><?xml version="1.0" encoding="utf-8"?>
<Properties xmlns="http://schemas.openxmlformats.org/officeDocument/2006/custom-properties" xmlns:vt="http://schemas.openxmlformats.org/officeDocument/2006/docPropsVTypes"/>
</file>