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26-TA-233: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28. novembra noteikumos Nr. 690 "Eiropas Savienības kohēzijas politikas programmas 2021.–2027. gadam 1.1.1. specifiskā atbalsta mērķa "Pētniecības un inovāciju kapacitātes stiprināšana un progresīvu tehnoloģiju ieviešana  kopējā P&amp;A sistēmā" 1.1.1.1. pasākuma "Zinātnes politikas ieviešana, vadība un kapacitātes stiprināšana"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(30.11.2023.)</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18.03.2026. 17:46</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1.3.apakšsadaļu ar skaidrojumu par izstrādātā noteikumu projekta ietekmi uz finansējuma saņēmēju, tas ir Izglītības un zinātnes ministriju,  kā arī vai vienošanās par projekta īstenošanu būs nepieciešams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papildināta ar skaidrojumu.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minētās tiešās attiecināmās personāla izmaksas ietver šādas izmaksu pozīcijas: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ministrijas izstrādātajā “Vadlīniju attiecināmo izmaksu noteikšanai Eiropas Savienības kohēzijas politikas programmas 2021.–2027. gada plānošanas periodā” 09.06.2025. redakcijā ir dzēsta iepriekš noteiktā prasība par minimālo darbinieku nodarbinātības apjomu (t.i. vismaz 30 % no normālā darba laika), aicinām nenoteikt stingrākas prasības, nekā tās, kas noteiktas spēkā esošajās vadlīnijās. Attiecīgi lūdzam precizēt MKN 17.1., 17.2., 17.3.1., 17.3.2.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 gada 9. jūnija Finanšu ministrijas vadlīnijām Nr. 1.2. "Vadlīnijas attiecināmo izmaksu noteikšanai Eiropas Savienības kohēzijas politikas programmas 2021.–2027.gada plānošanas periodā" (3. versija) ir rekomendējošs raksturs, un atbilstošo situāciju projektā, atbildīgā iestāde neņem vērā priekšlikumu un saglabā līdzšinējo izmaksu struktūru un piemērošanas kārtību, kas atbilst drošas finanšu pārvaldības principiem, ievērojot samērīguma principus, un visas darbības tiek veiktas, lai publiskais finansējums tiktu investēts lietderīgi, efektīvi, atbildīgi, rūpīgi un atbilstoši plānotajam mērķim un saskaņā ar normatīvo regulējumu. Ar precizējumu sniedzēju izrunāts telefonsarunā 14.04.2026.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minētās tiešās attiecināmās personāla izmaksas ietver šādas izmaksu pozīcijas: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projekta vadības personāla izmaksas (izņemot virsstundas) šo noteikumu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w:t>
            </w:r>
            <w:r w:rsidR="00000000" w:rsidRPr="00000000" w:rsidDel="00000000">
              <w:rPr>
                <w:rtl w:val="0"/>
              </w:rPr>
              <w:t xml:space="preserve"> minēto atbalstāmo darbību īstenošanai, paredzot projekta vadības personāla izmaksu ierobežojumu līdz 84 787 </w:t>
            </w:r>
            <w:r w:rsidR="00000000" w:rsidRPr="00000000" w:rsidDel="00000000">
              <w:rPr>
                <w:i w:val="1"/>
                <w:rtl w:val="0"/>
              </w:rPr>
              <w:t xml:space="preserve">euro </w:t>
            </w:r>
            <w:r w:rsidR="00000000" w:rsidRPr="00000000" w:rsidDel="00000000">
              <w:rPr>
                <w:rtl w:val="0"/>
              </w:rPr>
              <w:t xml:space="preserve">kalendāra gadā. Ja personāla iesaiste projektā ir nodrošināta saskaņā ar daļlaika attiecināmības principu, attiecināma ir ne mazāka kā 30 procentu noslodze;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noteikts, ka projekta vadības personāla izmaksu ierobežojums ir līdz 84 787 EUR kalendārajā gadā. Ņemot vērā, ka Finanšu ministrijas 25.09.2023. redakcijā izstrādātajās vadlīnijās “Vadlīniju attiecināmo izmaksu noteikšanai Eiropas Savienības kohēzijas politikas programmas 2021.-2027.gada plānošanas periodā” ir skaidri noteikts, ka minētais ierobežojums piemērojams attiecībā uz ES fondu (t.i. ERAF) daļu, aicinām, lai izvairītos no dažādas interpretācijas, precizēt regulējumu, nosakot, ka ierobežojums piemērojams tieši ERAF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 gada 9. jūnija Finanšu ministrijas vadlīnijām Nr. 1.2. "Vadlīnijas attiecināmo izmaksu noteikšanai Eiropas Savienības kohēzijas politikas programmas 2021.–2027.gada plānošanas periodā" (3. versija) ir rekomendējošs raksturs, un atbilstošo situāciju projektā, atbildīgā iestāde neņem vērā priekšlikumu un saglabā līdzšinējo izmaksu struktūru un piemērošanas kārtību, kas atbilst drošas finanšu pārvaldības principiem, ievērojot samērīguma principus, un visas darbības tiek veiktas, lai publiskais finansējums tiktu investēts lietderīgi, efektīvi, atbildīgi, rūpīgi un atbilstoši plānotajam mērķim un saskaņā ar normatīvo regulējumu. Ar precizējumu sniedzēju izrunāts telefonsarunā 14.04.2026.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informāciju par projekta īstenošanas gaitu savā tīmekļvietnē aktualizē, tiklīdz tā pieejama, bet ne retāk kā reizi trijos mēnešos.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izvērtēt un nenoteikt stingrākas prasības par tām, kas paredzētas ES fondu 2021.–2027. gada un Atveseļošanas fonda komunikācijas un dizaina vadlīnijās. Esošajā redakcijā ir noteikts, ka informācija jāaktualizē ne retāk kā reizi trijos mēnešos, taču ierosinām norādīt tikai to, ka informācija jāaktualizē, ja tas ir nepieciešams, nenosakot konkrētu biežumu. Tas ļautu saglabāt prasības atbilstošas vadlīnijām, neieviešot stingrākus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28. punkts.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informāciju par projekta īstenošanas gaitu savā tīmekļvietnē aktualizē, tiklīdz tā pieejama.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un sadarbības partneris nodrošina interešu konflikta neesību saskaņā ar Eiropas Parlamenta un Padomes 2018. gada 18. jūlija Regulas (ES, Euratom)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 prasībām un normatīvajiem aktiem publisko iepirkumu jomā, kā arī paraksta interešu konflikta neesības apliecinājumu.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 Eiropas Parlamenta un Padomes Regula bija spēkā līdz 29.09.2024., lūdzam aktualizēt atsauci, aizstājot to ar šobrīd spēkā esošo Eiropas Parlamenta un Padomes Regulu (ES, Euratom) Nr. 2024/2509.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32. punkts.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un sadarbības partneris nodrošina interešu konflikta neesību saskaņā ar Eiropas Parlamenta un Padomes 2024. gada 23. septembra Regulas (ES, Euratom) 2024/2509  par finanšu noteikumiem, ko piemēro Savienības vispārējam budžetam, (pārstrādātā redakcija) 61. panta prasībām un normatīvajiem aktiem publisko iepirkumu jomā, kā arī paraksta interešu konflikta neesības apliecinājumu.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26-TA-233</w:t>
    </w:r>
    <w:r>
      <w:br/>
    </w:r>
    <w:r w:rsidR="00000000" w:rsidRPr="00000000" w:rsidDel="00000000">
      <w:rPr>
        <w:rtl w:val="0"/>
      </w:rPr>
      <w:t xml:space="preserve">20.04.2026. 15.56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26-TA-233</w:t>
    </w:r>
    <w:r>
      <w:br/>
    </w:r>
    <w:r w:rsidR="00000000" w:rsidRPr="00000000" w:rsidDel="00000000">
      <w:rPr>
        <w:rtl w:val="0"/>
      </w:rPr>
      <w:t xml:space="preserve">20.04.2026. 15.56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Izziņa_26-TA-233.docx</dc:title>
</cp:coreProperties>
</file>

<file path=docProps/custom.xml><?xml version="1.0" encoding="utf-8"?>
<Properties xmlns="http://schemas.openxmlformats.org/officeDocument/2006/custom-properties" xmlns:vt="http://schemas.openxmlformats.org/officeDocument/2006/docPropsVTypes"/>
</file>