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 jūnija noteikumos Nr. 265 "Valsts atbalsta piešķiršanas kārtība meža nozares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grozījumus noteikumu 18.punktā un tā apakšpunktos attiecībā uz valsts atbalsta projektu konkursam izglītības un zinātnes jomas mērķprogrammās, t.sk. skaidrojot izmaiņas finansējumā salīdzinājumā ar 2024.gadā paredzēto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5.2.12. apakšpunktā paredzēto 10 000 </w:t>
            </w:r>
            <w:r w:rsidR="00000000" w:rsidRPr="00000000" w:rsidDel="00000000">
              <w:rPr>
                <w:i w:val="1"/>
                <w:rtl w:val="0"/>
              </w:rPr>
              <w:t xml:space="preserve">euro </w:t>
            </w:r>
            <w:r w:rsidR="00000000" w:rsidRPr="00000000" w:rsidDel="00000000">
              <w:rPr>
                <w:rtl w:val="0"/>
              </w:rPr>
              <w:t xml:space="preserve">nepieciešamību Vidzemes augstskolas dalībai starpvalstu projektā "Ti-ReX" – "Ietvars reģenerēto kokmateriālu pārdomātai stāvokļa novērtēšanai, lai pagarinātu ilgdzīvojošu koksnes izstrādājumu kalpošanas laiku, izmantojot nesagraujošu testēšanu un automatizētu datu pēcapstrādi".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5.2.8. apakšpunktā norādītā pasākuma turpināšanu arī 2025.gadā, ņemot vērā, ka jau 2024.gadā attiecībā uz šo pasākumu tika skaidrota nepieciešamība uzsākt darbu pie iespējamajiem priekšlikumu izstrādes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punktā paredzētās izmaiņas Ministru kabineta 2023. gada 1. jūnija noteikumos Nr. 265 "Valsts atbalsta piešķiršanas kārtība meža nozares attīstībai" (turpmāk - noteikumi) 36. punktā anotācijā pamatotas šādi: "</w:t>
            </w:r>
            <w:r w:rsidR="00000000" w:rsidRPr="00000000" w:rsidDel="00000000">
              <w:rPr>
                <w:i w:val="1"/>
                <w:rtl w:val="0"/>
              </w:rPr>
              <w:t xml:space="preserve">Situācijās, kad pēc projektu konkursa izvērtēšanas tiek izvēlēts projekta izpildītājs, pamatojoties uz tā iesniegtās projekta koncepcijas vērtējumu (5.1. apakšpunkts un 18. punkts), nepieciešams dot iespēju projekta izpildītājam īstenot ieplānoto koncepciju. [..] Lai to novērstu, noteikumu 36. punkts ir papildināts, paredzot, ka var lemt par iepirkuma procedūras nepiemērošanu projekta īstenošanai</w:t>
            </w:r>
            <w:r w:rsidR="00000000" w:rsidRPr="00000000" w:rsidDel="00000000">
              <w:rPr>
                <w:rtl w:val="0"/>
              </w:rPr>
              <w:t xml:space="preserve">." Aicinām izvērstāk skaidrot, kā tieši iepirkuma procedūras piemērošana neļauj īstenot ieplānoto koncepciju, kā arī skaidrot šāda regulējuma pieļaujamību un atbilstību normatīvajiem aktiem iepirkuma jomā, tostarp ņemot vērā, ka ne visiem noteikumu 5.1. apakšpunktā un 18. punktā minētajiem projektiem ir jau noteikumos paredzēts konkrēts izpildītājs. Citastarp aicinām anotācijā, skaidrojot noteikumu 5. punkta izmaiņas, pamatot arī konkrēta projekta izpildītāja izvēli un paredzēšanu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pieņemts lēmums 36. punktā paredzēto normu par iepirkumu procedūras nepiemērošanu dzēst.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nepieciešams pamatot visus noteikumu projektā paredzētos būtiskos grozījumus. Norādām, ka anotācijā nav sniegts pamatojums, piemēram, noteikumu projekta 19., 26.-31., 41.-42. punktā paredzētajām izmaiņām. Attiecīgi lūdzam papildināt anotāciju, sniedzot pamatojumu visiem noteikumu projektā paredzētajiem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anotācijā ietvertos skaidrojumus par noteikumu 5. punkta izmaiņām, jo anotācijā vairāki noteikumu 5.2. apakšpunktā paredzētie izpētes projekti aprakstīti neatbilstoši noteikumu projektā ietvertajai redakcijai (sk. skaidrojumu par noteikumu 5.2.5. apakšpunktā izpētes projektu) vai arī norādīts, ka tie ir jauni izpētes projekti, kaut gan tie jau šobrīd ir paredzēti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punkti precizēti un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kopējais apmērs 2025. gadā ir 1 328 214 </w:t>
            </w:r>
            <w:r w:rsidR="00000000" w:rsidRPr="00000000" w:rsidDel="00000000">
              <w:rPr>
                <w:i w:val="1"/>
                <w:rtl w:val="0"/>
              </w:rPr>
              <w:t xml:space="preserve">euro</w:t>
            </w:r>
            <w:r w:rsidR="00000000" w:rsidRPr="00000000" w:rsidDel="00000000">
              <w:rPr>
                <w:rtl w:val="0"/>
              </w:rPr>
              <w:t xml:space="preserve">, un to piešķir no Zemkopības ministrijas budžeta programmas 24.00.00 "Meža resursu ilgtspējības saglabāšana" apakšprogrammā 24.02.00 "Valsts atbalsta pasākumi meža nozarē" Meža attīstības fondam (turpmāk – fonds)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3.punktā norādītais grozītais valsts atbalsta kopējais plānotais apmērs 2025. gadam 1 328 214 </w:t>
            </w:r>
            <w:r w:rsidR="00000000" w:rsidRPr="00000000" w:rsidDel="00000000">
              <w:rPr>
                <w:i w:val="1"/>
                <w:rtl w:val="0"/>
              </w:rPr>
              <w:t xml:space="preserve">euro </w:t>
            </w:r>
            <w:r w:rsidR="00000000" w:rsidRPr="00000000" w:rsidDel="00000000">
              <w:rPr>
                <w:rtl w:val="0"/>
              </w:rPr>
              <w:t xml:space="preserve">apmērā nesakrīt ar kopsummu, kas veidojas saskaitot kopā noteikumu 5. un 18.punktā un tā apakšpunktos norādītās pasākumu summas, proti, tā ir 1 318 214 </w:t>
            </w:r>
            <w:r w:rsidR="00000000" w:rsidRPr="00000000" w:rsidDel="00000000">
              <w:rPr>
                <w:i w:val="1"/>
                <w:rtl w:val="0"/>
              </w:rPr>
              <w:t xml:space="preserve">euro </w:t>
            </w:r>
            <w:r w:rsidR="00000000" w:rsidRPr="00000000" w:rsidDel="00000000">
              <w:rPr>
                <w:rtl w:val="0"/>
              </w:rPr>
              <w:t xml:space="preserve">apmērā (par 10 000 euro mazāka), attiecīgi lūdzam pārskatīt un precizēt norādīto kopsummu vai norādītās summas sadalījumā pa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summa punktā 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kopējais apmērs 2025. gadā ir 1 328 214 </w:t>
            </w:r>
            <w:r w:rsidR="00000000" w:rsidRPr="00000000" w:rsidDel="00000000">
              <w:rPr>
                <w:i w:val="1"/>
                <w:rtl w:val="0"/>
              </w:rPr>
              <w:t xml:space="preserve">euro</w:t>
            </w:r>
            <w:r w:rsidR="00000000" w:rsidRPr="00000000" w:rsidDel="00000000">
              <w:rPr>
                <w:rtl w:val="0"/>
              </w:rPr>
              <w:t xml:space="preserve">, un to piešķir no Zemkopības ministrijas budžeta programmas 24.00.00 "Meža resursu ilgtspējības saglabāšana" apakšprogrammā 24.02.00 "Valsts atbalsta pasākumi meža nozarē" Meža attīstības fondam (turpmāk – fonds) paredzētajiem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seno mežu problemātikas izvērtējumam un priekšlikumu izstrādei seno mežu noteikšanas metodikai un kartēšanai, ko īsteno Latvijas Valsts mežzinātnes institūts "Silava", – 40 000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saglabāt līdzšinējo 5.2.5. punkta redakciju, vai arī anotācijā sniegt informāciju par to vai tas ir pilnīgi jauns zinātniskās izpētes projekts un tam nav saistības ar 2023/2024 gadā izstrādāto projektu "</w:t>
            </w:r>
            <w:r w:rsidR="00000000" w:rsidRPr="00000000" w:rsidDel="00000000">
              <w:rPr>
                <w:i w:val="1"/>
                <w:rtl w:val="0"/>
              </w:rPr>
              <w:t xml:space="preserve">Informācijas nodrošinājums par vēsturisko meža segumu, mežaudžu struktūru un saimniecisko darbību" </w:t>
            </w:r>
            <w:r w:rsidR="00000000" w:rsidRPr="00000000" w:rsidDel="00000000">
              <w:rPr>
                <w:rtl w:val="0"/>
              </w:rPr>
              <w:t xml:space="preserve">vai arī tas turpinājums iepriekšējos gados iesāktajam un kāds ir pamatojums nosaukuma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5.2.5."Informācijas nodrošinājums par vēsturisko meža segumu, mežaudžu struktūru un saimniecisko darbību" (īsteno Latvijas Valsts mežzinātnes institūts "Silava") – 40 000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informācijas nodrošinājumam par vēsturisko meža segumu, mežaudžu struktūru un saimniecisko darbību, ko īsteno Latvijas Valsts mežzinātnes institūts "Silava", – 40 000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pieteiktos valsts atbalsta saņemšanai, valsts atbalsta pretendents iesniedz projekta pieteikumu, apliecinājumu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un projekta vadītāja un izpildītāja dzīvesgaitas aprakstu (</w:t>
            </w:r>
            <w:r w:rsidR="00000000" w:rsidRPr="00000000" w:rsidDel="00000000">
              <w:rPr>
                <w:i w:val="1"/>
                <w:rtl w:val="0"/>
              </w:rPr>
              <w:t xml:space="preserve">Curriculum vitae</w:t>
            </w:r>
            <w:r w:rsidR="00000000" w:rsidRPr="00000000" w:rsidDel="00000000">
              <w:rPr>
                <w:rtl w:val="0"/>
              </w:rPr>
              <w:t xml:space="preserve">) Lauku atbalsta dienesta (turpmāk – dienests) elektroniskās pieteikšanās sistēmā 10 darbdienu laikā no projektu darba uzdevumu saņemšanas vai konkursa sludinājuma publikācijas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23. un 32. punktā paredzēto termiņu - 10 darbdienas, t.i., izvērtēt un skaidrot anotācijā, vai šāds dokumentu iesniegšanas termiņš ir pietiekams un samērīgs salīdzinājumā ar projektiem izvirzītajām prasībām, kā arī izvērtēt iespēju noteikt garāku minimālo termiņu, piemēram,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pagarināt iesnieguma termiņu līdz vienam mēnesim. Secināts, ka līdz šim spēkā esošais 10 darbdienu jeb divu kalendāro nedēļu, kā tas bija formulēts iepriekšējā noteikumu redakcijā, termiņš valsts atbalsta pretendentiem, kas pretendē uz noteikumu 5. punktā minēto projektu izpildi, ir praksē labi aprobēts un indikācijas par nepieciešamību pagarināt pieteikšanās laiku uz 5. punktā minēto projektu izpildi nav novērotas. Projektu pieteikumu termiņa pagarināšana t.s. definētajiem prioritārās jomas projektiem attālinātu iespēju uzsākt projektu izpildi, tāpēc nolemts saglabāt līdzšinējo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pieteiktos valsts atbalsta saņemšanai, valsts atbalsta pretendents iesniedz projekta pieteikumu, apliecinājumu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un projekta vadītāja un izpildītāja dzīvesgaitas aprakstu (</w:t>
            </w:r>
            <w:r w:rsidR="00000000" w:rsidRPr="00000000" w:rsidDel="00000000">
              <w:rPr>
                <w:i w:val="1"/>
                <w:rtl w:val="0"/>
              </w:rPr>
              <w:t xml:space="preserve">Curriculum vitae</w:t>
            </w:r>
            <w:r w:rsidR="00000000" w:rsidRPr="00000000" w:rsidDel="00000000">
              <w:rPr>
                <w:rtl w:val="0"/>
              </w:rPr>
              <w:t xml:space="preserve">) Lauku atbalsta dienesta (turpmāk – dienests) elektroniskās pieteikšanās sistēmā 10 darbdienu laikā no projektu darba uzdevumu saņemšanas vai konkursa sludinājuma publikācijas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Meža attīstības fonda padomes (turpmāk – padome) lēmuma pieņemšanas par atbalsta piešķiršanu valsts atbalsta pretendents iesniedz iepirkuma dokumentus dienesta elektroniskās pieteikšanās sistēmā, izņemot par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minētajiem projektiem. Dienests mēneša laikā izvērtē valsts atbalsta pretendenta iesniegtos iepirkuma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punktā paredzēto noteikumu 12. punkta izteikšanu jaunā redakcijā nepieciešams izvērtēt un piedāvājam to precizēt – svītrot otro teikumu. Vēršam uzmanību, ka minētais regulējums paredz administratīvo procesu iestādē par valsts atbalsta piešķiršanu un noteikumu projektā kā Ministru kabineta noteikumos nav jāveido regulējums, kas dublē Administratīvā procesa likuma 64. pantā noteikto par lēmuma pieņemšanas termiņiem. Vienlaikus minētajā punktā piedāvājam izvērtēt iekšējo atsauci uz noteikumu 36. punktu par projektiem, jo noteikumu 36. punktā par projektiem ir atsauce uz noteikumu 5. punktu. Ievērojot minēto, piedāvājam veidot tiešu atsauci uz noteikumu 5. punktā vai tā apakšpunktos noteiktajiem projektiem, vai arī atsauce jāsaista ar noteikumu 36. punktā paredzētajām procedūrām, nevis projektiem. Papildus piedāvājam sistēmiski izvērtēt noteikumu 11. – 17. punktā esošo regulējumu atbilstoši Ministru kabineta 2009. gada 3. februāra noteikumu Nr.108 “Normatīvo aktu projektu sagatavošanas noteikumi” 103. punktā noteiktajam – noteikumu projektam var būt nodaļas un apakšnodaļas, ja tas uzlabo noteikumu projekta teksta uztveramību un skaidrību. Nodaļās (apakšnodaļās) apvieno noteikumu projekta punktus, kas attiecas uz vienu regulējamo jautājumu. Ievērojot minēto, piedāvājam minētos punktus svītrot, bet to tiesisko regulējumu iekļaut noteikumu IV nodaļā “Projektu pieteikumu izvērtēšana”, V nodaļā “Lēmuma pieņemšana”, jo šobrīd, piemēram, noteikumu 12. un 36. punkts paredz līdzīgu regulējumu par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 punkta 2. teikums, kā arī svītrots tāds pats teikums 22. punktā. Atsauce uz 36. punktu dzēsta, jo dzēsta arī paredzētā norma 36. punktā, atjaunojot šī punkta sākotnējo redakciju. Priekšlikums mainīt noteikumu struktūru un pārcelt 11.-17. punktu uz citām nodaļām izvērtēts, taču nolemts saglabāt esošo noteikumu struktūru. 11.-17. punkti attiecas uz 5. punktā minētajiem projektiem un nosaka valsts atbalsta procedūru atbalsta, attīstības un prioritārajiem zinātniskās izpētes projektiem, kas atšķiras no procedūras, kādā izvērējami III. nodaļā 18. punktā minētie konkursa projekti valsts atbalsta mērķprogrammās, tāpēc noteikumu struktūrā šīs procedūras saglabājamas esošajā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Meža attīstības fonda padomes (turpmāk – padome) lēmuma pieņemšanas par atbalsta piešķiršanu valsts atbalsta pretendents iesniedz iepirkuma dokumentus dienesta elektroniskās pieteikšanās sistēmā, ja tiek piemērota iepirkuma procedūra.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šo noteikumu </w:t>
            </w:r>
            <w:r w:rsidR="00000000" w:rsidRPr="00000000" w:rsidDel="00000000">
              <w:rPr>
                <w:rtl w:val="0"/>
              </w:rPr>
              <w:t xml:space="preserve">18.3.2.</w:t>
            </w:r>
            <w:r w:rsidR="00000000" w:rsidRPr="00000000" w:rsidDel="00000000">
              <w:rPr>
                <w:rtl w:val="0"/>
              </w:rPr>
              <w:t xml:space="preserve"> apakšpunktā</w:t>
            </w:r>
            <w:r w:rsidR="00000000" w:rsidRPr="00000000" w:rsidDel="00000000">
              <w:rPr>
                <w:rtl w:val="0"/>
              </w:rPr>
              <w:t xml:space="preserve"> minēto projektu pieteicējs, kas pārstāv plašsaziņas līdzekļus (</w:t>
            </w:r>
            <w:r w:rsidR="00000000" w:rsidRPr="00000000" w:rsidDel="00000000">
              <w:rPr>
                <w:i w:val="1"/>
                <w:rtl w:val="0"/>
              </w:rPr>
              <w:t xml:space="preserve">NACE</w:t>
            </w:r>
            <w:r w:rsidR="00000000" w:rsidRPr="00000000" w:rsidDel="00000000">
              <w:rPr>
                <w:rtl w:val="0"/>
              </w:rPr>
              <w:t xml:space="preserve"> kodi 58.13, 58.14, 63.12, 59.11, 60.10, 60.20 un 73.11):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(turpmāk – NACE 2.1. red.), kura statistikas nodrošināšanā tiek piemērota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notiek pāreja no NACE 2. red. uz NACE 2.1. red., tādēļ ir būtiski, lai, norādot klasifikācijas kodus, būtu skaidri pateikts, kura klasifikācijas redakcija tiek lietota, turklāt, ņemot vērā, ka kopš 2025. gada 1. janvāra klasificēšanā tiek lietota NACE 2.1. red., nosaucot klasifikācijas kodus, tie ir norādāmi, lietojot jauno klasifikācijas redakciju NACE 2.1. red. Tas nodrošinās, ka ir skaidri saprotams, ka tiek lietota jaunākā klasifikācijas redakcija un nav iespējami pārpratumi noteikumu punkta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šo noteikumu </w:t>
            </w:r>
            <w:r w:rsidR="00000000" w:rsidRPr="00000000" w:rsidDel="00000000">
              <w:rPr>
                <w:rtl w:val="0"/>
              </w:rPr>
              <w:t xml:space="preserve">18.3.2.</w:t>
            </w:r>
            <w:r w:rsidR="00000000" w:rsidRPr="00000000" w:rsidDel="00000000">
              <w:rPr>
                <w:rtl w:val="0"/>
              </w:rPr>
              <w:t xml:space="preserve"> apakšpunktā</w:t>
            </w:r>
            <w:r w:rsidR="00000000" w:rsidRPr="00000000" w:rsidDel="00000000">
              <w:rPr>
                <w:rtl w:val="0"/>
              </w:rPr>
              <w:t xml:space="preserve"> minēto projektu pieteicējs, kas pārstāv plašsaziņas līdzekļus (NACE 2.1 red. kodi 58.12, 58.13, 60.39, 59.11, 60.10, 60.20 un 73.11):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atbalsta pretendentam, kas pretendē uz atbalstu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minētajiem projektiem, atbilstoši regulas 2022/2472 1. panta 5. punkta un 2. panta 59. punkta nosacījumiem nav piemērojams grūtībās nonākuša uzņēmuma statuss, nav ierosināta tiesiskās aizsardzības procesa lieta, netiek īstenots tiesiskās aizsardzības process vai nav pasludināts maksātnespējas process un tas neatbilst normatīvajos aktos noteiktajiem kritērijiem, lai tam pēc kreditora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punktā ietverto noteikumu 31.3. apakšpunktu, kā arī sniegt izvērstāku normas pamatojumu anotācijā, tostarp par šāda regulējuma atbilstību Komisijas 2022. gada 14. decembra Regulu (ES) 2022/2472, ar kuru, piemērojot Līguma par Eiropas Savienības darbību 107. un 108. pantu, dažu kategoriju atbalstu lauksaimniecības un mežsaimniecības nozarē un lauku apvidos atzīst par saderīgu ar iekšējo tirgu (turpmāk – regula 2022/2472) 1. panta 5. punktam. Pirmkārt, lūdzam korekti redakcionāli precizēt normu atbilstoši tās mērķim. Proti, ja mērķis ir noteikt, ka dienests vērtē tikai noteiktu atbalsta pretendentu atbilstību regulas 2022/2472 2. panta 59. punktā paredzētajam grūtībās nonākuša uzņēmuma statusam, tad aicinām atbilstoši precizēt normu, lai no tās redakcijas ir viennozīmīgi skaidrs šāds normas mērķis, kā arī sniegt normai atbilstošu skaidrojumu anotācijā. Otrkārt, lūdzam izvērtēt, vai aiz vārdkopas "grūtībās nonākuša uzņēmuma statuss" nebūtu liekama domuzīme vai citādi atbilstoši precizējama norma, jo tālāk ietvertais normas teksts ir grūtībās nonākuša uzņēmuma pazīmes (salīdzinājumam lūdzam sk., piemēram, Ministru kabineta 2018. gada 24. jūlija noteikumu Nr. 446 "Noteikumi par lauksaimniecības, lauku un zivsaimniecības saimnieciskās darbības veicēju aizdevumu programmu" 10.1. apakšpunktu). Papildus aicinām atbilstoši Ministru kabineta 2009. gada 3. februāra noteikumu Nr. 108 "Normatīvo aktu projektu sagatavošanas noteikumi" 137. punktam norādīt normatīvo aktu jomu (proti, normatīvajos aktos maksātnespējas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atbalsta pretendents, kas pretendē uz atbalstu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projektu īstenošanai, neatbilst grūtībās nonākuša uzņēmuma statusam saskaņā ar Komisijas Regulas Nr. 2022/2472 2. panta 59.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pamatojumu pēc būtības noteikumu projekta 42. punktā ietvertajai Ministru kabineta 2023. gada 1. jūnija noteikumu Nr. 265 "Valsts atbalsta piešķiršanas kārtība meža nozares attīstībai" (turpmāk - noteikumi) 66.1. apakšpunkta redakcijai, jo tā nav tikai “gramatiski precizēta”, kā norādīts anotācijā, bet gan ietver jaunas prasības, kuras valsts atbalsta saņēmējam jāpilda.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projekta 44. punktu noteikumu 1. pielikums izteikts jaunā redakcijā, tomēr nekādas izmaiņas pielikumā nav izdarītas, kā arī anotācijā nav norādes par 1. pielikumā veiktām izmaiņām. Attiecīgi lūdzam svītrot noteikumu projekta 44.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44.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papildu skaidrojumu par paredzētajiem grozījumiem noteikumu 57.1.apakšpunktā, ņemot vērā šobrīd anotācijā skaidroto, ka grozījums minimālās iegādes summas precizēšanai tiek veikts saistībā ar veiktajiem grozījumiem Publisko iepirkumu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nozares attīstības projektu pieteikumu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noteikumu 2. un 3. pielikuma grozījumiem ietverts šāds pamatojums: "</w:t>
            </w:r>
            <w:r w:rsidR="00000000" w:rsidRPr="00000000" w:rsidDel="00000000">
              <w:rPr>
                <w:i w:val="1"/>
                <w:rtl w:val="0"/>
              </w:rPr>
              <w:t xml:space="preserve">Projektu vērtēšanā identificētas grūtības izteikt projektu vērtējumus plašākā diapazonā. Vērtējuma skala paredz tikai divus vērtējumus, liedzot projektus vērtēt izvērsti. [..] Precizēta vērtējumu skala projektu pieteikumu vērtējumiem 2. un 3. pielikumā, dodot iespēju ekspertiem ranžēt vērtējumus plašākā diapazonā nekā iepriekš. Divu vērtējumu vietā ieviesta skala no 0 līdz 20</w:t>
            </w:r>
            <w:r w:rsidR="00000000" w:rsidRPr="00000000" w:rsidDel="00000000">
              <w:rPr>
                <w:rtl w:val="0"/>
              </w:rPr>
              <w:t xml:space="preserve">." Aicinām izvērtēt noteiktos kritērijus un tiem piešķiramo punktu skaitu, jo vairākos gadījumos kritēriji ir izteikti tādējādi, ka to formulējums pirmšķietami nemaz nepieļauj iespēju ranžēt vērtējumus pēc būtības (piemēram, noteikumu 2. pielikuma 2.1. apakšpunkts, 3. pielikuma 2.2. apakšpunkts).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kritēriju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nozares attīstības projektu pieteikumu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noteikumu 3. pielikumā, kas izteikts jaunā redakcijā ar noteikumu projekta 46. punktu, noteiktos kritērijus un tiem piešķiramo punktu skaitu, jo vairākos gadījumos kritēriji ir izteikti tādējādi, ka to formulējums pirmšķietami nemaz nepieļauj iespēju ranžēt vērtējumus (piemēram, 2.2. apakšpunkts). Ja nepieciešams, lūdzam precizēt noteikumu projektu (salīdzinājumam aicinām skatīt noteikumu 2. pielikumā veiktos precizējumus uz atkārtoto saskaņošanu nodotajā noteikumu projekta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nosacījumi pretendentiem, kas pārstāv plašsaziņas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 pielikuma 1. un 2. zemsvītras piezīmes, lietojot jauno klasifikācijas redakciju NACE 2.1. red. Tas nodrošinās, ka ir skaidri saprotams, ka tiek lietota jaunākā klasifikācijas redakcija un nav iespējami pārpratumi noteikumu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nosacījumi pretendentiem, kas pārstāv plašsaziņas līdzekļus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24-TA-3302</w:t>
    </w:r>
    <w:r>
      <w:br/>
    </w:r>
    <w:r w:rsidR="00000000" w:rsidRPr="00000000" w:rsidDel="00000000">
      <w:rPr>
        <w:rtl w:val="0"/>
      </w:rPr>
      <w:t xml:space="preserve">28.03.2025. 13.36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24-TA-3302</w:t>
    </w:r>
    <w:r>
      <w:br/>
    </w:r>
    <w:r w:rsidR="00000000" w:rsidRPr="00000000" w:rsidDel="00000000">
      <w:rPr>
        <w:rtl w:val="0"/>
      </w:rPr>
      <w:t xml:space="preserve">28.03.2025. 13.36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Izziņa_24-TA-3302.docx</dc:title>
</cp:coreProperties>
</file>

<file path=docProps/custom.xml><?xml version="1.0" encoding="utf-8"?>
<Properties xmlns="http://schemas.openxmlformats.org/officeDocument/2006/custom-properties" xmlns:vt="http://schemas.openxmlformats.org/officeDocument/2006/docPropsVTypes"/>
</file>