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10.04.2026. 11:49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ņemot vērā projektā paredzēto Sodu reģistra apakšsistēmu datu migrāciju, kā arī to, ka VDAA projekta “Vienotā datu koplietošanas platforma publiskā sektora un tautsaimniecības datu koplietošanai nacionāli un Eiropas datu telpas ietvaros, t. sk. ieviešot risinājumus datu depersonalizācijai, kā arī personas pārvaldītai un kontrolētai datu koplietošanai (DAGR)” ietvaros jau ir īstenota Sodu reģistra funkcionālā pārbūve un nodrošināta tā integrācija ar DAGR platformu, nav pamatota paralēlu vai tiešu integrāciju ar Sodu reģistru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Sodu reģistra datu izgūšana nodrošināma caur DAGR platformu kā vienoto un jau ieviesto datu koplietošanas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precizēts projekta pases 3.1. punkta 3. apakšpunkts, kā arī papildināts 2.2. punkts ar saistību ar DAGR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nepieciešamību pārskatīt projekta pases 3.3. sadaļu, ņemot vērā, ka tajā ir atzīmēti </w:t>
            </w:r>
            <w:r w:rsidR="00000000" w:rsidRPr="00000000" w:rsidDel="00000000">
              <w:rPr>
                <w:b w:val="1"/>
                <w:rtl w:val="0"/>
              </w:rPr>
              <w:t xml:space="preserve">četri projekta galvenie lietderības aspekti,</w:t>
            </w:r>
            <w:r w:rsidR="00000000" w:rsidRPr="00000000" w:rsidDel="00000000">
              <w:rPr>
                <w:rtl w:val="0"/>
              </w:rPr>
              <w:t xml:space="preserve"> savukārt projekta ieguvumu un lietderības rādītāji (KPI) ir noteikti tikai trim no tiem, kā arī nodrošināt katra atzīmētā lietderības aspekta sasaisti ar konkrētu un izmērāmu projekta ieguvumu un lietderības rādītāja raksturojumu (KPI).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apakšpunktā norādītais projekta ieguvums administratīvā sloga samazinājums un izmaksu ietaupījums fiziskām un juridiskām personām ir noteikts finansiālā izteiksmē un balstīts uz projekta 6. sadaļā “Izmaksu un ieguvumu analīze” ietvertajiem aprēķiniem. Atbilstoši projekta pases aizpildīšanas metodikai šādi aprēķini izmantojami izmaksu un ieguvumu analīzes pamatojumam, savukārt projekta 3.3. sadaļā norādāma konkrētu lietderības aspektu sasniegšana ar skaidri nodalītiem un izmērāmiem projekta ieguvumu rādītājiem (KPI).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3.3.3. apakšpunktā norādītais KPI resursu un IKT risinājumu konsolidācija šobrīd neataino sasniedzamo lietderības ieguvumu, jo konsolidācijas </w:t>
            </w:r>
            <w:r w:rsidR="00000000" w:rsidRPr="00000000" w:rsidDel="00000000">
              <w:rPr>
                <w:b w:val="1"/>
                <w:rtl w:val="0"/>
              </w:rPr>
              <w:t xml:space="preserve">esošā vērtība ir noteikta kā 0,</w:t>
            </w:r>
            <w:r w:rsidR="00000000" w:rsidRPr="00000000" w:rsidDel="00000000">
              <w:rPr>
                <w:rtl w:val="0"/>
              </w:rPr>
              <w:t xml:space="preserve"> bet </w:t>
            </w:r>
            <w:r w:rsidR="00000000" w:rsidRPr="00000000" w:rsidDel="00000000">
              <w:rPr>
                <w:b w:val="1"/>
                <w:rtl w:val="0"/>
              </w:rPr>
              <w:t xml:space="preserve">plānotā vērtība – 4 konsolidēti IKT risinājumi.</w:t>
            </w:r>
            <w:r w:rsidR="00000000" w:rsidRPr="00000000" w:rsidDel="00000000">
              <w:rPr>
                <w:rtl w:val="0"/>
              </w:rPr>
              <w:t xml:space="preserve"> Atbilstoši projekta pases aizpildīšanas metodikai KPI ir jāatspoguļo projekta radītais ieguvums un pārmaiņa, tādēļ konsolidācijas gadījumā nepieciešams norādīt konsolidējamo risinājumu skaitu pirms projekta īstenošanas, plānoto rezultātu pēc projekta īstenošanas un no tā izrietošo lietderību. https://www.varam.gov.lv/lv/media/48563/download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iebildumam precizēta projekta pases 3.3.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pases 3.4.3. punktā minētā e‑pakalpojuma plānoto izvietojuma vidi un pieejamību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un VARAM norādījumiem precizēts projekta pases 3.4.3. apakšpunkts, svītrojot e-pakalpojumu (tiek veikti e-pakalpojuma papildinājumi, nevis izstrādāts jauns e-pakalpojums).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projekta pases 5.1.1. apakšpunktā minētie lietotāji </w:t>
            </w:r>
            <w:r w:rsidR="00000000" w:rsidRPr="00000000" w:rsidDel="00000000">
              <w:rPr>
                <w:b w:val="1"/>
                <w:rtl w:val="0"/>
              </w:rPr>
              <w:t xml:space="preserve">tiek ieskaitīti </w:t>
            </w:r>
            <w:r w:rsidR="00000000" w:rsidRPr="00000000" w:rsidDel="00000000">
              <w:rPr>
                <w:rtl w:val="0"/>
              </w:rPr>
              <w:t xml:space="preserve">ERAF 1.3.1.1. pasākuma rezultāta rādītājā “Jaunu un modernizētu publisko digitālo pakalpojumu, produktu un procesu lietotāji”, kas ir jāsasniedz ne vēlāk kā otrajā kalendāra gadā pēc projekta noslēguma maksājuma veikšanas, bet ne vēlāk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rādītājs ir uzskatāms par sasniegtu, ja saimnieciskās darbības veicēji vai iestādes projekta īstenošanas rezultātā </w:t>
            </w:r>
            <w:r w:rsidR="00000000" w:rsidRPr="00000000" w:rsidDel="00000000">
              <w:rPr>
                <w:b w:val="1"/>
                <w:rtl w:val="0"/>
              </w:rPr>
              <w:t xml:space="preserve">ir transformējušas savus procesus,</w:t>
            </w:r>
            <w:r w:rsidR="00000000" w:rsidRPr="00000000" w:rsidDel="00000000">
              <w:rPr>
                <w:rtl w:val="0"/>
              </w:rPr>
              <w:t xml:space="preserve"> balstoties uz digitalizētajiem jaunizveidotajiem vai ievērojami uzlabotajiem valsts procesiem, tostarp kā datu izmantotāji vai datu devēji, kā arī izstrādājot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projekta pases 5.1. sadaļas 5.1.1. punktu </w:t>
            </w:r>
            <w:r w:rsidR="00000000" w:rsidRPr="00000000" w:rsidDel="00000000">
              <w:rPr>
                <w:b w:val="1"/>
                <w:rtl w:val="0"/>
              </w:rPr>
              <w:t xml:space="preserve">ar atsauci (*)</w:t>
            </w:r>
            <w:r w:rsidR="00000000" w:rsidRPr="00000000" w:rsidDel="00000000">
              <w:rPr>
                <w:rtl w:val="0"/>
              </w:rPr>
              <w:t xml:space="preserve">, ka projekta finansējums tiek ieskaitīts ERAF 1.3.1.1. pasākuma iznākuma rādītāja “saimnieciskās darbības veicējiem izstrādāto digitālo pakalpojumu, produktu un procesu vērtība” sasniegšanā, kā arī</w:t>
            </w:r>
            <w:r w:rsidR="00000000" w:rsidRPr="00000000" w:rsidDel="00000000">
              <w:rPr>
                <w:b w:val="1"/>
                <w:rtl w:val="0"/>
              </w:rPr>
              <w:t xml:space="preserve"> ar atsauci (**)</w:t>
            </w:r>
            <w:r w:rsidR="00000000" w:rsidRPr="00000000" w:rsidDel="00000000">
              <w:rPr>
                <w:rtl w:val="0"/>
              </w:rPr>
              <w:t xml:space="preserve">, ka projekta pases 5.1.1. punktā minētie lietotāji tiek ieskaitīti 1.3.1.1. 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Atbistoši sniegtajam priekšlikumam precizēts projekta pases 5.1.1. apakšpunkts (redakcionāli). Lietotāji paliek, kā iepriekš uzskaitīts.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5.3. sadaļā iekļaut norādi par uz Ministru kabineta lēmumu, ar kuru noteikts, ka Iekšlietu ministrijas Informācijas centrs sniedz norādīto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šāds lēmums nav pieņemts, lūdzam pievienot MK rīkojuma projektam centralizētās funkcijas vai koplietošanas pakalpojumu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pakalpojuma “Kriminālprocesa informācijas un dokumentu aprites koplietošanas pakalpojums”  nosaukumu, nodrošinot tā atbilstību pakalpojuma būtībai. Aicinām izmantot VARAM tīmekļvietnē publicētās vadlīnijas pakalpojuma nosaukuma veidošanai https://www.varam.gov.lv/lv/biezak-uzdotie-jautajumi-0#ka-pareizi-veidot-pakalpojuma-nosaukumu.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5.3. punkts atbilstoši VARAM norādījumiem – svītrots koplietošanas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precizētajā Ministru kabineta rīkojuma projektā, tā anotācijā un pasē ir precizēts uzturēšanai pēc projekta pabeigšanas nepieciešamais finansējuma apmērs, lūdzam anotācijas 3. sadaļas 6. punktā sniegtajā informācijā par bāzes izdevumos uzturēšanas izdevumiem pieejamo finansējumu iekavās norādīt aktualizēto uzturēšanai pēc projekta pabeigšanas nepieciešamo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Anotācijas 3. sadaļas 6. punkts – priekšpēdējā rindkopā iekavās norādīts aktualizētais uzturēšanai pēc projekta pabeigšanas nepieciešamais finansējuma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apmēru un paredzamo sarežģītību (liela, savstarpēji integrēta, sarežģīta IS), aicinām Iekšlietu ministriju izvērtēt iespējas maksimāli ātrāk uzsākt projekta īstenošanu, negaidot 2026.gada IV ceturksni, lai nodrošinātu to, ka darbs pie informācijas sistēmas izstrādes ir pabeigts projektā plānotajos termiņos, kā arī E-krass sistēma pirms tam ir tikusi notestēta pirms tās palaišanas produkcijas vidē (ekspluatācijā). Vēršam Iekšlietu ministrijas uzmanību uz testēšanas būtisko lomu pirms darbu pieņemšanas, tas būtiski samazina vēlākas izmaksas un laiku sistēmas atkļūdošanai un veiksmīgai ekspluatācijai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Anotācijas 6. sadaļā un projekta pases 4.2. apakšpunktā precizēts projekta īstenošanas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11.03.2026.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rīkojuma projekta anotācijas 3. sadaļas 6. punktā sniegtajiem projekta rezultātu uzturēšanas izdevumu aprēķiniem izriet, ka vislielākā summa ir paredzēta sistēmu attīstībai un izmaiņu ieviešanai (69 % no kopējā indikatīvi papildu nepieciešamā finansējuma apmēra), lūdzam skaidrot, ko ietver šī izdevumu pozīcija un kā sistēmas attīstības un izmaiņu izdevumi ir attiecināmi uz uzturēšanas izdevumiem pēc projekta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indikatīvi aprēķinātais uzturēšanai nepieciešamais finansējums rīkojuma projekta 2. punktā, projekta pases 6. punktā, anotācijas 1.3. punktā apraksta pēdējā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(turpmāk - rīkojuma projekts) anotācijas 3. sadaļas punktā “Cita informācija” svītrot rindkopu, kurā ir uzskaitīti konkrēti normatīvie akti, par uzturēšanas izdevumu pēc projekta pabeigšanas pieprasīšanu, ņemot vērā, ka saistībā ar pāreju uz jauno budžeta struktūru jau šobrīd noris darbs pie grozījumu izstrādāšanas vairākos ar jauno budžeta procesu saistītajos normatīvajos aktos, kā arī nav nepieciešamības dublēt informāciju par uzturēšanas izdevumu pieprasīšanas kārtību pēc projekta īstenošanas, jo rīkojuma projekta anotācijas 6. punktā tā ir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punkts “Cita informācija", svītrojot otro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10.02.2026. 07:50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projekta pabeigšanas, sākot ar 2030. gadu, projekta rezultātu uzturēšanas izmaksas nepārsniedz 1 130 000 </w:t>
            </w:r>
            <w:r w:rsidR="00000000" w:rsidRPr="00000000" w:rsidDel="00000000">
              <w:rPr>
                <w:i w:val="1"/>
                <w:rtl w:val="0"/>
              </w:rPr>
              <w:t xml:space="preserve">euro</w:t>
            </w:r>
            <w:r w:rsidR="00000000" w:rsidRPr="00000000" w:rsidDel="00000000">
              <w:rPr>
                <w:rtl w:val="0"/>
              </w:rPr>
              <w:t xml:space="preserve"> gadā. Iekšlietu ministrijas Informācijas centram finansējumu projekta rezultātu uzturēšanas izmaksu segšanai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paredz apstiprināt konkrētu uzturēšanas izmaksu apjomu ievērojamā 1,1 milj.  </w:t>
            </w:r>
            <w:r w:rsidR="00000000" w:rsidRPr="00000000" w:rsidDel="00000000">
              <w:rPr>
                <w:i w:val="1"/>
                <w:rtl w:val="0"/>
              </w:rPr>
              <w:t xml:space="preserve">euro </w:t>
            </w:r>
            <w:r w:rsidR="00000000" w:rsidRPr="00000000" w:rsidDel="00000000">
              <w:rPr>
                <w:rtl w:val="0"/>
              </w:rPr>
              <w:t xml:space="preserve">apmērā, lūdzam papildināt anotāciju ar detalizētiem uzturēšanas izdevumu pēc projekta pabeigšanas aprēķiniem, norādot plānojamo izdevumu pozīcijas, lai nodrošinātu projekta ietvaros izveidoto IT sistēmu uzturēšanu, kas pamatotas ar konkrētiem aprēķiniem. Vienlaikus vēršam uzmanību, ka uzturēšanas izmaksu noteikšana noteiktos procentos no kopējām projekta īstenošanas izmaksām nepamato uzturēšanai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papildināts apraksts ar uzturēšanai nepieciešamā finansējuma detalizētu aprēķinu un pamatojumu. Atbilstoši precizēta projekta pases 6. punktā un rīkojuma projekta 2. punktā norādītā uzturēšanai nepieciešamā finansējuma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projekta pabeigšanas, sākot ar 2030. gadu, projekta rezultātu uzturēšanas izmaksas nepārsniedz 895 000 </w:t>
            </w:r>
            <w:r w:rsidR="00000000" w:rsidRPr="00000000" w:rsidDel="00000000">
              <w:rPr>
                <w:i w:val="1"/>
                <w:rtl w:val="0"/>
              </w:rPr>
              <w:t xml:space="preserve">euro</w:t>
            </w:r>
            <w:r w:rsidR="00000000" w:rsidRPr="00000000" w:rsidDel="00000000">
              <w:rPr>
                <w:rtl w:val="0"/>
              </w:rPr>
              <w:t xml:space="preserve"> gadā. Iekšlietu digitālajam centram finansējumu projekta rezultātu uzturēšanas izmaksu segšanai pieprasīt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pases 3.1. sadaļas 3. punktā paredzēta Sodu reģistra apakšsistēmu datu migrācija, kā arī to, ka VDAA projekta “Vienotā datu koplietošanas platforma publiskā sektora un tautsaimniecības datu koplietošanai nacionāli un Eiropas datu telpas ietvaros, t.sk. ieviešot risinājumus datu depersonalizācijai, kā arī personas pārvaldītai un kontrolētai datu koplietošanai (DAGR)” ietvaros ir īstenota Sodu reģistra pārbūve un nodrošināta tā integrācija ar DAGR platformu, lūdzam paredzēt nepieciešamo Sodu reģistra datu izgūšanu caur DAGR platformu, neveidojot tiešu integrāciju ar Sodu reģistru.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Projekta pasē precizēts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pie 5.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paredzēta saziņa ar personām, tostarp paziņojumu nosūtīšana saistībā ar ieroču atļaujām, lūdzam projektā paredzēt sabiedrības informēšanu, izmantojot oficiālo elektronisko adresi (e-adresi) atbilstoši normatīvo aktu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pases 3.3. sadaļu, jo tajā norādītie lietderības rādītāji (KPI) nepietiekami atspoguļo projekta sociālekonomisko ieguvumu – administratīvā sloga mazināšana nav pietiekami pamatota attiecībā uz sabiedrību vai komersantiem, vairākos rādītājos esošā vērtība norādīta kā “0”, kā arī atsevišķi formulējumi pēc būtības raksturo projekta rezultātu, nevis mērāmu lietderības rādītāju. Lūdzam nodrošināt korektu sākotnējo un mērķa vērtību noteikšanu, skaidru sasaisti starp ieguvumiem un KPI, kā arī norādīt datu avotu un datu aktualizēšanas biežumu katram 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3.3.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paredzēt projekta pases 3.4.3. punktā Soda reģistra datu izplatīšanu caur DAGR platformu, kā arī minētā e-pakalpojuma izstrādi Latvija.gov.lv. Vēršam uzmanību, ka Latvija.gov.lv jau šobrīd tiek attīstīti līdzīga veida pakalpojumi, kuru ietvaros iedzīvotāji var uzzināt par datiem, kas par tiem pieejami valsts reģistros t.i., pakalpojums mani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Projekta pases 3.4.3. punktā saglabāta esošā redakcija, ņemot vērā, ka Sodu reģistra datu saņemšanu īstenot tikai un vienīgi caur DAGR nav iespējams, taču paredzot datu izgūšanu veikt t.sk. caur DAGR, kur tas iespējams un piemērojams. Atbilstoši projekta pases 3.1. punktā papildināts apraksts, iekļaujot attīstāmo e-pakalpojumu. Plašāks projektā attīstāmo aktivitāšu apraksts ir sniegts attīstības aktivitātes aprakstā “Sodu reģistra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reģionālās attīstības aģentūra 2025.gadā uzsāka īstenot Eiropas Savienības Atveseļošanas un noturības mehānisma plāna investīcijas 2.1.3.1.i.            "Datu pieejamība, koplietošana un analītika”         projektu Nr. 2.1.3.1.i.0/1/23/I/VARAM/004 “Vienotā datu koplietošanas platforma publiskā sektora un tautsaimniecības datu koplietošanai nacionāli un Eiropas datu telpas ietvaros, t.sk. ieviešot risinājumus datu depersonalizācijai, kā arī personas pārvaldītai un kontrolētai datu koplietošanai” . Minētā projekta ietvaros IeM IC kā projekta sadarbības partneris ir uzsācis Sodu reģistra apakšsistēmas “Noziedzīgus nodarījumus izdarījušās personas” izstrādi, datu sinhronizāciju ar IeM elietas tehnoloģisko platformu. Lai nodrošinātu Noziedzīgi iegūtu līdzekļu legalizācijas un terorisma un proliferācijas finansēšanas novēršanas likumā noteikto datu nodošanu no “Sodu reģistra” uz Datu izplatīšanas un pārvaldības platformu (DAGR), radot iespēju likuma subjektiem veikt datu pārbaudi DAGR, paredzēts veikt valsts informācijas sistēmas “Sodu reģistrs” apakšsistēmas “Noziedzīgus nodarījumus izdarījušās personas” un Sodu reģistra monitoringa rīka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šajā projektā ir plānots modernizēt vienoto Sodu reģistru IeM IC elietas tehnoloģiskajā platformā, kas nodrošinātu lietotājiem Sodu reģistra likumā paredzēto datu ievadi un saņemšanu, kā arī elektronisku darba vidi maksas pakalpojumu nodrošināšanai, datu apmaiņai ar ES dalībvalstīm, sodāmības dzēšanas aprēķināšanu, personu monitoringu Sodu reģistra monitoringa rīkā, kā arī Sodu reģistrā iekļauto datu arhivēšanu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Sodu reģistra datu saņemšanu īstenot tikai un vienīgi caur DAGR nav iespējams,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1.šobrīt ANM īstenotā DAGR projekta mērķis bija Sodu reģistra datu publicēšana, lai primāri nodrošinātu Noziedzīgi iegūtu līdzekļu legalizācijas likuma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2.IeM IC ir uzņemtas saistības ar E-Lietas programmas ietvaros īstenotajiem projektiem, kur KPL, APL vajadzībām datu apmaiņu nepieciešams nodrošināt caru Tiesu administrācijas \koplietošanas komponenšu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Pastāv ārējo normatīvie akti, kas tieši paredz, ka ziņas tiek saņemtas no Sodu registra;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IeM IC kā sistēmas pārzinim nepieciešams administrēt savu maksas pakalpojumu nodrošināšanu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5.Eksistē jau virkne datu nodošanas procedūras, kur datu apmaiņa ir specifiskiem mērķiem un nepieciešama ātra reaģēšana klienta atbalstam, piem., personu aizturēšana lidostā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5.1. sadaļā norādītie lietotāji atbilst integrēto lietotāju definīcijai, ņemot vērā, ka rādītājs ir sasniedzams gadījumā, ja lietotāji ir transformējuši savus procesus vai integrējuši savus digitālos risinājumus ar projekta ietvaros attīstīto risinājumu. Lūdzam precizēt, kuri lietotāji kvalificējas kā integrētie lietotāji un kā tiek nodrošināta atbilstība rādītāja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pasākuma 1.3.1.1. īstenošanas nosacījumiem projektā jānorāda "jaunu un modernizētu publisko digitālo pakalpojumu, produktu un procesu lietotāji", kas ir jāsasniedz ne vēlāk kā otrajā kalendāra gadā pēc projekta noslēguma maksājuma veikšanas (bet ne vēlāk kā līdz 2029.g. 31.decembrim).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5.1. sadaļā, šis rādītājs tiek ieskaitīts kā projekta obligāti sasniedzamais rādītājs, kas jāsasniedz ne vēlāk kā otrā kalendārajā gadā pēc projekta noslēguma. Skaidrojam, ka rādītāja vērtībā, balstoties uz finansējuma saņēmēja sniegto informāciju, tiks ieskaitīti tie lietotāji, kas ir integrējuši savus digitālos risinājumus ar projekta ietvaros digitālo risinājumu, piemēram, datu automatizētai apmaiņai.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projekta pases 5.1. sadaļā norādīto lietotāju atbilstība, precizēts ietekmes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5.1.2 punktā izvērtēt atbilstību pret 2013.gada Eiropas Savienības regulu un 2017.gada Eiropas Savienības direktīvu. Skaidrojam, ka  šajā sadaļā norādāmas tikai jaunas ES prasības, kas ar projekta aktivitātēm tiek ieviestas;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5.1.2. punkts, svītrojot norādīto Regulu un Direktīvu, jo jaunas ES prasības ar šo projektu netiek ieviestas, bet ar projektu tiek atbalstītas esošās ES prasības, uzlabojot informācijas apriti par tiesas nolēmumiem un  nodrošinot datu izsekojamību, uzraudzību un informācijas apriti starp iesaistītajām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3.3. sadaļā precizēt sasniegšanas termiņu uz 2029.gadu;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punktā precizēts sasniegšanas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"E-KRASS 2. kārta un digitālo risinājumu attīstība sabiedriskās kārtības un drošības nodrošināšanai" pases 6. sadaļu </w:t>
            </w:r>
            <w:r w:rsidR="00000000" w:rsidRPr="00000000" w:rsidDel="00000000">
              <w:rPr>
                <w:i w:val="1"/>
                <w:rtl w:val="0"/>
              </w:rPr>
              <w:t xml:space="preserve">“Izmaksu un ieguvumu analīze”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projekta kopējo lietderību tiek minēts, ka </w:t>
            </w:r>
            <w:r w:rsidR="00000000" w:rsidRPr="00000000" w:rsidDel="00000000">
              <w:rPr>
                <w:i w:val="1"/>
                <w:rtl w:val="0"/>
              </w:rPr>
              <w:t xml:space="preserve">"</w:t>
            </w:r>
            <w:r w:rsidR="00000000" w:rsidRPr="00000000" w:rsidDel="00000000">
              <w:rPr>
                <w:i w:val="1"/>
                <w:u w:val="single"/>
                <w:rtl w:val="0"/>
              </w:rPr>
              <w:t xml:space="preserve">projekta īstenošana neparedz būtisku darbinieku skaita palielinājumu</w:t>
            </w:r>
            <w:r w:rsidR="00000000" w:rsidRPr="00000000" w:rsidDel="00000000">
              <w:rPr>
                <w:i w:val="1"/>
                <w:rtl w:val="0"/>
              </w:rPr>
              <w:t xml:space="preserve">"</w:t>
            </w:r>
            <w:r w:rsidR="00000000" w:rsidRPr="00000000" w:rsidDel="00000000">
              <w:rPr>
                <w:rtl w:val="0"/>
              </w:rPr>
              <w:t xml:space="preserve">. Taču tā kā darbinieku skaita palielinājumam atbilstoši projektam nebūtu jābūt, īpaši ņemot vērā iepriekšminētajam teikumam sekojošo skaidrojumu - </w:t>
            </w:r>
            <w:r w:rsidR="00000000" w:rsidRPr="00000000" w:rsidDel="00000000">
              <w:rPr>
                <w:i w:val="1"/>
                <w:rtl w:val="0"/>
              </w:rPr>
              <w:t xml:space="preserve">“Automatizēti risinājumi un piekļuve elektroniskajiem lietas materiāliem samazinās administratīvo slogu, ļaujot esošajiem darbiniekiem koncentrēties uz kvalitatīvu procesu uzraudzību”</w:t>
            </w:r>
            <w:r w:rsidR="00000000" w:rsidRPr="00000000" w:rsidDel="00000000">
              <w:rPr>
                <w:rtl w:val="0"/>
              </w:rPr>
              <w:t xml:space="preserve">, aicinām skaidrot minētā teikuma pamatotību, vai arī sniegt papildus informāciju par apsvērumiem, kuru dēļ darbinieku skaits tomēr varētu palielināties.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6. sadaļa, svītrots teikums par darbinieku skaita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2.2.apakšpunktā norādītā īstenoto projektu uzskaitījuma 1., 2. un 3.punktā minēto projektu nosaukumus, norādot tos pēc vienota principa, ņemot vērā, ka visi šie projekti tika īstenoti 2.2.1.1.pasākuma ietvaros, t.i., aicinām šiem projektiem norādīt pilnus nosaukumus vai konkrētos projektus norādīt kā zemāka līmeņa apakšpunktus 2.2.1.1.pasākumam.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saturisko atšķirību starp </w:t>
            </w:r>
            <w:r w:rsidR="00000000" w:rsidRPr="00000000" w:rsidDel="00000000">
              <w:rPr>
                <w:u w:val="single"/>
                <w:rtl w:val="0"/>
              </w:rPr>
              <w:t xml:space="preserve">plānoto projektu</w:t>
            </w:r>
            <w:r w:rsidR="00000000" w:rsidRPr="00000000" w:rsidDel="00000000">
              <w:rPr>
                <w:rtl w:val="0"/>
              </w:rPr>
              <w:t xml:space="preserve"> 2.un 3.punktā norādītajiem projektiem, ņemot vēra, ka to nosaukumi "E-lietas programma – izmeklēšanas un tiesvedības procesu pilnveide – 3. posms" ir identiski.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 punktā kā saistīto projektu norādīt arī IeMIC ERAF 1.3.1.1. projektu “Informācijas tehnoloģiju infrastruktūras pilnveidošana”.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3.1. punktā minētās darbības, tostarp ārvalstu iestāžu nolēmumu izpilde, rada pārrobežu pakalpojuma aspektu SDG regulas un Eiropas sadarbspējas akta izpratnē, un gadījumā, ja tas tiek konstatēts, nodrošināt Sadarbspējas novērtējuma veikšanu un tā rezultātu atspoguļošanu projekta dokumentācijā.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projekta pases 3.1. punktā minētās darbības, šobrīd pārrobežu pakalpojuma aspekts SDG regulas un Eiropas sadarbspējas akta izpratnē nav konstatēts. Ņemot vērā, ka minētie normatīvie regulējumi ir augstāk stāvoši regulējumi un tie ir saistoši projekta īstenotājam pēc noklusējuma, ja tiks identificēts šāds pārrobežu aspekts projekta īstenošanas laikā, tas tiks nodrošināts, kā arī tiks veikti nepieciešamie precizējumi projekta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3.2. sadaļā minēto “</w:t>
            </w:r>
            <w:r w:rsidR="00000000" w:rsidRPr="00000000" w:rsidDel="00000000">
              <w:rPr>
                <w:i w:val="1"/>
                <w:rtl w:val="0"/>
              </w:rPr>
              <w:t xml:space="preserve">Jomas attīstības mērķi aptver tehnoloģisko modernizāciju, procesu efektivitātes paaugstināšanu un kiberdrošības stiprināšanu:” </w:t>
            </w:r>
            <w:r w:rsidR="00000000" w:rsidRPr="00000000" w:rsidDel="00000000">
              <w:rPr>
                <w:rtl w:val="0"/>
              </w:rPr>
              <w:t xml:space="preserve">iekļaut pie nākamās apakšsadaļas -</w:t>
            </w:r>
            <w:r w:rsidR="00000000" w:rsidRPr="00000000" w:rsidDel="00000000">
              <w:rPr>
                <w:i w:val="1"/>
                <w:rtl w:val="0"/>
              </w:rPr>
              <w:t xml:space="preserve"> Kiberdrošības un noturības prasību izpilde.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3.2.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3.2. sadaļā iekļautā informācija zem apakšsadaļas “Izmaksu novēršana un darbības nepārtrauktības nodrošināšana”ir attiecināma uz šo sadaļu, nepieciešamības gadījumā lūdzam to atzīmēt.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3.2.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sadaļā pie pamatojuma avotiem iekļaut norādi uz audita konstatējumiem.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punktā izņemta atzīme pie norādes “auditā konstatētais”.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4.2. punktā izkļaut norādi, jo īstenošanas termiņš nevar būt indikatīvs.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4.2.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 sadaļā iekļaut VIRSIS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pases 5.2.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 sadaļā E-KRASS 2.kārta “Lietotāju skaits” norādīt institūciju skaitu (nepieciešamības gadījumā atšifrējot lietotāju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lietotāju skaits 5.2. sadaļā “E-KRASS 2. 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lūdzam izvērtēt, vai neveidosies koplietošanas pakalpojums, ņemot vērā projekta ietvaros plānoto aktivitāšu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7. sadaļas “informācija par projekta “biznesa” īpašnieku (business owner) un tā lomu projekta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 sadaļa ar informāciju par “biznesa”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7. sadaļas “informācija par projekta sasaisti ar atklātas stratēģiskās autonomijas un drošības jautājumiem”, ja sasaiste nav identificēta, lūgums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ieraksts projekta pases 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iekļaut plānoto uzturēšanas izdevumu pozīciju atšifrējumu.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papildināts apraksts ar uzturēšanai nepieciešamā finansējuma detalizētu aprēķinu un pamatojumu. Atbilstoši precizēta projekta pases 6. punktā un rīkojuma projekta 2. punktā norādītā uzturēšanai nepieciešamā finansējuma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13:51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tik īsajā termiņā sniegt savu viedokli par Iekšlietu ministrijas izstrādāto rīkojuma projektu, tādējādi informējam, ka Finanšu ministrijas atzinums tiks sniegts līdz 2026. gada 26. janvārim.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(VARAM) iebilst pret norādīto termiņu Ministru kabineta rīkojuma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saskaņošanai virzītās pases projekta saturiskā informācija precizēta un ievietota jaunajā projekta veidlapā atbilstoši VARAM 06.01.2026. vēstulē Nr.P-1-13-1/26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rtl w:val="0"/>
              </w:rPr>
              <w:t xml:space="preserve">Aicinām sagatavot rīkojuma projekta pielikumu (projekta pase) atbilstoši precizētajai pases veidnei, kas publicēta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Aicinām pārskatīt un precizēt projekta pases 2.2.sadaļā norādīto īstenoto projektu numurus un nosaukumus, nedublējot informāciju. Informējam, ka 2014.-2020.gada plānošanas periodā īstenoti šādi ERAF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Nr.2.2.1.1/17/I/010  “Prokuratūras informācijas 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Nr.2.2.1.1/17/I/013  “Tiesu informatīvās 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Aicinām pārskatīt un pēc nepieciešamības papildināt plānotos projekta ieguvumu rādītājus projekta pases 3.3.1.sadaļā, kā arī projektā sasniedzamos rezultātus un to sasniegšanas laiku projekta pases 3.4.sadaļā, ņemot vērā plānotās aktivitātes mērķa sasniegšanai, kas aprakstīts projekta pases 3.1.sadaļā. Vēršam uzmanību, ka 3.4.sadaļā norādāmi rezultāti, kas tiks sasniegti projekta īstenošanas laikā, t.i. līdz 2029.gada 4.ceturksnim.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rtl w:val="0"/>
              </w:rPr>
              <w:t xml:space="preserve">Aicinām skaidrot kā ir noteiktas (aprēķinātas, kādos datos balstoties) 3.4.3. un 3.4.4. sadaļās noteiktās vērtības, papildus sniedzot informāciju gan par esošo, gan plānoto vērtību, tādējādi ļaujot arī pārliecināties par norādīto rezultātu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Aicinām papildināt projekta pases 4.1.sadaļu, norādot izmaksu sadalījumu pa galvenajām izmaksu grupām. Vienlaikus pārliecinoties vai projekta pasē nav nepieciešams noteikt citu personāla izmaksu apmēru saskaņā ar 04.06.2024. Ministru kabineta noteikumu Nr.338 par 1.3.1.1. pasākuma īstenošanu 32.punktu. Vēršam uzmanību, ka izņēmuma gadījumā projekta pasē var noteikt citu personāla izmaksu apmēru, kad, atbilstoši projekta būtībai (piemēram, informācijas sistēmas izstrādes darbi tiek veikti iestādes resursu ietvaros) personāla izmaksas pārsniedz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Projekta pases 5.2.sadaļā kolonnā "Lietotāju skaits" aicinām norādīt komersantu skaitu, lai būtu viennozīmīgi skaidrs kāda vērtība tiek ieskaitīta programmas rezultāta rādītājā "jaunu un modernizētu publisko digitālo pakalpojumu, produktu un procesu lietotāji", ņemot vērā, ka rādītājā tiek ieskaitīti komersanti un iestādes. Vienlaikus, atšifrēt kā tiek noteikts lietotāju skaits katram no risinājumiem, lai pārliecinātos par rādītāja sasniedzamību, precizējot arī, kas apliecina attiecīgo komersantu un iestāžu ieskaitīšanu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Aicinām projekta pases 5.4.sadaļā pārskatīt termiņu datu kopu pieejamībai, ņemot vērā, ka projekta īstenošana plānota līdz 2029.gada 4.ceturksnim.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rtl w:val="0"/>
              </w:rPr>
              <w:t xml:space="preserve">Lūdzam papildināt projekta pases 6.sadaļu, norādot arī katras atsevišķās sistēmas investīciju lietderību. Tā kā norādīta tikai kopējā projekta lietderība, nav iespējams pārliecināties, vai ieguldījumi katrā no 4 sistēmām ir lietderīgi un nepastāv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Projekta pases 6.sadaļas 3.punktā "Izmaksu ietaupījums, kas rodas procesu digitalizācijas ietvaros, samazinot papīra dokumentu apriti" lūdzam norādīt aprēķinu katram no ieguvumiem, to pamatojot un norādīt datu avotus izmantotajiem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rtl w:val="0"/>
              </w:rPr>
              <w:t xml:space="preserve">Projekta pases 2.2.sadaļā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7.sadaļā projekta mērķu sasniegšanai un rezultātu ilgtspējai norādīts potenciāls finansējuma pārklāšanās risks. Lūdzam sniegt papildu skaidrojumu par minētā riska iespējamību. Vienlaikus aicinām detalizēti vērtēt un identificēt iespējamos riskus savlaicīgi, t.sk. projekta īstenošanas sākotnējā posmā, un veikt visus nepieciešamos pasākumus to mazināšanai, lai novērstu neatbilstoši veikto izdevumu rašanās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rtl w:val="0"/>
              </w:rPr>
              <w:t xml:space="preserve">Ņemot vērā, ka projekta pases 7.sadaļā minēts, ka projekta pārvaldība tiks nodrošināta, piemērojot trīs līmeņu projekta pārvaldības struktūru (projekta uzraudzības padome, projekta uzraudzības komisija un projekta darba grupa), lūdzam papildināt 7.sadaļu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 saskaņošanai virzītās pases projekta saturiskā informācija precizēta un ievietota projekta veidlapā atbilstoši VARAM 06.01.2026. vēstule Nr.P-1-13-1/26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projekta pases 2.2. sadaļa atbilstoši sniegtajam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“Sodu reģistra” e-pakalpojuma un sistēmas lietotāju skaitu un Elektroniski izsniegto izziņu skaitu privātpersonām (fiziskām un juridiskajām) būs iespējams noteikt pēc risinājumu attīstības pabeigšanas un ieviešanas produkcijas vidē jau pēc projekta īstenošanas - 2030. gadā, 3.4.3. un 3.4.4. projektā sasniedzamie rādītāji izkļauti un to vietā 3.4.3. papildināts ar jaunu sasniedzamo rādītāju:  “Modernizēts Sodu reģistrs datu izgūšanai par noziedzīgus nodarījumus un administratīvos pārkāpumus izdarījušām personām” ar sasniegšanas termiņu 2029.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skaidrojumu iepriekšējā komentārā (3.punkts). Lietotāju skaits un elektroniski izsniegto izziņu skaits tika noteikts, balstoties uz Sodu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projekta pases 4.1. sadaļa atbilstoši sniegtajam iebildumam. Skaidrojam, ka detalizētāks aktivitāšu sadalījums tiks ietvers projekta iesniegumā. Projekta pasē norādīts projekta kopējais finansējums, lai proaktīvi novērstu papildu administratīvo slogu ministrijām un iesaistītajām iestādēm, grozot projekta pasi pie finansējuma apjoma maiņas pa projektā īstenojamo aktivitāšu (E-KRASS, IER, Sodu reģistrs, Uzskaišu kategorijas) pozīcijām kopējā projekta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projekta pases 5.2. sadaļā iekļautā informācija “Lietotāju skaits”, atbilstoši saņemtajam iebildumam pārskatīts un precizēts komersantu un iestāžu skaits un iekļautas norādes par lietotājiem, kas netiek ieskaitīti  1.3.1.1. pasākuma rezultāta rādītāja "jaunu un modernizētu publisko digitālo pakalpojumu, produktu un procesu lietotāji"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Precizēta projekta pases 5.4. sadaļa atbilstoši 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Veikti precizējumi atbilstoši saņemtajam iebildumam. Papildināta projekta pases 6. sadaļa ar atsevišķu lietderības analīzes aprakstu katrai sistēmai, balstoties uz attiecīgajiem procesu uzlabojumiem, administratīvā sloga samazinājumu un finansiālajiem ieguvumiem, lai novērstu šķērssubsīdiju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sniegtajam iebildumam precizēts projekta pases 6. sadaļas 3. punkts, papildinot ar aprēķinu katram no ieguvumiem un norādot datu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sniegtajam iebildumam precizēts projekta pases 7. sadaļā iekļautais risks “Finansējuma pārklāšanas risks", kas saistīts ar lielu E-Lietas programmā iekļauto projektu un to aktivitāšu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sniegtajiem iebildumiem precizēta projekta pases 7. sadaļā iekļautā informācija par projektu vadības kapacitāti.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iekļaut punktu par nepieciešamo projekta uzturēšanas izmaksu limitu pēc projekta pabeigšanas atbilstoši rīkojuma projekta pases 6.sadaļā sniegtajai informācijai. Papildus lūdzam papildināt arī ar nosacījumu - no kāda budžeta minētās izmaksas tiks segtas, vai pieprasītas.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2. punktu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jautājuma "</w:t>
            </w:r>
            <w:r w:rsidR="00000000" w:rsidRPr="00000000" w:rsidDel="00000000">
              <w:rPr>
                <w:b w:val="1"/>
                <w:rtl w:val="0"/>
              </w:rPr>
              <w:t xml:space="preserve">Vai ir izvērtēts prasību un izmaksu samērīgums pret ieguvumiem?</w:t>
            </w:r>
            <w:r w:rsidR="00000000" w:rsidRPr="00000000" w:rsidDel="00000000">
              <w:rPr>
                <w:rtl w:val="0"/>
              </w:rPr>
              <w:t xml:space="preserve">" aicinām atsaukties uz projekta pases 6.punktā minētajiem rezultātiem, kurā tiek vērtēts projekta izmaksu samērīgums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pie jautājuma “Vai ir izvērtēts prasību un izmaksu samērīgums pret ieguvumiem?”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projekta anotācijas 3. sadaļas 6. punktā un projekta pasē ir norādīts provizoriski nepieciešamā finansējuma apmērs uzturēšanas izdevumiem pēc projekta pabeigšanas, bet nav iekļauts detalizēts aprēķins norādītajam papildus indikatīvi nepieciešamajam finansējuma apmēram uzturēšanas izdevumiem pēc projekta īstenošanas, līdz ar to lūdzam papildināt MK rīkojuma projekta anotācijas 3. sadaļas 6. punktu ar uzturēšanas izdevumu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3.sadalas 6.punktu, norādot arī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25-TA-3032</w:t>
    </w:r>
    <w:r>
      <w:br/>
    </w:r>
    <w:r w:rsidR="00000000" w:rsidRPr="00000000" w:rsidDel="00000000">
      <w:rPr>
        <w:rtl w:val="0"/>
      </w:rPr>
      <w:t xml:space="preserve">12.08.2026. 14.18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25-TA-3032</w:t>
    </w:r>
    <w:r>
      <w:br/>
    </w:r>
    <w:r w:rsidR="00000000" w:rsidRPr="00000000" w:rsidDel="00000000">
      <w:rPr>
        <w:rtl w:val="0"/>
      </w:rPr>
      <w:t xml:space="preserve">12.08.2026. 14.18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Izziņa_25-TA-3032.docx</dc:title>
</cp:coreProperties>
</file>

<file path=docProps/custom.xml><?xml version="1.0" encoding="utf-8"?>
<Properties xmlns="http://schemas.openxmlformats.org/officeDocument/2006/custom-properties" xmlns:vt="http://schemas.openxmlformats.org/officeDocument/2006/docPropsVTypes"/>
</file>