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26-TA-1479: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Ministru kabineta 2008.gada 25.marta noteikumu Nr.195 "Mašīnu drošības noteikumi" atzīšanu par spēku zaudējušiem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02.09.2026. 18:44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Atzīt par spēku zaudējušiem Ministru kabineta 2008.gada 25.marta noteikumus Nr.195 "Mašīnu drošības noteikumi" atzīšanu par spēku zaudējušiem (Latvijas Vēstnesis, 2008, 49. nr.; 2010, 21. nr.; 2011, 52. nr.; 2012, 62. nr.; 2018, 245. nr.; 2026, 96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redakcionāli precizēt projekta 1. punktu, vienā vietā svītrojot dublējošo tekstu par noteikumu atzīšanu par spēku zaudējušiem.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svītrota dublējošā frāze.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Atzīt par spēku zaudējušiem Ministru kabineta 2008.gada 25.marta noteikumus Nr.195 "Mašīnu drošības noteikumi" (Latvijas Vēstnesis, 2008, 49. nr.; 2010, 21. nr.; 2011, 52. nr.; 2012, 62. nr.; 2018, 245. nr.; 2026, 96 nr.).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precīzi atspoguļot nacionālā regulējuma un </w:t>
            </w:r>
            <w:r w:rsidR="00000000" w:rsidRPr="00000000" w:rsidDel="00000000">
              <w:rPr>
                <w:i w:val="1"/>
                <w:rtl w:val="0"/>
              </w:rPr>
              <w:t xml:space="preserve">Eiropas Parlamenta un Padomes 2023. gada 14. jūnija Regulas 2023/1230/ES par mašīnām un ar ko atceļ Direktīvu 2006/42/EK un Padomes Direktīvu 73/361/EEK</w:t>
            </w:r>
            <w:r w:rsidR="00000000" w:rsidRPr="00000000" w:rsidDel="00000000">
              <w:rPr>
                <w:rtl w:val="0"/>
              </w:rPr>
              <w:t xml:space="preserve"> korelāciju. Proti, skaidrots, ka minētā regula ir tieši piemērojams Eiropas Savienības tiesību akts, kura prasības dalībvalstīs nav jāpārņem. Vēršam uzmanību, ka regulas nacionālajās tiesībās nemaz nedrīkst pārņemt, bet to tiešas un pilnīgas ieviešanas nodrošināšanai var būt nepieciešama atsevišķu regulas prasību ieviešana. Regulas 5. pants noteic, ka "</w:t>
            </w:r>
            <w:r w:rsidR="00000000" w:rsidRPr="00000000" w:rsidDel="00000000">
              <w:rPr>
                <w:i w:val="1"/>
                <w:rtl w:val="0"/>
              </w:rPr>
              <w:t xml:space="preserve">Dalībvalstis drīkst noteikt prasības, lai nodrošinātu, ka tiek aizsargāti cilvēki, tostarp darbinieki, kad tie uzstāda vai lieto mašīnas vai saistītos izstrādājumus, ar noteikumu, ka šādi noteikumi neļauj veikt mašīnas vai saistīta izstrādājuma modifikāciju veidā, kas nav saderīgs ar šo regulu</w:t>
            </w:r>
            <w:r w:rsidR="00000000" w:rsidRPr="00000000" w:rsidDel="00000000">
              <w:rPr>
                <w:rtl w:val="0"/>
              </w:rPr>
              <w:t xml:space="preserve">", 10.,11., 15. un 16. pantā noteikts, ka lietošanas un montāžas instrukcijas ir viegli saprotamā valodā, kā to noteikusi attiecīgā dalībvalsts, bet tās 27. panta 2. punkts paredz rīcības brīvību, pamatojoties uz kuru "</w:t>
            </w:r>
            <w:r w:rsidR="00000000" w:rsidRPr="00000000" w:rsidDel="00000000">
              <w:rPr>
                <w:i w:val="1"/>
                <w:rtl w:val="0"/>
              </w:rPr>
              <w:t xml:space="preserve">Dalībvalstis var nolemt, ka 1. punktā minēto novērtēšanu un uzraudzību veic valsts akreditācijas struktūra, kā definēts Regulā (EK) Nr. 765/2008 un saskaņā ar minēto regulu</w:t>
            </w:r>
            <w:r w:rsidR="00000000" w:rsidRPr="00000000" w:rsidDel="00000000">
              <w:rPr>
                <w:rtl w:val="0"/>
              </w:rPr>
              <w:t xml:space="preserve">". Attiecīgi saprotams, ka nacionāli jābūt ieviestiem papildus noteikumiem regulas mērķa sasniegšanai, no kuriem tikai daļa skaidrota anotācijas 1.3. apakšsadaļā. Lūdzam anotācijā atbilstoši skaidrot, kā tiek nodrošināta pilnīga no regulas izrietošo prasību ieviešana, piemēram, attiecībā uz rīcības brīvību, skaidrojot "Kā ir izmantota ES tiesību aktā paredzētā rīcības brīvība dalībvalstij pārņemt vai ieviest noteiktas Eiropas Savienības tiesību akta normas? Kādēļ?".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2023/1230/ES normas kā tieši piemērojama Eiropas Savienības tiesību akta normas nedrīkst pārņemt nacionālajos normatīvajos aktos. Vienlaikus atsevišķas Regulas 2023/1230/ES normas (piemēram, 5., 10., 11., 15., 16. un 27. pants) paredz dalībvalstīm rīcības brīvību noteiktu jautājumu regulēšanā, lai nodrošinātu regulas pilnīgu un tiešu piemērošanu. Izvērtējums par šīs rīcības brīvības izmantošanu un tās nodrošinājumu spēkā esošajos normatīvajos aktos sniegts anotācijas 5.4. apakšsadaļas 1.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ka anotācijā ietekmējamās mērķgrupas ieraksta 2. un 7. sadaļā: 2.1. apakšpunktā apraksta ietekmi uz privāto sektoru – t. i., uz visām sabiedrības grupām (fiziskām vai juridiskām personām), bet 7.1. apakšpunktā – uz publisko pārvaldi (valsts un pašvaldību institūcijām). Projekta anotācijā ietekme uz Patērētāju tiesību aizsardzības centru un valsts aģentūru "Latvijas Nacionālo akreditācijas birojs" vienlaicīgi skaidrota abās minētajās sadaļās.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tiesiskās noteiktības nolūkā lūdzam tiesību normu adresātiem papildus skaidrot arī projekta ietekmi uz procedūrām un atļaujām, kas, pamatojoties uz Ministru kabineta 2008.gada 25.marta noteikumiem Nr.195 "Mašīnu drošības noteikumi" (turpmāk - Noteikumi) uzsāktas, izdotas līdz 2027. gada 13. janvārim. Piemēram, regulas 52. panta 2. punkts nosaka, ka EK tipa pārbaudes sertifikāti un apstiprinājuma lēmumi, paliek spēkā līdz brīdim, kad beidzas to derīguma termiņš. Savukārt, Noteikumu 9.</w:t>
            </w:r>
            <w:r w:rsidR="00000000" w:rsidRPr="00000000" w:rsidDel="00000000">
              <w:rPr>
                <w:vertAlign w:val="superscript"/>
                <w:rtl w:val="0"/>
              </w:rPr>
              <w:t xml:space="preserve">2</w:t>
            </w:r>
            <w:r w:rsidR="00000000" w:rsidRPr="00000000" w:rsidDel="00000000">
              <w:rPr>
                <w:rtl w:val="0"/>
              </w:rPr>
              <w:t xml:space="preserve"> nodaļa paredz arī tādas specifiskas atļaujas, kā atļauja laist tirgū vai nodot lietošanā konkrētu mašīnu, kurai nav veiktas atbilstības novērtēšanas procedūras.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Noteikumu 9.</w:t>
            </w:r>
            <w:r w:rsidR="00000000" w:rsidRPr="00000000" w:rsidDel="00000000">
              <w:rPr>
                <w:vertAlign w:val="superscript"/>
                <w:rtl w:val="0"/>
              </w:rPr>
              <w:t xml:space="preserve">2</w:t>
            </w:r>
            <w:r w:rsidR="00000000" w:rsidRPr="00000000" w:rsidDel="00000000">
              <w:rPr>
                <w:rtl w:val="0"/>
              </w:rPr>
              <w:t xml:space="preserve"> nodaļa, kas paredz arī tādas specifiskas atļaujas, kā atļauja laist tirgū vai nodot lietošanā konkrētu mašīnu, kurai nav veiktas atbilstības novērtēšanas procedūras - ir attiecināma tikai uz iekšējā tirgus ārkārtas situācijas režīmu, kāds līdz šim nav piemērots un nav attiecīgu izsniegtu specifisku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apakšsadaļā juridisko personu ietekmes aprakstā līdztekus privāto tiesību subjektiem ir norādīts Patērētāju tiesību aizsardzības centrs un valsts aģentūra “Latvijas Nacionālais akreditācijas birojs”. Valsts institūcijas nav iekļaujamas juridisko personu mērķgrupā; projekta ietekme uz tām raksturojama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nav pietiekami raksturota projekta ietekme uz norādītajām mērķgrupām. Tajā galvenokārt uzskaitīti subjekti, uz kuriem attiecas regulējums, bet nav paskaidrots, kas mašīnu ražotājiem, pilnvarotajiem pārstāvjiem, importētājiem, izplatītājiem un atbilstības novērtēšanas institūcijām mainīsies, atzīstot Ministru kabineta noteikumus Nr. 195 “Mašīnu drošības noteikumi” par spēku zaudējušiem. Lūdzam ietekmes aprakstā norādīt būtiskākās izmaiņas, kas mērķgrupām rodas, pārejot no nacionālā regulējuma uz tieši piemērojamo Regulu (ES) 2023/1230.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vai Ministru kabineta noteikumu Nr. 195 atcelšanas rezultātā mērķgrupām samazinās nacionālajā regulējumā noteiktie informācijas sniegšanas pienākumi vai atbilstības prasības. Ja attiecīgais pienākums tādā pašā vai līdzvērtīgā apjomā saglabājas saskaņā ar Regulu (ES) 2023/1230, noteikumu atcelšana pati par sevi nerada sloga samazinājumu. Savukārt, ja kāds nacionālajā regulējumā noteiktais pienākums tiek atcelts vai tā izpilde kļūst mazāk apgrūtinoša, anotācijā norādāms, kas tieši mērķgrupai turpmāk nebūs jādara vai būs jādara mazāk, un attiecīgi novērtējams radītais administratīvo vai atbilstības izmaksu samazinājums.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2.1.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 apakšsadaļā kā projekta izpildē iesaistītās institūcijas norādīts Latvijas Nacionālais akreditācijas birojs, Patērētāju tiesību aizsardzības centrs un Valsts darba inspekcija, taču 7.4. apakšsadaļā nav raksturota projekta izpildes ietekme uz šo institūciju funkcijām, uzdevumiem un iekšējiem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attiecībā uz katru norādīto institūciju raksturot tās lomu Regulas (ES) 2023/1230 piemērošanā un norādīt, vai pārejas rezultātā mainīsies tirgus uzraudzības, akreditācijas, atbilstības novērtēšanas institūciju paziņošanas, pārbaužu, informācijas aprites vai iestāžu sadarbības procesi. Ja institūciju funkcijas un procesi pēc būtības nemainās un jaunā regulējuma piemērošana tiks nodrošināta esošo funkciju un resursu ietvaros, tas anotācijā attiecībā uz katru institūciju norādāms un pamatojams.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7.1. apakšsadaļa, pievienots atsevišķs skaidrojums par katru no trim institūcijām (LATAK, PTAC, VDI) - to lomu Regulas piemērošanā un apstiprinājums, ka funkcijas un procesi pēc būtības nemainās, tiek nodrošināti esošo resursu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26-TA-1479</w:t>
    </w:r>
    <w:r>
      <w:br/>
    </w:r>
    <w:r w:rsidR="00000000" w:rsidRPr="00000000" w:rsidDel="00000000">
      <w:rPr>
        <w:rtl w:val="0"/>
      </w:rPr>
      <w:t xml:space="preserve">15.10.2026. 21.22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26-TA-1479</w:t>
    </w:r>
    <w:r>
      <w:br/>
    </w:r>
    <w:r w:rsidR="00000000" w:rsidRPr="00000000" w:rsidDel="00000000">
      <w:rPr>
        <w:rtl w:val="0"/>
      </w:rPr>
      <w:t xml:space="preserve">15.10.2026. 21.22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Izziņa_26-TA-1479.docx</dc:title>
</cp:coreProperties>
</file>

<file path=docProps/custom.xml><?xml version="1.0" encoding="utf-8"?>
<Properties xmlns="http://schemas.openxmlformats.org/officeDocument/2006/custom-properties" xmlns:vt="http://schemas.openxmlformats.org/officeDocument/2006/docPropsVTypes"/>
</file>