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24-TA-1312: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- 03.06.2024.)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Publiskas personas mantas atsavināšanas likuma 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panta pirmo daļu valsts kustamo mantu var nodot bez atlīdzības </w:t>
            </w:r>
            <w:r w:rsidR="00000000" w:rsidRPr="00000000" w:rsidDel="00000000">
              <w:rPr>
                <w:u w:val="single"/>
                <w:rtl w:val="0"/>
              </w:rPr>
              <w:t xml:space="preserve">ārvalstu valdību </w:t>
            </w:r>
            <w:r w:rsidR="00000000" w:rsidRPr="00000000" w:rsidDel="00000000">
              <w:rPr>
                <w:rtl w:val="0"/>
              </w:rPr>
              <w:t xml:space="preserve">un starpvalstu organizāciju </w:t>
            </w:r>
            <w:r w:rsidR="00000000" w:rsidRPr="00000000" w:rsidDel="00000000">
              <w:rPr>
                <w:u w:val="single"/>
                <w:rtl w:val="0"/>
              </w:rPr>
              <w:t xml:space="preserve">īpašumā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iespēju papildināt Ministru kabineta rīkojuma projekta sākotnējās ietekmes (ex-ante) novērtējuma ziņojumu (anotācija), izvērtējot un norādot, ka, nododot Ministru kabineta rīkojuma projektā noteikto kustamo mantu Čerņihivas Reģionālajai bērnu slimnīcai, tā tiek nodota Ukrainas valdības īpašumā.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informācija anotācijas 1.3. apakšsadaļā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24-TA-1312</w:t>
    </w:r>
    <w:r>
      <w:br/>
    </w:r>
    <w:r w:rsidR="00000000" w:rsidRPr="00000000" w:rsidDel="00000000">
      <w:rPr>
        <w:rtl w:val="0"/>
      </w:rPr>
      <w:t xml:space="preserve">14.06.2024. 14.28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24-TA-1312</w:t>
    </w:r>
    <w:r>
      <w:br/>
    </w:r>
    <w:r w:rsidR="00000000" w:rsidRPr="00000000" w:rsidDel="00000000">
      <w:rPr>
        <w:rtl w:val="0"/>
      </w:rPr>
      <w:t xml:space="preserve">14.06.2024. 14.28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