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21-TA-749: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VES parku virs 50MW īstenošanas procedūru optimizēšana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"VES parku virs 50MW īstenošanas procedūru optimizēšana" projektam nav norādīts steidzamības pamatojums, līdz ar to Finanšu ministrija atzinumu sniegs atbilstoši Ministru kabineta 2021.gada 7.septembra noteikumu Nr.606 “Ministru kabineta kārtības rullis” noteiktajai kārtībai līdz 2022.gada 21.martam.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2.2.nodaļu papildināt (stiprināt) ar informāciju par sabiedrības un pašvaldību iesaisti, piemēram, nosakot, ka pēc iesnieguma par tehnisko noteikumu saņemšanas tiek informēta ne tikai plašāka sabiedrība, bet arī konkrētā pašvaldība, kā arī stiprinot vietējās sabiedrības iesaisti, piemēram, nosakot nepieciešamību rīkot sabiedrisko apspriedi (periodā līdz tiek pieņemts lēmums par tehniskajiem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un precizēts Informatīvā ziņojuma 3. attēls.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 gada 27. janvāra noteikumu Nr. 30 “Kārtība, kādā Valsts vides dienests izdod tehniskos noteikumus paredzētajai darbībai” 16.punktu tehniskos noteikumus sagatavo, pamatojoties uz iesniedzēja sniegto informāciju, sabiedrības atsauksmēm un priekšlikumiem, sākotnējo izvērtējumu, kas veikts saskaņā ar likumu “Par ietekmes uz vidi novērtējumu”, kā arī uz attiecīgo valsts un pašvaldību institūciju sniegto informāciju un ekspertu atzinumiem.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17. punktu sagatavojot tehniskos noteikumus, dienestam ir tiesības pieaicināt ekspertus, pieprasīt un saņemt informāciju no valsts un pašvaldību institūcijām, kā arī saņemt būvvaldes apkopotus sabiedrības iesniegtos priekšlikumus un sabiedriskās apspriešanas rezultātus, ja tādi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2.1.nodaļā detalizētāk skaidrot izvēlēto slieksni 50MW. Ministrijas ieskatā minimālā vēja enerģijas ieceru jauda būtu paaugstināma līdz 100MW vai vairāk, lai nodrošinātu proporcionalitāti starp lielajiem vēja parkiem un mazajiem attīstītājiem. Ziņojumā arī ir secināts, ka ilgtermiņā ir būtiski veicināt tieši lielākas jaudas vēja parku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apskatīta procedūru optimizēšana VES parku virs 50MW īstenošanai. Konceptuāla rakstura jautājumi tiks izskatīti un ietverti atsevišķā likumā par atbalstu vēja enerģijas ražošanai un tiktu piemērots vēja enerģijas ražošanas iecerēm, kuru plānotā jauda ir 50 MW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kā nozares ministriju iesniegt pamatotus priekšlikumus Likumprojekta izstrādes laikā, lai vienotos par nepieciešamību speciālo regulējumu attiecināt tikai uz VES parkiem sākot no, piemēram, 100MW.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(turpmāk – Birojs) ir izskatījis un konceptuāli atbalsta VARAM informatīvajā ziņojumā ”VES parku virs 50 MW īstenošanas procedūru optimizēšana” (turpmāk – IZ) piedāvāto risinājumu attiecībā uz Biroja kompetences paplašināšanu, pildot būvvaldes funkciju attiecībā uz lielas jaudas vēja parku (sākot ar jaudu virs 50 MW) būvniecības ieceru izskatīšanu un procesuālo termiņu saīsināšanu, vienlaicīgi izsakot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kompetence ir noteiktā Būvniecības likuma (turpmāk – BL) 6.</w:t>
            </w:r>
            <w:r w:rsidR="00000000" w:rsidRPr="00000000" w:rsidDel="00000000">
              <w:rPr>
                <w:vertAlign w:val="superscript"/>
                <w:rtl w:val="0"/>
              </w:rPr>
              <w:t xml:space="preserve">1</w:t>
            </w:r>
            <w:r w:rsidR="00000000" w:rsidRPr="00000000" w:rsidDel="00000000">
              <w:rPr>
                <w:rtl w:val="0"/>
              </w:rPr>
              <w:t xml:space="preserve"> pantā. Saskaņā ar BL 6.</w:t>
            </w:r>
            <w:r w:rsidR="00000000" w:rsidRPr="00000000" w:rsidDel="00000000">
              <w:rPr>
                <w:vertAlign w:val="superscript"/>
                <w:rtl w:val="0"/>
              </w:rPr>
              <w:t xml:space="preserve">1</w:t>
            </w:r>
            <w:r w:rsidR="00000000" w:rsidRPr="00000000" w:rsidDel="00000000">
              <w:rPr>
                <w:rtl w:val="0"/>
              </w:rPr>
              <w:t xml:space="preserve"> panta pirmās daļas 1.</w:t>
            </w:r>
            <w:r w:rsidR="00000000" w:rsidRPr="00000000" w:rsidDel="00000000">
              <w:rPr>
                <w:vertAlign w:val="superscript"/>
                <w:rtl w:val="0"/>
              </w:rPr>
              <w:t xml:space="preserve">1</w:t>
            </w:r>
            <w:r w:rsidR="00000000" w:rsidRPr="00000000" w:rsidDel="00000000">
              <w:rPr>
                <w:rtl w:val="0"/>
              </w:rPr>
              <w:t xml:space="preserve"> punktu un BL Pārejas noteikumu 19.punktu Birojs būvvaldes funkciju šobrīd īsteno attiecībā uz Aizsardzības ministrijas, tās padotības iestādes vai Nacionālo bruņoto spēku vajadzībām nepieciešamo būvju būvniecību, Iekšlietu ministrijas vai tās padotības iestādes vajadzībām nepieciešamo būvju būvniecību valsts robežas joslā, patrulēšanas joslā un robežzīmju uzraudzības joslā, kā arī attiecībā uz tādu elektropārvades līniju būvniecības iecerēm, kurām atbilstoši Teritorijas attīstības plānošanas likumā paredzētajam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izprot un atbalsta aktivitātes, kas ir vērstas uz valsts energoneatkarības pilnveidošanu. Ar BL 6.</w:t>
            </w:r>
            <w:r w:rsidR="00000000" w:rsidRPr="00000000" w:rsidDel="00000000">
              <w:rPr>
                <w:vertAlign w:val="superscript"/>
                <w:rtl w:val="0"/>
              </w:rPr>
              <w:t xml:space="preserve">1</w:t>
            </w:r>
            <w:r w:rsidR="00000000" w:rsidRPr="00000000" w:rsidDel="00000000">
              <w:rPr>
                <w:rtl w:val="0"/>
              </w:rPr>
              <w:t xml:space="preserve"> panta grozījumiem, paredzot </w:t>
            </w:r>
            <w:r w:rsidR="00000000" w:rsidRPr="00000000" w:rsidDel="00000000">
              <w:rPr>
                <w:u w:val="single"/>
                <w:rtl w:val="0"/>
              </w:rPr>
              <w:t xml:space="preserve">jaunu Biroja funkciju attiecībā uz lielas jaudas vēja parku būvniecības iecerēm</w:t>
            </w:r>
            <w:r w:rsidR="00000000" w:rsidRPr="00000000" w:rsidDel="00000000">
              <w:rPr>
                <w:rtl w:val="0"/>
              </w:rPr>
              <w:t xml:space="preserve">, pēc Biroja aplēsēm funkcijas izpildei būtu nepieciešamas 2 jaunas amata vietas – arhitekts būvvaldes funkcijas nodrošināšanai un būvinspektors būvdarbu procesa kontrolei. Nepieciešamais papildus finansējums 2 amata vietām ir 71 095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BL Pārejas noteikumu 21.punktu būvniecības administratīvais process kopš 2020.gada 1.janvāra ir īstenojams elektroniski būvniecības informācijas sistēmā (turpmāk – BIS). BIS funkcionalitāte ir jānodrošina atbilstoši būvniecības jomas normatīvo aktu prasībām. Birojs, izvērtējot IZ piedāvātos termiņus, </w:t>
            </w:r>
            <w:r w:rsidR="00000000" w:rsidRPr="00000000" w:rsidDel="00000000">
              <w:rPr>
                <w:u w:val="single"/>
                <w:rtl w:val="0"/>
              </w:rPr>
              <w:t xml:space="preserve">iebilst pret jaunu BL 12.pantā noteikto procesuālo termiņu noteikšanu</w:t>
            </w:r>
            <w:r w:rsidR="00000000" w:rsidRPr="00000000" w:rsidDel="00000000">
              <w:rPr>
                <w:rtl w:val="0"/>
              </w:rPr>
              <w:t xml:space="preserve"> būvniecības ieceres akceptēšanai, būvatļaujas izdošanai, atzīmju veikšanai būvatļaujā, kā arī būvprojekta izmaiņu saskaņošanai. Ņemot vērā, ka BIS ir izstrādāta funkcionalitāte prioritāro investīciju projektu atzīmei (turpmāk - PIPA), kas paredz pienākumu sniegt pakalpojumus prioritārā kārtībā, Birojs piedāvā izvērtēt iespēju </w:t>
            </w:r>
            <w:r w:rsidR="00000000" w:rsidRPr="00000000" w:rsidDel="00000000">
              <w:rPr>
                <w:u w:val="single"/>
                <w:rtl w:val="0"/>
              </w:rPr>
              <w:t xml:space="preserve">izstrādāto PIPA funkcionalitāti (saīsinātos termiņus) attiecināt arī uz VES būvniecības iecerēm, kurām ir noteikts nacionālo interešu objektu (NIO) statuss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Būvatļaujas izdošana – 15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Projektēšanas nosacījumu izpilde – 8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Būvdarbu uzsākšanas nosacījumu izpilde – 3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iepriekš minēto funkcionalitāti BIS, paredzams, ka Birojam kā BIS uzturētajam būs nepieciešams papildu finansējums 15 000 EUR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attiecībā uz Biroja piedāvātajiem termiņiem precizēts Informatīvā ziņojuma 3. attēls.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BVKB  aplēsēm šādas funkcijas izpildei būtu nepieciešamas 2 jaunas amata vietas – arhitekts būvvaldes funkcijas nodrošināšanai un būvinspektors būvdarbu procesa kontrolei. Nepieciešamais papildus finansējums 2 amata vietām ir 71 095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lai nodrošinātu iepriekš minēto funkcionalitāti būvniecības informācijas sistēmā (turpmāk – BIS), paredzams, ka BVKB kā BIS uzturētajam būs nepieciešams papildu finansējums 15 000 EUR apmērā. Finanšu ministrija ar BVKB saskaņo pieprasījumu ar nosacījumu, ka funkciju īsteno nepalielinot attiecīgā resora amata vietu skaitu un papildus finansējumu rodot piešķirtā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15.lpp.kā papidus nosacījums IVN procedūras aizstāšanai ar tehnisko noteikumu izdošanu norādīts: </w:t>
            </w:r>
            <w:r w:rsidR="00000000" w:rsidRPr="00000000" w:rsidDel="00000000">
              <w:rPr>
                <w:i w:val="1"/>
                <w:rtl w:val="0"/>
              </w:rPr>
              <w:t xml:space="preserve">Visbeidzot, ir jābūt garantijai, t.sk. energotīklu pārvaldītāja (elektroenerģijas pārvades sistēmas operatora AS “Augstsprieguma tīkls”) apstiprinājumam par NIO sarakstā iekļauto objektu saražotās jaudas pieņemšanu, par mērķa sasniegšanu – krīzes pārvarēšanu/ seku mazināšanu/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šādas garantijas nodrošinājums faktiski nozīmē šobrīd nenosakāmu pārvades sistēmas operatora finanšu līdzekļu ieguldījumu. Šādā gadījumā tas tiktu iekļauts pārvades sistēmas pakalpojuma tarifā, sadārdzinot elektroenerģijas gala cenu rēķinā, vai valsts budžeta līdzekļu izlietojumu, ja tiktu veidots speciālais pieslēgums konkrētam vēja parkam.</w:t>
            </w:r>
            <w:r w:rsidR="00000000" w:rsidRPr="00000000" w:rsidDel="00000000">
              <w:rPr>
                <w:u w:val="single"/>
                <w:rtl w:val="0"/>
              </w:rPr>
              <w:t xml:space="preserve"> Ekonomikas ministrija norāda, ka NIO statusa piešķiršana, nav pamats  speciāla pieslēgumu veidošanai. Visiem projektiem ir jāvadās no tīkla infrastruktūras tehniskajām iespējām un gadījumā, ja nepieciešami tīkla infrastruktūras pilnveidojumu, projekta īstenotājs ir atbildīgs par šo darbu nodrošināšanu, tajā skaitā finasēšanu.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ar tīkla nodrošināšanau ražojošajām jaudām mainās ik dienu, aizvien jauniem komersantiem vēršoties Ekonomikas ministrijā ar iesniegumu jaundas ražošana jaudas ieviešanai, secīgi dodoties pie pārvades sistēmas operatora tehnisko noteikumu saņemšanai. Tiklīdz kāds, piemēram, vēja parka attīstītājs, sāk faktisko stacijaas izbūvi, mainās situācija pārvades sistēmas tīkla uzņemošo jaudu spējā. Ar aktuālo situāciju tīklā jebkurš interesents var iepazīties AS "Augstprieguma tīkls" tīmekļvietnē: https://www.ast.lv/lv/content/pieslegumi-parvades-sistemai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jautājumu par NIO statusa piešķiršanu, ir jābūt energotīklu pārvaldītāja (elektroenerģijas pārvades sistēmas operatora AS “Augstsprieguma tīkls”) izsniegtiem pieslēguma ierīkošanas tehniskajiem noteikumiem pieslēguma ierīkošanai, kas kalpo kā apliecinājums  par VES saražotās jaudas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kā nozares ministriju iesniegt pamatotus priekšlikumus Likumprojekta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“Augstspriegumu tīkls” norādīja, ka Ekonomikas ministrijas norādītās garantijas pieslēgumam nodrošina ar tehniskajiem noteikumiem, kurus izdod saskaņā ar spēkā esošu regulējumu pēc IVN veikšanas. Par šī aspekta skaidru sakārtošanu VARAM var rīkot konsultācijas likumprojekta izstrādes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vēja parku attīstītāju nozares kā viens no būtiskākajiem šķēršļiem tiek minēts  aizsargjoslas ap vēja elektrostacijām saskaņošana ar aizsargjoslas skarto zemju īpašniekiem, kas faktiski kavē vēja parka būvniecību, kad ir veikts IVN. Rosinām IZ, kā vienu no vēja parku ieviešanas paātrinošiem procesiem iekļaut arī aizsargjoslu ap vēja elektrostacijām atcelšanu, kā tas ietverts arī Ekonomikas ministrijas virzītajā likumprojektā "Grozījumi Aizsargjoslu likumā" (VSS-1175) (anotācijā iekļaut detalizēts pamatojums drošības aizsargjoslas atcelšanai).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sniegtajām ziņām praksē novēroti gadījumi, ka faktisko būvniecību kavē aizsargjoslas saskaņošana ar skarto zemju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pēc būtības ziņojuma projektā paredzēti jautājumi, kas ietverami konceptuālajā ziņojumā, proti, pašlaik ziņojuma projekts un Ministru kabineta sēdes protokollēmuma projekts vērsts uz jauna regulējuma izstrādi saistībā ar vēja elektrostaciju parkiem. Lūdzam ievērot, ka saskaņā ar Ministru kabineta 2021. gada 7. septembra noteikumu Nr. 606 "Ministru kabineta kārtības rullis" 47. punktu informatīvais ziņojums ir informācija vai pārskats par Ministru kabineta kompetencē esoša jautājuma risināšanas gaitu, par Ministru kabineta atbalstīta plānošanas dokumenta īstenošanu vai tiesību akta izpildi, un </w:t>
            </w:r>
            <w:r w:rsidR="00000000" w:rsidRPr="00000000" w:rsidDel="00000000">
              <w:rPr>
                <w:u w:val="single"/>
                <w:rtl w:val="0"/>
              </w:rPr>
              <w:t xml:space="preserve">tajā neietver konceptuālus jautājumus</w:t>
            </w:r>
            <w:r w:rsidR="00000000" w:rsidRPr="00000000" w:rsidDel="00000000">
              <w:rPr>
                <w:rtl w:val="0"/>
              </w:rPr>
              <w:t xml:space="preserve">. Un saskaņā ar Ministru kabineta 2014. gada 2. decembra noteikumu Nr. 737 "Attīstības plānošanas dokumentu izstrādes un ietekmes izvērtēšanas noteikumi" (turpmāk - MKN. 737) 14. punktu "konceptuālu ziņojumu izstrādā, ja nepieciešams izšķirties par rīcību iepriekš noteiktu nozaru politiku īstenošanā". Attiecīgi lūdzam ziņojuma projektu un Ministru kabineta sēdes protokollēmuma projektu pārstrādāt par konceptuālo ziņojumu un Ministru kabineta rīkojuma projektu saskaņā ar MKN. 737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 rakstura jautājumi tiks izskatīti un ietverti atsevišķā likumā par atbalstu vēja enerģijas ražošanai un tiktu piemērots vēja enerģijas ražošanas iecerēm, kuru plānotā jauda ir 50 MW vai vairāk. Informatīvajā ziņojumā tiek apskatīti iespējamie rīcības virzieni.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3.2. apakšnodaļas "Prasības VES īstenotājiem" pirmajā rindkopā norādīts, ka, "lai nodrošinātu būtiskas sabiedrības intereses, ievērojot VES infrastruktūras raksturu un enerģētiskās neatkarības nacionālās drošības aspektus, visiem VES projektiem, kas pretendē uz ieceres realizāciju šajā ziņojumā piedāvātās procedūras ietvaros (saskaņā ar atsevišķu likumu par atbalstu vēja enerģijas ražošanai), jāpiemēro priekšatlases nosacījumi, kas kritiskās infrastruktūras tiesiskajam valdītājam ir izvirzīti Nacionālās drošības likumā." Lūdzam izvērtēt termina "tiesiskais valdītājs" lietojumu. Proti, kritiskai infrastruktūrai var būt gan īpašnieks, gan tiesiskais valdītājs, līdz ar to, vai nav jāvērtē arī potenciālā īpašnieka atbilstība nosacījumiem, kas izvirzīti Nacionālās drošības likumā. Ievērojot minēto, lūdzam sniegt izvērstu skaidrojumu, nepieciešamības gadījumā precizējot ziņojuma projekta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būtiskas sabiedrības intereses, ievērojot VES infrastruktūras raksturu un enerģētiskās neatkarības nacionālās drošības aspektus, visiem VES projektiem, kas pretendē uz ieceres realizāciju šajā ziņojumā piedāvātās procedūras ietvaros (saskaņā ar atsevišķu likumu par atbalstu vēja enerģijas ražošanai), jāpiemēro priekšatlases nosacījumi, kas kritiskās infrastruktūras īpašniekam vai tiesiskajam valdītājam ir izvirzīti Nacionālās drošības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konkurences neiralitāti (tagad un nākotnē) noteikt šiem NIO ar 800 MW uzstādīto jaudu noteikt kompensāciju pašvaldībām 1,5% no pārdošanas cenas tīkla operatoram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konkurences neiralitāti (tagad un nākotnē) noteikt šiem NIO ar 800 MW uzstādīto jaudu noteikt kompensāciju pašvaldībām 1,5% no pārdošanas cenas tīkla operatoram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vērtējams konkrēts kompensāciju apmērs pašvaldībām (piemēram, kā Latvijas Pašvaldību savienība aicinājusi - 1,5% no pārdošanas cenas tīkla operatoram katru gadu) un konkurences neitralitātes nodrošināšana (attiecīgie jautājumi izskatāmi likumprojekta izstrādes laikā).[1]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argumentē, ka viens skaidrs risinājums iepretim EM izstrādātā Informatīvā ziņojuma paredzētajiem iespējamiem variantiem  - kas radītu skaidrību un ietaupītu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kompensāciju pašvaldībām ir iekļauta Ekonomikas ministrijas sagatavotā Informatīvā ziņojuma “Par sauszemes vēja parku turpmāko attīstību valstī" (22-TA-531) sadaļā "8.6. Ekonomikas ministrijas piedāvātais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iebilst pret ziņojuma tālāku virzību pašreizējā redakcijā un izsaka konkrētus iebildumus par ziņojuma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ierosināts ietekmes uz vidi novērtējuma procesu aizstāt ar tehnisko noteikumu izsniegšanu 30 dienu laikā, taču ziņojumā nav izvērtēts tas, kā, būtiski saīsinot izvērtēšanai paredzēto laiku, tiks nodrošināta izvērtējuma kvalitāte, kā arī nav ietverti pietiekami risinājumi, tiks novērsta būtiska negatīva ietekme uz vidi, pirmkārt uz putniem nozīmīgām teritorijām. Tostarp nav minēts, kāda ir izvērtējuma veikšanai obligāti nepieciešamā informācija un kādu jomu eksperti iesaistāmi izvērtējuma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nozīmes biotopu kartēšanas ietvaros kā apsekojamas netika atlasītas platības bez meža inventarizācijas datiem un zālāju platības, kuras nebija pieteiktas atbalsta maksājumiem, kā arī plānveidīgi netika apsekotas īpaši aizsargājamo sugu atradnes. Līdz ar to informācija par īpaši aizsargājamo sugu sastopamību dabas datu pārvaldības sistēmā lielā mērā ir gadījuma rakstura un nepilnīga, un uz šīs informācijas pamata nevar balstīt vēja elektrostaciju (VES) ietekmes uz aizsargājamām sugām izvērtējumu, bet informācija par ES biotopu sastopamību būtu precizējama izvērtējuma ietvaros. Īpaši svarīga ir VES ietekmes izvērtēšana uz putnu migrācijas ceļiem un putnu koncentrēšanas vietām migrāciju laikā, kā arī uz sikspārņiem, taču ziņojums šos aspektus vispār neapskata. Tāpat arī ziņojumā nav apskatīta līdz šim veikto VES ietekmes izvērtējumu pieredze un nav sniegti konkrēti priekšlikumi, kā uzkrāto pieredzi un zināšanas varētu izmantot, lai saīsinātu izvērtēšanas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3.1. nodaļā apskatītie iespējamie ierobežojumi VES attīstības teritorijām nav pietiekami, lai izslēgtu potenciālo vēja parku būtisku negatīvu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nodaļā pat nav viennozīmīgi pateikts, ka vēja parkus ar ziņojumā paredzēto saīsināto izvērtēšanas procedūru nebūvē Natura 2000 teritorijās un 2 km buferjoslā ap tām, kā minēts ziņojuma tekstā iepriekš. Tāpat arī VES būvniecība nav pieļaujama visos mikroliegumos, ES nozīmes biotopos, īpaši aizsargājamo sugu atradnēs, kā arī teritorijās, kur VES negatīvi ietekmē putnu migrāciju un īpaši aizsargājamo putnu sugu ligzdošanas un barošanās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nav izvērtēta VARAM piedāvātā VES izvērtēšanas saīsinātā varianta atbilstība Eiropas Parlamenta un Padomes Direktīvas 2011/92/ES par dažu sabiedrisku un privātu projektu ietekmes uz vidi novērtējumu prasībām, neņemot vērā to, ka “iekārtas vēja izmantošanai, lai ražotu enerģiju (vēja saimniecības)” minētas direktīvas 2. pielikumā, bet direktīvas 3. pielikumā doti kritēriji, ar kuru palīdzību nosaka, vai II pielikumā minētajiem projektiem būtu jāveic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Ziņojumā nav pietiekami izvērsti atspoguļots protokollēmuma projektā minētā “likumprojekta vēja elektrostaciju parku virs 50MW īstenošanas procedūru optimizēšanai” saturs, kā arī nav skaidrots, vai un kad šis “speciālais normatīvais akts” tiks atcelts. Mūsu ieskatā, veicot korektu un efektīvu ietekmes uz vidi izvērtēšanu, nav nepieciešams sagatavot un izdot šādu “speciālo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valdības 22.02.2022. sēdes protokolā nav minēta diskusija par ietekmes uz vidi novērtējuma procesu un nav dots uzdevums VARAM mazināt prasības ietekmes uz vidi novērtēšanas jomā. Līdz ar to nav saprotama VARAM iniciatīva būtiski mainīt VES izvērtēšanas kārtību bez diskusijas ar vides nozares institūcijām un ekspertiem. VES attīstīšana būs atkarīga arī no būvniecības nozares kapacitātes. Līdz ar to VARAM paredzētā ietekmes uz vidi izvērtējuma vienkāršošana ziņojumā piedāvātajā versijā nav samērīga ar iespējām apgūt plānotās VES jaudas, taču nepietiekama VES parku izvērtēšana var atstāt negatīvu ietekmi uz Latvijas dabu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Ziņojumā trūkst pamatojums tam, ka atvieglotā kārtībā sabūvētas VES palīdzēs atbrīvoties no Krievijas gāzes atkarības. Ziņojumam būtu pievienojams vismaz konkrēts plāns un laika grafiks, kā tiks izbeigta Krievijas gāzes izmantošana enerģijas ražošanai un samazināta gāzes kā fosilā kurināmā izmantošana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uzskaitītas un ietvertas visas obligātās dabas aizsardzības prasības un iespējas, un ir plānots, ka plašāks to uzskaitījums tiks ietvertas īpašajā likumā, paredzot arī atbilstošu  deleģējumu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teritorijām”43. panta  ceturtā daļa nosaka:  Paredzētajai darbībai vai plānošanas dokumentam (izņemot aizsargājamo teritoriju dabas aizsardzības plānus un tajos paredzētās darbības, kas nepieciešamas īpaši aizsargājamo sugu dzīvotņu, ierobežoti izmantojamo īpaši aizsargājamo sugu dzīvotņu vai īpaši aizsargājamo biotopu apsaimniekošanai vai atjaunošanai, kā arī aizsargājamo teritoriju dabas aizsardzības plānos paredzētu publiski pieejamu dabas tūrisma un izziņas infrastruktūras objektu ierīkošanai), kas atsevišķi vai kopā ar citu paredzēto darbību vai plānošanas dokumentu var būtiski ietekmēt Eiropas nozīmes aizsargājamo dabas teritoriju (Natura 2000), veic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citas likuma  “Par īpaši aizsargājamām dabas teritorijām”  43. panta daļas nosaka nosacījumus ar kādiem paredzēto darbību var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būtu jānodrošina putnu un sikspārņu populācijas aizsardzības prasības, un kompensējošie pasākumi to interešu aizskāruma gadījumos. Likumā kopumā būtu jāatrunā kompensējošo pasākumu principi, piemēram, ka kompensējošie pasākumi būtu jāuzsāk vienlaikus arī NIO būvniecības procesu un jāveic vismaz piecus gadus pēc paredzētās darbības uzsākšanas, ka kompensējošo pasākumu izmaksas sedz paredzētās darbības veicējs, un gadījumos, ja tādi nav iespējami, tad būtu jāpiemēro zaudējumu atlīdzība par īpaši aizsargājamo sugu indivīdu un biotopu iznīcināšanu vai bojāšanu.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Pieteicējs, lai saņemtu VVD tehniskos noteikumus, reizē ar pieteikumu iesniedz sugu un biotopu eksperta atzinumu par ietekmi uz īpaši aizsargājamām sugām un biotopiem.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2.1.sadaļu “Vēja enerģijas ražošanas būvju ieceres realizācija saprātīgā procedūrā” papildināt ar informāciju, ka būvvaldes funkcijas par šajā ziņojumā paredzētajām vēja enerģijas ražošanas būvēm Būvniecības valsts kontroles birojs nodrošinās piešķirto līdzekļu ietvaros, neprasot papildu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BVKB  aplēsēm šādas funkcijas izpildei būtu nepieciešamas 2 jaunas amata vietas – arhitekts būvvaldes funkcijas nodrošināšanai un būvinspektors būvdarbu procesa kontrolei. Nepieciešamais papildus finansējums 2 amata vietām ir 71 095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lai nodrošinātu iepriekš minēto funkcionalitāti būvniecības informācijas sistēmā (turpmāk – BIS), paredzams, ka BVKB kā BIS uzturētajam būs nepieciešams papildu finansējums 15 000 EUR apmērā. Finanšu ministrija ar BVKB saskaņo pieprasījumu ar nosacījumu, ka funkciju īsteno nepalielinot attiecīgā resora amata vietu skaitu un papildus finansējumu rodot piešķirtā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elektroenerģijas ražotāja pieslēgšanas process pie pārvades sistēmas ir standartizēts un šo procesu neietekmē nacionālo interešu objekta statusa piešķiršana kādam konkrētam elektroenerģijas ražotājam. Potenciālajam elektroenerģijas ražotājam ir jāiesniedz pieteikums jauna elektroenerģijas pieslēguma ierīkošanai. Iesniegtie pieteikumi jaunam pieslēgumam tiek izskatīti tādā secībā, kādā tie tiek iesniegti un, ņemot vērā situāciju pārvades sistēmā konkrētajā pieslēguma punktā, ražotājam tiek izsniegti tehniskie noteikumi pieslēguma ierīkošanai, kas arī kalpo kā garantija šī elektroenerģijas ražotāja saražotās elektroenerģijas pieņemšanai sistēmā, ja ražotājs būs sekmīgi un noteiktajos termiņos izpildījis visus pieslēguma ierīkošanas procesa soļus.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3.nosacījumu (informatīvā ziņojuma 15.lpp.) formulēt šādi: Izskatot jautājumu par NIO statusa piešķiršanu, ir jābūt energotīklu pārvaldītāja (elektroenerģijas pārvades sistēmas operatora AS “Augstsprieguma tīkls”) izsniegtiem pieslēguma ierīkošanas tehniskajiem noteikumiem pieslēguma ierīkošanai, kas kalpo kā apliecinājums  par VES saražotās jaudas pieņemšanu.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jautājumu par NIO statusa piešķiršanu, ir jābūt energotīklu pārvaldītāja (elektroenerģijas pārvades sistēmas operatora AS “Augstsprieguma tīkls”) izsniegtiem pieslēguma ierīkošanas tehniskajiem noteikumiem pieslēguma ierīkošanai, kas kalpo kā apliecinājums  par VES saražotās jaudas pieņemšanu.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ziņojuma "Ievads un ziņojuma mērķis" sadaļā iekļaut arī informāciju par Eiropas Komisijas 2022. gada 8.marta paziņojumu "REPowerEU: Vienota Eiropas rīcība cenas ziņā pieejamākai, drošākai un ilgtspējīgākai enerģijai" (COM(2022) 108 final), kura 2.2.3.apakšnodaļā ir iekļauti arī priekšnosacījumi ziņojumā iekļautajiem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Dalībvalstīm būtu ātri jākartē, jānovērtē un jānodrošina piemērotas zemes un jūras teritorijas, kas pieejamas atjaunīgo energoresursu projektiem proporcionāli to nacionālajiem enerģētikas un klimata plāniem, devumam pārskatītā 2030. gada atjaunīgo energoresursu mērķrādītāja sasniegšanā, kā arī citiem būtiskiem faktoriem, piemēram, resursu pieejamībai, tīkla infrastruktūrai un ES Biodaudzveidības stratēģijas mērķrādītājiem. Gaidāmajā dabas atjaunošanas tiesību akta priekšlikumā Komisija ierosinās, ka dalībvalstīm, izstrādājot nacionālos plānus atjaunošanas mērķrādītāju sasniegšanai, būtu jāņem vērā ierobežotas un skaidri noteiktas teritorijas, kas ir īpaši piemērotas (“go-to” teritorijas), vienlaikus pēc iespējas izvairoties no ekoloģiski vērtīgām teritorijām. Dalībvalstis var izmantot savu plānu pārskatīšanu saskaņā ar Jūras telpiskās plānošanas direktīvu, lai veicinātu atjaunīgās enerģijas projektu izvēršanu."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norādot papildus nepieciešamību VES īstenošanas procedūru optimizēšanai.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8.martā nākusi klajā ar orientējošu plānu, kā Eiropu jau krietni pirms 2030. gada padarīt neatkarīgu no Krievijas fosilā kurināmā, sākot ar 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piedāvātais risinājums ietekmes uz vidi novērtējuma procesu aizstāt ar tehnisko noteikumu izdošanas procesu iespējams nonāk pretrunā ar Eiropas Parlamenta un Padomes 2011.gada 13.decembra direktīvas 2011/92/ES </w:t>
            </w:r>
            <w:r w:rsidR="00000000" w:rsidRPr="00000000" w:rsidDel="00000000">
              <w:rPr>
                <w:i w:val="1"/>
                <w:rtl w:val="0"/>
              </w:rPr>
              <w:t xml:space="preserve">par dažu sabiedrisku un privātu projektu ietekmes uz vidi novērtējumu</w:t>
            </w:r>
            <w:r w:rsidR="00000000" w:rsidRPr="00000000" w:rsidDel="00000000">
              <w:rPr>
                <w:rtl w:val="0"/>
              </w:rPr>
              <w:t xml:space="preserve"> (https://eur-lex.europa.eu/legal-content/LV/TXT/HTML/?uri=CELEX:32011L0092&amp;from=LV)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direktīvas 4. panta 2. daļai paredz, ka attiecībā uz II pielikumā uzskaitītajiem projektiem dalībvalstis nolemj, vai projekts jānovērtē saskaņā ar 5. līdz 10. pantu, kā arī tiek noteikts, ka dalībvalstīm ir jālem, izmantojot: a) katra gadījuma  ārbaudes vai b) dalībvalsts noteiktos limitus vai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minētās direktīvas II pielikums ietver arī "iekārtas vēja izmantošanai, lai ražotu enerģiju (vēja saimniecības)".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to, ka katra dalībvalstis nolemj, vai attiecīgajam projektam piemērojama IVN procedūra.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Direktīvas 4. panta 2. daļa paredz, ka attiecībā uz II pielikumā uzskaitītajiem projektiem dalībvalstis nolemj, vai projekts jānovērtē saskaņā ar 5. līdz 10. pantu, kā arī tiek noteikts, ka dalībvalstīm ir jālemj, izmantojot – katra  gadījuma  pārbaudes vai dalībvalsts noteiktos limitus vai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izskatījusi Vides aizsardzības un reģionālās attīstības ministrijas sagatavoto informatīvo ziņojumu “VES parku virs 50MW īstenošanas procedūru optimizēšana” (id Nr. 21-TA-749) un, t.sk. ņemot vērā Ministru kabineta 22.02.2022. sēdē izskatītajā  informatīvajā ziņojumā “Stratēģiskie vēja enerģijas ražošanas attīstības projekti valsts meža zemēs” paredzētos pasākumus,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normatīvajā regulējumā par vēja parka izveidi ir būtiski nodrošināt publiskas personas kapitālsabiedrības un to privātā sektora konkurentu pakļaušana vienādam tiesiskajam regulējumam tādējādi nodrošinot konkurences neitralitātes principa ievērošanas, nodrošinot, ka privātie uzņēmēji netiek diskriminēti. Privātā sektora konkurenti nedrīkst tikt pakļauti stingrākam vai nelabvēlīgākam regulējumam nekā publiskas personas kapitālsabiedrības. Konkurences neitralitātes princips paredz, ka visiem uzņēmumiem, neatkarīgi no to piederības, ir jānodrošina un jāpiemēro vienāds regulējums, savukārt piederība publiskai personai nedrīkst radīt priekšrocības tās kapitālsabiedrībai. Aizliegums radīt priekšrocības kapitālsabiedrībai, kurā publiskai personai ir tieša vai netieša līdzdalība, izriet arī no Konkurences likuma 14.</w:t>
            </w:r>
            <w:r w:rsidR="00000000" w:rsidRPr="00000000" w:rsidDel="00000000">
              <w:rPr>
                <w:vertAlign w:val="superscript"/>
                <w:rtl w:val="0"/>
              </w:rPr>
              <w:t xml:space="preserve">1</w:t>
            </w:r>
            <w:r w:rsidR="00000000" w:rsidRPr="00000000" w:rsidDel="00000000">
              <w:rPr>
                <w:rtl w:val="0"/>
              </w:rPr>
              <w:t xml:space="preserve"> panta pirmās daļas 2. punktā noteiktā pārkāpuma sastāva. Normatīvajā regulējumā, kas attiecas uz vēja parka izveidi ir būtiski nodrošināt kā privātajām kapitālsabiedrībām tā publiskajā kapitālsabiedrībām vienlīdzīgu pieeju publiskas personas zemei uz kuras būtu atļauta vēja parka vai tās daļas būvniecība. Līdz ar to, izstrādājot normatīvo regulējumu vēja parka izveidei, ir būtiski, ka tiek izvērtēta esošā un plānotā regulējuma atbilstība konkurences neitralitātes principam, ja nepieciešams, paredzot arī uzdevumu novērst konstatētās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vairumā gadījumu apbūves tiesības uz publiskas personas zemes tiek piešķirtas izsoles kārtībā, nodrošinot konkurētspējīgāko piedāvājuma saņemšanu par zemes lietošanu, kā arī apbūves tiesības vispārējā kārtībā var tikt piešķirtas uz laiku līdz 30 gadiem, ja citā normatīvajā aktā nav noteikts citādi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5</w:t>
            </w:r>
            <w:r w:rsidR="00000000" w:rsidRPr="00000000" w:rsidDel="00000000">
              <w:rPr>
                <w:rtl w:val="0"/>
              </w:rPr>
              <w:t xml:space="preserve">.pants). Ņemot vērā, ka informatīvajā ziņojumā ir minēts, ka </w:t>
            </w:r>
            <w:r w:rsidR="00000000" w:rsidRPr="00000000" w:rsidDel="00000000">
              <w:rPr>
                <w:i w:val="1"/>
                <w:u w:val="single"/>
                <w:rtl w:val="0"/>
              </w:rPr>
              <w:t xml:space="preserve">paredzētajām vēja enerģijas ražošanas būvēm saglabājams vispārējais regulējums,</w:t>
            </w:r>
            <w:r w:rsidR="00000000" w:rsidRPr="00000000" w:rsidDel="00000000">
              <w:rPr>
                <w:i w:val="1"/>
                <w:rtl w:val="0"/>
              </w:rPr>
              <w:t xml:space="preserve"> kas nosaka, ka vēja enerģijas ražošanas būvju būvniecība ir atļauta rūpnieciskās apbūves teritorijā (R), tehniskās apbūves teritorijā (TA), lauksaimniecības teritorijā (L) un mežu teritorijā (M) ārpus pilsētām un ciemiem, vienlaikus ievērojot papildus ierobežojumus vēja parku būvniecībai:</w:t>
            </w:r>
            <w:r w:rsidR="00000000" w:rsidRPr="00000000" w:rsidDel="00000000">
              <w:rPr>
                <w:i w:val="1"/>
                <w:rtl w:val="0"/>
              </w:rPr>
              <w:t xml:space="preserve">Īpaši aizsargājamās dabas teritorijās (izņemot Ziemeļvidzemes biosfēras rezervātu, kur ir noteiktas teritorijas, kurās atļauts uzstādīt VES bez augstuma ierobežojuma (maksimālais skaits grupā – 20));</w:t>
            </w:r>
            <w:r w:rsidR="00000000" w:rsidRPr="00000000" w:rsidDel="00000000">
              <w:rPr>
                <w:i w:val="1"/>
                <w:rtl w:val="0"/>
              </w:rPr>
              <w:t xml:space="preserve">aizsargjoslu teritorijās ap militāriem lidlaukiem un radariem;</w:t>
            </w:r>
            <w:r w:rsidR="00000000" w:rsidRPr="00000000" w:rsidDel="00000000">
              <w:rPr>
                <w:i w:val="1"/>
                <w:rtl w:val="0"/>
              </w:rPr>
              <w:t xml:space="preserve">ap kultūras pieminekļiem;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nacionālās nozīmes lauksaimniecības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papildināt informatīvo ziņojumu ar informāciju, kādā kārtībā plānots nodrošināt apbūves tiesību piešķiršanas kārtību, ja zeme pieder publiskai personai, respektīvi, vai apbūves tiesības tiks piešķirtas vispārējā kārtībā (izsolē) vai tiks paredzēta speciālā kārtība, kādā publiska personas zeme tiks nodota privātajiem tirgus dalībniekiem, kurš plāno realizēt vēja parku vai tās daļu uz publiskas personas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to, ka vērtējama konkurences neitralitātes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Konkurences padomi par konkurences neitralitātes un citiem saistītajiem jautājumiem iesaistīties attiecīgā Likumprojekta izstrādes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"VES parku virs 50MW īstenošanas procedūru optimizēšana"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VES ierīkošanai nebūs nepieciešams veikt IVN, vēršam uzmanību, ka šādā gadījumā, šādai pašai kārtībai būtu jābūt piemērotai arī VES pieslēguma ierīkošanā (atsevišķos gadījumos pieslēguma ierīkošanai ir jāizbūvē infrastruktūra, kuras ierīkošana ir pakļauta prasībai par IVN veikšanu). Ja VES pieslēguma infrastruktūrai netiek piemēroti tādi paši nosacījumi kā VES ierīkošanai, tad pastāv risks, ka VES pieslēgšanai nepieciešamā infrastruktūra, kas tiks izbūvēta "parastajā" kārtībā, nebūs gatava brīdī, kad VES būs izbūvēta un gatava nodot elektroenerģiju tīklā.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iesniegt pamatotus priekšlikumus Likumprojekta izstrādes laikā, lai vienotos par nepieciešamību speciālo regulējumu attiecināt uz VES pieslēgšanai nepieciešamo infrastruktūru.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21-TA-749</w:t>
    </w:r>
    <w:r>
      <w:br/>
    </w:r>
    <w:r w:rsidR="00000000" w:rsidRPr="00000000" w:rsidDel="00000000">
      <w:rPr>
        <w:rtl w:val="0"/>
      </w:rPr>
      <w:t xml:space="preserve">22.03.2022. 07.14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21-TA-749</w:t>
    </w:r>
    <w:r>
      <w:br/>
    </w:r>
    <w:r w:rsidR="00000000" w:rsidRPr="00000000" w:rsidDel="00000000">
      <w:rPr>
        <w:rtl w:val="0"/>
      </w:rPr>
      <w:t xml:space="preserve">22.03.2022. 07.14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Izziņa_21-TA-749.docx</dc:title>
</cp:coreProperties>
</file>

<file path=docProps/custom.xml><?xml version="1.0" encoding="utf-8"?>
<Properties xmlns="http://schemas.openxmlformats.org/officeDocument/2006/custom-properties" xmlns:vt="http://schemas.openxmlformats.org/officeDocument/2006/docPropsVTypes"/>
</file>