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23-TA-2026: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Ukrainas Ministru kabineta līgumu par tehnisko un finansiālo sadarbību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Līgumā paredzēto saistību izpildi koordinē Ārlietu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paredz, ka līgumā paredzēto saistību izpildi koordinē Ārlietu ministrija. Lūdzam skaidrot kādu saistību izpildi Ārlietu ministrija koordinēs, ņemot vērā anotācijas 1.2.sadaļā un arī līguma mērķī norādīto, ka ar to tiek izveidots juridiskais ietvars un atrunātas procedūras, sniedzot Ukrainai tehnisko un finansiālo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kā vadošā valsts pārvaldes iestāde ārlietu jomā koordinē šī līguma saskaņošanas un parakstīšanas procesu. Ārlietu ministrija, izmantojot diplomātiskos kanālus, varēs sniegt atbalstu programmu vai projektu ieviesējiem, ja būs nepieciešama palīdzība, vai būs kādi sarežģījumi ar preču vai pakalpojumu nogādi Ukrainā. Ārlietu ministrija koordinēs citu Latvijas iestāžu un juridisko personu aktivitātes, īstenojot Līgumā paredzētās atbalsta programmas vai projektus. Tāpat Ārlietu ministrija nodrošinās Līgumā paredzēto regulāro konsultāciju rīkošanu starp Latvijas un Ukrainas pusi. Ārlietu ministrijas struktūrvienība – Latvijas Republikas vēstniecība Ukrainā nodrošinās visa veida komunikāciju ar Ukrainas pusi un nepieciešamības gadījumā iesaistīsies ar Līguma piemērošanu saistīto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Līgumā paredzēto saistību izpildi koordinē Ārlietu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tiek norādīts, ka nav mehānismu, kas paredzētu Latvijas budžeta līdzekļu izlietošanas Ukrainā uzraudzību. Vēršam uzmanību, ka atbilstoši Likuma par budžetu un finanšu vadību 46.pantā noteiktajam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w:t>
            </w:r>
            <w:r w:rsidR="00000000" w:rsidRPr="00000000" w:rsidDel="00000000">
              <w:rPr>
                <w:u w:val="single"/>
                <w:rtl w:val="0"/>
              </w:rPr>
              <w:t xml:space="preserve">par budžeta līdzekļu efektīvu un ekonomisku izlietošanu atbilstoši paredzētajiem mērķiem</w:t>
            </w:r>
            <w:r w:rsidR="00000000" w:rsidRPr="00000000" w:rsidDel="00000000">
              <w:rPr>
                <w:rtl w:val="0"/>
              </w:rPr>
              <w:t xml:space="preserve">, turklāt ministrijas un citas centrālās valsts iestādes </w:t>
            </w:r>
            <w:r w:rsidR="00000000" w:rsidRPr="00000000" w:rsidDel="00000000">
              <w:rPr>
                <w:u w:val="single"/>
                <w:rtl w:val="0"/>
              </w:rPr>
              <w:t xml:space="preserve">ir atbildīgas par valsts budžeta līdzekļu izlietojuma kontroli atbilstoši paredzētajiem mērķiem</w:t>
            </w:r>
            <w:r w:rsidR="00000000" w:rsidRPr="00000000" w:rsidDel="00000000">
              <w:rPr>
                <w:rtl w:val="0"/>
              </w:rPr>
              <w:t xml:space="preserve">, līdz ar to lūdzam sniegt skaidrojumu vai precizēt norādīto par valsts budžeta izlietošanas uzraudzības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uzraudzības formu noteiks projekta īstenotājs. Uzraudzības noteikumi var tikt iekļauti tajos līgumos, kas tiks slēgti par katru individuālo projektu vai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līgums neparedz saistības Latvijas pusei, turklāt visi jautājumi par papildu nepieciešamo finansējumu tehniskās vai finansiālās palīdzības programmām/projektiem būs skatāmi Ministru kabinetā kārtējā valsts budžeta sagatavošanas procesā, attiecīgi lūdzam anotācijas 3.sadaļā pie citas informācijas sniegto informāciju precizēt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neuzliek Latvijas pusei finansiālas saistības, vienlaikus gadījumā, ja tehniskās vai finansiālās palīdzības programmām/projektiem būs nepieciešams papildu finansējums, tad jautājums skatāms Ministru kabinetā valsts budžeta kārtējam gadam un budžeta ietvara likumprojekta sagatavošanas procesā kopā ar visu ministriju un citu centrālo valsts iestāžu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neuzliek Latvijas pusei finansiālas saistības, vienlaikus gadījumā, ja tehniskās vai finansiālās palīdzības programmām / projektiem būs nepieciešams papildu finansējums, tad jautājums skatāms Ministru kabinetā valsts budžeta kārtējam gadam un budžeta ietvara likumprojekta sagatavošanas procesā kopā ar visu ministriju un citu centrālo valsts iestāžu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2.līguma projekta III panta 3. punktu papildināt ar skaidrojumu, kādi apstākļi var būt par pamatu preču reeksportēšanai un pārdošanai citām personām (kādus pakalpojumus, darbus plānots veikt muitas teritorijā). Minētajā punktā konkretizēt, uz kurieni, ar kādu nolūku plānots reeksportēt preci. Vai preces reeksports paredzēts uz Latvijas Republiku, vai atļauts arī uz citām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- 04.09.2023.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līguma projekta preambulu, nosakot līguma tvērumu – civilā atbalsta sniegšana Ukrainai, tās atjaunošanā un stiprināšanā, svītrojot militārā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preambulu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 (turpmāk – "Latvijas puse") un Ukrainas Ministru kabinets (turpmāk – "Ukrainas puse"), turpmāk kopā saukti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paužot viennozīmīgu nosodījumu Krievijas plaša mēroga militārajam iebrukumam Ukrainā un noziegumiem, ko Krievijas spēki pastrādājuši Ukrainā pret tās iedzīvotājiem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nelokāmi atbalstot Ukrainas neatkarību, suverenitāti un teritoriālo integritāti tās starptautiski atzītajās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Ukrainas Eiropas perspektīvu un saprotot, ka Ukrainai kā Eiropas Savienības kandidātvalstij ir jāīsteno būtiskas reformas, lai kļūtu par Eiropas Savienības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ilgstošās un auglīgās abpusējās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vēloties stiprināt attiecības un veicināt tehnisko un finansiālo sadarbību starp abām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vēloties sadarboties, lai veicinātu ilgtspējīgu ekonomisko un sociālo attīstību un sekmētu demokrātiju un cilvēktiesības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puses apņemšanos turpināt sniegt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iesaisti Ukrainas atjaunošanā un restaurēšanā,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vienojušās par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Prezicēts preambulas 8.ievilkums: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puses apņemšanos turpināt sniegt atbalstu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līguma projekta par tehnisko un finansiālo sadarbību 3. panta 6. punkts paredz, ka Latvijas eksperti tiktu atbrīvoti no ienākuma nodokļa un jebkādiem citiem tiešajiem nodokļiem, nodevām no algas un atalgojuma, kas tiek izmaksāti programmu vai projektu ietvaros Ukrainā. Minētā līguma projekta 1. pantā ir noteikts, ka termins "Latvijas eksperts" saprotams kā eksperts, kurš atbilstoši šim Līgumam ir norīkots programmas vai projekta īstenošanai un kurš nav Ukrainas pilsonis un pastāvīgi nedzīvo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Latvijas Republikas valdības un Ukrainas Ministru kabineta līguma projekta par tehnisko un finansiālo sadarbību 3. panta 6. punktā paredzētajam, Latvijas eksperti (t.i. Latvijas nodokļu maksātāji (rezidenti)) gan Latvijā, gan Ukrainā tiktu atbrīvoti no ienākuma nodokļa un jebkādiem citiem tiešajiem nodokļiem, nodevām no algas un atalgojuma, kas tiek izmaksāti programmu vai projektu ietvaros Ukrainā. Finanšu ministrija iebilst, ka Latvijas eksperti (t.i. Latvijas nodokļu maksātāji (rezidenti)) Latvijā tiktu atbrīvoti no ienākuma nodokļa un jebkādiem citiem tiešajiem nodokļiem, nodevām no algas un atalgojuma, kas tiek izmaksāti programmu vai projektu ietvaros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Latvijas Republikas valdības un Ukrainas Ministru kabineta līguma projekta par tehnisko un finansiālo sadarbību 3. panta 6. punktu, nosakot, ka Latvijas eksperti Ukrainā ir atbrīvoti no ienākuma nodokļa un jebkādiem citiem tiešajiem nodokļiem, nodevām no algas un atalgojuma, kas tiek izmaksāti programmu vai projektu ietvaros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eksperti Ukrainā ir atbrīvoti no ienākuma nodokļa un jebkādiem citiem tiešajiem nodokļiem, nodevām no algas un atalgojuma, kas tiek izmaksāti programmu vai projektu ietvaros Ukrainā.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III 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eksperti Ukrainā ir atbrīvoti no ienākuma nodokļa un jebkādiem citiem tiešajiem nodokļiem, nodevām no algas un atalgojuma, kas tiek izmaksāti Ukrainā īstenoto programmu vai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I panta “Priekšmets un mērķis” 2.punktā tiek paredzēts, ka finansiālā palīdzība cita starpā ietver dotācijas, lai finansētu preču, iekārtu un materiālu piegādi, darbus un pakalpojumus, kas nepieciešami programmu/projektu sekmīgai īstenošanai. Lūdzam skaidrot kas tiek šajā gadījumā saprasts ar vārdu “dotācijas”, kā arī nepieciešamības gadījumā precizēt minēto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palīdzība ietver arī dotācijas, lai finansētu preču, iekārtu un materiālu piegādi, darbus un pakalpojumus, kas nepieciešami programmu vai projektu sekmīgai īstenošanai. Ar ”dotācijām” tiek saprasta iepriekš neparedzēta finanšu līdzekļu piešķiršana, izvērtējot katra individuālā tehniskās vai finansiālās palīdzības gadījuma pamatotību, atbilstību un nozīmi.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Republic of Latvia and the Cabinet of Ministers of Ukraine on technical and financial cooperation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līguma projekta par tehnisko un finansiālo sadarbību 3. panta 6. punkts paredz, ka Latvijas eksperti tiktu atbrīvoti no ienākuma nodokļa un jebkādiem citiem tiešajiem nodokļiem, nodevām no algas un atalgojuma, kas tiek izmaksāti programmu vai projektu ietvaros Ukrainā. Minētā līguma projekta 1. pantā ir noteikts, ka termins "Latvijas eksperts" saprotams kā eksperts, kurš atbilstoši šim Līgumam ir norīkots programmas vai projekta īstenošanai un kurš nav Ukrainas pilsonis un pastāvīgi nedzīvo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Latvijas Republikas valdības un Ukrainas Ministru kabineta līguma projekta par tehnisko un finansiālo sadarbību 3. panta 6. punktā paredzētajam, Latvijas eksperti (t.i. Latvijas nodokļu maksātāji (rezidenti)) gan Latvijā, gan Ukrainā tiktu atbrīvoti no ienākuma nodokļa un jebkādiem citiem tiešajiem nodokļiem, nodevām no algas un atalgojuma, kas tiek izmaksāti programmu vai projektu ietvaros Ukrainā. Finanšu ministrija iebilst, ka Latvijas eksperti (t.i. Latvijas nodokļu maksātāji (rezidenti)) Latvijā tiktu atbrīvoti no ienākuma nodokļa un jebkādiem citiem tiešajiem nodokļiem, nodevām no algas un atalgojuma, kas tiek izmaksāti programmu vai projektu ietvaros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Latvijas Republikas valdības un Ukrainas Ministru kabineta līguma projekta par tehnisko un finansiālo sadarbību 3. panta 6. punktu, nosakot, ka Latvijas eksperti Ukrainā ir atbrīvoti no ienākuma nodokļa un jebkādiem citiem tiešajiem nodokļiem, nodevām no algas un atalgojuma, kas tiek izmaksāti programmu vai projektu ietvaros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The Latvian experts shall be exempt in Ukraine from the income tax and any other direct tax, fees on salaries and emoluments paid within the programs/projects in Ukraine.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III 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The Latvian experts shall be exempt in Ukraine from the income tax and any other direct tax, fees on salaries and emoluments paid within the programs/projects implemented in Ukraine.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iekļauto teikumu "Tāpat Līgums noteic atvieglojumus projektos iesaistītajiem Latvijas ekspertiem, strādājot Ukrainā.".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Līgums noteic, ka Latvija patur tiesības piemērot nodokļus Latvijas ekspertiem, kuri strādā Ukrainā, un neapliek ar nodokļiem Ukrainā.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Latvijā ekspertu atalgojumam, kas tiek izmaksāts projektu ietvaros, tiek piemērots vispārējais nodokļu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par to, kas var būt "Latvijas eksperts" vai arī attiecīgi precizēt Līguma 1.panta 2.punkta ceturto rindkopu, jo Līguma 1.panta 2.punkta ceturtajā rindkopā ietvertā norma </w:t>
            </w:r>
            <w:r w:rsidR="00000000" w:rsidRPr="00000000" w:rsidDel="00000000">
              <w:rPr>
                <w:i w:val="1"/>
                <w:rtl w:val="0"/>
              </w:rPr>
              <w:t xml:space="preserve">"Termins "Latvijas eksperts" saprotams kā eksperts, kurš atbilstoši šim Līgumam ir norīkots programmas vai projekta īstenošanai un kurš nav Ukrainas pilsonis un pastāvīgi nedzīvo Ukrainā."</w:t>
            </w:r>
            <w:r w:rsidR="00000000" w:rsidRPr="00000000" w:rsidDel="00000000">
              <w:rPr>
                <w:rtl w:val="0"/>
              </w:rPr>
              <w:t xml:space="preserve"> nedod pilnīgu priekšstatu par to. Atbilstoši Līguma 1.panta 2.punkta ceturtajai rindkopā norādītajam sanāk, ka par "Latvijas ekspertu" var būt ne tikai Latvijas pilsonis vai pastāvīgais iedzīvotājs, bet arī citu valstu, piemēram, Krievijas un Baltkrievijas pilsonis vai pastāvīgais iedzīvotājs, izņemot Ukrainas pilsonis vai pastāvīgais iedzīvotājs.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projektos Ukrainā galvenokārt piedalīsies Latvijas pilsoņi vai pastāvīgie iedzīvotāji. Nepieciešamības gadījumā projektam tiek piesaistīti arī citu valstu speciālisti, izvērtējot personu atbilstību projekta mērķim un drošības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redakciju risinājuma apraksta otrajā daļā, vai vārdu salikumā "ieviestās preces" nav ieviesusies kļūda, varbūt šajā gadījumā ir domāts "ievestās preces".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tiesību akta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saskaņošanas procesā Ukrainas puse veica izmaiņas Līguma tekstā, svītrojot I panta 3. daļu, kurā iepriekšējā redakcijā paredzēja, ka uz katru programmu/projektu, kas atbilst šajā Līgumā noteiktajam, attiecas īpašas vienošanās starp šādas programmas/projekta pusēm, un  šādās vienošanās jābūt sīki izklāstītām katras programmas/projekta puses tiesībām un pienākumiem, tostarp uzraudzības, pārraudzības un ziņošanas procedūrai un iepirkumu kārtībai, lūdzam  Noteikumu projekta ‘’Par Latvijas Republikas valdības un Ukrainas Ministru kabineta līgumu par tehnisko un finansiālo sadarbību’’ anotācijas 1.3 sadaļā, paplašināti skaidrot publisko iepirkumu  piemērošanas kārtību, ciktāl tas attiecās uz Latvijas Republikas valsts iestādēm, pašvaldības iestādēm un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un pašvaldības iestādēm, kā arī kapitālsabiedrībām, veicot publiskos iepirkumos Līgumā paredzēto projektu ietvaros, būs saistoši Publisko iepirkumu likuma, kā arī citu publisko iepirkumu jomu regulējošu tiesību aktu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uzraudzības noteikumi var tikt iekļauti tajos līgumos, kas tiks slēgti par katru individuālo projektu vai programmu. Līdzīga situācija būtu piemērojama konfidencialitātes aspektam - konfidencialitātes noteikumi, ja nepieciešams, var tikt iekļauti tajos līgumos un vienošanās, kas tiks slēgti par katru individuālo projektu vai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valdības un Ukrainas Ministru kabineta līguma par tehnisko un finansiālo sadarbību projekta (turpmāk - Līgums) I. panta 2.punktā tajā skaitā ir paredzēts nodot arī zinātnību, kas ir definējams, kā informācijas kopums, kas ir slepens, t. i., nav vispārzināms vai viegli pieejams; būtisks, t. i., svarīgs un noderīgs līguma produktu ražošanai; un  precizēts, t. i., aprakstīts pietiekami vispusīgi, lai būtu iespējams pārbaudīt, vai tas atbilst slepenības un būtiskuma kritērijiem. Un atbilstoši Latvijas Republikas Komercnoslēpuma aizsardzības likuma normām komercnoslēpuma turētājs, sniedzot informāciju fiziskajai vai juridiskajai personai, tiesai vai valsts pārvaldes iestādei, norāda, ka informācija ir komercnoslēpums, kā arī informē par nepieciešamību nodrošināt komercnoslēpuma aizsardzību. Tādējādi atbilstoši tiesību normām, nododot trešajai personai konfidenciālu informāciju, pašam šīs informācijas turētājam ir jāinformē, ka informācija ir atbilstoši jāaizsargā. Līdz ar to nav saprotams, kāpēc no Līguma projekta tika izņemts regulējums, ka Ukraina apņemas nodrošināt efektīvu aizsardzību pret to zinātības, komercnoslēpumu, tehnoloģisko noslēpumu, ražošanas noslēpumu un citas konfidenciālas informācijas izpaušanu, kas tai kļūst zināma, pildot šo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slēdzot atsevišķus līgumus, kuros tiktu nodota zinātība, komercnoslēpums, tehnoloģiskais noslēpums, ražošanas noslēpums un cita konfidenciāla informācija, visos gadījumos būtu jābūt atrunātam, kura konkrētā informācija ir komercnoslēpums un tas, ka informācijas ieguvējs apņemas nodrošināt efektīvu tās aizsardzību. Tādējādi nav saprotama atruna anotācijā, ka tikai tajos gadījumos, ja nepieciešams, tiks atrunāta konfidenciālās informācijas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anotācijā sniegto informāciju, kā arī izvērtēt un nodrošināt Līguma projekta papildināšanu ar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Slēdzot atsevišķās vienošanās, kurās tiktu nodota zinātība, komercnoslēpums, tehnoloģiskais noslēpums, ražošanas noslēpums un cita konfidenciāla informācija, obligāti tiks atrunāts, kura konkrētā informācija ir komercnoslēpums un tas, ka informācijas ieguvējs apņemas nodrošināt efektīvu tās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par budžetu un finanšu vadību 46.pantā noteiktajam budžeta finansētu institūciju, budžeta nefinansētu iestāžu un pašvaldību, kā arī kapitālsabiedrību, kurās ieguldīta valsts vai pašvaldību kapitāla daļa, vadītāji ir atbildīgi par šajā likumā noteiktās kārtības un prasību ievērošanu, izpildi un kontroli, kā arī </w:t>
            </w:r>
            <w:r w:rsidR="00000000" w:rsidRPr="00000000" w:rsidDel="00000000">
              <w:rPr>
                <w:u w:val="single"/>
                <w:rtl w:val="0"/>
              </w:rPr>
              <w:t xml:space="preserve">par budžeta līdzekļu efektīvu un ekonomisku izlietošanu atbilstoši paredzētajiem mērķiem</w:t>
            </w:r>
            <w:r w:rsidR="00000000" w:rsidRPr="00000000" w:rsidDel="00000000">
              <w:rPr>
                <w:rtl w:val="0"/>
              </w:rPr>
              <w:t xml:space="preserve">, turklāt ministrijas un citas centrālās valsts iestādes</w:t>
            </w:r>
            <w:r w:rsidR="00000000" w:rsidRPr="00000000" w:rsidDel="00000000">
              <w:rPr>
                <w:u w:val="single"/>
                <w:rtl w:val="0"/>
              </w:rPr>
              <w:t xml:space="preserve"> ir atbildīgas par valsts budžeta līdzekļu izlietojuma kontroli atbilstoši paredzētajiem mērķiem</w:t>
            </w:r>
            <w:r w:rsidR="00000000" w:rsidRPr="00000000" w:rsidDel="00000000">
              <w:rPr>
                <w:rtl w:val="0"/>
              </w:rPr>
              <w:t xml:space="preserve">, lūdzam anotācijas 1.3. sadaļā precizēt vai svītrot norādīto informāciju par valsts budžeta līdzekļu izlietošanas uzraudzības trūkumu.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Līgumu, no Latvijas puses iesaistītās valsts un pašvaldību iestādes un kapitālsabiedrības, kurās ieguldīta valsts vai pašvaldību kapitāla daļa, ir atbildīgas par budžeta līdzekļu efektīvu un ekonomisku izlietošanu atbilstoši paredzētajiem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Ārlietu ministrija norādījusi, ka “pašreiz nav juridiskā ietvara, kas regulētu sadarbību tehniskās un finansiālās palīdzības jomās starp Latviju un Ukrainu. Vienlaikus nav mehānismu, kas paredzētu Latvijas budžeta līdzekļu izlietošanas Ukrainā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vērš uzmanību, ka noteikumu projekts šobrīd risina tikai pirmo minēto problēmu, taču joprojām neatrisināts jautājums, uz ko noteikumu projekta izziņas 2. punktā norāda Finanšu ministrija un 9. punktā Tieslietu ministrija, – kā tiks nodrošināta efektīva Latvijas budžeta līdzekļu izlietošanas Ukrainā uzraudzība un atskaitīšanās.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Ārlietu ministrija anotācijā ir skaidrojusi, ka projektu īstenošanas uzraudzības formu noteiks projekta īstenotājs, un uzraudzības noteikumi </w:t>
            </w:r>
            <w:r w:rsidR="00000000" w:rsidRPr="00000000" w:rsidDel="00000000">
              <w:rPr>
                <w:u w:val="single"/>
                <w:rtl w:val="0"/>
              </w:rPr>
              <w:t xml:space="preserve">var tikt</w:t>
            </w:r>
            <w:r w:rsidR="00000000" w:rsidRPr="00000000" w:rsidDel="00000000">
              <w:rPr>
                <w:rtl w:val="0"/>
              </w:rPr>
              <w:t xml:space="preserve"> iekļauti tajos līgumos, kas tiks slēgti par katru individuālo projektu vai programmu, KNAB šādā kontroles pieejā saskata nenoteiktību un plašas interpretācijas iespējas. Tas savukārt rada risku nekontrolētai un neefektīvai Latvijas budžeta līdzekļu izlietošanai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aicina skaidrot anotācijā ietveto informāciju, ka "saskaņošanas procesā Ukrainas puse veica izmaiņas Līguma tekstā, svītrojot I panta 3. daļas sadaļu par uzraudzību un I panta 5. daļu par konfidencialitāti". Lūdzam plašāku skaidrojumu par iepriekš plānotajiem uzraudzības un konfidencialitātes nodrošināšanas pasākumiem un sadarbības partnera apsvērumiem tos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līdzīgi kā Tieslietu ministrija, pauž atbalstu vienota tiesiskā ietvara izveidei Latvijas budžeta līdzekļu izlietošanas Ukrainā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ietvaram atbilstošas programmas vai projekta īstenošana tiktu uzsākta ar vienošanās parakstīšanu starp attiecīgajā projektā vai programmā iesaistītajām pusēm. Vienošanās tiks slēgtas starp Ukrainas un Latvijas tiešās un pastarpinātās valsts pārvaldes iestādēm, pašvaldībām, citām valsts iestādēm, kā arī starp biedrībām, nodibinājumiem, komersantiem, arodbiedrībām un citiem subjektiem starpresoru vai privāttiesisko vienošanās formā. Projekta iesniedzējam ir jābūt vismaz vienam sadarbības partnerim potenciālajā saņēmējvalstī. Vienošanās ietvers detalizētu pienākumu un tiesību izklāstu, uzraudzības noteikumus, atskaitīšanos un iepirkuma procedūras. Projektu īstenošanas uzraudzības formu noteiks projekta īstenotājs. Slēdzot atsevišķās vienošanās, kurās tiktu nodota zinātība, komercnoslēpums, tehnoloģiskais noslēpums, ražošanas noslēpums un cita konfidenciāla informācija, obligāti tiks atrunāts, kura konkrētā informācija ir komercnoslēpums un tas, ka informācijas ieguvējs apņemas nodrošināt efektīvu tās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(LAPAS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Platforma attīstības sadarbībai konsultējās ar nevalstiskajām organizācijām par līguma projektu. Viedokļus sniedza biedrības Latvijas Samariešu apvienība, Tavi draugi un Ukrainā strādājošs Latvijas eksperts. Kopumā līguma projekts tika vērtēts pozitīvi, tomēr tika sniegta pieredzē balstīta informācija, ka līgumā minēto punktu īstenošana ir apgrūtināta ne tikai dēļ tiesiskā ietvara trūkuma, bet arī izpratnes trūkuma saistītajās institūcijās pēc būtības. Piemēram, īpaši tika izcelta bankas kontu atvēršanas problēmātika, jo bankām nav izpratnes par projektu būtību. Attiecīgi tika paustas bažas, vai līgums atrisinās situāciju praktiskā līmenī. Iespējams, Latvijas organizāciju atbalstam veidojamas papildus praktiskas specifiskas sadarbības. Tāpat tika paustas bažas, vai līgums attieksies arī pret sadarbību starp organizācijām, ne tikai oficiāliem institūciju vai ar institūcijām sasitītiem projektiem. Šajā kontekstā tika arī pausts priekšlikums mudināt Ukrainas pusi izveidot projektu reģistru, kas leģitimizētu īstenotos projektus un veidotu atvieglotas procedūras to ieviešanai. Šāda reģistra esamība atvieglotu visu donoru darbu Ukrainā. Lūdzam papildināt līguma anotāciju ar informāciju, kā plānots īstenot līguma praktisko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valdības un Ukrainas Ministru kabineta līguma par tehnisko un finansiālo sadarbību projekta (turpmāk - līgums) I. panta 1. punktā norādīto mērķi noteikt tiesisko noteikumu un procedūras kopumu, lai atvieglotu to programmu un projektu īstenošanu, kas ir šī līguma tvērumā un to, ka līguma projekts tiek apstiprināts ar Ministru kabineta noteikumiem, lūdzam noteikumu projekta anotācijā detalizēti skaidrot līguma projekta praktiskās piemērošanas mehānismu, tostarp tiesisko pamatojumu, piem., mantas nodošanai Ukrainas puses rīcībā (ja attiecināms). Vēršam uzmanību, ka valsts kustamās mantas nodošanas bez atlīdzības ārvalstu valdību un starpvalstu organizāciju īpašumā pamatnoteikumus regulē Publiskas personas mantas atsavināšanas likuma 43.¹ pants. Ievērojot Latvijas tiesību aktu hierarhiju, tai skaitā likuma "Par Latvijas Republikas starptautiskajiem līgumiem" 13. panta noteikumus, norādām, ka ar Ministru kabineta līmenī noslēgta starptautiska līguma normām nevarēs pamatot izņēmumus no Latvijas likumu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kādā veidā paredzēts noslēgt līguma projekta I. panta 3. punktā minētās specifiskās vienošanās (“arrangements”), tai skaitā, vai tās paredzēts slēgt kā starptautiskus līgumus vai starpresoru vienošanās, kas nebūs saistošas Latvijai kā starptautiskie līgumi 1969. gada 23. maija Vīnes līgumtiesību konvencijas izpratnē, vai kā privāttiesiskas vienošanās. Norādām, ka no noteikumu projekta anotācijas skaidri neizriet minēto vienošanos juridiskā daba, tai skaitā ņemot vērā, ka atbilstoši anotācijai šīs vienošanās cita starpā paredzēts slēgt arī starp biedrībām, nodibinājumiem, komersantiem, arodbiedrībām un citiem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Kustamās mantas nodošana tiks īstenota ievērojot Publiskas personas mantas atsavināšanas likuma 43.¹ pantā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noteikto vēršam uzmanību, ka ietekmes uz Latvijas Republikas starptautiskajām saistībām (proti, anotācijas 5. sadaļas) mērķis ir pārskatāmā un strukturētā veidā atspoguļot būtiskāko informāciju par starptautisko, tai skaitā Eiropas Savienības, tiesību aktu vai starptautiskas institūcijas vai organizācijas dokumentu, kurā noteiktās saistības izpilda </w:t>
            </w:r>
            <w:r w:rsidR="00000000" w:rsidRPr="00000000" w:rsidDel="00000000">
              <w:rPr>
                <w:u w:val="single"/>
                <w:rtl w:val="0"/>
              </w:rPr>
              <w:t xml:space="preserve">vai uzņemas</w:t>
            </w:r>
            <w:r w:rsidR="00000000" w:rsidRPr="00000000" w:rsidDel="00000000">
              <w:rPr>
                <w:rtl w:val="0"/>
              </w:rPr>
              <w:t xml:space="preserve"> Latvijas Republika (sk. Vadlīnijas tiesību akta projekta sākotnējās ietekmes novērtēšanai un novērtējuma ziņojuma sagatavošanai vienotajā tiesību aktu izstrādes un saskaņošanas portālā TAP 40., 44. lpp.; Pieejamas: </w:t>
            </w:r>
            <w:r w:rsidR="00000000" w:rsidRPr="00000000" w:rsidDel="00000000">
              <w:rPr>
                <w:u w:val="single"/>
                <w:rtl w:val="0"/>
              </w:rPr>
              <w:t xml:space="preserve">https://onedrive.live.com/?authkey=%21ANPN8vFW3M61km8&amp;id=73C0E5B8DEDAD073%211664&amp;cid=73C0E5B8DEDAD073&amp;parId=root&amp;parQt=sharedby&amp;o=OneUp</w:t>
            </w:r>
            <w:r w:rsidR="00000000" w:rsidRPr="00000000" w:rsidDel="00000000">
              <w:rPr>
                <w:rtl w:val="0"/>
              </w:rPr>
              <w:t xml:space="preserve">), tādēļ lūdzam skaidrojumu par to, kādas saistības ar Līguma projektu uzņemas Latvija, ietvert noteikumu projekta anotācijas 5. sadaļā, nepieciešamības gadījumā pārvietojot daļu no 1.3. sadaļā ietvertā skaidrojuma uz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"Tiesību akta projekta sākotnējās ietekmes izvērtēšanas kārtība" 12.1.punktam anotāciju aizpilda starptautiskajam līgumam vai tā projektam. Minētā tiesību akta anotācija turpmāk paskaidro, ka "starptautisko līgumu gadījumā tāpat kā līdz šim tiek sagatavota viena anotācija, kurā iekļauj informāciju par attiecīgā starptautiskā līguma ietekmes izvērtējumu". Līdz ar to ir secināms, ka situācijās, kad starptautisks līgums tiek apstiprināts ar normatīvo aktu (likumu vai noteikumiem), anotācija tiek gatavota par starptautisko līgumu, attiecīgi anotācijas 5.sadaļā tiek vērtēta līguma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 sadaļu, skaidrojot ar līgumu uzņemtās saistības, proti, skaidrojot 5. sadaļā attiecīgo saistību būtību (norādot arī konkrētas līguma vienības, kas šīs saistības paredz), kā arī skaidrojot pasākumus vai uzdevumus, ar ko tiks izpildītas šīs saistības (ieviestas attiecīgās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priekšlikumā ietvertā prasība, skaidrot ar šo līgumu uzņemtās saistības, ir iekļauta anotācijas 1.3.sadaļā. Anotācijas 5.sadaļu aizpilda tikai gadījumos, kad tiesību akta projekts tiek sagatavots, jo to uzliek starptautiskās saistības vai tas ietekmē Latvijas Republikas uzņemtās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valdības un Ukrainas Ministru kabineta līgumu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Līguma I panta “Priekšmets un mērķis” 2.punktā, ka tehniskā palīdzība ietver arī preču piegādi.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palīdzība cita starpā ietver zinātības nodošanu, apmācības, konsultācijas, </w:t>
            </w:r>
            <w:r w:rsidR="00000000" w:rsidRPr="00000000" w:rsidDel="00000000">
              <w:rPr>
                <w:u w:val="single"/>
                <w:rtl w:val="0"/>
              </w:rPr>
              <w:t xml:space="preserve">preču</w:t>
            </w:r>
            <w:r w:rsidR="00000000" w:rsidRPr="00000000" w:rsidDel="00000000">
              <w:rPr>
                <w:rtl w:val="0"/>
              </w:rPr>
              <w:t xml:space="preserve">, iekārtu un materiālu piegādi, kā arī palīdzību saistībā ar jaunu tehnoloģiju ieviešanu, kas nepieciešamas programmu vai projektu sekmīgai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līguma projekta I panta 2. punktu, nosakot, ka palīdzība sniedzama Ukrainas atjaunošanai un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līguma I panta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attiecas uz visām tehniskās un/vai finansiālās palīdzības programmām/projektiem Ukrainai, ko pilnībā vai daļēji finansē Latvijas puse (turpmāk – programmas/projekti), saistībā ar palīdzības sniegšanu Ukrainas atjaunošanas un stiprināšanas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I 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Līgums attiecas uz visām tehniskās un finansiālās palīdzības programmām vai projektiem Ukrainā, ko pilnībā vai daļēji finansē Latvijas puse (turpmāk – programmas vai projekti), saistībā ar palīdzības sniegšanu Ukrainas atjaunošanas un stiprināšanas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- 04.09.2023.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līguma projekta 1. punktā minēto mērķi, nosakot, ka līguma mērķis ir noteikt kārtību, kādā puses nodrošina savstarpēju sadarbību un koordināciju, nolūkā atvieglot atbalsta programmu/projektu īstenošanu Ukrainas atjaunošanai,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1.lzteikt līguma projekta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mērķis ir noteikt tiesiski pamatotu kārtību, kādā puses nodrošina savstarpēju sadarbību un koordināciju, nolūkā atvieglot atbalsta programmu/projektu īstenošanu Ukrainas atjaunošanai,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Līguma I 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Līguma mērķis ir noteikt tiesiski pamatotu kārtību, kādā puses nodrošina savstarpēju sadarbību un koordināciju, nolūkā atvieglot atbalsta programmu vai projektu īstenošanu Ukrainas atjaunošanai un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atkārtoti aicina precizēt līguma projekta IV panta (Korupcijas novēršana)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īsteno nulle toleranci pret korupciju un citiem finanšu pārkāpumiem programmās/projektos un saistībā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precizējums nepieciešams tikai starptautiskā līguma projekta tulkojumam </w:t>
            </w:r>
            <w:r w:rsidR="00000000" w:rsidRPr="00000000" w:rsidDel="00000000">
              <w:rPr>
                <w:u w:val="single"/>
                <w:rtl w:val="0"/>
              </w:rPr>
              <w:t xml:space="preserve">latviešu valodā</w:t>
            </w:r>
            <w:r w:rsidR="00000000" w:rsidRPr="00000000" w:rsidDel="00000000">
              <w:rPr>
                <w:rtl w:val="0"/>
              </w:rPr>
              <w:t xml:space="preserve">, kas šobrīd aktuālajā redakcijā paredz, ka puses īsteno finanšu pārkāpumus programmās vai projektos un saistībā ar tiem, nevis īsteno nulle toleranci pret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īsteno nulle toleranci pret korupciju un citiem finanšu pārkāpumiem programmās/projektos un saistībā ar tiem. Nulles tolerances politika attiecas uz visiem darbiniekiem, konsultantiem un citu personālu, kas nav darbinieki, kā arī uz sadarbības partneriem programmās/projektos un saistībā ar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panta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īsteno nulle toleranci pret korupciju un citiem finanšu pārkāpumiem programmās vai projektos un saistībā ar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tehniskus precizējumus Līguma projekta latviešu valodas versijā, nodrošinot gramatiski korektu saikļu "un", "vai" lietojumu, piem., Līguma projekta I panta 1. un 2. punktā (2. punktā "visām tehniskās vai finansiālās palīdzības programmām vai projektiem Ukrainā") lietojot saikli "un" saikļa "vai" vietā. Skaidrojam, ka saiklis "un" ir kumulatīvs nosacījums, kura lietošanas gadījumā ir jāiestājas visiem tiesību aktā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Līguma projekta I panta 1. punkts paredz, ka šī līguma mērķis ir izveidot tiesisko noteikumu un procedūru kopumu, lai atbalstītu un vienkāršotu to programmu vai projektu īstenošanu, uz kuriem attiecas šis līgums. Ņemot vērā, ka konkrētajā gadījumā mērķis ir atbalstīt un vienkāršot gan programmas, gan projektus, lietojams būtu saiklis "un", nevis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līguma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līgumā nodrošināt, ka simbols "/" un simbols un vārdi "un/vai" tiek aizstāti ar saikli "un" vai saikli "vai", jo no attiecīgā regulējuma teksta līgumā (piem., sk. IV pantu un V panta 1. punktu) nav skaidrs, vai ar attiecīgi simbolu "/" un  simbolu un vārdiem "un/vai"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pamatotu skaidrojumu, kā paredzēts nodrošināt Latvijas budžeta līdzekļu izlietošanas Ukrainā uzraudzību (tai skaitā, bet ne tikai, vai to paredzēts īstenot centralizēti) un minēto līdzekļu efektīvu izlietošanu. Vēršam uzmanību, ka noteikumu projekta anotācijā norādīts, ka līgums paredz programmu un projektu ieviešanas uzraudzību, kam šobrīd nav mehānismu, kā arī atskaitīšanās procedūru ieviešanu, nodrošinot nulles toleranci pret korupciju. Tomēr līgumā nav ietverti principi attiecībā uz to, kā šāda uzraudzība (tai skaitā atskaitīšanās) tiks nodrošināta, savukārt līgumā minētā norāde uz nulles toleranci pret korupciju un to, ka uzraudzība un atskaitīšanās tiks atrunāta vienošanās vienošanās starp programmas vai projekta pusēm, varētu būt pārāk vispārīga un atkarīga no katras konkrētās programmas vai projekta vienošanās, un līdz ar to varētu nenodrošināt efektīvu Latvijas budžeta līdzekļu izlietošanas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izvērtēt iespēju līgumā nodrošināt vienotu tiesisko ietvaru Latvijas budžeta līdzekļu izlietošanas Ukrainā uzraudzībai, līgumā skaidrojot tās pamatprincipus, piem., paredzot tiesības noteiktai Latvijas institūcijai (-ām) veikt pārbaudes vai uzdevumus, kādus tā (-s) uzskata par nepieciešamiem, lai pārbaudītu programmu un projektu ieviešanu un uzraudzību, kā arī minēto līdzekļu izmantošanu, Ukrainas pusei nodrošinot jebkuru nepieciešamo palīdzību, informāciju un dokumentāciju (sal., piem., Latvijas Republikas un Norvēģijas Karalistes saprašanās memorandā par Norvēģijas finanšu instrumenta ieviešanu 2009.-2014.gadā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 Projektu īstenošanas uzraudzības formu noteiks projekta īstenotājs. Uzraudzības noteikumi var tikt iekļauti tajos līgumos, kas tiks slēgti par katru individuālo projektu vai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aicina precizēt līguma projekta IV panta (Korupcijas novēršana)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īsteno nulle toleranci pret korupciju un citiem finanšu pārkāpumiem programmās/projektos un saistībā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Puses īsteno nulle toleranci pret korupciju un citiem finanšu pārkāpumiem programmās/projektos un saistībā ar tiem. Nulles tolerances politika attiecas uz visiem darbiniekiem, konsultantiem un citu personālu, kas nav darbinieki, kā arī uz sadarbības partneriem programmās/projektos un saistībā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iespējas saskaņot jaunu panta redakciju ar Ukrainas pusi.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Republic of Latvia and the Cabinet of Ministers of Ukraine on technical and financial cooperation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Līguma I panta “Priekšmets un mērķis” 2.punktā, ka tehniskā palīdzība ietver arī preču piegādi.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Technical assistance includes, inter alia, transfer of know-how, coaching, consultation, supply of </w:t>
            </w:r>
            <w:r w:rsidR="00000000" w:rsidRPr="00000000" w:rsidDel="00000000">
              <w:rPr>
                <w:u w:val="single"/>
                <w:rtl w:val="0"/>
              </w:rPr>
              <w:t xml:space="preserve">goods</w:t>
            </w:r>
            <w:r w:rsidR="00000000" w:rsidRPr="00000000" w:rsidDel="00000000">
              <w:rPr>
                <w:rtl w:val="0"/>
              </w:rPr>
              <w:t xml:space="preserve">, equipment and materials as well as assistance related to introducing new technologies necessary for the successful implementation of programs or projects.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Agreement between the Government of the Republic of Latvia and the Cabinet of Ministers of Ukraine on technical and financial cooperation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Līguma projekta angļu valodas versiju ar latviešu valodas versiju, ņemot vērā, ka angļu valodas versijā joprojām ietvertas norādes "program</w:t>
            </w:r>
            <w:r w:rsidR="00000000" w:rsidRPr="00000000" w:rsidDel="00000000">
              <w:rPr>
                <w:u w:val="single"/>
                <w:rtl w:val="0"/>
              </w:rPr>
              <w:t xml:space="preserve">/</w:t>
            </w:r>
            <w:r w:rsidR="00000000" w:rsidRPr="00000000" w:rsidDel="00000000">
              <w:rPr>
                <w:rtl w:val="0"/>
              </w:rPr>
              <w:t xml:space="preserve">project", "</w:t>
            </w:r>
            <w:r w:rsidR="00000000" w:rsidRPr="00000000" w:rsidDel="00000000">
              <w:rPr>
                <w:u w:val="single"/>
                <w:rtl w:val="0"/>
              </w:rPr>
              <w:t xml:space="preserve">and/or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līguma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23-TA-2026</w:t>
    </w:r>
    <w:r>
      <w:br/>
    </w:r>
    <w:r w:rsidR="00000000" w:rsidRPr="00000000" w:rsidDel="00000000">
      <w:rPr>
        <w:rtl w:val="0"/>
      </w:rPr>
      <w:t xml:space="preserve">17.11.2023. 08.58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23-TA-2026</w:t>
    </w:r>
    <w:r>
      <w:br/>
    </w:r>
    <w:r w:rsidR="00000000" w:rsidRPr="00000000" w:rsidDel="00000000">
      <w:rPr>
        <w:rtl w:val="0"/>
      </w:rPr>
      <w:t xml:space="preserve">17.11.2023. 08.58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Izziņa_23-TA-2026.docx</dc:title>
</cp:coreProperties>
</file>

<file path=docProps/custom.xml><?xml version="1.0" encoding="utf-8"?>
<Properties xmlns="http://schemas.openxmlformats.org/officeDocument/2006/custom-properties" xmlns:vt="http://schemas.openxmlformats.org/officeDocument/2006/docPropsVTypes"/>
</file>