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25-TA-2154: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4. februāra noteikumos Nr. 82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06.01.2026. 18:43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Plānojot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minētās tiešās attiecināmās personāla izmaksas, finansējuma saņēmējs un sadarbības partneris (ja attiecināms) veic darba laika uzskaiti par projekta vadības un īstenošanas personāla projekta ietvaros veiktajām funkcijām un nostrādāto laiku un nodrošina, ka personālam, kas nodarbināts pilnu darba laiku, nepilnu darba laiku vai daļlaiku,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izlemjot veikt grozījumus  Ministru kabineta noteikumos par specifisko atbalsta mērķi (turpmāk - MK noteikumi), balstoties uz 2025. gada 9. jūnijā stājās spēkā stājušos Finanšu ministrijas vadlīniju Nr. 1.2. "Vadlīnijas attiecināmo izmaksu noteikšanai Eiropas Savienības kohēzijas politikas programmas 2021.–2027.gada plānošanas periodā" 3. versiju, atbildīgajai iestādei jāņem vērā visi minētajās vadlīnijās veiktie grozījumi, ne tikai vēlamie, tas nozīmē, ka jāizvērtē visas izmaksu pozīcijas un nosacījumus MK noteikumos kurus ietekmē izmaiņas vadlīnijās. Izlemjot grozīt MK noteikumus atbilstoši izmaiņām vadlīnijās, t.sk., jāvērtē ietekme uz jau īstenošanā  esošajiem projektiem. Tādejādi, lūdzam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Plānojot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minētās tiešās attiecināmās personāla izmaksas, finansējuma saņēmējs un sadarbības partneris (ja attiecināms) veic darba laika uzskaiti par projekta vadības un īstenošanas personāla projekta ietvaros veiktajām funkcijām un nostrādāto laiku un nodrošina, ka personālam, kas nodarbināts pilnu darba laiku, nepilnu darba laiku vai daļlaiku,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06.11.2025. 11:21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projekta ietekmi uz spēkā esošo tiesību normu sistēmu, lūdzu atbilstoši Vadlīnijām tiesību akta projekta sākotnējās ietekmes novērtēšanai un novērtējuma ziņojuma sagatavošanai Vienotajā tiesību aktu izstrādes un saskaņošanas portālā aizpildīt anotācijas 4. sadaļu. Poti, skaidrot projekta ietekmi uz Ministru kabineta 2024. gada 25. jūnija noteikumiem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16:30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 gada 31. oktobrim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pamatojot, ka un kā ar esošo finansējumu tiks sasniegti pasākuma rādītāji/mērķis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samazinājums ietekmēs/neietekmēs pasākuma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rādītāji precizēti atbilstoši esošajam finansējumam un ar skaidrojumu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līdz 2029. gada 31. oktobrim sasniedzami šādi uzraudzības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iesniegumos pasākuma īstenošanai kopējo pasākumam pieejamo finansējumu plāno ne vairāk kā 10 799 672 </w:t>
            </w:r>
            <w:r w:rsidR="00000000" w:rsidRPr="00000000" w:rsidDel="00000000">
              <w:rPr>
                <w:i w:val="1"/>
                <w:rtl w:val="0"/>
              </w:rPr>
              <w:t xml:space="preserve">euro</w:t>
            </w:r>
            <w:r w:rsidR="00000000" w:rsidRPr="00000000" w:rsidDel="00000000">
              <w:rPr>
                <w:rtl w:val="0"/>
              </w:rPr>
              <w:t xml:space="preserve"> apmērā, ko veido Eiropas Reģionālās attīstības fonda finansējums 9 134 591 </w:t>
            </w:r>
            <w:r w:rsidR="00000000" w:rsidRPr="00000000" w:rsidDel="00000000">
              <w:rPr>
                <w:i w:val="1"/>
                <w:rtl w:val="0"/>
              </w:rPr>
              <w:t xml:space="preserve">euro</w:t>
            </w:r>
            <w:r w:rsidR="00000000" w:rsidRPr="00000000" w:rsidDel="00000000">
              <w:rPr>
                <w:rtl w:val="0"/>
              </w:rPr>
              <w:t xml:space="preserve"> apmērā, valsts budžeta līdzfinansējums 508 125 </w:t>
            </w:r>
            <w:r w:rsidR="00000000" w:rsidRPr="00000000" w:rsidDel="00000000">
              <w:rPr>
                <w:i w:val="1"/>
                <w:rtl w:val="0"/>
              </w:rPr>
              <w:t xml:space="preserve">euro</w:t>
            </w:r>
            <w:r w:rsidR="00000000" w:rsidRPr="00000000" w:rsidDel="00000000">
              <w:rPr>
                <w:rtl w:val="0"/>
              </w:rPr>
              <w:t xml:space="preserve"> apmērā un privātais līdzfinansējums 1 156 956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14.punkts paredz, ka maksimālais attiecināmais Eiropas Reģionālās attīstības fonda finansējuma apmērs nepārsniedz 85 procentus no projekta kopējā attiecināmā finansējuma, kā arī 85% no 10 799 672 euro veido 9 179 721 euro, lūdzam precizēt šajā punktā uzrādīto finansējuma proporciju starp finansējuma avotiem vai arī anotācijā skaidrot proporcijas neatbilstības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1.1.1.7. pasākuma projektu iesniegumu atlasē tika piešķirti papildus punkti par lielāku privātā finansējuma nodrošināšanu, ko projekta iesniedzēji arī izmantoja. Ņemot vērā, ka atsevišķos projektos privātais finansējums tika plānots lielāks nekā MK noteikumos noteiktais minimālais apjoms, tad tas ietekmēja finansējuma avotu procentuālo sadalījumu.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esošā intensitāte nav pretrunā ar MK noteikumu 14.punkts kas paredz, ka maksimālais attiecināmais Eiropas Reģionālās attīstības fonda finansējuma apmērs nepārsniedz 85 procentus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izpratnei anotācija ir papildināta ar skaidrojumu, ka "Eiropas Reģionālās attīstības fonda finansējuma apmērs veido 84.6 procentus, jo 1.1.1.7. pasākuma projektu iesniegumu atlasē tika izmantota iespēja iegūt lielāku punktu skaitu projekta iesnieguma vērtēšanas kritērijā par lielāku piesaistāmā privātā līdzfinansējuma procentuālo īpatsvaru no kopējām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iesniegumos pasākuma īstenošanai kopējo pasākumam pieejamo finansējumu plāno ne vairāk kā 10 799 672 </w:t>
            </w:r>
            <w:r w:rsidR="00000000" w:rsidRPr="00000000" w:rsidDel="00000000">
              <w:rPr>
                <w:i w:val="1"/>
                <w:rtl w:val="0"/>
              </w:rPr>
              <w:t xml:space="preserve">euro</w:t>
            </w:r>
            <w:r w:rsidR="00000000" w:rsidRPr="00000000" w:rsidDel="00000000">
              <w:rPr>
                <w:rtl w:val="0"/>
              </w:rPr>
              <w:t xml:space="preserve"> apmērā, ko veido Eiropas Reģionālās attīstības fonda finansējums 9 134 591 </w:t>
            </w:r>
            <w:r w:rsidR="00000000" w:rsidRPr="00000000" w:rsidDel="00000000">
              <w:rPr>
                <w:i w:val="1"/>
                <w:rtl w:val="0"/>
              </w:rPr>
              <w:t xml:space="preserve">euro</w:t>
            </w:r>
            <w:r w:rsidR="00000000" w:rsidRPr="00000000" w:rsidDel="00000000">
              <w:rPr>
                <w:rtl w:val="0"/>
              </w:rPr>
              <w:t xml:space="preserve"> apmērā, valsts budžeta līdzfinansējums 508 125 </w:t>
            </w:r>
            <w:r w:rsidR="00000000" w:rsidRPr="00000000" w:rsidDel="00000000">
              <w:rPr>
                <w:i w:val="1"/>
                <w:rtl w:val="0"/>
              </w:rPr>
              <w:t xml:space="preserve">euro</w:t>
            </w:r>
            <w:r w:rsidR="00000000" w:rsidRPr="00000000" w:rsidDel="00000000">
              <w:rPr>
                <w:rtl w:val="0"/>
              </w:rPr>
              <w:t xml:space="preserve"> apmērā un privātais līdzfinansējums 1 156 956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viennozīmīgai izpratnei papildināt noteikumu projekta anotāciju ar informāciju par ierosināto grozījumu ietekmi uz 1.1.1. specifiskā atbalsta mērķa "Pētniecības un inovāciju kapacitātes stiprināšana un progresīvu tehnoloģiju ieviešana kopējā P&amp;A sistēmā" 1.1.1.7. pasākuma "Inovāciju granti studentiem" finansējuma saņēmējiem, ņemot vērā anotācijas 7.sadaļas 7.5. apakšpunktā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1.1.1.7. pasākuma finansējuma saņēmēji ir dzēsti no anotācijas 7.sadaļas 7.5. apakšpunkta, bet viennozīmīgai izprantei anotācija papildināta ar skaidrojumu, ka "Ierosinātajiem grozījumiem MK noteikumos Nr. 82 uz 1.1.1.7. pasākuma finansējuma saņēmējiem nav ietekmes, jo noteikumu projektā iekļautie precizējumi (finansējuma pārdale, rādītāju vērtību samazināšana) neietekmē jau iesniegtos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precizēts kopējais pasākuma pieejamais finansējums, jo tiks  pārdalīts Eiropas Savienības kohēzijas politikas programmas 2021.–2027. gadam 1.1.1. specifiskā atbalsta mērķa "Pētniecības un inovāciju kapacitātes stiprināšana un progresīvu tehnoloģiju ieviešana kopējā P&amp;A sistēmā" 1.1.1.3. pasākuma "Praktiskas ievirzes pētījumi" (turpmāk – 1.1.1.3. pasākums) otrās kārtas īstenošanai, tad lūdzam papildināt noteikumu projekta anotāciju par plānotajiem grozījumiem 1.1.1.3. pasākuma regulējošos Ministru kabineta noteikumos par specifisko atbalsta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lai nodrošinātu finansējuma pārdali, tiek veikti grozījumi arī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25-TA-2154</w:t>
    </w:r>
    <w:r>
      <w:br/>
    </w:r>
    <w:r w:rsidR="00000000" w:rsidRPr="00000000" w:rsidDel="00000000">
      <w:rPr>
        <w:rtl w:val="0"/>
      </w:rPr>
      <w:t xml:space="preserve">18.02.2026. 16.09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25-TA-2154</w:t>
    </w:r>
    <w:r>
      <w:br/>
    </w:r>
    <w:r w:rsidR="00000000" w:rsidRPr="00000000" w:rsidDel="00000000">
      <w:rPr>
        <w:rtl w:val="0"/>
      </w:rPr>
      <w:t xml:space="preserve">18.02.2026. 16.09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Izziņa_25-TA-2154.docx</dc:title>
</cp:coreProperties>
</file>

<file path=docProps/custom.xml><?xml version="1.0" encoding="utf-8"?>
<Properties xmlns="http://schemas.openxmlformats.org/officeDocument/2006/custom-properties" xmlns:vt="http://schemas.openxmlformats.org/officeDocument/2006/docPropsVTypes"/>
</file>