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8. augusta noteikumos Nr. 443 "Eiropas Savienības Atveseļošanas un noturības mehānisma plāna 1.2. reformu un investīciju virziena "Energoefektivitātes uzlabošana" 1.2.1.4.i. investīcijas "Energoefektivitātes uzlabošana valsts sektora ēkās, t. sk. vēsturiskajās ēkās"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apakšsadaļā "Risinājuma apraksts" norādīts, ka Nodrošinājuma valsts aģentūrai ir iznomāta nekustamā īpašuma Rīgā, Čiekurkalna 1.līnijā 1, k-1 daļa ar kopējo telpu platību 55 290,7 m2 un ka daļu no telpām Nodrošinājuma valsts aģentūra lieto savām vajadzībām, bet pārējās telpas ir nodotas lietošanā Iekšlietu ministrijai, Valsts policijai, Pilsonības un migrācijas lietu pārvaldei, Iekšlietu ministrijas Informācijas centram, valsts sabiedrībai ar ierobežotu atbildību "Iekšlietu ministrijas poliklīnika", kā arī Iekšlietu ministrijas veselības un sporta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Nodrošinājuma valsts aģentūrai nomas lietošanā ir nodota ne tikai nekustamā īpašuma Rīgā, Čiekurkalna 1.līnijā 1, k-1 daļa, bet gan viss ēku komplekss. Tāpat norādāms, ka anotācijā norādītā nomas telpu platība ir daudzkārt lielāka par Nodrošinājuma valsts aģentūras nomas lietošanā pieņemto telpu platību. Saskaņā ar 2020.gada 27.aprīlī noslēgto nomas līgumu nomā pieņemto telpu platība par objektu Rīgā, Čiekurkalna 1.līnijā 1 sastāda tikai 41 781,1 m2. Visticamāk telpu kopplatībā ieskaitīti arī nomas objekti Gaujas ielā 15 un Gaujas ielā 17, Rīgā, jo par visiem šiem objektiem noslēgts viens nomas līgums. Kas attiecas tieši uz Čiekurkalna 1.līnijas 1, k-1, tad tā kopējā platība ir tikai 3193 m2, un to savām vajadzībām izmanto Iekšlietu ministrijas veselības un sporta centrs, valsts sabiedrība ar ierobežotu atbildību "Iekšlietu ministrijas poliklīnika", kā arī komersants, pārējās anotācijā minētās iestādes izvietotas citos ēkas korpusos.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attiecīgajā anotācijas apakšsadaļā norādīts, ka privātam uzņēmumam ir iznomātas telpas ēdnīcas ierīkošanai. Lūdzam attiecīgo tekstu precizēt, jo telpas nodotas nomas lietošanā ēdināšanas pakalpojumu sniegšanai, nevis ēdnīcas ierīkošanai, ņemot vērā, ka ēdnīcas telpas bija jau aprīkotas pirms objekts tika nodots nomas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projekta anotācijā norādīto informāciju atbilstoši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anotācijas 1.2. apakšsadaļu, ņemot vērā, ka tajā skaidro projekta mērķi, un ievērojot, ka mērķis nedrīkst attaisnot jau iepriekš nolemtu rīcību, tam ir jābūt neitrālam un vērstam uz problēmu izraisošo cēloņu mazināšanu vai likvidēšanu. Mērķis nevar būt vienkārši tiesību akta izstrāde vai grozījumi tajā. Proti, tas jādefinē tādā formā, lai varētu novērtēt tā sasniegšanas progresu (no anotācijas 1.3. apakšsadaļas noprotams, ka projekta mērķis ir saistīts ar Eiropas Savienības Atveseļošanas un noturības mehānisma plāna 1.2. reformu un investīciju virziena "Energoefektivitātes uzlabošana" 1.2.1.4.i. investīcijas "Energoefektivitātes uzlabošana valsts sektora ēkās, t. sk. vēsturiskajās ēkās" plānoto mērķa rādītāju sasniegšanu un pieejamā Atveseļošanas fonda un valsts budžeta finansējuma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 apakšsadaļa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apakšsadaļu, ņemot vērā, ka tajā skaidro projekta mērķi, un ievērojot, ka mērķis nedrīkst attaisnot jau iepriekš nolemtu rīcību, tam ir jābūt neitrālam un vērstam uz problēmu izraisošo cēloņu mazināšanu vai likvidēšanu. Mērķis nevar būt vienkārši tiesību akta izstrāde vai grozījumi tajā. Proti, tas jādefinē tādā formā, lai varētu novērtēt tā sasniegšanas progresu.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 apakšsadaļa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1.3. apakšsadaļas skaidrojumu par to, ka "[..] </w:t>
            </w:r>
            <w:r w:rsidR="00000000" w:rsidRPr="00000000" w:rsidDel="00000000">
              <w:rPr>
                <w:i w:val="1"/>
                <w:rtl w:val="0"/>
              </w:rPr>
              <w:t xml:space="preserve">VNĪ kopējais piešķirtais finansējuma apmērs paliek nemainīts [..], tomēr tā sadalījums proporcionāli tiek mainīts starp ēkām, ņemot vērā, ka ir pieaudzis ēku skaits (iepriekš 5 ēku adreses, šobrīd 6 ēku adreses).</w:t>
            </w:r>
            <w:r w:rsidR="00000000" w:rsidRPr="00000000" w:rsidDel="00000000">
              <w:rPr>
                <w:rtl w:val="0"/>
              </w:rPr>
              <w:t xml:space="preserve">" papildināt ar to, kāda ietekme ir konstatējama uz ēkām to attiecināmā finansējuma izmaiņu rezultātā. Proti, lūdzam pilnībā izvērtēt plānoto grozījumu iespējamo praktisko ietekmi un nodrošināt tiesību normu adresātiem pilnīgu no noteikumu projekta izrietošo aspektu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sniegtie skaidrojumi tiesību normu adresātam nenodrošina pilnīgu izpratni par projektā paredzētā grozījuma (pielikumā izslēgt objektu Kalnciema ielu 10, k-2, Rīgā) ietekmi, piemēram, uz investīcijas mērķa grupu - valsts sektora ēku, tai skaitā vēsturisko ēku, īpašniekiem un lietotājiem un to vai grozījumi neskar arī tiesiskās paļāvības principu</w:t>
            </w:r>
            <w:r w:rsidR="00000000" w:rsidRPr="00000000" w:rsidDel="00000000">
              <w:rPr>
                <w:vertAlign w:val="superscript"/>
                <w:rtl w:val="0"/>
              </w:rPr>
              <w:t xml:space="preserve">1</w:t>
            </w:r>
            <w:r w:rsidR="00000000" w:rsidRPr="00000000" w:rsidDel="00000000">
              <w:rPr>
                <w:rtl w:val="0"/>
              </w:rPr>
              <w:t xml:space="preserve">. Proti, pamatojoties uz Ministru kabineta 2023. gada 8. augusta noteikumu Nr. 443 "Eiropas Savienības Atveseļošanas un noturības mehānisma plāna 1.2. reformu un investīciju virziena "Energoefektivitātes uzlabošana" 1.2.1.4.i. investīcijas "Energoefektivitātes uzlabošana valsts sektora ēkās, t. sk. vēsturiskajās ēkās" īstenošanas noteikumi" pielikumu investīciju mērķa grupas, ietekmējamās sabiedrības grupas rēķinājās ar to, ka arī šim objektam tiks izstrādāta tehniskā dokumentācija un veikta būvniecība. Taču šobrīd, plāni attiecībā uz konkrēto objektu tiek mainīti.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izvērst skaidrojumus anotācijā norādot uz to, kā paredzētie grozījumi ietekmēs investīciju mērķa grupas, kas saistītas ar objektu Kalnciema ielā 10, k-2, Rīgā, vai tās ir informētas par plānotajiem grozījumiem u.c. būtisku informāciju, kas tiesību normu adresātam nodrošina pilnīgu no projekta izrietošo grozījumu un ar tiem saistīto aspektu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 Tiesiskās paļāvības princips noteic, ka privātpersona var paļauties, ka iestādes rīcība ir tiesiska un konsekventa, tai skaitā persona var paļauties, ka tā noteiktajā laikā varēs īstenot tai iegūtās tiesības. Satversmes tiesa ir norādījusi (2009. gada 26. novembra spriedums lietā Nr. 2009-08-01),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Skaidrojam, ka pats finansējuma saņēmējs - NMV - sniedza informāciju par to, ka izvērtējot projekta ietvaros paredzētās darbības, NMV prioritātes un projektā paredzēto finansējumu, secināts, ka pieejamais finansējums nav pietiekams, lai izstrādātu tehnisko dokumentāciju arī ēkai Kalnciema ielā 10 k-2, Rīgā, kā arī 2.1.1.8. pasākuma ietvaros pieejamais finansējums nav pietiekams, lai ēkai Kalnciema ielā 10 k-2, Rīgā, izstrādātu tehnisko dokumentāciju un veiktu arī būvniecību, attiecīgi finansējuma saņēmējs pieņēma lēmumu izslēgt no projekta ēku Kalnciema ielā 10, k-2,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skaidrojumus par to, ka "</w:t>
            </w:r>
            <w:r w:rsidR="00000000" w:rsidRPr="00000000" w:rsidDel="00000000">
              <w:rPr>
                <w:i w:val="1"/>
                <w:rtl w:val="0"/>
              </w:rPr>
              <w:t xml:space="preserve">nav paredzēts mainīt VNĪ projektam ar 2024. gada 10. decembra MK noteikumu Nr. 443 grozījumiem piešķirto finansējuma apmēru 2 691 104,00 euro apmērā</w:t>
            </w:r>
            <w:r w:rsidR="00000000" w:rsidRPr="00000000" w:rsidDel="00000000">
              <w:rPr>
                <w:rtl w:val="0"/>
              </w:rPr>
              <w:t xml:space="preserve">". Norādām, ka, lai arī faktiski finansējuma apmērs netiek mainīts, no projekta noprotams, ka tas var mainīties praksē, ņemot vērā, ka finansējuma apmērs visās sešās (iepriekš piecās) adresēs tiek dalīts proporcionāli. Proti, ja kopējais finansējums tiek paredzēts pieciem objektiem, katrs no tiem proporcionāli saņem lielāku finansējumu nekā tad, ja to dala uz sešiem objektiem. Lūdzam pilnībā izvērtēt plānoto grozījumu iespējamo praktisko ietekmi un precizēt attiecīgos skaidrojumus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uz projekta iesniedzēju un projekta īstenošanas partneri (ja attiecināms) nav attiecināms neviens no izslēgšanas kritērijiem, kas noteikts Eiropas Parlamenta un Padomes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136.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Attiecīgi lūdzam precizēt noteikumu projekta anotācijā atsauci uz Regulu 2018/1046, tās vietā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precizēt noteikumu  21.8. un 24.1. apakšpunktā minēto atsauci uz Regulu 2018/1046, tās vietā norādot atsauci uz Regulu 2024/2509.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21.8., 24.1., 24.2. un 24.5. apakšpunkts un informācija anotācijas 1.3. apakšsadaļā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 projekta iesniedzēja īpašumā esošajā infrastruktūrā, par kuru iesniegts projekta iesniegums un kura tiek izmantota tādu funkciju vai valsts deleģēto uzdevumu nodrošināšanai, kas nav saistīti ar saimniecisko darbību, pamatlīdzekļu un ilgtermiņa ieguldījumu nolietojuma periodā pieļaujams veikt papildinošu saimniecisko darbību 20 % apmērā no infrastruktūras gada jaudas (platības, laika vai finanšu izteiksmē).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Papildinošas saimnieciskās darbības aprēķina veidu projekta īstenošanas laikā nemaina un aprēķinu veic atbilstoši sākotnēji izvēlētajam veidam platības, laika vai finanšu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veiktajiem precizējumiem noteikumu projektā, lūdzam izvērtēt un tā anotācijā norādīt uz noteikumu projekta 1. punktā ietvertā papildinošas saimnieciskās darbības skaidrojuma saistību ar Komisijas 2016. gada 19. jūlija paziņojuma par Līguma par Eiropas Savienības darbību 107. panta 1. punktā minēto valsts atbalsta jēdzienu (2016/C 262/01) 207. punktu. Proti, ja ar noteikumu projektu tiek pārņemtas minētā paziņojuma prasības, lūdzam anotācijas 5. sadaļā ailītē "Cita informācija" sniegt attiecīgu - detalizētu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 projekta iesniedzēja īpašumā esošajā infrastruktūrā, par kuru iesniegts projekta iesniegums un kura tiek izmantota tādu funkciju vai valsts deleģēto uzdevumu nodrošināšanai, kas nav saistīti ar saimniecisko darbību, pamatlīdzekļu un ilgtermiņa ieguldījumu nolietojuma periodā pieļaujams veikt papildinošu saimniecisko darbību 20 % apmērā no infrastruktūras gada jaudas (platības, laika vai finanšu izteiksmē).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Papildinošas saimnieciskās darbības aprēķina veidu projekta īstenošanas laikā nemaina un aprēķinu veic atbilstoši sākotnēji izvēlētajam veidam platības, laika vai finanšu izteiksmē.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 projekta iesniedzēja īpašumā esošajā infrastruktūrā, par kuru iesniegts projekta iesniegums un kura tiek izmantota tādu funkciju vai valsts deleģēto uzdevumu nodrošināšanai, kas nav saistīti ar saimniecisko darbību, pamatlīdzekļu un ilgtermiņa ieguldījumu nolietojuma periodā pieļaujams veikt papildinošu saimniecisko darbību 20 % apmērā no infrastruktūras gada jaudas (platības, laika vai finanšu izteiksmē). Papildinošas saimnieciskās darbības aprēķina veidu projekta īstenošanas laikā nemaina un aprēķinu veic atbilstoši sākotnēji izvēlētajam veidam platības, laika vai finanšu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būtu skaidrs, kāda darbība ir uzskatāma par papildinošo saimniecisko darbību, lūdzam precizēt noteikumu projekta 56.</w:t>
            </w:r>
            <w:r w:rsidR="00000000" w:rsidRPr="00000000" w:rsidDel="00000000">
              <w:rPr>
                <w:vertAlign w:val="superscript"/>
                <w:rtl w:val="0"/>
              </w:rPr>
              <w:t xml:space="preserve">1</w:t>
            </w:r>
            <w:r w:rsidR="00000000" w:rsidRPr="00000000" w:rsidDel="00000000">
              <w:rPr>
                <w:rtl w:val="0"/>
              </w:rPr>
              <w:t xml:space="preserve">2. apakšpunktu, iekļaujot tajā papildinošās saimnieciskās darbības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skaidrojumu par papildinošās saimnieciskās darbības un papildpakalpojumu definīciju un būtību projekta īstenošanai plānotajās ēkās Talejas ielā 1 un Čiekurkalna 1. līnijā 1,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 projekta iesniedzēja īpašumā esošajā infrastruktūrā, par kuru iesniegts projekta iesniegums un kura tiek izmantota tādu funkciju vai valsts deleģēto uzdevumu nodrošināšanai, kas nav saistīti ar saimniecisko darbību, pamatlīdzekļu un ilgtermiņa ieguldījumu nolietojuma periodā pieļaujams veikt papildinošu saimniecisko darbību 20 % apmērā no infrastruktūras gada jaudas (platības, laika vai finanšu izteiksmē). </w:t>
            </w:r>
            <w:r w:rsidR="00000000" w:rsidRPr="00000000" w:rsidDel="00000000">
              <w:rPr>
                <w:i w:val="1"/>
                <w:rtl w:val="0"/>
              </w:rPr>
              <w:t xml:space="preserve">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r w:rsidR="00000000" w:rsidRPr="00000000" w:rsidDel="00000000">
              <w:rPr>
                <w:rtl w:val="0"/>
              </w:rPr>
              <w:t xml:space="preserve"> Papildinošas saimnieciskās darbības aprēķina veidu projekta īstenošanas laikā nemaina un aprēķinu veic atbilstoši sākotnēji izvēlētajam veidam platības, laika vai finanšu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56.</w:t>
            </w:r>
            <w:r w:rsidR="00000000" w:rsidRPr="00000000" w:rsidDel="00000000">
              <w:rPr>
                <w:vertAlign w:val="superscript"/>
                <w:rtl w:val="0"/>
              </w:rPr>
              <w:t xml:space="preserve">1</w:t>
            </w:r>
            <w:r w:rsidR="00000000" w:rsidRPr="00000000" w:rsidDel="00000000">
              <w:rPr>
                <w:rtl w:val="0"/>
              </w:rPr>
              <w:t xml:space="preserve">2. apakšpunkts un anotācija papildināta ar attiecīgo definīciju un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 projekta iesniedzēja īpašumā esošajā infrastruktūrā, par kuru iesniegts projekta iesniegums un kura tiek izmantota tādu funkciju vai valsts deleģēto uzdevumu nodrošināšanai, kas nav saistīti ar saimniecisko darbību, pamatlīdzekļu un ilgtermiņa ieguldījumu nolietojuma periodā pieļaujams veikt papildinošu saimniecisko darbību 20 % apmērā no infrastruktūras gada jaudas (platības, laika vai finanšu izteiksmē).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Papildinošas saimnieciskās darbības aprēķina veidu projekta īstenošanas laikā nemaina un aprēķinu veic atbilstoši sākotnēji izvēlētajam veidam platības, laika vai finanšu izteiksmē.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pielikumu, nodrošinot informācijas izsekojamību un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veiktās izmaiņas Valsts akciju sabiedrības "Valsts nekustamie īpašumi" un Mākslu izglītības kompetences centra “Nacionālā Mākslu vidusskola” projektu finansējumā, lūdzam attiecīgi precizēt pielikumā norādītās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projektiem Slokas iela 16, Rīga un Bezdelīgu iela 1A, Rīga norādītais priekšfinansējums un PVN daļa neveido ailē “10 %  no būvdarbu līguma summas (ar PVN), euro” norādīto summu, attiecīgi lūdzam izvērtēt un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25-TA-447</w:t>
    </w:r>
    <w:r>
      <w:br/>
    </w:r>
    <w:r w:rsidR="00000000" w:rsidRPr="00000000" w:rsidDel="00000000">
      <w:rPr>
        <w:rtl w:val="0"/>
      </w:rPr>
      <w:t xml:space="preserve">15.04.2025. 17.17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25-TA-447</w:t>
    </w:r>
    <w:r>
      <w:br/>
    </w:r>
    <w:r w:rsidR="00000000" w:rsidRPr="00000000" w:rsidDel="00000000">
      <w:rPr>
        <w:rtl w:val="0"/>
      </w:rPr>
      <w:t xml:space="preserve">15.04.2025. 17.17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Izziņa_25-TA-447.docx</dc:title>
</cp:coreProperties>
</file>

<file path=docProps/custom.xml><?xml version="1.0" encoding="utf-8"?>
<Properties xmlns="http://schemas.openxmlformats.org/officeDocument/2006/custom-properties" xmlns:vt="http://schemas.openxmlformats.org/officeDocument/2006/docPropsVTypes"/>
</file>