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24-TA-2513: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2024. gada 20. februāra noteikumos Nr. 118 "Eiropas Savienības kohēzijas politikas programmas 2021.–2027. gadam 2.1.3. specifiskā atbalsta mērķa "Veicināt pielāgošanos klimata pārmaiņām, risku novēršanu un noturību pret katastrofām" 2.1.3.3. pasākuma "Katastrofu risku mazināšanas pasākumi" trešās projektu iesniegumu atlases kārtas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(27.02.2024.)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2024. gada 20. februāra noteikumos Nr. 118 "Eiropas Savienības kohēzijas politikas programmas 2021.–2027. gadam 2.1.3. specifiskā atbalsta mērķa "Veicināt pielāgošanos klimata pārmaiņām, risku novēršanu un noturību pret katastrofām" 2.1.3.3. pasākuma "Katastrofu risku mazināšanas pasākumi" trešās projektu iesniegumu atlases kārtas īstenošanas noteikumi" (Latvijas Vēstnesis, 2024, 40.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iekšlietu nozarē identificētās aktuālās prioritātes un finansējuma vajadzības (piemēram, trūkstošo finansējumu katastrofu pārvaldības centru būvniecībai), par ko plānots diskutēt arī š.g. 22.janvārī plānotajā Eiropas Savienības fondu tematiskajā komitejā, lūdzam Iekšlietu ministriju turpināt noteikumu projekta tālāku virzību tikai pēc tam, kad attiecīgi būt izvērtētas nozares investīciju prioritātes un izrietoši ES fondu investīciju stratēģija un tvērums kopumā.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2025. gada 31. janvārī Finanšu ministrijai tika nosūtīti Kohēzijas politikas programmas 2021.-2027. gada precizējumi viduspsoma grozījumiem Nr.3, kuros tika ņemti vērā 2025. gada 22. janvārī Ministru kabineta Eiropas Savienības fondu tematiskajā komitejā atbalstītās papildus finansējuma pārdales. Grozījumu ietvaros tika piedāvātas pārdales 5 000 000 euro apmērā, kur 2 411 700 euro tiek pārdalīti no projekta "Ugunsdzēsības, loģistikas un remonta bāzes kompleksa būvniecība" uz Eiropas Savienības kohēzijas politikas programmas 2021.–2027. gadam 2.1.3. specifiskā atbalsta mērķa "Veicināt pielāgošanos klimata pārmaiņām, risku novēršanu un noturību pret katastrofām" 2.1.3.3. pasākuma "Katastrofu risku mazināšanas pasākumi" ceturto projektu iesniegumu atlases kārtas projektu "Katastrofu pārvaldības centru būvniecība".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2.1.3.3.pasākuma 3.kārtas mērķis ir īstenot Ugunsdrošības un civilās aizsardzības koledžas ēku kompleksa 1. kārtas būvniecību, lūdzam svītrot anotācijā iekļauto informāciju, ka Ugunsdrošības un civilās aizsardzības koledžas ēku kompleksa  2.kārtas iekļaušanu projektēšanas uzdevumā, ņemot vērā, ka tās ir papildus izmaksas, kas nav tieši saistītas ar 2.1.3.3. pasākuma 3.kārtas noteikumos noteikto mērķi un attiecīgi nebūtu attiecināmas no šī projekta finansējuma.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sadaļa papildināta: "Ņemot vērā, ka UCAK teritorijā Krustpils ielā 10 ir plānota kompleksa izbūve, kur esošie inženiertīkli iet caur teritorijas vidu un to, ka 2. kārtas ēka ir cieši saistīta ar UCAK pamatēku, saimnieciski izdevīgi un ES fondu apguves lietderīgā un saimnieciskā izmantošanā – sākotnēji ir jāparedz visi teritorijas risinājumi, lai novērstu risku, ka pie pie otrās kārtas realizācijas, nāktos kaut ko demontēt vai pārbūvēt jau izbūvētajā pirmajā kārtā, kas radītu zaudējumus projekta ieviesējiem. Tā kā UCAK koledžas komplekss ir paredzēts divos zemes gabalos, ir svarīgi korekti izvērtēt iespējamo visas teritorijas attīstību, veikt attīstības iespēju izpēti un sagatavot turpmāko projekta realizācijas stratēģiju, ekonomiski plānotu turpmākos finansiālos ieguldījumus (iespējamās būvniecības kārtas un to robežas, ārējo inženiertīklu izbūvi). NVA jāveic iepirkums būvprojekta minimālā sastāvā ( turpmāk - MBP) izstrādei visai teritorijai kopumā. Tikai uz akceptēta MBP pamata būs iespēja sagatavot NVA prasības projektē-būvē iepirkumam. Tikai pamatojoties uz izstrādātā MBP risinājumiem, NVA varēs kvalitatīvi formulēt savas vajadzības un apzināt savas iespējas, un uz tā pamata sagatavot stratēģiju  teritorijas attīstības īstenošanai. MBP izstrādes un sākotnējās izpētes mērķis ir novērst neparedzamas izmaksas, būvniecības kavējumus un citus nākotnes riskus, projekta turpmāko kārtu realizācijas finansējuma aptuveno apjomu, projekta realizācijai nepieciešamo laiku, izstrādājot aptuvenu veicamo pasākumu programmu. Izstrādātais MBP ļaus izvērtēt  iespējamās priekšrocības, ņemot vērā projekta sarežģītību un specifiku. Pamatojoties uz pojekta izpētes gaitā iegūto informāciju, tiks pieņemti lēmumi par projektējamo būvniecības kārtu robežām teritorijā, paredzot nepieciešamo inženiertīklu izbūvi, objektīvi izvērtējot projekta sarežģītību."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Pasākuma trešās kārtas plānotais finansējums ir 57 948 917 euro (no tā elastības finansējums – 10 223 230 euro), tai skaitā Eiropas Reģionālās attīstības fonda finansējums – 49 256 579 euro (no tā elastības finansējums – 8 689 746 euro) un valsts budžeta līdzfinansējums – 8 692 338 euro (no tā elastības finansējums – 1 533 484 euro), nodrošinot, ka Eiropas Reģionālās attīstības fonda atbalsta intensitāte nepārsniedz 85 procentus no projekta kopējā attiecināmā finansējuma.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vai noteikumu projektu, skaidri norādot  2.1.3.3.pasākuma 3.kārtai pieejamo finansējumu, par kuru ir izsludināma atlase un slēdzami līgumi, kamēr nav pieejams elastības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šobrīd atlasei pieejamais finansējuma apmērs ir mazāks, nekā finansējums, kas bija pieejams līdz grozījumiem un par ko jau ir izsludināta atlase.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aicinām arī anotācijā iekļaut informāciju, ka ņemot vērā visa 2.1.3.3. pasākuma elastības finansējuma iekļaušanu  2.1.3.3. pasākuma 3.kārtā, samazinās faktiski atlasē pieejamais finansējumus un paredzēt plānoto rīcību, proti, nepieciešams veikt grozījumus atlases nolikumā un izsludināt jaunu atlasi. Tāpat lūdzam sniegt izvērtējumu, kā finansējuma izmaiņas ietekmēs iesniegtos projektus, tai skaitā, ņemot vērā neprecīzi norādīto informāciju, aicinām pašreizējās situācijas sadaļā veikt precizējumus, izsakot teksta daļu jaunā redakcijā: " [..] Uz noteikumu projekta sagatavošanas brīdi projekta Nr. 2.1.3.3/3/24/I/001 "Ugunsdrošības un civilās aizsardzības koledžas profesionālās izglītības iestādes kompleksa būvniecības 1. kārta" projekta iesniegums jau apstiprināts ar nosacījumiem, taču ņemot vērā projekta finansējuma un apjoma izmaiņas, tas tiks atsaukts..".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papildināt anotācijas 1.3. sadaļu “Pašreizējā situācija, problēmas un risinājumi”, kurā norādīts plānotais finansējums 2.1.3.3. pasākumā kārtu dalījumā, atspoguļot elastības finansējumu, kā arī salāgot norādīto finansējumu 3.sadaļā “Tiesību akta projekta ietekme uz valsts budžetu un pašvaldību budžetiem” pa gadiem, lai tas sakristu ar kopējo 2.1.3.3. pasākuma finansējumu (saskaitot pasākumu kopējo finansējumu pa gadiem veidojas 1 euro nesakritība).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1.3. sadaļā: “Ņemot vērā, ka elastības finansējums būs pieejams pēc vidusposma izvērtējuma noslēgšanās, 3. kārtas projektiem pieejami 47 725 687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sadaļā ir aprakstīta tālākā rīcība: “Uz noteikumu projekta sagatavošanas brīdi projekta Nr. 2.1.3.3/3/24/I/001 "Ugunsdrošības un civilās aizsardzības koledžas profesionālās izglītības iestādes kompleksa būvniecības 1. kārta" projekta iesniegums jau apstiprināts, taču ņemot vērā projekta finansējuma un apjoma izmaiņas, tas tiks atsaukts. Ar Centrālo finanšu un līgumu aģentūru ir panākta vienošanās par jauna projekta iesnieguma iesniegšanu priekšizskatīšanā (Centrālās finanšu un līgumu aģentūras 2024. gada 3. septembra vēstule Nr.39-2-10/6295).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Kas attiecas uz projekta iesniegumu Nr. 2.1.3.3/3/24/I/002 “Ugunsdzēsības, loģistikas un remonta bāzes kompleksa būvniecība”, tas tika iesniegts priekšizskatīšanā, taču ņemot vērā noteikumu projektā paredzēto grozījumu apjomu, tas arī tiks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sadaļa 1.3. papildināta: “Līdz ar to Pasākuma ietvaros ir paredzēts šāds finansējuma sadalījums: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1. kārtai kopā paredzēti: 3 433 446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2. kārtai kopā paredzēti: 2 588 300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3. kārtai kopā paredzēti: 57 948 917 euro (no tā elastības finansējums 10 223 230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4. kārtai kopā paredzēti:0 euro (finansējuma apmērs tiks precizēts noslēdzoties pētījumam par Katastrofu zaudējumu datu bāzes ieviešanu, provizoriski 2025. gada novembrī).”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Pasākuma trešās kārtas pieejamais finansējums ir 55 537 217 euro, tai skaitā Eiropas Reģionālās attīstības fonda finansējums – 47 206 634 euro un valsts budžeta līdzfinansējums – 8 330 583 euro, nodrošinot, ka Eiropas Reģionālās attīstības fonda atbalsta intensitāte nepārsniedz 85 procentus no projekta kopējā attiecināmā finansējuma.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 projektā "Ugunsdrošības un civilās aizsardzības koledžas profesionālās izglītības iestādes kompleksa būvniecības 1. kārta, Drošības klašu izveide" – vienas ēkas būvniecība efektīvu, modernu un starptautiskajā pieredzē balstītu teorētisko un praktisko nodarbību un apmācību procesa nodrošināšanai, teritorijas labiekārtošanas darbi, ēku telpu pārbūve un pielāgošana stacionāru drošības klašu izveidei, transportlīdzekļu pārveidošana un aprīkošana pārvietojamu drošības klašu izveidei, prevencijas darba nodrošināšana sabiedrības izglītošanai, zīmola un informatīvi izglītojošo materiālu izstrāde. Tāpat projekta ietvaros ir atbalstāma esošo ēku nojaukšanas, projektēšanas, atkritumu utilizācijas darbi un pārcelšanās pasākumi;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17.1.apakšpunktā, kā arī citviet noteikumos un anotācijā  norādītās "pārcelšanās izmaksas", ņemot vērā, ka projektu mērķis ir uzbūvēt jaunas ēkas un izveidot Drošības klases, savukārt pārcelšanās izdevumi nav kapitālie izdevumi, attiecīgi nav ieskaitāmi projektā radīto pamatlīdzekļu vērtībā. Kā arī pārcelšanās izdevumi radīsies pēc objektu nodošanas ekspluatācijā un projektā plānoto darbību pabeigšanas. Vienlaikus norādām, ka atkritumu utilizācija jau iekļaujas zem ēku nojaukšanas darbībām un izmaksām, attiecīgi aicinām svītrot to kā atsevišķus darbus un izmaksas. Papildus lūdzam papildināt anotāciju ar izvērtējumu, kā noteikumu projekta 17.1. un 17.2. apakšpunktos papildus iekļautās atbalstāmās darbības veicinās pasākuma mērķu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Pārcelšanās izdevumi un atkritumu utilizācijas izdevumi svītroti.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sadaļa papildināta: "Kopumā lai sasniegtu pasākuma mērķi ir jāņem vērā saistītās darbības, tai skaitā projektēšana, esošo ēku nojaukšana un atkritumu pareiza utilizācija. Zīmola izveides un citi attiecināmie  izdevumi ir izdalīti jau no iepriekš esošajiem attiecināmajiem izdevumiem, lai novērstu neskaidrību un pārpratumu iespējamību."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 projektā "Ugunsdrošības un civilās aizsardzības koledžas profesionālās izglītības iestādes kompleksa būvniecības 1. kārta, Drošības klašu izveide" – vienas ēkas būvniecība efektīvu, modernu un starptautiskajā pieredzē balstītu teorētisko un praktisko nodarbību un apmācību procesa nodrošināšanai, teritorijas labiekārtošanas darbi, ēku telpu pārbūve un pielāgošana stacionāru drošības klašu izveidei, transportlīdzekļu pārveidošana un aprīkošana pārvietojamu drošības klašu izveidei, prevencijas darba nodrošināšana sabiedrības izglītošanai, zīmola un informatīvi izglītojošo materiālu izstrāde. Tāpat projekta ietvaros ir atbalstāma esošo ēku nojaukšanas un projektēšanas darbi;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anotācijā iekļautie 2. kārtas projektēšanas darbi nav attiecināmi pasākuma 3.kārtas projektā, kura mērķis ir īstenot Ugunsdrošības un civilās aizsardzības koledžas ēku kompleksa 1. kārtas būvniecību. Vēršam uzmanību, ka 2. kārtas projektēšana bez konkrētiem tālākiem plāniem, laika grafika un paredzēta finansējuma tās īstenošanai ir nelietderīga finansējuma izlietošana, t.sk. ņemot vērā, ka būvprojekts var kļūt neaktuāls vai mainīties laika gaitā. Attiecīgi aicinām papildināt anotāciju, ar papildus informāciju, ka šī projekta ietvaros netiks izstrādāts būvprojekts 2.kārtai.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skaidrojumu: "Ņemot vērā, ka UCAK teritorijā Krustpils ielā 10 ir plānota kompleksa izbūve, kur esošie inženiertīkli iet caur teritorijas vidu un to, ka 2. kārtas ēka ir cieši saistīta ar UCAK pamatēku, saimnieciski izdevīgi un ES fondu apguves lietderīgā un saimnieciskā izmantošanā – sākotnēji ir jāparedz visi teritorijas risinājumi, lai novērstu risku, ka pie pie otrās kārtas realizācijas, nāktos kaut ko demontēt vai pārbūvēt jau izbūvētajā pirmajā kārtā, kas radītu zaudējumus projekta ieviesējiem. Tā kā UCAK koledžas komplekss ir paredzēts divos zemes gabalos, ir svarīgi korekti izvērtēt iespējamo visas teritorijas attīstību, veikt attīstības iespēju izpēti un sagatavot turpmāko projekta realizācijas stratēģiju, ekonomiski plānotu turpmākos finansiālos ieguldījumus (iespējamās būvniecības kārtas un to robežas, ārējo inženiertīklu izbūvi). NVA jāveic iepirkums būvprojekta minimālā sastāvā ( turpmāk - MBP) izstrādei visai teritorijai kopumā. Tikai uz akceptēta MBP pamata būs iespēja sagatavot NVA prasības projektē-būvē iepirkumam. Tikai pamatojoties uz izstrādātā MBP risinājumiem, NVA varēs kvalitatīvi formulēt savas vajadzības un apzināt savas iespējas, un uz tā pamata sagatavot stratēģiju  teritorijas attīstības īstenošanai. MBP izstrādes un sākotnējās izpētes mērķis ir novērst neparedzamas izmaksas, būvniecības kavējumus un citus nākotnes riskus, projekta turpmāko kārtu realizācijas finansējuma aptuveno apjomu, projekta realizācijai nepieciešamo laiku, izstrādājot aptuvenu veicamo pasākumu programmu. Izstrādātais MBP ļaus izvērtēt  iespējamās priekšrocības, ņemot vērā projekta sarežģītību un specifiku. Pamatojoties uz pojekta izpētes gaitā iegūto informāciju, tiks pieņemti lēmumi par projektējamo būvniecības kārtu robežām teritorijā, paredzot nepieciešamo inženiertīklu izbūvi, objektīvi izvērtējot projekta sarežģītību"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1.Lūdzam salāgot anotācijas tekstu par noteikumu 8.2.2.apakšpunkta redakciju ar noteikumu 8.2.2. apakšpunkta redakciju, kurā minēta divu ēku pārbūve, bet anotācijā atjaunošana.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2.Risinājuma aprakstā norādīts: "Izteikt 22. punktu šādā redakcijā", tālāk iekļaujot ne tikai 22.punkta aktualizēto redakciju, bet arī 23.punkta aktualizēto redakciju, kas atšķiras no aiz vārdiem "Izteikt 23.punktu šādā redakcijā" norādītās redakcijas, lūdzam dublēto informāciju dzēst, norādot redakciju atbilstoši Ministru kabineta noteikumu grozītajai redakcijai.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Lūdzam labot, papildinot, ka projekta Nr. 2.1.3.3/3/24/I/001 "Ugunsdrošības un civilās aizsardzības koledžas profesionālās izglītības iestādes kompleksa būvniecības 1. kārta" projekta iesniegums jau apstiprināts ar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Lūdzam dzēst vārdus "Ar Centrālo finanšu un līgumu aģentūru ir panākta vienošanās par jauna projekta iesnieguma iesniegšanu priekšizskatīšanā (Centrālās finanšu un līgumu aģentūras 2024. gada 3. septembra vēstule Nr.39-2-10/6295)", jo minētais attiecas uz projekta iesniegumu “Drošības klašu izveide”;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Lūdzam precizēt, ka projekta iesniegums Nr. 2.1.3.3/3/24/I/002 “Ugunsdzēsības, loģistikas un remonta bāzes kompleksa būvniecība” tika iesniegts izvērtēšanā nevis priekšizskatīšanā;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Lūdzam izvērtēt iespēju aizstāt vārdus "Līdz ar to tiks veikti grozījumi atlases nolikumā un izsludināta jauna atlase" ar "Sakarā ar būtiskiem grozījumiem MK noteikumos Nr. 118 un projektu saturā kā dēļ tika atsaukti atlases ietvaros iesniegtie projekta iesniegumi, tiks veikti grozījumi atlases nolikumā un atkārtoti atvērta projektu iesniegumu iesniegšana."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problēmas aprakstu anotācijā papildināt ar informāciju/pamatojumu, par to, kādam nolūkam remontu bāzes kompleksā ir atbalstāmas un tiks izmantotas dienesta viesnīcas un dzīvokļu telpas.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kopumā anotācijas sadaļā "Risinājuma apraksts" aicinām nedublēt noteikumu projekta grozītos punktus, bet norādīt pēc būtības veicamos grozījumus un pamatojumu.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sadaļā 1.3. ar sekojošu informāciju: "Dienesta viesnīcas un dzīvokļu telpas nepieciešamas, jo atbilstoši MK 2006. gada 15. jūnija likuma "Iekšlietu ministrijas sistēmas iestāžu un Ieslodzījuma vietu pārvaldes amatpersonu ar speciālajām dienesta pakāpēm dienesta gaitas likums" 12. pantu, amatpersonu uz laiku var norīkot pildīt dienesta pienākumus citā struktūrvienībā vienas reģionālās (teritoriālās) struktūrvienības ietvaros, sedzot ar norīkošanu saistītos ceļa izdevumus un nodrošinot ar naktsmītni. Līdz ar to plānotās dienesta viesnīcas un dienesta dzīvokļi paredzēti amatpersonu ar speciālajām dienesta pakāpēm izmitināšanai ņemot vērā dienesta nepieciešamību."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anotāciju ar informāciju, ka paralēli noteikumu projekta izstrādei, tiek izstrādāti grozījumi Eiropas Savienības kohēzijas programmā 2021.–2027.gadam, t.sk. rosinot grozīt rādītājus, kā arī papildināt ar informāciju par Iekšlietu ministrijas rīcību gadījumā, ja Eiropas Komisija neatbalstīs piedāvātās izmaiņas.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1.3. sadaļā : "Paralēli noteikumu projekta izstrādei, tiek izstrādāti grozījumi Eiropas Savienības kohēzijas programmā 2021.–2027.gadam, kur 2024. gada 5. decembrī IeM ir iesniegusi grozījumu piedāvājumu, paredzot grozīt starpposma vērtības (IeM vēstules reģistrācijas numurs 8.2-35/2988). Grozījumi uz noteikumu projekta sagatavošanas brīdi ir skaņošanas procesā ar Finanšu ministriju un Eiropas Komisiju. Gadījumā, ja Eiropas Komisija neatbalstīs piedāvātās izmaiņas, IeM izvērtēs izveidojušos situāciju un piedāvās atbilstošu risinājumu Ministru kabinetam, sagatavojot informatīvo ziņojumu."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iekļaut informāciju par to, kā ir nodrošināta Nodrošinājuma valsts aģentūras kā potenciālā finansējuma saņēmēja atbilstība kritērijiem, pēc kuriem Valsts ugunsdzēsības un glābšanas dienests tika izvēlēts kā projekta iesniedzējs (potenciālais finansējuma saņēmējs) projekta "Drošības klašu izveide"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Nodrošinājuma valsts aģentūra tika izvēlēta kā finansējuma saņēmējs projektam “Ugunsdrošības un civilās aizsardzības koledžas ēku kompleksa 1. kārtas būvniecību un Drošības klašu izveide”, jo veiks Drošības klašu projekta izveidei nepieciešamos iepirkumus un veiks Drošības klašu būvniecības daļas īstenošanu, kas atbilst 2012. gada 11. decembra Ministru kabineta noteikumu Nr. 839 “Nodrošinājuma valsts aģentūras nolikums” 3. punktam.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Ministru kabineta noteikumu projekta anotācijas 3. sadaļas tabulu, tajā kā kārtējo gadu norādot 2025. gadu un attiecīgi secīgi turpmākos gadus. Vienlaikus lūdzam precizēt anotācijas 3. sadaļas 6. punktā nekorekti norādīto Ministru kabineta 17.01.2023. noteikumu Nr. 15 nosaukumu.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Pasākuma trešās kārtas pieejamais finansējums ir 55 537 217 euro (no tā elastības finansējums – 7 811 530 euro), tai skaitā Eiropas Reģionālās attīstības fonda finansējums – 47 206 634 euro (no tā elastības finansējums – 6 639 801 euro) un valsts budžeta līdzfinansējums – 8 330 583 euro (no tā elastības finansējums – 1 171 729 euro), nodrošinot, ka Eiropas Reģionālās attīstības fonda atbalsta intensitāte nepārsniedz 85 procentus no projekta kopējā attiecināmā finansējuma.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Ministru kabineta 2024. gada 20. februāra noteikumu Nr. 118 "Eiropas Savienības kohēzijas politikas programmas 2021.–2027. gadam 2.1.3. specifiskā atbalsta mērķa "Veicināt pielāgošanos klimata pārmaiņām, risku novēršanu un noturību pret katastrofām" 2.1.3.3. pasākuma "Katastrofu risku mazināšanas pasākumi" trešās projektu iesniegumu atlases kārtas īstenošanas noteikumi" (turpmāk - noteikumi Nr. 118)  7.punkta plānoto redakciju, svītrojot tajā iekavās norādīto elastības finansējumu, ņemot vērā, ka Ministru kabineta sēdes protokollēmuma projektā iekļautais punkts paredz atļauju jau izmantot visu pasākumam plānoto finansējumu pirms Eiropas Komisijas lēmuma saņemšanas par Eiropas Savienības kohēzijas politikas programmas 2021.-2027.gadam grozījumiem.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Pasākuma trešās kārtas pieejamais finansējums ir 55 537 217 euro, tai skaitā Eiropas Reģionālās attīstības fonda finansējums – 47 206 634 euro un valsts budžeta līdzfinansējums – 8 330 583 euro, nodrošinot, ka Eiropas Reģionālās attīstības fonda atbalsta intensitāte nepārsniedz 85 procentus no projekta kopējā attiecināmā finansējuma.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Pasākuma trešās kārtas plānotais finansējums ir 55 537 217 euro (no tā elastības finansējums – 7 811 530 euro), tai skaitā Eiropas Reģionālās attīstības fonda finansējums – 47 206 634 euro (no tā elastības finansējums – 6 639 801 euro) un valsts budžeta līdzfinansējums – 8 330 583 euro (no tā elastības finansējums – 1 171 729 euro), nodrošinot, ka Eiropas Reģionālās attīstības fonda atbalsta intensitāte nepārsniedz 85 procentus no projekta kopējā attiecināmā finansējuma.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- 14.03.2025.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noteikumu 7. un 25.punkta redakcijas, ņemot vērā, ka protokollēmums jau paredz dot atļauju Iekšlietu ministrijai uzņemties saistības par 2.1.3.3. pasākuma "Katastrofu risku mazināšanas pasākumi" trešajai kārtai noteikto elastības finansējumu 7 811 530 euro apmērā pirms Eiropas Komisijas pozitīva lēmuma par grozījumiem Eiropas Savienības kohēzijas politikas programmā 2021.–2027.gadam. T.i., secināms, ka viss pasākumam plānotais finansējums pēc būtības būs pieejamais finansējums, par kuru tiks izsludināta projektu iesniegumu atlase, vai lūdzam precizēt, salāgojot noteikumu projektā, anotācijā un protokollēmumā norādīto informāciju par plānoto un pieejamo finansējumu, tai skaitā skaidri norādot atlasei pieejamo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punkts precizēts atbilstoši piedāvātajai redakcijai un 25. punkts svītrots.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Pasākuma trešās kārtas pieejamais finansējums ir 55 537 217 euro, tai skaitā Eiropas Reģionālās attīstības fonda finansējums – 47 206 634 euro un valsts budžeta līdzfinansējums – 8 330 583 euro, nodrošinot, ka Eiropas Reģionālās attīstības fonda atbalsta intensitāte nepārsniedz 85 procentus no projekta kopējā attiecināmā finansējuma.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iznākuma rādītājs – investīcijas jaunās vai jauninātās katastrofu monitoringa, gatavības, brīdinājuma un reaģēšanas sistēmās attiecībā uz dabas katastrofām sasniedz 55 537 217 </w:t>
            </w:r>
            <w:r w:rsidR="00000000" w:rsidRPr="00000000" w:rsidDel="00000000">
              <w:rPr>
                <w:i w:val="1"/>
                <w:rtl w:val="0"/>
              </w:rPr>
              <w:t xml:space="preserve">euro</w:t>
            </w:r>
            <w:r w:rsidR="00000000" w:rsidRPr="00000000" w:rsidDel="00000000">
              <w:rPr>
                <w:rtl w:val="0"/>
              </w:rPr>
              <w:t xml:space="preserve">, iznākuma rādītāja starpposma vērtība 2024. gada 31.decembrī sasniedz 15 727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- 14.03.2025.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8.1. apakšpunktu un attiecīgi sniegto informāciju anotācijā, svītrojot iznākuma rādītāja starpposma vērtību, kas bija sasniedzama līdz  2024. gada 31.decembrim, tādējādi mazinot administratīvo slogu, ņemot vērā, ka rādītāju starpposma vērtības ir jau noziņotas Eiropas Komisijai.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iznākuma rādītājs – investīcijas jaunās vai jauninātās katastrofu monitoringa, gatavības, brīdinājuma un reaģēšanas sistēmās attiecībā uz dabas katastrofām sasniedz 55 537 217 euro;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iznākuma rādītājs – investīcijas jaunās vai jauninātās katastrofu monitoringa, gatavības, brīdinājuma un reaģēšanas sistēmās attiecībā uz dabas katastrofām sasniedz 57 945 917 </w:t>
            </w:r>
            <w:r w:rsidR="00000000" w:rsidRPr="00000000" w:rsidDel="00000000">
              <w:rPr>
                <w:i w:val="1"/>
                <w:rtl w:val="0"/>
              </w:rPr>
              <w:t xml:space="preserve">euro</w:t>
            </w:r>
            <w:r w:rsidR="00000000" w:rsidRPr="00000000" w:rsidDel="00000000">
              <w:rPr>
                <w:rtl w:val="0"/>
              </w:rPr>
              <w:t xml:space="preserve">, iznākuma rādītāja starpposma vērtība 2024. gada 31.decembrī sasniedz 15 727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anotāciju ar informāciju, vai un kā tiks nodrošināta Eiropas Savienības kohēzijas politikas programmā 2021.-2027.gadam noteiktās kopējās starpposma vērtības sasniegšana. Vēršam uzmanību, ka 2.1.3.3. pasākumam noteiktā iznākuma rādītāja starpposma vērtība ir 732 570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iznākuma rādītājs – investīcijas jaunās vai jauninātās katastrofu monitoringa, gatavības, brīdinājuma un reaģēšanas sistēmās attiecībā uz dabas katastrofām sasniedz 57 945 917 </w:t>
            </w:r>
            <w:r w:rsidR="00000000" w:rsidRPr="00000000" w:rsidDel="00000000">
              <w:rPr>
                <w:i w:val="1"/>
                <w:rtl w:val="0"/>
              </w:rPr>
              <w:t xml:space="preserve">euro</w:t>
            </w:r>
            <w:r w:rsidR="00000000" w:rsidRPr="00000000" w:rsidDel="00000000">
              <w:rPr>
                <w:rtl w:val="0"/>
              </w:rPr>
              <w:t xml:space="preserve">, iznākuma rādītāja starpposma vērtība 2024. gada 31.decembrī sasniedz 15 988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projekta vadības izmaksas paredzētas kā netiešās izmaksas, piemērojot vienoto izmaksu likmi 1 procenta apmērā no projektu pārējām tiešajām attiecināmajām izmaksām, </w:t>
            </w:r>
            <w:r w:rsidR="00000000" w:rsidRPr="00000000" w:rsidDel="00000000">
              <w:rPr>
                <w:b w:val="1"/>
                <w:u w:val="single"/>
                <w:rtl w:val="0"/>
              </w:rPr>
              <w:t xml:space="preserve">lūdzam izvērtēt</w:t>
            </w:r>
            <w:r w:rsidR="00000000" w:rsidRPr="00000000" w:rsidDel="00000000">
              <w:rPr>
                <w:rtl w:val="0"/>
              </w:rPr>
              <w:t xml:space="preserve">, vai būs iespējams sasniegt plānoto starpposma rādītāju līdz 2024. gada 31. decembrim, jo nebūs radušās tiešās izmaksas, kurām piemērot vienoto izmaksu likmi.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ņemot vērā, ka projekta iesniegumi tiks iesniegti un apstiprināti tikai 2025. gadā, šo starpposma rādītāju nevarēs sasniegt, jo maksājuma pieprasījumi netiks iesniegti 2024. gadā.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sadaļa tika papildināta ar sekojošu informāciju: "Uz noteikumu projekta sagatavošanas brīdi tika apgūti 15 727 EUR. Atskaite par starpposma rādītāju tiks sniegta 2025.gada ar pirmo maksājuma pieprasījumu."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nacionālie rezultāta rādītāji: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2.1.3.3. pasākuma trešajai atlases kārtai jau noteikts iznākuma rādītājs, administratīvā sloga mazināšanas nolūkos, aicinām izvērtēt vai nepieciešami noteikumu Nr. 118 8.2..apakšpunkta plānotajā redakcijā noteiktie nacionālie rādītāji vai arī šīs prasības nosakāmas finansējuma saņēmējam noteikumu Nr. 118 IV. nodaļā "Projektu īstenošanas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nacionālie rādītāji noteikumos Nr. 118 tiek saglabāti, aicinām papildināt anotāciju, nosakot, ka rādītāja sasniegtā vērtība neietekmē projekta rezultātu un mērķi un sadarbības iestāde neveic nacionālā rādītājā uzraudzību.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starpposma vērtība jau tika noziņota EK, jāprecizē 8. punkta redakcija, to svītrojot. Tāpat, administratīvā sloga mazināšanas nolūkos 8.2.apakšpunkta plānotajā redakcijā noteiktie nacionālie rādītāji tika svītroti.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Pasākuma trešās kārtas projektu iesniedzējs projektos "Ugunsdrošības un civilās aizsardzības koledžas profesionālās izglītības iestādes kompleksa būvniecības 1. kārta, Drošības klašu izveide" un "Ugunsdzēsības, loģistikas un remonta bāzes kompleksa būvniecība" kā sadarbības partneri iesaista Valsts ugunsdzēsības un glābšanas dienestu.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kā tiks nodrošināta darbību nepārklāšanās starp projektiem "Ugunsdrošības un civilās aizsardzības koledžas profesionālās izglītības iestādes kompleksa būvniecības 1. kārta" un "Drošības klašu izveide" attiecībā uz Ugunsdrošības un civilās aizsardzības koledžas ēkas daļu, kurā plānota drošības klašu izveide.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Pasākuma trešās kārtas projektu iesniedzējs projektos "Ugunsdrošības un civilās aizsardzības koledžas profesionālās izglītības iestādes kompleksa būvniecības 1. kārta, Drošības klašu izveide" un "Ugunsdzēsības, loģistikas un remonta bāzes kompleksa būvniecība" kā sadarbības partneri iesaista Valsts ugunsdzēsības un glābšanas dienestu.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19.9. meta izstrādes un realizācijas, tajā skaitā zīmola izveides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vai saturiski zīmola izveides izmaksas nav iekļaujamas 19.13.apakšpunktā- dizaina stratēģijas un satura koncepcijas izstrādes izmaksas, kā arī meta realizācijas izmaksas nav nodalāmas atsevišķā punktā no izstrādes izmaksām, tajā skaitā ņemot vērā iespējamo izmaksu ierobežojumu attiecībā uz 19.9.apakšpunkta izmaksām atbilstoši Nr.1.2. Vadlīniju attiecināmo izmaksu noteikšanai Eiropas Savienības kohēzijas politikas programmas 2021.-2027.gada plānošanas periodā 10.2. apakšpunktam, ja tas attiecināms.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Meta realizācijas izmaksas tika izdalītas no meta izstrādes izmaksām, paredzot meta izstrādes izmaksām 10% ierobežojumu.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Zīmola izmaksas tika izdalītas atsevišķā punktā, ņemot vērā, tas var būt arī atsevišķs iepirkums.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zīmola izveides izmaksas nav iekļaujamas 19.13.apakšpunktā - dizaina stratēģijas un satura koncepcijas izstrādes izmaksas. Dizaina stratēģija un satura koncepcija nepieciešama pirms meta konkursa, lai konceptuāli definētu meta virzienu, kā vadlīnijas. Tas būs pamats, uz kura vēlāk tiks gatavota meta konkursa tehniskā specifikācija. Zīmols savukārt tiks izstrādāts vairāk meta realizācijas posma beigās kā noslēgums izstrādātajiem un ieviestajiem dizaina un satura risinājumiem, pirms informatīvās kampaņas uzsākšanas.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19.9. meta izstrādes izmaksas;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19.15. projektu vadības un īstenošanas personāla izmaksas, kuras saskaņā ar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2021/1060), 55. panta 1. punktu plāno kā vienu izmaksu pozīciju, piemērojot vienoto izmaksu likmi 1 procenta apmērā no projektu pārējām tiešajām attiecināmajām izmaksām.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saglabāt  noteikumu Nr. 118. 19.15. apakšpunktu spēkā esošajā redakcijā (numerācija spēkā esošajā redakcijā - 21.2.), proti, nesvītrojot vārdus "bet neieskaitot tiešās attiecināmās personāla izmaksas" aiz vārdiem "no projektu pārējām tiešajām attiecināmajām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55. panta 1. punkts paredz, ka darbības tiešās personāla izmaksas var aprēķināt, izmantojot vienotu likmi līdz 20 % apmērā no tiešajām izmaksām, kas nav minētās darbības tiešās personāla izmaksas, neprasot attiecīgajai dalībvalstij veikt nekādu aprēķinu piemērojamās likmes noteikšanai, ar noteikumu, ka darbības tiešās izmaksas neietver publiskus būvdarbu līgumus vai piegādes vai pakalpojumu līgumus, kuru vērtība pārsniedz Eiropas Parlamenta un Padomes Direktīvas 2014/24/ES (49) 4. pantā un Eiropas Parlamenta un Padomes Direktīvas 2014/25/ES (50) 15. pantā noteiktās robežvērtības.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atbilstoši papildināt 19.15. apakšpunktu, kā arī precizēt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19.15. projektu vadības un īstenošanas personāla izmaksas, kuras saskaņā ar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2021/1060), 55. panta 1. punktu plāno kā vienu izmaksu pozīciju, piemērojot vienoto izmaksu likmi 1 procenta apmērā no projektu pārējām tiešajām attiecināmajām izmaksām, </w:t>
            </w:r>
            <w:r w:rsidR="00000000" w:rsidRPr="00000000" w:rsidDel="00000000">
              <w:rPr>
                <w:u w:val="single"/>
                <w:rtl w:val="0"/>
              </w:rPr>
              <w:t xml:space="preserve">bet neieskaitot tiešās attiecināmās personāla izmaksas</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19.17. projektu vadības un īstenošanas personāla izmaksas, kuras saskaņā ar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2021/1060), 55. panta 1. punktu plāno kā vienu izmaksu pozīciju, piemērojot vienoto izmaksu likmi 1 procenta apmērā no projektu pārējām tiešajām attiecināmajām izmaksām, bet neieskaitot tiešās attiecināmās personāla izmaksas.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Šo noteikumu </w:t>
            </w:r>
            <w:r w:rsidR="00000000" w:rsidRPr="00000000" w:rsidDel="00000000">
              <w:rPr>
                <w:rtl w:val="0"/>
              </w:rPr>
              <w:t xml:space="preserve">19.1.</w:t>
            </w:r>
            <w:r w:rsidR="00000000" w:rsidRPr="00000000" w:rsidDel="00000000">
              <w:rPr>
                <w:rtl w:val="0"/>
              </w:rPr>
              <w:t xml:space="preserve"> , 19.10. un 19.11.​​​​​ apakšpunktā minētās izmaksu pozīcijas kopā ir attiecināmas līdz 10 % no attiecīgā projekta kopējām attiecināmajām izmaksām.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vai 22.punktā nav iekļaujamas arī 19.9. un 19.12.apakšpunktā minētās izmaksu pozīcijas- proti, meta izstrādes un meta konkursa godalgu izmaksas, ņemot vērā Vadlīniju attiecināmo izmaksu noteikšanai Eiropas Savienības kohēzijas politikas programmas 2021.-2027.gada plānošanas periodā 10.2.apakšpunktu, kas nosaka- "Projekta iesnieguma pamatojošās dokumentācijas sagatavošanas izmaksas, būvuzraudzības, autoruzraudzības, būvprojekta tehniskā projekta vai skiču projekta stadijā izmaksas, energosertifikācijas un energoaudita izmaksas kopā ir attiecināmas līdz 10% no projekta kopējām attiecināmajām izmaksām, ja tas ir noteikts MK noteikumos par SAM īstenošanu (t.sk. veicot grozījumus)". Savukārt, ja minētās meta izstrādes un godalgu izmaksas saturiski nav atbilstošas vadlīniju 10.2.apakšpunkta izmaksām, tad no Ministru kabineta noteikumu 22.punkta uzskaitījuma būtu izslēdzams 19.10.apakšpunkts.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saturiski meta izstrādes un meta konkursa godalgu izmaksas attiecas uz Vadlīniju attiecināmo izmaksu noteikšanai Eiropas Savienības kohēzijas politikas programmas 2021.-2027.gada plānošanas periodā 10.2.apakšpunktu, 22. punkts tika papildinātsŅemot vērā, ka saturiski meta izstrādes un meta konkursa godalgu izmaksas attiecas uz Vadlīniju attiecināmo izmaksu noteikšanai Eiropas Savienības kohēzijas politikas programmas 2021.-2027.gada plānošanas periodā 10.2.apakšpunktu, 22. punkts tika papildināts.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Šo noteikumu </w:t>
            </w:r>
            <w:r w:rsidR="00000000" w:rsidRPr="00000000" w:rsidDel="00000000">
              <w:rPr>
                <w:rtl w:val="0"/>
              </w:rPr>
              <w:t xml:space="preserve">19.1.</w:t>
            </w:r>
            <w:r w:rsidR="00000000" w:rsidRPr="00000000" w:rsidDel="00000000">
              <w:rPr>
                <w:rtl w:val="0"/>
              </w:rPr>
              <w:t xml:space="preserve"> , 19.9., 19.11., 19.12. un 19.14.​​​​​ apakšpunktā minētās izmaksu pozīcijas kopā ir attiecināmas līdz 10 % no attiecīgā projekta kopējām attiecināmajām izmaksām.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Šo noteikumu 17.punktā minētās darbības tiek veiktas, finansējuma saņēmējam un sadarbības partnerim izvēloties preču piegādātājus un pakalpojumu sniedzējus saskaņā ar normatīvajiem aktiem publisko iepirkumu jomā, īstenojot atklātu, pārredzamu, nediskriminējošu un konkurenci nodrošinošu procedūru.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sociāli atbildīga un inovatīva publiskā iepirkuma piemērošanu vai papildināt anotāciju ar informāciju, kāpēc ir svītrota sociāli atbildīga un inovatīva publiskā iepirkuma piemērošana.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Šo noteikumu 17.punktā minētās darbības tiek veiktas, finansējuma saņēmējam un sadarbības partnerim izvēloties preču piegādātājus un pakalpojumu sniedzējus saskaņā ar normatīvajiem aktiem publisko iepirkumu jomā, īstenojot atklātu, pārredzamu, nediskriminējošu un konkurenci nodrošinošu procedūru.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Šo noteikumu 17.punktā minētās darbības tiek veiktas, finansējuma saņēmējam un sadarbības partnerim izvēloties preču piegādātājus un pakalpojumu sniedzējus saskaņā ar normatīvajiem aktiem publisko iepirkumu jomā, īstenojot atklātu, pārredzamu, nediskriminējošu un konkurenci nodrošinošu procedūru.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saglabāt noteikumu 23.punkta redakciju atstājot sadaļu par zaļā publiskā iepirkuma un sociāli atbildīga un inovatīva iepirkuma izmantošanu, vai sniegt pamatojumu par šīm izmaiņām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pamatojums prasības precizēšanai būtu likuma normu dublēšanās novēršana. Iekšlietu ministrija veiks zaļo publisko iepirkumu tām precēm un pakalpojumiem, kur to paredz Ministru kabineta 2017. gada 20. jūnija noteikumi Nr.353 “Prasības zaļajam publiskajam iepirkumam un to piemērošanas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ir papildināta 1.3. sadaļā: "Lai novērstu interpretācijas iespējas un likuma normu dublēšanos, nepieciešams precizēt MK noteikumu Nr. 118 23. punktu, kas paredz atbalstāmo darbību īstenošanai piemērot Zaļo publisko iepirkumu."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Šo noteikumu 17.punktā minētās darbības tiek veiktas, finansējuma saņēmējam un sadarbības partnerim izvēloties preču piegādātājus un pakalpojumu sniedzējus saskaņā ar normatīvajiem aktiem publisko iepirkumu jomā, īstenojot atklātu, pārredzamu, nediskriminējošu un konkurenci nodrošinošu procedūru.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Projektu īstenošanas nosacījumi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- 14.03.2025.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remontu bāzes kompleksā ir paredzēta dienesta viesnīcas un dzīvokļu telpas, lūdzam iekļaut papildinošās saimnieciskas darbības (turpmāk - PSD) nosacījumus (t.sk., ka pieļaujama PSD 20% no infrastruktūras kopējās gada jaudas platības, laika vai finanšu izteiksmē un nosacījumu par komercdarbības atgūšanu) un paredzēt PSD pašdeklarācijas / paškontroles principa ieviešanu.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nepieciešams, attiecīgus precizējumus lūdzam paredzēt arī MK noteikumu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Finansējuma saņēmējs visā projekta dzīves ciklā katru gadu sagatavo pārskatu par papildinošas saimnieciskās darbības apjomu un nodrošina šajā punktā minēto pārskatu un aprēķinus pamatojošo dokumentu pieejamību papildinošas saimnieciskās darbības uzraudzībai. Ja finansējuma saņēmējs konstatē, ka ir pārsniegts šo noteikumu ….punktā [norāda konkrētu MK noteikumu punktu] minētais 20 % ierobežojums no infrastruktūras kopējās gada jaudas platības, laika vai finanšu izteiksmē, vai ka veiktās investīcijas tiek izmantotas citai saimnieciskai darbībai, kas nav uzskatāma par papildinošu saimniecisku darbību, tas saskaņā ar civiltiesisko līgumu vai vienošanos par projekta īstenošanu noteiktajā termiņā iesniedz sadarbības iestādē ziņojumu par konstatēto šo noteikumu ….punktā [norāda konkrētu MK noteikumu punktu] minēto nosacījumu pārkāpumu. Sadarbības iestādei ir tiesības finansējuma saņēmējam pieprasīt papildinošās saimnieciskās darbības pārskatus projekta dzīves cikla laikā, tai skaitā gadījumos, kad saņemta informācija par papildinošās saimnieciskās darbības nosacījumu pārkāpumu no finansējuma saņēmēja, kompetentajām iestādēm vai no trešajām personām.  (2) Ja projekta ietvaros izbūvēto infrastruktūru izmanto papildinošai saimnieciskai darbībai, pārsniedzot šo noteikumu .... punktā [norāda konkrētu MK noteikumu punktu] minēto papildinošai saimnieciskai darbībai iedalītās kapacitātes apmēru platības, laika vai finanšu izteiksmē, finansējuma saņēmējam proporcionāli tai gada jaudas daļai platības, laika vai finanšu izteiksmē, par kuru kopumā ir konstatēts pārkāpums, ir pienākums atmaksāt sadarbības iestādei visu projekta ietvaros saņemto nelikumīgo komercdarbības atbalstu kopā ar procentiem par attiecīgo gadu saskaņā ar Komercdarbības atbalsta kontroles likuma IV vai V nodaļu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noteikumi un anotācija ir papildināta ar papildus informāciju par PSD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Projektu īstenošanas nosacījumi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Finansējuma saņēmējs un sadarbības partneris paraksta interešu konflikta neesamības apliecinājumu saskaņā ar Eiropas Parlamenta un Padomes Regula (ES, Euratom) 2024/2509 (2024. gada 23. septembris) par finanšu noteikumiem, ko piemēro Savienības vispārējam budžetam (pārstrādāta redakcija), 61. pantu un normatīvajiem aktiem publisko iepirkumu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- 18.12.2024.)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21. punktā norādītā atsauce uz Eiropas Parlamenta un Padomes 2024. gada 23. septembra Regulas (ES, Euratom) 2024/2509 par finanšu noteikumiem, ko piemēro Savienības vispārējam budžetam (pārstrādātā redakcija) 61. pantu, nav noformēta atbilstoši Ministru kabineta 2009. gada 3. februāra noteikumu Nr. 108 "Normatīvo aktu projektu sagatavošanas noteikumi" 170. un 171. punktu prasībām. Ņemot vērā minēto, lūdzam precizēt atsauci atbilstoši šīm prasībām.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saņēmējs un sadarbības partneris paraksta interešu konflikta neesamības apliecinājumu saskaņā ar Eiropas Parlamenta un Padomes 2024. gada 23. septembra Regulas (ES, Euratom) 2024/2509 par finanšu noteikumiem, ko piemēro Savienības vispārējam budžetam (pārstrādātā redakcija) 61. pantu un normatīvajiem aktiem publisko iepirkumu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Finansējuma saņēmējs un sadarbības partneris paraksta interešu konflikta neesamības apliecinājumu saskaņā ar Eiropas Parlamenta un Padomes 2024. gada 23. septembra Regulas (ES, Euratom) 2024/2509 par finanšu noteikumiem, ko piemēro Savienības vispārējam budžetam (pārstrādātā redakcija) 61. pantu un normatīvajiem aktiem publisko iepirkumu jomā.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Īpašuma tiesības uz nekustamajiem īpašumiem, kuros plānots veikt ieguldījumus, ir nostiprinātas zemesgrāmatā uz valsts vārda Iekšlietu ministrijas personā un ir nodoti finansējuma saņēmēja lietošanā.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- 14.03.2025.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precizēt Ministru kabineta 2024. gada 20. februāra noteikumu Nr. 118 "Eiropas Savienības kohēzijas politikas programmas 2021.–2027. gadam 2.1.3. specifiskā atbalsta mērķa "Veicināt pielāgošanos klimata pārmaiņām, risku novēršanu un noturību pret katastrofām" 2.1.3.3. pasākuma "Katastrofu risku mazināšanas pasākumi" trešās projektu iesniegumu atlases kārtas īstenošanas noteikumi" (turpmāk – MK noteikumi) 33.punktu, ņemot vērā anotācijā norādīto, ka "Ievērojot to, ka Pasākuma trešās kārtas ietvaros nomas līgumi netiks slēgti, jo visi ieguldījumi tiks veikti Nodrošinājuma valsts aģentūras (turpmāk - NVA) pārvaldībā esošajās ēkās, pārpratumu novēršanai, nepieciešams precizēt MK noteikumus Nr. 118 nosakot, ka tie īpašumi, kas atrodas Iekšlietu ministrijas īpašumā, uz pieņemšanas nodošanas akta pamata tiks nodoti lietošanā Valsts ugunsdzēsības un glābšanas dienestam, nenostiprinot lietošanas tiesības zemesgrāmatā." un Valsts ugunsdzēsības un glābšanas dienests atlases kārtā ir sadarbības partneris.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rosinām līdz ar precizējumiem MK noteikumu 33.punktā, salāgot anotācijā norādīto informāciju "pārpratumu novēršanai, nepieciešams precizēt MK noteikumus Nr. 118 nosakot, ka tie īpašumi, kas atrodas Iekšlietu ministrijas īpašumā, uz pieņemšanas nodošanas akta pamata tiks nodoti lietošanā Valsts ugunsdzēsības un glābšanas dienestam, nenostiprinot lietošanas tiesības zemesgrāmatā."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Īpašuma tiesības uz nekustamajiem īpašumiem, kuros plānots veikt ieguldījumus, ir nostiprinātas zemesgrāmatā uz valsts vārda Iekšlietu ministrijas personā un ir nodoti sadarbības partnera lietošanā.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33. punkts precizēts atbilstosi piedāvātajai redakcijai, anotācija papildināta: "[...] pārpratumu novēršanai, nepieciešams precizēt MK noteikumus Nr. 118 nosakot, ka tie īpašumi, kas atrodas Iekšlietu ministrijas īpašumā, uz pieņemšanas nodošanas akta pamata tiks nodoti lietošanā sadarbības partnerim, tas ir, Valsts ugunsdzēsības un glābšanas dienestam, nenostiprinot lietošanas tiesības zemesgrāmatā."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Īpašuma tiesības uz nekustamajiem īpašumiem, kuros plānots veikt ieguldījumus, ir nostiprinātas zemesgrāmatā uz valsts vārda Iekšlietu ministrijas personā un ir nodoti sadarbības partnera lietošanā.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Finansējuma saņēmējs uzkrāj datus par: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- 14.03.2025.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papildināt Ministru kabineta noteikumus ar projekta rezultātu ilgtspēju, piemēram, ka finansējuma saņēmējs nodrošina projekta ietvaros sasniegto rezultātu ilgtspēju vismaz piecus gadus pēc noslēguma maksājuma veikšanas, un ar atsauci uz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65. pants paredz darbību ilglaicīguma pienākumu.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papildināts ar punktu: "35. Finansējuma saņēmējs nodrošina projekta ietvaros sasniegto rezultātu ilgtspēju vismaz piecus gadus pēc noslēguma maksājuma veikšanas saskaņā ar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65. pantu."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Finansējuma saņēmējs uzkrāj datus par:</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Sadarbības iestāde saskaņā ar atbildīgās iestādes izstrādāto papildinošas saimnieciskās darbības uzraudzības metodiku nodrošina veikto investīciju atbilstības uzraudzību atbilstoši šo noteikumu 36. un 37. punktā minētajiem nosacījumiem visā projekta dzīves ciklā (15 gadi). Finansējuma saņēmējs visā projekta dzīves ciklā katru gadu sagatavo pārskatu par papildinošas saimnieciskās darbības apjomu un nodrošina šajā punktā minēto pārskatu un aprēķinus pamatojošo dokumentu pieejamību papildinošas saimnieciskās darbības uzraudzībai. Ja finansējuma saņēmējs konstatē, ka ir pārsniegts šo noteikumu 36. punktā minētais 20 procentu ierobežojums no infrastruktūras gada jaudas platības, laika vai finanšu izteiksmē vai ka veiktās investīcijas tiek izmantotas citai saimnieciskai darbībai, kas nav uzskatāma par papildinošu saimniecisku darbību, tas saskaņā ar civiltiesisko līgumu vai vienošanos par projekta īstenošanu noteiktajā termiņā iesniedz sadarbības iestādē ziņojumu par konstatēto šo noteikumu 36. un 37. punktā minēto nosacījumu pārkāpumu.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Nr. 118 plānoto 38.punktu, paredzot papildinošas saimnieciskās darbības pašdeklarēšanas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paredzēt, ka sadarbības iestāde arī var pieprasīt iesniegt pārskatus par papildinošās saimnieciskās darbības apjomu, papildinot 38. punktu un/vai noteikumu projekta anotāciju ar norādi, ka "Sadarbības iestādei ir tiesības finansējuma saņēmējam pieprasīt pārskatus par papildinošu saimniecisko darbību visā projekta dzīves cikla laikā, tai skaitā gadījumos, kad saņemta informācija par papildinošās saimnieciskās darbības nosacījumu pārkāpumu no finansējuma saņēmēja, kompetentajām iestādēm vai no trešajām personām."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Sadarbības iestāde nodrošina veikto investīciju atbilstības uzraudzību atbilstoši šo noteikumu 36. un 37. punktā minētajiem nosacījumiem visā projekta dzīves ciklā (15 gadi). Finansējuma saņēmējs visā projekta dzīves ciklā katru gadu sagatavo pārskatu par papildinošas saimnieciskās darbības apjomu un nodrošina šajā punktā minēto pārskatu un aprēķinus pamatojošo dokumentu pieejamību papildinošas saimnieciskās darbības uzraudzībai un iesniedz to sadarbības iestādē pēc sadarbības iestādes pieprasījuma. Ja finansējuma saņēmējs konstatē, ka ir pārsniegts šo noteikumu 36. punktā minētais 20 procentu ierobežojums no infrastruktūras gada jaudas platības, laika vai finanšu izteiksmē vai ka veiktās investīcijas tiek izmantotas citai saimnieciskai darbībai, kas nav uzskatāma par papildinošu saimniecisku darbību, tas saskaņā ar civiltiesisko līgumu vai vienošanos par projekta īstenošanu noteiktajā termiņā iesniedz sadarbības iestādē ziņojumu par konstatēto šo noteikumu 36. un 37. punktā minēto nosacījumu pārkāpumu. Sadarbības iestādei ir tiesības finansējuma saņēmējam pieprasīt pārskatus par papildinošu saimniecisko darbību visā projekta dzīves cikla laikā, tai skaitā gadījumos, kad saņemta informācija par papildinošās saimnieciskās darbības nosacījumu pārkāpumu no finansējuma saņēmēja, kompetentajām iestādēm vai no trešajām personām.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Sadarbības iestāde saskaņā ar atbildīgās iestādes izstrādāto papildinošas saimnieciskās darbības uzraudzības metodiku nodrošina veikto investīciju atbilstības uzraudzību atbilstoši šo noteikumu 36. un 37. punktā minētajiem nosacījumiem visā projekta dzīves ciklā (15 gadi). Finansējuma saņēmējs visā projekta dzīves ciklā katru gadu sagatavo pārskatu par papildinošas saimnieciskās darbības apjomu un nodrošina šajā punktā minēto pārskatu un aprēķinus pamatojošo dokumentu pieejamību papildinošas saimnieciskās darbības uzraudzībai. Ja finansējuma saņēmējs konstatē, ka ir pārsniegts šo noteikumu 36. punktā minētais 20 procentu ierobežojums no infrastruktūras gada jaudas platības, laika vai finanšu izteiksmē vai ka veiktās investīcijas tiek izmantotas citai saimnieciskai darbībai, kas nav uzskatāma par papildinošu saimniecisku darbību, tas saskaņā ar civiltiesisko līgumu vai vienošanos par projekta īstenošanu noteiktajā termiņā iesniedz sadarbības iestādē ziņojumu par konstatēto šo noteikumu 36. un 37. punktā minēto nosacījumu pārkāpumu.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- 23.04.2025.)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noteikumu projekta 38. punktā norādīta atsauce uz nesaistošiem dokumentiem (metodiku). Ņemot vērā minēto, lūdzam noteikumu projektā punktā svītrot atsauci uz nesaistošiem dokumentiem (metodiku) un minēto informāciju lūdzam norādīt noteikumu 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Sadarbības iestāde nodrošina veikto investīciju atbilstības uzraudzību atbilstoši šo noteikumu 36. un 37. punktā minētajiem nosacījumiem visā projekta dzīves ciklā (15 gadi). Finansējuma saņēmējs visā projekta dzīves ciklā katru gadu sagatavo pārskatu par papildinošas saimnieciskās darbības apjomu un nodrošina šajā punktā minēto pārskatu un aprēķinus pamatojošo dokumentu pieejamību papildinošas saimnieciskās darbības uzraudzībai. Ja finansējuma saņēmējs konstatē, ka ir pārsniegts šo noteikumu 36. punktā minētais 20 procentu ierobežojums no infrastruktūras gada jaudas platības, laika vai finanšu izteiksmē vai ka veiktās investīcijas tiek izmantotas citai saimnieciskai darbībai, kas nav uzskatāma par papildinošu saimniecisku darbību, tas saskaņā ar civiltiesisko līgumu vai vienošanos par projekta īstenošanu noteiktajā termiņā iesniedz sadarbības iestādē ziņojumu par konstatēto šo noteikumu 36. un 37. punktā minēto nosacījumu pārkāpumu.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Sadarbības iestāde nodrošina veikto investīciju atbilstības uzraudzību atbilstoši šo noteikumu 36. un 37. punktā minētajiem nosacījumiem visā projekta dzīves ciklā (15 gadi). Finansējuma saņēmējs visā projekta dzīves ciklā katru gadu sagatavo pārskatu par papildinošas saimnieciskās darbības apjomu un nodrošina šajā punktā minēto pārskatu un aprēķinus pamatojošo dokumentu pieejamību papildinošas saimnieciskās darbības uzraudzībai un iesniedz to sadarbības iestādē pēc sadarbības iestādes pieprasījuma. Ja finansējuma saņēmējs konstatē, ka ir pārsniegts šo noteikumu 36. punktā minētais 20 procentu ierobežojums no infrastruktūras gada jaudas platības, laika vai finanšu izteiksmē vai ka veiktās investīcijas tiek izmantotas citai saimnieciskai darbībai, kas nav uzskatāma par papildinošu saimniecisku darbību, tas saskaņā ar civiltiesisko līgumu vai vienošanos par projekta īstenošanu noteiktajā termiņā iesniedz sadarbības iestādē ziņojumu par konstatēto šo noteikumu 36. un 37. punktā minēto nosacījumu pārkāpumu. Sadarbības iestādei ir tiesības finansējuma saņēmējam pieprasīt pārskatus par papildinošu saimniecisko darbību visā projekta dzīves cikla laikā, tai skaitā gadījumos, kad saņemta informācija par papildinošās saimnieciskās darbības nosacījumu pārkāpumu no finansējuma saņēmēja, kompetentajām iestādēm vai no trešajām personām.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24-TA-2513</w:t>
    </w:r>
    <w:r>
      <w:br/>
    </w:r>
    <w:r w:rsidR="00000000" w:rsidRPr="00000000" w:rsidDel="00000000">
      <w:rPr>
        <w:rtl w:val="0"/>
      </w:rPr>
      <w:t xml:space="preserve">09.05.2025. 14.39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24-TA-2513</w:t>
    </w:r>
    <w:r>
      <w:br/>
    </w:r>
    <w:r w:rsidR="00000000" w:rsidRPr="00000000" w:rsidDel="00000000">
      <w:rPr>
        <w:rtl w:val="0"/>
      </w:rPr>
      <w:t xml:space="preserve">09.05.2025. 14.39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Izziņa_24-TA-2513.docx</dc:title>
</cp:coreProperties>
</file>

<file path=docProps/custom.xml><?xml version="1.0" encoding="utf-8"?>
<Properties xmlns="http://schemas.openxmlformats.org/officeDocument/2006/custom-properties" xmlns:vt="http://schemas.openxmlformats.org/officeDocument/2006/docPropsVTypes"/>
</file>