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23-TA-1325: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19. aprīļa noteikumos Nr. 252 "Zinātniskās darbības bāzes finansējuma piešķiršanas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anotācijas nav saprotams, vai  ikgadējo dalības maksu segšanai Eiropas Molekulārās bioloģijas laboratorijā un Eiropas Molekulārās bioloģijas konferencē ir 2023.gadā un turpmākajos gados papildus piešķirts valsts budžeta finansējums, vai arī tas tiek finansēts, samazinot zinātniskajām institūcijām pieejamo zinātnes bāzes finansējumu. Lūdzam papildināt anotāciju ar skaidrojumu par to vai un kā 13.</w:t>
            </w:r>
            <w:r w:rsidR="00000000" w:rsidRPr="00000000" w:rsidDel="00000000">
              <w:rPr>
                <w:vertAlign w:val="superscript"/>
                <w:rtl w:val="0"/>
              </w:rPr>
              <w:t xml:space="preserve">1</w:t>
            </w:r>
            <w:r w:rsidR="00000000" w:rsidRPr="00000000" w:rsidDel="00000000">
              <w:rPr>
                <w:rtl w:val="0"/>
              </w:rPr>
              <w:t xml:space="preserve">punktā paredzētais finansējums ikgadējo dalības maksu segšanai Eiropas Molekulārās bioloģijas laboratorijā un Eiropas Molekulārās bioloģijas konferencē ietekmēs kopējo zinātnes bāzes finansējumam pieejamo finansējuma apmēru, kā arī sniegt informāciju vai šim mērķim Izglītības un zinātnes ministrijas valsts budžeta apakšprogrammā 05.02.00 "Zinātnes bāzes finansējums" ir piešķirts papildu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valsts budžetu 2023. gadam un budžeta ietvaru 2023., 2024. un 2025. gadam" finansējums Latvijas dalībai EMBC/EMBL paredzēts kā atsevišķa apakšpozīcija "Starptautiskā sadarbība" valsts budžeta programmas 05.00.00 "Zinātne" apakšprogrammā 05.02.00, līdz ar to tiesību akta pieņemšanas gadījumā nebūs nepieciešams samazināt zinātniskajām institūcjām piešķirto zinātniskās darbības bāzes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Zinātnisko institūciju attīstībai un šo institūciju darbības stratēģijā noteikto mērķu sasniegšanai un zinātniskās darbības nodrošināšanai  ministrija no valsts budžeta programmas 05.00.00 "Zinātne" apakšprogrammas 05.02.00 "Zinātnes bāzes finansējums" sedz Latvijas ikgadējo dalības maksu Eiropas Molekulārās bioloģijas laboratorijā un Eiropas Molekulārās bioloģijas konferencē.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neatbalsta jaunu izdevumu veidu segšanu no no valsts budžeta programmas 05.00.00 "Zinātne" apakšprogrammas 05.02.00 "Zinātnes bāzes finansējums", ja šajā apakšprogrammā papildus netiek nodrošināts finansējums šo izdevumu segšanai.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likumam "Par valsts budžetu 2023. gadam un budžeta ietvaru 2023., 2024. un 2025. gadam valsts budžeta programmā 05.00.00 "Zinātne" apakšprogrammā 05.02.00, piešķirts papildus finansējums 7,6 miljoni EUR, un plānots palielinājums gan 2024., gan 2025.g. gadā. Fnansējums Latvijas dalībai EMBC/EMBL paredzēts kā atsevišķa apakšpozīcija "Starptautiskā sadarbība" valsts budžeta programmas 05.00.00 "Zinātne" apakšprogrammā 05.02.00, līdz ar to tiesību akta pieņemšanas gadījumā nebūs nepieciešams samazināt zinātniskajām institūcjām piešķirto zinātniskās darbības bāzes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Zinātnisko institūciju attīstībai un šo institūciju darbības stratēģijā noteikto mērķu sasniegšanai un zinātniskās darbības nodrošināšanai  ministrija no valsts budžeta programmas 05.00.00 "Zinātne" apakšprogrammas 05.02.00 "Zinātnes bāzes finansējums" sedz Latvijas ikgadējo dalības maksu Eiropas Molekulārās bioloģijas laboratorijā un Eiropas Molekulārās bioloģijas konferencē.</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Ministru kabineta noteikumu projekta "Grozījumi Ministru kabineta 2022. gada 19. aprīļa noteikumos Nr. 252 "Zinātniskās darbības bāzes finansējuma piešķiršanas kārtība"" (turpmāk - projekts) sākotnējās ietekmes novērtējuma ziņojuma (anotācijas) 2. sadaļu, ņemot vērā to, ka projekts ietekmēs zinātnisko institūciju personālu, kā arī pašas zinātniskās institūcijas.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 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Izglītības un zinātnes ministrijas precizētās anotācijas 3.sadaļas apakšsadaļā “Cita informācija” sniegto informāciju par finansējuma plānošanu Izglītības un zinātnes budžetā Latvijas dalībai Eiropas Molekulārās bioloģijas laboratorijā un Eiropas Molekulārās bioloģijas konferencē, lūdzam papildināt minēto apakšsadaļu ar informāciju, ka noteikumu projekts tiks īstenots esošo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teksts - skat. papildus versijas 2.1 anotācijas 3.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Zinātniskajai institūcijai piešķiramo bāzes finansējuma īpatsvaru no kopējā piešķirtā bāzes finansējuma (Instproc)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zinātniskās institūcijas iepriekšējos trijos finansēšanas periodos zinātnē nodarbināto darbinieku – akadēmiskā personāla (vadošie pētnieki, pētnieki, zinātniskie asistenti, kā arī profesori, asociētie profesori, docenti – augstskolas noteikto pētniecības  pienākumu procentuālajā (%) apmērā no kopējiem pienākumiem), zinātnes tehniskā personāla un zinātni apkalpojošā personāla (turpmāk – zinātniskie darbinieki) – darbaspēka izmaksas zinātniskajai darbībai un tās nodrošināšanai nepieciešamajiem tehniskajiem uzdevumiem un palīgfunkcijām;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visu zinātnisko institūciju formulas elementa "Alga" kopsumma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zinātniskās institūcijas iepriekšējos trijos finansēšanas periodos īstenoto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Eiropas Savienības Ietvara programmas pētniecības un attīstības projektu, citu starptautisku pētniecības un attīstības pētījumu projektu un Latvijas valsts budžeta finansēto, zinātniskās institūcijas konkursa kārtībā iegūto pētniecības un attīstības projektu finansējums šiem projektiem. Aprēķinot formulas elementu "Konk", Eiropas Savienības Ietvara programmas pētniecības un attīstības projektu finansējumam piemēro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visu zinātnisko institūciju formulas elementa "Konk"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zinātniskās institūcijas iepriekšējos trijos finansēšanas periodos pētniecības un attīstības līgumdarbu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visu zinātnisko institūciju formulas elementa "Ligum"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zinātniskās institūcijas zinātnisko publikāciju skaits iepriekšējos trijos finansēšanas periodos, kur tām publikācijām, kuras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un kuras ir publicētas Q1 kvartīles izdevumos, kā arī publiski recenzētajām zinātniskajām monogrāfijām un starptautiskajiem patentiem  piemēro koeficientu 3, Q2 kvartīles  izdevumos – koeficientu 2,  pārējām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iekļautajām zinātniskajām publikācijām un citiem patentiem – koeficientu 1, citiem starptautisko datubāzu iekļautajos izdevumos publicētajiem oriģinālajiem zinātniskajiem rakstiem –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"Publ" par zinātniskās institūcijas zinātniskajām publikācijām, kas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kurās to kopējais autoru skaits pārsniedz 50 un kurās zinātniskās institūcijas autors vai autori nav norādīti kā zinātniskās publikācijas pirmais, otrais vai pēdējais autors, – tās papildus citiem koeficientiem tiek reizinātas ar koeficientu  0,1. Nosakot "Publ" atbilstību Q1 vai Q2 izdevumiem, ja zinātniskajai publikācijai, kura ir iekļauta gan </w:t>
            </w:r>
            <w:r w:rsidR="00000000" w:rsidRPr="00000000" w:rsidDel="00000000">
              <w:rPr>
                <w:i w:val="1"/>
                <w:rtl w:val="0"/>
              </w:rPr>
              <w:t xml:space="preserve">Web of Science</w:t>
            </w:r>
            <w:r w:rsidR="00000000" w:rsidRPr="00000000" w:rsidDel="00000000">
              <w:rPr>
                <w:rtl w:val="0"/>
              </w:rPr>
              <w:t xml:space="preserve">, gan </w:t>
            </w:r>
            <w:r w:rsidR="00000000" w:rsidRPr="00000000" w:rsidDel="00000000">
              <w:rPr>
                <w:i w:val="1"/>
                <w:rtl w:val="0"/>
              </w:rPr>
              <w:t xml:space="preserve">SCOPUS</w:t>
            </w:r>
            <w:r w:rsidR="00000000" w:rsidRPr="00000000" w:rsidDel="00000000">
              <w:rPr>
                <w:rtl w:val="0"/>
              </w:rPr>
              <w:t xml:space="preserve"> datubāzē, starp šīm abām datubāzēm atšķiras izdevumu atbilstība Q1 vai Q2 kvartīlēm, tām piemēro augstāko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visu zinātnisko institūciju formulas elementa "Publ"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zinātniskās institūcijas vadošo pētnieku, pētnieku un zinātnisko asistentu iepriekšējos trijos finansēšanas periodos noteiktajā kārtībā sekmīgi aizstāvētie promocijas darbi un pētnieku, zinātnisko asistentu un zinātnes tehniskā personāla iepriekšējos trijos finansēšanas periodos noteiktajā kārtībā sekmīgi aizstāvētie maģistra darbi. Nosakot "DrMg", izmanto informāciju tikai par tiem doktora  un maģistra grāda ieguvējiem, kuru nodarbinātība zinātniskajā institūcijā noteiktajos amatos attiecīgajā finansēšanas periodā ir ne mazāka kā 0,2 slodzes pilna laika ekvivalenta izpratnē. Ar pilna darba laika ekvivalentu saprot nodarbinātā darbinieka kopējā nostrādāto stundu skaita (tai skaitā ikgadējā apmaksātā atvaļinājuma) attiecību pret kopējo darba stundu skaitu attiecīgajā gadā, kurā ir aizstāvēts promocijas vai maģistra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visu zinātnisko institūciju formulas elementa "DrMg" kopsumma iepriekšējos trijos finansēšanas periodos, nosakot, ka katrā no iepriekšējiem finansēšanas periodiem 75 % no šī kritērija finansējuma piešķir par promocijas darbiem, bet 25 % – par maģistra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zinātniskās institūcijas nodarbinātā zinātniskā personāla pilna laika ekvivalenta izteiksmē, kas norādīts pēdējā zinātnisko institūciju starptautiskajā novērtējumā, vai tās vērtējamo vienību skaita, kurās vismaz viens no novērtētajiem kritērijiem atbilstoši normatīvajam regulējumam par zinātnisko institūciju darbības starptautiskā novērtējuma organizēšanas kārtību ir novērtēts ar "4" vai "5" (turpmāk – starptautiskais novērtējums), reizinājums ar "4" vai "5" kritēriju īpatsvaru no kopējā kritēriju skaita. Kritērijiem, kuri novērtēti ar "4" attiecībā uz nodarbinātā zinātniskā personāla skaitu pilna laika ekvivalenta izteiksmē, piemēro koeficientu 1, bet kritērijiem, kuri novērtēti ar "5",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visu zinātnisko institūciju formulas elementa "Izc"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zinātniskajai institūcijai piešķiramais bāzes finansējums zinātniskās infrastruktūras (būvju un iekārtu) uzturēšanai, pamatojoties uz ministrijas organizētā un atbilstoši publisko iepirkumu normatīvā regulējuma  ietvaros veiktā  nacionālās zinātniskās infrastruktūras apsekojuma, kartējuma un analīzes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visu zinātnisko institūciju formulas elementa "Infr" kopsumma.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- 06.07.2023.)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atrunu, ka tiek attiecināta Dr, Mg darbu aizstāvēšana, ja autora slodze pirms BKA uzsākšanās ir ne mazāka kā 0,2 PLE. Praksē bērnu kopšanas atvaļinājuma ilgums ir 1.5 gadi, kur pirms tam vēl tiek paredzēts aptuveni 2 mēnešu garš atvaļinājums. Līdz ar minēto, esošā redakcija tikai daļēji risina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zinātniskās institūcijas vadošo pētnieku, pētnieku un zinātnisko asistentu iepriekšējos trijos finansēšanas periodos noteiktajā kārtībā sekmīgi aizstāvētie promocijas darbi un pētnieku, zinātnisko asistentu un zinātnes tehniskā personāla iepriekšējos trijos finansēšanas periodos noteiktajā kārtībā sekmīgi aizstāvētie maģistra darbi. Nosakot "DrMg", izmanto informāciju tikai par tiem doktora  un maģistra grāda ieguvējiem, kuru nodarbinātība zinātniskajā institūcijā noteiktajos amatos attiecīgajā finansēšanas periodā ir ne mazāka kā 0,2 slodzes pilna laika ekvivalenta izpratnē. Ar pilna darba laika ekvivalentu saprot nodarbinātā darbinieka kopējā nostrādāto stundu skaita (tai skaitā ikgadējā apmaksātā atvaļinājuma</w:t>
            </w:r>
            <w:r w:rsidR="00000000" w:rsidRPr="00000000" w:rsidDel="00000000">
              <w:rPr>
                <w:b w:val="1"/>
                <w:rtl w:val="0"/>
              </w:rPr>
              <w:t xml:space="preserve"> un bērna kopšanas atvaļinājuma</w:t>
            </w:r>
            <w:r w:rsidR="00000000" w:rsidRPr="00000000" w:rsidDel="00000000">
              <w:rPr>
                <w:rtl w:val="0"/>
              </w:rPr>
              <w:t xml:space="preserve">) attiecību pret kopējo darba stundu skaitu attiecīgajā gadā, kurā ir aizstāvēts promocijas vai maģistra darbs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Šobrīd notiek kompleksa BKA risinājuma iestrāde ministrijas programmās, saistībā ar Tiesībsarga 16.05.2023. atzinumu Nr. 6-6/16 pārbaudes lietā Nr. 2022-55-26D - lai BKA neradītu atšķirīgu situāciju personai vai zinātniskajai institūcijai. Līdz ar to te nepieciešams komplekss risinājums, lai nerastos nepamatotas atšķirības ministrijas programmās. Tas prasa apjomīgu saskaņošanu ar citām valsts pārvaldes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BKA regulējums prasa precīzi izstrādātu risinājumu. BKA regulējums ir noteikts Darba likuma 156. pantā, un tā kopējais termiņš – pusotrs gads jeb 18 kalendāra mēneši. Ikvienam darbiniekam ir tiesības uz bērna kopšanas atvaļinājumu saistībā ar bērna dzimšanu vai adopciju. Šādu atvaļinājumu piešķir uz laiku, kas nav ilgāks par pusotru gadu, līdz dienai, kad bērns sasniedz astoņu gadu vecumu. BKA pēc darbinieka pieprasījuma piešķir uz pilnu laiku vai pa daļām. Darbiniekam ir pienākums vienu mēnesi iepriekš rakstveidā paziņot darba devējam par BKA vai tā daļas sākumu un ilgumu. Atvaļinājuma daļa nevar būt īsāka par vienu nepārtrauktu kalendāra nedēļu.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šeit būtībā ir nepieciešams plašāks regulējums, ko pārejas periodā risinās MK noteikumu 8. punktā noteiktās vadlīnijas. Jo periods pirms BKA var būt pirms atskaites gada (par to var nebūt auditētu datu), kā arī gada laikā BKA var tikt izņemts vairākās daļās, līdz ar to termins "pirms BKA sākuma" nav viennozīmīgs.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Zinātniskajai institūcijai piešķiramo bāzes finansējuma īpatsvaru no kopējā piešķirtā bāzes finansējuma (Instproc)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zinātniskās institūcijas iepriekšējos trijos finansēšanas periodos zinātnē nodarbināto darbinieku – akadēmiskā personāla (vadošie pētnieki, pētnieki, zinātniskie asistenti, kā arī profesori, asociētie profesori, docenti – augstskolas noteikto pētniecības  pienākumu procentuālajā (%) apmērā no kopējiem pienākumiem), zinātnes tehniskā personāla un zinātni apkalpojošā personāla (turpmāk – zinātniskie darbinieki) – darbaspēka izmaksas zinātniskajai darbībai un tās nodrošināšanai nepieciešamajiem tehniskajiem uzdevumiem un palīgfunkcijām;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visu zinātnisko institūciju formulas elementa "Alga" kopsumma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zinātniskās institūcijas iepriekšējos trijos finansēšanas periodos īstenoto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Eiropas Savienības Ietvara programmas pētniecības un attīstības projektu, citu starptautisku pētniecības un attīstības pētījumu projektu un Latvijas valsts budžeta finansēto, zinātniskās institūcijas konkursa kārtībā iegūto pētniecības un attīstības projektu finansējums šiem projektiem. Aprēķinot formulas elementu "Konk", Eiropas Savienības Ietvara programmas pētniecības un attīstības projektu finansējumam piemēro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visu zinātnisko institūciju formulas elementa "Konk"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zinātniskās institūcijas iepriekšējos trijos finansēšanas periodos pētniecības un attīstības līgumdarbu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visu zinātnisko institūciju formulas elementa "Ligum"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zinātniskās institūcijas zinātnisko publikāciju skaits iepriekšējos trijos finansēšanas periodos, kur tām publikācijām, kuras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un kuras ir publicētas Q1 kvartīles izdevumos, kā arī publiski recenzētajām zinātniskajām monogrāfijām un starptautiskajiem patentiem  piemēro koeficientu 3, Q2 kvartīles  izdevumos – koeficientu 2,  pārējām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iekļautajām zinātniskajām publikācijām un citiem patentiem – koeficientu 1, citiem starptautisko datubāzu iekļautajos izdevumos publicētajiem oriģinālajiem zinātniskajiem rakstiem –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"Publ" par zinātniskās institūcijas zinātniskajām publikācijām, kas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kurās to kopējais autoru skaits pārsniedz 50 un kurās zinātniskās institūcijas autors vai autori nav norādīti kā zinātniskās publikācijas pirmais, otrais vai pēdējais autors, – tās papildus citiem koeficientiem tiek reizinātas ar koeficientu  0,1. Nosakot "Publ" atbilstību Q1 vai Q2 izdevumiem, ja zinātniskajai publikācijai, kura ir iekļauta gan </w:t>
            </w:r>
            <w:r w:rsidR="00000000" w:rsidRPr="00000000" w:rsidDel="00000000">
              <w:rPr>
                <w:i w:val="1"/>
                <w:rtl w:val="0"/>
              </w:rPr>
              <w:t xml:space="preserve">Web of Science</w:t>
            </w:r>
            <w:r w:rsidR="00000000" w:rsidRPr="00000000" w:rsidDel="00000000">
              <w:rPr>
                <w:rtl w:val="0"/>
              </w:rPr>
              <w:t xml:space="preserve">, gan </w:t>
            </w:r>
            <w:r w:rsidR="00000000" w:rsidRPr="00000000" w:rsidDel="00000000">
              <w:rPr>
                <w:i w:val="1"/>
                <w:rtl w:val="0"/>
              </w:rPr>
              <w:t xml:space="preserve">SCOPUS</w:t>
            </w:r>
            <w:r w:rsidR="00000000" w:rsidRPr="00000000" w:rsidDel="00000000">
              <w:rPr>
                <w:rtl w:val="0"/>
              </w:rPr>
              <w:t xml:space="preserve"> datubāzē, starp šīm abām datubāzēm atšķiras izdevumu atbilstība Q1 vai Q2 kvartīlēm, tām piemēro augstāko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visu zinātnisko institūciju formulas elementa "Publ"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zinātniskās institūcijas vadošo pētnieku, pētnieku un zinātnisko asistentu iepriekšējos trijos finansēšanas periodos noteiktajā kārtībā sekmīgi aizstāvētie promocijas darbi un pētnieku, zinātnisko asistentu un zinātnes tehniskā personāla iepriekšējos trijos finansēšanas periodos noteiktajā kārtībā sekmīgi aizstāvētie maģistra darbi. Nosakot "DrMg", izmanto informāciju tikai par tiem doktora  un maģistra grāda ieguvējiem, kuru nodarbinātība zinātniskajā institūcijā noteiktajos amatos attiecīgajā finansēšanas periodā ir ne mazāka kā 0,2 slodzes pilna laika ekvivalenta izpratnē. Ar pilna darba laika ekvivalentu saprot nodarbinātā darbinieka kopējā nostrādāto stundu skaita (tai skaitā ikgadējā apmaksātā atvaļinājuma) attiecību pret kopējo darba stundu skaitu attiecīgajā gadā, kurā ir aizstāvēts promocijas vai maģistra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visu zinātnisko institūciju formulas elementa "DrMg" kopsumma iepriekšējos trijos finansēšanas periodos, nosakot, ka katrā no iepriekšējiem finansēšanas periodiem 75 % no šī kritērija finansējuma piešķir par promocijas darbiem, bet 25 % – par maģistra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zinātniskās institūcijas nodarbinātā zinātniskā personāla pilna laika ekvivalenta izteiksmē, kas norādīts pēdējā zinātnisko institūciju starptautiskajā novērtējumā, vai tās vērtējamo vienību skaita, kurās vismaz viens no novērtētajiem kritērijiem atbilstoši normatīvajam regulējumam par zinātnisko institūciju darbības starptautiskā novērtējuma organizēšanas kārtību ir novērtēts ar "4" vai "5" (turpmāk – starptautiskais novērtējums), reizinājums ar "4" vai "5" kritēriju īpatsvaru no kopējā kritēriju skaita. Kritērijiem, kuri novērtēti ar "4" attiecībā uz nodarbinātā zinātniskā personāla skaitu pilna laika ekvivalenta izteiksmē, piemēro koeficientu 1, bet kritērijiem, kuri novērtēti ar "5",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visu zinātnisko institūciju formulas elementa "Izc"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zinātniskajai institūcijai piešķiramais bāzes finansējums zinātniskās infrastruktūras (būvju un iekārtu) uzturēšanai, pamatojoties uz ministrijas organizētā un atbilstoši publisko iepirkumu normatīvā regulējuma  ietvaros veiktā  nacionālās zinātniskās infrastruktūras apsekojuma, kartējuma un analīzes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visu zinātnisko institūciju formulas elementa "Infr" kopsumma.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Zinātniskajai institūcijai piešķiramo bāzes finansējuma īpatsvaru no kopējā piešķirtā bāzes finansējuma (Instproc)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zinātniskās institūcijas iepriekšējos trijos finansēšanas periodos zinātnē nodarbināto darbinieku – akadēmiskā personāla (vadošie pētnieki, pētnieki, zinātniskie asistenti, kā arī profesori, asociētie profesori, docenti – augstskolas noteikto pētniecības  pienākumu procentuālajā (%) apmērā no kopējiem pienākumiem), zinātnes tehniskā personāla un zinātni apkalpojošā personāla (turpmāk – zinātniskie darbinieki) – darbaspēka izmaksas zinātniskajai darbībai un tās nodrošināšanai nepieciešamajiem tehniskajiem uzdevumiem un palīgfunkcijām;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visu zinātnisko institūciju formulas elementa "Alga" kopsumma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zinātniskās institūcijas iepriekšējos trijos finansēšanas periodos īstenoto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Eiropas Savienības Ietvara programmas pētniecības un attīstības projektu, citu starptautisku pētniecības un attīstības pētījumu projektu un Latvijas valsts budžeta finansēto, zinātniskās institūcijas konkursa kārtībā iegūto pētniecības un attīstības projektu finansējums šiem projektiem. Aprēķinot formulas elementu "Konk", Eiropas Savienības Ietvara programmas pētniecības un attīstības projektu finansējumam piemēro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visu zinātnisko institūciju formulas elementa "Konk"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zinātniskās institūcijas iepriekšējos trijos finansēšanas periodos pētniecības un attīstības līgumdarbu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visu zinātnisko institūciju formulas elementa "Ligum"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zinātniskās institūcijas zinātnisko publikāciju skaits iepriekšējos trijos finansēšanas periodos, kur tām publikācijām, kuras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un kuras ir publicētas Q1 kvartīles izdevumos, kā arī publiski recenzētajām zinātniskajām monogrāfijām un starptautiskajiem patentiem  piemēro koeficientu 3, Q2 kvartīles  izdevumos – koeficientu 2,  pārējām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iekļautajām zinātniskajām publikācijām un citiem patentiem – koeficientu 1, citiem starptautisko datubāzu iekļautajos izdevumos publicētajiem oriģinālajiem zinātniskajiem rakstiem –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"Publ" par zinātniskās institūcijas zinātniskajām publikācijām, kas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kurās to kopējais autoru skaits pārsniedz 50 un kurās zinātniskās institūcijas autors vai autori nav norādīti kā zinātniskās publikācijas pirmais, otrais vai pēdējais autors, – tās papildus citiem koeficientiem tiek reizinātas ar koeficientu  0,1. Nosakot "Publ" atbilstību Q1 vai Q2 izdevumiem, ja zinātniskajai publikācijai, kura ir iekļauta gan </w:t>
            </w:r>
            <w:r w:rsidR="00000000" w:rsidRPr="00000000" w:rsidDel="00000000">
              <w:rPr>
                <w:i w:val="1"/>
                <w:rtl w:val="0"/>
              </w:rPr>
              <w:t xml:space="preserve">Web of Science</w:t>
            </w:r>
            <w:r w:rsidR="00000000" w:rsidRPr="00000000" w:rsidDel="00000000">
              <w:rPr>
                <w:rtl w:val="0"/>
              </w:rPr>
              <w:t xml:space="preserve">, gan </w:t>
            </w:r>
            <w:r w:rsidR="00000000" w:rsidRPr="00000000" w:rsidDel="00000000">
              <w:rPr>
                <w:i w:val="1"/>
                <w:rtl w:val="0"/>
              </w:rPr>
              <w:t xml:space="preserve">SCOPUS</w:t>
            </w:r>
            <w:r w:rsidR="00000000" w:rsidRPr="00000000" w:rsidDel="00000000">
              <w:rPr>
                <w:rtl w:val="0"/>
              </w:rPr>
              <w:t xml:space="preserve"> datubāzē, starp šīm abām datubāzēm atšķiras izdevumu atbilstība Q1 vai Q2 kvartīlēm, tām piemēro augstāko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visu zinātnisko institūciju formulas elementa "Publ"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zinātniskās institūcijas vadošo pētnieku, pētnieku un zinātnisko asistentu iepriekšējos trijos finansēšanas periodos noteiktajā kārtībā sekmīgi aizstāvētie promocijas darbi un pētnieku, zinātnisko asistentu un zinātnes tehniskā personāla iepriekšējos trijos finansēšanas periodos noteiktajā kārtībā sekmīgi aizstāvētie maģistra darbi. Nosakot "DrMg", izmanto informāciju tikai par tiem doktora  un maģistra grāda ieguvējiem, kuru nodarbinātība zinātniskajā institūcijā noteiktajos amatos attiecīgajā finansēšanas periodā ir ne mazāka kā 0,2 slodzes pilna laika ekvivalenta izpratnē. Ar pilna darba laika ekvivalentu saprot nodarbinātā darbinieka kopējā nostrādāto stundu skaita (tai skaitā ikgadējā apmaksātā atvaļinājuma) attiecību pret kopējo darba stundu skaitu attiecīgajā gadā, kurā ir aizstāvēts promocijas vai maģistra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visu zinātnisko institūciju formulas elementa "DrMg" kopsumma iepriekšējos trijos finansēšanas periodos, nosakot, ka katrā no iepriekšējiem finansēšanas periodiem 75 % no šī kritērija finansējuma piešķir par promocijas darbiem, bet 25 % – par maģistra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zinātniskās institūcijas nodarbinātā zinātniskā personāla pilna laika ekvivalenta izteiksmē, kas norādīts pēdējā zinātnisko institūciju starptautiskajā novērtējumā, vai tās vērtējamo vienību skaita, kurās vismaz viens no novērtētajiem kritērijiem atbilstoši normatīvajam regulējumam par zinātnisko institūciju darbības starptautiskā novērtējuma organizēšanas kārtību ir novērtēts ar "4" vai "5" (turpmāk – starptautiskais novērtējums), reizinājums ar "4" vai "5" kritēriju īpatsvaru no kopējā kritēriju skaita. Kritērijiem, kuri novērtēti ar "4" attiecībā uz nodarbinātā zinātniskā personāla skaitu pilna laika ekvivalenta izteiksmē, piemēro koeficientu 1, bet kritērijiem, kuri novērtēti ar "5",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visu zinātnisko institūciju formulas elementa "Izc"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zinātniskajai institūcijai piešķiramais bāzes finansējums zinātniskās infrastruktūras (būvju un iekārtu) uzturēšanai, pamatojoties uz ministrijas organizētā un atbilstoši publisko iepirkumu normatīvā regulējuma  ietvaros veiktā  nacionālās zinātniskās infrastruktūras apsekojuma, kartējuma un analīzes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visu zinātnisko institūciju formulas elementa "Infr" kopsumma.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- 07.07.2023.)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vienotu pieeju un novērstu neskaidrības piemērošanā, ierosinām papildināt formulas komponentes "∑Alga" skaidrojumu uz norādi, ka tas ir attiecināms uz formulas elementa "Alga" kopsummu iepriekšējos trijos finansēšanas periodos.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visu zinātnisko institūciju formulas elementa "Alga" kopsumma iepriekšējos trijos finansēšanas periodos;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jautājums tiks risināts vadlīniju aktualizētajā versijā, kuras izdotas uz noteikumu 8. punkta pamata. Apstiprinām, ka ∑Alga – visu zinātnisko institūciju formulas elementa "Alga" kopsumma </w:t>
            </w:r>
            <w:r w:rsidR="00000000" w:rsidRPr="00000000" w:rsidDel="00000000">
              <w:rPr>
                <w:b w:val="1"/>
                <w:u w:val="single"/>
                <w:rtl w:val="0"/>
              </w:rPr>
              <w:t xml:space="preserve">iepriekšējos </w:t>
            </w:r>
            <w:r w:rsidR="00000000" w:rsidRPr="00000000" w:rsidDel="00000000">
              <w:rPr>
                <w:rtl w:val="0"/>
              </w:rPr>
              <w:t xml:space="preserve">trijos finansēšanas periodos.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Zinātniskajai institūcijai piešķiramo bāzes finansējuma īpatsvaru no kopējā piešķirtā bāzes finansējuma (Instproc)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zinātniskās institūcijas iepriekšējos trijos finansēšanas periodos zinātnē nodarbināto darbinieku – akadēmiskā personāla (vadošie pētnieki, pētnieki, zinātniskie asistenti, kā arī profesori, asociētie profesori, docenti – augstskolas noteikto pētniecības  pienākumu procentuālajā (%) apmērā no kopējiem pienākumiem), zinātnes tehniskā personāla un zinātni apkalpojošā personāla (turpmāk – zinātniskie darbinieki) – darbaspēka izmaksas zinātniskajai darbībai un tās nodrošināšanai nepieciešamajiem tehniskajiem uzdevumiem un palīgfunkcijām;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∑Alga – visu zinātnisko institūciju formulas elementa "Alga" kopsumma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zinātniskās institūcijas iepriekšējos trijos finansēšanas periodos īstenoto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Eiropas Savienības Ietvara programmas pētniecības un attīstības projektu, citu starptautisku pētniecības un attīstības pētījumu projektu un Latvijas valsts budžeta finansēto, zinātniskās institūcijas konkursa kārtībā iegūto pētniecības un attīstības projektu finansējums šiem projektiem. Aprēķinot formulas elementu "Konk", Eiropas Savienības Ietvara programmas pētniecības un attīstības projektu finansējumam piemēro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 – visu zinātnisko institūciju formulas elementa "Konk"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zinātniskās institūcijas iepriekšējos trijos finansēšanas periodos pētniecības un attīstības līgumdarbu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iegūtais finansējums, tai skaitā pētniecības un attīstības līgumdarbi ar komersantiem, publiskām personām (piemēram, valsts, pašvaldība, valsts augstskola, valsts zinātniskais institūts) un citiem pasūtītājiem (piemēram, fiziska persona, biedrība, nodibinājums) un ieņēmumi no intelektuālā īpašuma tiesību nodošanas, kā arī finansējums, ko zinātniskā institūcija ieguvusi no starptautiskajiem pētniecības un attīstības līgumdarbiem;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∑Ligum – visu zinātnisko institūciju formulas elementa "Ligum"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zinātniskās institūcijas zinātnisko publikāciju skaits iepriekšējos trijos finansēšanas periodos, kur tām publikācijām, kuras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un kuras ir publicētas Q1 kvartīles izdevumos, kā arī publiski recenzētajām zinātniskajām monogrāfijām un starptautiskajiem patentiem  piemēro koeficientu 3, Q2 kvartīles  izdevumos – koeficientu 2,  pārējām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iekļautajām zinātniskajām publikācijām un citiem patentiem – koeficientu 1, citiem starptautisko datubāzu iekļautajos izdevumos publicētajiem oriģinālajiem zinātniskajiem rakstiem – koeficientu 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"Publ" par zinātniskās institūcijas zinātniskajām publikācijām, kas ir iekļautas </w:t>
            </w:r>
            <w:r w:rsidR="00000000" w:rsidRPr="00000000" w:rsidDel="00000000">
              <w:rPr>
                <w:i w:val="1"/>
                <w:rtl w:val="0"/>
              </w:rPr>
              <w:t xml:space="preserve">Web of Science</w:t>
            </w:r>
            <w:r w:rsidR="00000000" w:rsidRPr="00000000" w:rsidDel="00000000">
              <w:rPr>
                <w:rtl w:val="0"/>
              </w:rPr>
              <w:t xml:space="preserve"> vai </w:t>
            </w:r>
            <w:r w:rsidR="00000000" w:rsidRPr="00000000" w:rsidDel="00000000">
              <w:rPr>
                <w:i w:val="1"/>
                <w:rtl w:val="0"/>
              </w:rPr>
              <w:t xml:space="preserve">SCOPUS</w:t>
            </w:r>
            <w:r w:rsidR="00000000" w:rsidRPr="00000000" w:rsidDel="00000000">
              <w:rPr>
                <w:rtl w:val="0"/>
              </w:rPr>
              <w:t xml:space="preserve"> datubāzēs, kurās to kopējais autoru skaits pārsniedz 50 un kurās zinātniskās institūcijas autors vai autori nav norādīti kā zinātniskās publikācijas pirmais, otrais vai pēdējais autors, – tās papildus citiem koeficientiem tiek reizinātas ar koeficientu  0,1. Nosakot "Publ" atbilstību Q1 vai Q2 izdevumiem, ja zinātniskajai publikācijai, kura ir iekļauta gan </w:t>
            </w:r>
            <w:r w:rsidR="00000000" w:rsidRPr="00000000" w:rsidDel="00000000">
              <w:rPr>
                <w:i w:val="1"/>
                <w:rtl w:val="0"/>
              </w:rPr>
              <w:t xml:space="preserve">Web of Science</w:t>
            </w:r>
            <w:r w:rsidR="00000000" w:rsidRPr="00000000" w:rsidDel="00000000">
              <w:rPr>
                <w:rtl w:val="0"/>
              </w:rPr>
              <w:t xml:space="preserve">, gan </w:t>
            </w:r>
            <w:r w:rsidR="00000000" w:rsidRPr="00000000" w:rsidDel="00000000">
              <w:rPr>
                <w:i w:val="1"/>
                <w:rtl w:val="0"/>
              </w:rPr>
              <w:t xml:space="preserve">SCOPUS</w:t>
            </w:r>
            <w:r w:rsidR="00000000" w:rsidRPr="00000000" w:rsidDel="00000000">
              <w:rPr>
                <w:rtl w:val="0"/>
              </w:rPr>
              <w:t xml:space="preserve"> datubāzē, starp šīm abām datubāzēm atšķiras izdevumu atbilstība Q1 vai Q2 kvartīlēm, tām piemēro augstāko koeficientu;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 – visu zinātnisko institūciju formulas elementa "Publ" kopsumma iepriekšējos trijos finansēšanas periodos;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zinātniskās institūcijas vadošo pētnieku, pētnieku un zinātnisko asistentu iepriekšējos trijos finansēšanas periodos noteiktajā kārtībā sekmīgi aizstāvētie promocijas darbi un pētnieku, zinātnisko asistentu un zinātnes tehniskā personāla iepriekšējos trijos finansēšanas periodos noteiktajā kārtībā sekmīgi aizstāvētie maģistra darbi. Nosakot "DrMg", izmanto informāciju tikai par tiem doktora  un maģistra grāda ieguvējiem, kuru nodarbinātība zinātniskajā institūcijā noteiktajos amatos attiecīgajā finansēšanas periodā ir ne mazāka kā 0,2 slodzes pilna laika ekvivalenta izpratnē. Ar pilna darba laika ekvivalentu saprot nodarbinātā darbinieka kopējā nostrādāto stundu skaita (tai skaitā ikgadējā apmaksātā atvaļinājuma) attiecību pret kopējo darba stundu skaitu attiecīgajā gadā, kurā ir aizstāvēts promocijas vai maģistra darbs;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∑DrMg –  visu zinātnisko institūciju formulas elementa "DrMg" kopsumma iepriekšējos trijos finansēšanas periodos, nosakot, ka katrā no iepriekšējiem finansēšanas periodiem 75 % no šī kritērija finansējuma piešķir par promocijas darbiem, bet 25 % – par maģistra darbiem;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zinātniskās institūcijas nodarbinātā zinātniskā personāla pilna laika ekvivalenta izteiksmē, kas norādīts pēdējā zinātnisko institūciju starptautiskajā novērtējumā, vai tās vērtējamo vienību skaita, kurās vismaz viens no novērtētajiem kritērijiem atbilstoši normatīvajam regulējumam par zinātnisko institūciju darbības starptautiskā novērtējuma organizēšanas kārtību ir novērtēts ar "4" vai "5" (turpmāk – starptautiskais novērtējums), reizinājums ar "4" vai "5" kritēriju īpatsvaru no kopējā kritēriju skaita. Kritērijiem, kuri novērtēti ar "4" attiecībā uz nodarbinātā zinātniskā personāla skaitu pilna laika ekvivalenta izteiksmē, piemēro koeficientu 1, bet kritērijiem, kuri novērtēti ar "5", koeficientu 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∑Izc  – visu zinātnisko institūciju formulas elementa "Izc" kopsumma;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zinātniskajai institūcijai piešķiramais bāzes finansējums zinātniskās infrastruktūras (būvju un iekārtu) uzturēšanai, pamatojoties uz ministrijas organizētā un atbilstoši publisko iepirkumu normatīvā regulējuma  ietvaros veiktā  nacionālās zinātniskās infrastruktūras apsekojuma, kartējuma un analīzes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 – visu zinātnisko institūciju formulas elementa "Infr" kopsumma.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23-TA-1325</w:t>
    </w:r>
    <w:r>
      <w:br/>
    </w:r>
    <w:r w:rsidR="00000000" w:rsidRPr="00000000" w:rsidDel="00000000">
      <w:rPr>
        <w:rtl w:val="0"/>
      </w:rPr>
      <w:t xml:space="preserve">10.08.2023. 13.47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23-TA-1325</w:t>
    </w:r>
    <w:r>
      <w:br/>
    </w:r>
    <w:r w:rsidR="00000000" w:rsidRPr="00000000" w:rsidDel="00000000">
      <w:rPr>
        <w:rtl w:val="0"/>
      </w:rPr>
      <w:t xml:space="preserve">10.08.2023. 13.47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Izziņa_23-TA-1325.docx</dc:title>
</cp:coreProperties>
</file>

<file path=docProps/custom.xml><?xml version="1.0" encoding="utf-8"?>
<Properties xmlns="http://schemas.openxmlformats.org/officeDocument/2006/custom-properties" xmlns:vt="http://schemas.openxmlformats.org/officeDocument/2006/docPropsVTypes"/>
</file>