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25-TA-1223: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autoceļu attīstības stratēģiju līdz 2040.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 autoceļu projekti  Koncepcija minēti kā daļēji realizēti  ar finansējumu līdz 2026. gadam. Lūgums precizēt Koncepcijā uzdevumus saistība ar nerealizētājiem ATR projektiem , Koncepcijas 3.7 sadaļā. Nepieciešams precizēt uzdevumus SM un VARAM, lai  nodrošināt finansējumu atlikušajiem objektiem (150,83 km, 90,32 milj.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(VARAM) sadarbībā ar Satiksmes ministriju un VSIA “Latvijas Valsts ceļi”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avotu identificēšana un piesaiste atlikušajiem ATR ceļu saraksta objektiem, tai skaitā izvērtējot iespējas piesaistīt līdzekļus no Atveseļošanas fonda, Mobilizācijas fonda, valsts budžeta programmas “Valsts autoceļu fonds” un citiem iespējamiem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 aktualizēta informācija par būvdarbu progresu un nepieciešamo finansējumu, iesniedzama Finanšu ministrijā un Pārresoru koordinācijas centrā budžeta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plānošanas reģioniem un pašvaldībām, lai precizētu prioritāros ceļu posmus, kas nodrošina vietējo sasniedzamību, pakalpojumu pieejamību un reģionālās attīstības mērķu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 teritoriālās reformas (ATR) īstenošana nav SM kompetencē. SM nav iespējams identificēt un piesaistīt finansējumu ATR reformas projektiem, jo SM rīcībā esošās budžeta iespējas ir ierobežotas, un prioritāri tiek nodrošināts finansējums jau apstiprinātiem projektiem, kas iekļauti valsts budžeta un Eiropas Savienības fondu plānošanas dokumentos. Ņemot vērā kopējo situāciju valsts budžeta ietvaros un augsto pieprasījumu pēc investīcijām transporta infrastruktūrā, nav iespējams papildus identificēt un piesaistīt finansējumu tādas reformas projektiem, kas nav SM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Stratēģijas tālāka virzība ir atbalstāma, taču dokumentā skaidri norādīts, ka finansējums pēc 2026. gada un pēc 2040. gada nav garantēts, bet  tas būs atkarīgs no ikgadējā budžeta procesa līdz ar pastāv atseviški riski,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-vēsturiskās investīcijas zaudēs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stāvoklis pasliktināsies, īpaši vietējos un reģionālajos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Koncepcijā pamatoti  norādīts nepieciešams papildu finansējums līdz 2040. gadam,  attiecīgi valsts reģionālajiem ceļiem- 325 milj. EUR, attiecīgi valsts vietējiem ceļiem 195 EUR , taču nav norādīti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autoceļu attīstības stratēģijas līdz 2040. gadam pilnvērtīgu īstenošanu, nepieciešams skaidri definēt stabilus un prognozējamus finansējuma avotus, kas ļautu realizēt stratēģijā noteiktās prioritātes,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TEN-T pamattīkla attīstību un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un vietējo autoceļu segumu atjaunošanu un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sasniedzamības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pieejamības nodrošināšanu visa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Koncepcij būtu istenojama, Valsts budžeta likumā un vidēja termiņa budžeta ietvarā jāparedz mehānisms, kas nodrošina,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12. panta ceturtajā daļā precīzi nosaka  noteikto nodokļu un nodevu  novirzīšanu programmai “Valsts autoceļu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paredzētt ikgadēju finansējuma pieaugumu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finansējuma piesaisti no publiskās un privātās partnerības projektiem, Eiropas Savienības fondiem un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Mērķdotāciju pašvaldību ceļiem vismaz 25% apmērā no kopējā autoceļu finansējuma.Kā norādits Stratēgijā  nepietiekams finansējums autoceļu būvniecībai un uzturēšanai rada zaudējumus tautsaimniecībai līdz pat 728 milj. EUR gadā, palielinot transporta izmaksas, brauciena ilgumu un SEG emisijas. Stabilu finansējuma avotu definēšana ir būtiska, lai nodrošinātu ilgtspējīgu autoceļu tīklu, uzlabotu satiksmes drošību un veicinātu reģionālo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finansējums autoceļu uzturēšanai un attīstībai tiek veikts " pēc budžeta pārpalikuma principa,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Koncepciju pamatot ar to, ka  Autoceļu attīstības finansējuma plānošanā jāņem vērā ne tikai satiksmes intensitāte, bet arī sociālekonomiskie faktori, kas ietekmē sabiedrības labklājību un reģionu attīstību. Tādēļ nepieciešams izstrādāt kompleksu ceļu nozīmīguma novērtēšanas modeli, kas ietver valsts un pašvaldību  pakalpojumu pieejamību, skolēnu pārvadājumu vajadzības un uzņēmējdarbības potenciālu kā būtiskus kritērijus finansējuma piešķiršanai, kā  arī iespēju piesaistīt Mobilizācijas fonda līdzekļus stratēģiski svarīgu ceļu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saņemto iebildumu par nepieciešamību skaidri definēt stabilus un prognozējamus finansējuma avotus Valsts autoceļu attīstības stratēģijas līdz 2040. gadam pilnvērtīgai īstenošanai, SM norāda, ka valsts budžeta plānošana un ilgtermiņa finansējuma garantēšana nav SM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likuma un vidēja termiņa budžeta ietvara izstrāde ir Finanšu ministrijas un valdības kopējās fiskālās politikas jautājums. SM var sniegt priekšlikumus un pamatot nepieciešamību pēc papildu finansējuma, taču gala lēmums par finansējuma apjomu un avotiem tiek pieņemts ikgadējā budžeta procesa ietvaros, ņemot vērā valsts fiskālās iespējas, prioritātes un makroekonomisko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2024. gada 13. jūnija Regulas (ES) 2024/1679 par Savienības pamatnostādnēm Eiropas transporta tīkla attīstībai, ar ko groza Regulas (ES) 2021/1153 un (ES) Nr. 913/2010 un atceļ Regulu (ES) Nr. 1315/2013</w:t>
            </w:r>
            <w:r w:rsidR="00000000" w:rsidRPr="00000000" w:rsidDel="00000000">
              <w:rPr>
                <w:rtl w:val="0"/>
              </w:rPr>
              <w:t xml:space="preserve"> (turpmāk - Regula 2024/1679) 31. panta sestajā punktā ir noteikts, ka atbrīvojuma pieprasījums ir pienācīgi jāpamato, ņemot vērā arī to, ka attiecīgajām infrastruktūrām ir veikti ceļu satiksmes drošības ietekmes novērtējumi, revīzijas un inspekcijas, kā arī, ja nepieciešams, īstenoti korektīvi pasākumi saskaņā ar </w:t>
            </w:r>
            <w:r w:rsidR="00000000" w:rsidRPr="00000000" w:rsidDel="00000000">
              <w:rPr>
                <w:i w:val="1"/>
                <w:rtl w:val="0"/>
              </w:rPr>
              <w:t xml:space="preserve">Eiropas Parlamenta un Padomes 2008. gada 19. novembra Direktīvu 2008/96/EK par ceļu infrastruktūras drošības pārvaldību</w:t>
            </w:r>
            <w:r w:rsidR="00000000" w:rsidRPr="00000000" w:rsidDel="00000000">
              <w:rPr>
                <w:rtl w:val="0"/>
              </w:rPr>
              <w:t xml:space="preserve">. Aicinām papildināt informatīvā ziņojuma 12. lappusē sniegto informāciju, norādot, ka Satiksmes ministrijai, sagatavojot pamatojumu atbrīvojuma pieprasījumam, jāsniedz skaidrojums par to, kā ir izpildītas minētās direktīvas prasības attiecībā uz konkrētajiem transporta tīkla posmiem, uz kuriem plānots attiecināt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informatīvā ziņojuma 12. lappusē norādīto:"</w:t>
            </w:r>
            <w:r w:rsidR="00000000" w:rsidRPr="00000000" w:rsidDel="00000000">
              <w:rPr>
                <w:i w:val="1"/>
                <w:rtl w:val="0"/>
              </w:rPr>
              <w:t xml:space="preserve"> [..] nepieciešamos atbrīvojumus no TEN-T regulas 30.panta 2.punkta prasībām</w:t>
            </w:r>
            <w:r w:rsidR="00000000" w:rsidRPr="00000000" w:rsidDel="00000000">
              <w:rPr>
                <w:rtl w:val="0"/>
              </w:rPr>
              <w:t xml:space="preserve">," atbilstoši Ministru kabineta sēdes protokollēmuma projekta 3. punktā noteiktajam, proti, nepieciešamību iesniegt atbrīvojumu no Regulas 2024/1679 31. panta 2., 3. un 4. punkta prasībām. Aicinām attiecīgos precizējumus veikt arī "Valsts autoceļu attīstības stratēģija līdz 2040.gadam" 4. lappusē.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drošības novērtējumu, tā ir cita direktīva, kas nav tieši saistīta ar TEN-T pārbūvi un nosacījumiem, kas minēti pirmajā minētajā Regulā. Pamatojuma izstrāde ir minēta IZ turpmākā rīcība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papildus piešķirto Eiropas Savienības Atveseļošanās fonda  finansējumu 21,78 milj. EUR ar PVN, pamatojoties uz Ministru kabineta 2025.gada 17. jūnija sēdes protokola Nr.24, 56.§, 2. punktu, aicinām pārskatīt un precizēt informatīvā ziņojuma 3.7. sadaļas informāciju par valsts reģionālo un vietējo autoceļu pārbūves un atjaunošanas investīciju programmas administratīvi teritoriālās reformas kontekstā atjaunotiem vai pārbūvētiem valsts vietējo un reģionālo autoceļu posmiem kilometros un informāciju par nepieciešamo papildus finansējumu pilnvērtīgai programmas realizācijai. Lūdzam saskaņot aktuālos datus ar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29.lpp. secinājumu sadaļas 8.punktā norādīts, ka “Pilnvērtīgai administratīvi teritoriālās reformas ietvaros veicamās autoceļu investīcijas realizācijai nepieciešams papildus finansējums 114,22 milj. EUR apmērā papildus Valsts budžeta programmai 23.00.00 “Valsts autoceļu fonds”.” Minētajā informācijā nav ņemts vērā papildus piešķirtais finansējums 21 780 000 eur apmērā saskaņā ar Ministru kabineta 2025. gada 17. jūnija sēdē izskatīto VARAM izstrādāto informatīvo ziņojumu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(protokols Nr. 24, 56.§).   Līdz ar to papildus finansējums nepieciešams 92,44 milj.  EUR apmērā. Lūdzam saskaņot aktuālo informāciju ar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26.lpp. 3.7. apakšsadaļā norādīts,  ka “Faktiski Atveseļošanās un noturības mehānisma 3.1. reformas un investīciju virziena “Reģionālā politika” 3.1.1.r. reformas “Administratīvi teritoriālā reforma” 3.1.1.1.i. investīcijas “Valsts reģionālo un vietējo autoceļu tīkla uzlabošana” realizācijai piešķirts šāds valsts budžeta finansējums” un uzskaitītas piešķirtās summas 2021. un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investīcijas realizācijai piešķirts finansējums, pamatojoties uz Ministru kabineta 2022. gada 8. novembra sēdē izskatīto informatīvo ziņojumu “Par Latvijas Atveseļošanas un noturības mehānisma plāna 3.1. reformas un investīciju virziena “Reģionālā politika” 3.1.1.r. reformas “Administratīvi teritoriālā reforma” 3.1.1.1.i. investīcijas “Valsts reģionālo un vietējo autoceļu tīkla uzlabošana” īstenošanu” (prot. Nr. 56 36.§) (https://tapportals.mk.gov.lv/legal_acts/f80bff03-1d3b-4884-9fb5-dda500705a67). Savukārt valsts reģionālo un vietējo autoceļu pārbūves un atjaunošanas investīciju programmas administratīvi teritoriālās reformas kontekstā īstenošanai piešķirts finansējums 95,76 milj. euro  apmērā 2021. un 2022. gadā no valsts budžeta programmas 02.00.00 „Līdzekļi neparedzētiem gadījumiem” autoceļu posmiem, kas ir identificēti Ministru kabineta 2021.gada 18.marta sēdē apstiprinātā informatīvā ziņojuma “Par investīciju programmas valsts autoceļu attīstībai administratīvi teritoriālās reformas kontekstā īstenošanu” pielikuma 1. un 2.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3.7.sadaļā norādīts, ka “Kopumā gan AF investīcijas un valsts budžeta piešķīruma ietvaros ir pabeigti vai 2025. gadā tiks pabeigti būvdarbi uz [..]”. Saskaņā ar Ministru kabineta 2025. gada 17. jūnija sēdē izskatītajā VARAM izstrādātajā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(protokols Nr. 24, 56.§) un Ministru kabineta sēdes protokollēmuma 4. punktā minēto būvdarbi jāpabeidz (saņemts atbildīgās institūcijas akts par būvobjekta nodošanu ekspluatācijā/atzīme par būvdarbu pabeigšanu) līdz 2026. gada 31. decembrim. Līdz ar to korekti norādīt, ka ir pabeigti vai līdz 31.12.2026. tiks pabeigti būvdarbi noteikto kilometru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9.lpp. 2.3.apakšsadaļā norādīti “111,68 milj.  EUR”. Nav iekļauts papildus piešķirtais finansējums saskaņā ar Ministru kabineta 2025. gada 17. jūnija sēdē izskatīto VARAM izstrādāto informatīvo ziņojumu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(protokols Nr. 24, 56.§)  21 780 000 euro, t.sk. AF finansējums 18 000 000 euro un valsts budžeta finansējums 3 780 000 euro pievienotās vērtības nodokļa segšanai (https://tapportals.mk.gov.lv/legal_acts/c32afdbe-dbfe-44d5-a255-1c8119f30028). Līdz ar to 111 683 000,00 EUR nepieciešams aizstāt ar 133 463 000,00 EUR. Papildus vēršam  uzmanību, ka Ministru kabineta sēdes protokollēmuma 4. punktā norādīts,  ka  būvdarbu pabeigšanas termiņš (saņemts atbildīgās institūcijas akts par būvobjekta nodošanu ekspluatācijā/atzīme par būvdarbu pabeigšanu) noteikts 2026. gada 31. decembris. Tādējādi korekti norādīt, ka pieejamais finansējums tiks izmantots līdz 31.12.2026.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reģionālo un vietējo autoceļu pārbūvei un atjaunošanai 133,46 milj. EUR apmērā paredzēts Atveseļošanās un noturības mehānisma 3.1. reformas un investīciju virziena “Reģionālā politika” 3.1.1.r. reformas “Administratīvi teritoriālā reforma” 3.1.1.1.i. investīcijas “Valsts reģionālo un vietējo autoceļu tīkla uzlabošana” ietvaros. Pieejamais finansējums tiks izmantots līdz 2026. 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sniegto informāciju par papildu nepieciešamo finansējumu valsts autoceļu projektu īstenošanai, lūdzam ņemt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šobrīd saskaņā ar valdības apstiprināto Latvijas Fiskāli strukturālā plāna 2025.-2028.gadam 2025.gada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valdība ir uzdevusi veikt publiskā sektora efektivizācijas un vispārējās valdības izdevumu samazinājumu 2026.-2028. gadā (MK 13.05.2025. sēdes prot. Nr.19 50. § 7.punkts), kura rezultātā šobrīd notiek budžeta izdevumu pārskatīšanas process, kurā nozaru ministrijām jāveic padziļināta esošā budžeta izdevumu analīze un jāizstrādā priekšlikumi izdevumu samazināšanai vai pārdalei, funkciju un publisko pakalpojumu optimizēšanai, kā arī strukturālām pārmaiņām savās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valdība ir noteikusi, ka ministrijas un citas centrālās valsts iestādes nesniedz priekšlikumus prioritārajiem pasākumiem (MK 25.06.2025. sēdes prot. Nr. 25 46. § un MK 26.06.2025. rīkojums Nr. 377).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risinājumi finansējuma nodrošināšanai valsts autoceļiem jārod Satiksmes ministrijas budžeta līdzekļu ietvaros vai piesaistot papildu ES fondu un citu ārvalstu finanšu palīdzības finansējumu. Attiecīgi lūdzam precizēt ziņojumā norādītās atsauces par papildu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atspoguļota kopējā situācija, iebildums nemaina faktu par nepieciešamību, nerugoties no kādiem līdzekļiem tos jāsedz.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7. tabulā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pozīcijā “Valsts autoceļu fonds” norādīto finansējuma apmēru 2025. gadā uz 306,32, 2026. gadā - 306,31 un 2027. gadā - 306,30 atbilstoši likumā “Par valsts budžetu 2025. gadam un budžeta ietvaru 2025., 2026. un 2027. gadam” Satiksmes ministrijas valsts budžeta programmā 23.00.00 “Valsts autoceļu fonds” plānotajam vai pievienot skaidrojošu atsauci, kāpēc finansējums no 2026.gada norādīts mazākā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pozīcijā “Līdzekļi neparedzētiem gadījumiem” norādīto, tas ir, 2019. gadā svītrojot līdzekļu apmēru, un 2020. gadā precizēt uz 72,51 atbilstoši Valsts kases izpildes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pozīcijā “Mērķdotācijas pašvaldību autoceļiem un ielām” norādīto līdzekļu apmēru 2024. gadam uz 60,18 atbilstoši Valsts kases izpildes pārskatiem un 2025. – 2027. gadam ik gadu uz 60,14 atbilstoši likumam “Par valsts budžetu 2025. gadam un budžeta ietvaru 2025., 2026. un 2027. gadam” Satiksmes ministrijas valsts budžeta apakšprogrammā 23.04.00 “Mērķdotācijas pašvaldību autoceļiem (ielām)”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protollēmumu ar sekojošu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Vides aizsardzības un reģionālās attīstības ministrijai sadarbībā ar Satiksmes ministriju līdz 2026. gada 31. decembrim sagatavot priekšlikumu par finansējuma nodrošināšanu atlikušajiem ATR ceļu saraksta objektiem 150,83 km apjomā, kopējā summā 90,32 milj. EUR ar PVN, iesniedzot to ikgadējā valsts budžeta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kompetencē neietilpst valsts budžeta plānošana vai garantiju sniegšana par finansējuma pieejamību konkrētiem projektiem. Valsts budžeta sagatavošanas process ir Finanšu ministrijas pārziņā, un finansējuma piešķiršana notiek, balstoties uz valdības apstiprinātām prioritātēm un fiskālās telpas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autoceļu attīstības stratēģiju līdz 2040.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paredzēto turpmāko rīcību attiecībā uz prioritātēm valsts galveno, reģionālo un vietējo autoceļu attīstība, kā arī darbības vietējās sasniedzamības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informatīvā ziņojuma, lūdzam papildināt Ministru kabineta sēdes protokollēmuma projekta 2.punktu aiz vārda “nodrošināšanai” ar vārdiem “Satiksmes ministrijas esošo valsts budžeta līdzekļu ietvaros vai piesaistot papildu ES fondu un citu ārvalstu finanšu palīdzības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paredzēto turpmāko rīcību attiecībā uz prioritātēm valsts galveno, reģionālo un vietējo autoceļu attīstībai, kā arī darbības vietējās sasniedzamības nodrošināšanai Satiksmes ministrijas esošo valsts budžeta līdzekļu ietvaros vai piesaistot papildu ES fondu un citu ārvalstu finanšu palīdzības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deviņu mēnešu laikā sagatavot un iesniegt Eiropas Komisijā lūgumu piešķirt atbrīvojumus no </w:t>
            </w:r>
            <w:r w:rsidR="00000000" w:rsidRPr="00000000" w:rsidDel="00000000">
              <w:rPr>
                <w:rtl w:val="0"/>
              </w:rPr>
              <w:t xml:space="preserve">Eiropas Parlamenta un Padomes 2024. gada 13. jūnija Regulas (ES) 2024/1679 par Savienības pamatnostādnēm Eiropas transporta tīkla attīstībai un ar ko groza Regulas (ES) 2021/1153 un (ES) Nr. 913/2010 un atceļ Regulu (ES) Nr. 1315/2013 31. panta 2., 3. un 4. punkta</w:t>
            </w:r>
            <w:r w:rsidR="00000000" w:rsidRPr="00000000" w:rsidDel="00000000">
              <w:rPr>
                <w:rtl w:val="0"/>
              </w:rPr>
              <w:t xml:space="preserve"> prasību izpildes saskaņā ar iepriekš minētās regulas 31. panta 6. punktā noteikto,</w:t>
            </w:r>
            <w:r w:rsidR="00000000" w:rsidRPr="00000000" w:rsidDel="00000000">
              <w:rPr>
                <w:b w:val="1"/>
                <w:rtl w:val="0"/>
              </w:rPr>
              <w:t xml:space="preserve"> </w:t>
            </w:r>
            <w:r w:rsidR="00000000" w:rsidRPr="00000000" w:rsidDel="00000000">
              <w:rPr>
                <w:rtl w:val="0"/>
              </w:rPr>
              <w:t xml:space="preserve">Eiropas transporta tīkla pamattīkla Latvijas valsts autoceļu posmiem, kuru pārbūve nav ekonomiski vai tehniski (ģeogrāfiski)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2024/1679 31. panta sesto punktu atbrīvojuma pieprasījumus var veikt, pamatojoties uz šādiem nosacījumiem:" </w:t>
            </w:r>
            <w:r w:rsidR="00000000" w:rsidRPr="00000000" w:rsidDel="00000000">
              <w:rPr>
                <w:i w:val="1"/>
                <w:rtl w:val="0"/>
              </w:rPr>
              <w:t xml:space="preserve">[..] ja </w:t>
            </w:r>
            <w:r w:rsidR="00000000" w:rsidRPr="00000000" w:rsidDel="00000000">
              <w:rPr>
                <w:b w:val="1"/>
                <w:i w:val="1"/>
                <w:rtl w:val="0"/>
              </w:rPr>
              <w:t xml:space="preserve">satiksmes blīvums</w:t>
            </w:r>
            <w:r w:rsidR="00000000" w:rsidRPr="00000000" w:rsidDel="00000000">
              <w:rPr>
                <w:i w:val="1"/>
                <w:rtl w:val="0"/>
              </w:rPr>
              <w:t xml:space="preserve"> nepārsniedz 10 000 transportlīdzekļu dienā abos virzienos </w:t>
            </w:r>
            <w:r w:rsidR="00000000" w:rsidRPr="00000000" w:rsidDel="00000000">
              <w:rPr>
                <w:b w:val="1"/>
                <w:i w:val="1"/>
                <w:rtl w:val="0"/>
              </w:rPr>
              <w:t xml:space="preserve">vai</w:t>
            </w:r>
            <w:r w:rsidR="00000000" w:rsidRPr="00000000" w:rsidDel="00000000">
              <w:rPr>
                <w:i w:val="1"/>
                <w:rtl w:val="0"/>
              </w:rPr>
              <w:t xml:space="preserve"> pamatojoties uz </w:t>
            </w:r>
            <w:r w:rsidR="00000000" w:rsidRPr="00000000" w:rsidDel="00000000">
              <w:rPr>
                <w:b w:val="1"/>
                <w:i w:val="1"/>
                <w:rtl w:val="0"/>
              </w:rPr>
              <w:t xml:space="preserve">īpašiem ģeogrāfiskiem</w:t>
            </w:r>
            <w:r w:rsidR="00000000" w:rsidRPr="00000000" w:rsidDel="00000000">
              <w:rPr>
                <w:i w:val="1"/>
                <w:rtl w:val="0"/>
              </w:rPr>
              <w:t xml:space="preserve"> vai būtiskiem </w:t>
            </w:r>
            <w:r w:rsidR="00000000" w:rsidRPr="00000000" w:rsidDel="00000000">
              <w:rPr>
                <w:b w:val="1"/>
                <w:i w:val="1"/>
                <w:rtl w:val="0"/>
              </w:rPr>
              <w:t xml:space="preserve">fiziskiem ierobežojumiem</w:t>
            </w:r>
            <w:r w:rsidR="00000000" w:rsidRPr="00000000" w:rsidDel="00000000">
              <w:rPr>
                <w:i w:val="1"/>
                <w:rtl w:val="0"/>
              </w:rPr>
              <w:t xml:space="preserve">, </w:t>
            </w:r>
            <w:r w:rsidR="00000000" w:rsidRPr="00000000" w:rsidDel="00000000">
              <w:rPr>
                <w:b w:val="1"/>
                <w:i w:val="1"/>
                <w:rtl w:val="0"/>
              </w:rPr>
              <w:t xml:space="preserve">sociālekonomisko izmaksu</w:t>
            </w:r>
            <w:r w:rsidR="00000000" w:rsidRPr="00000000" w:rsidDel="00000000">
              <w:rPr>
                <w:i w:val="1"/>
                <w:rtl w:val="0"/>
              </w:rPr>
              <w:t xml:space="preserve"> un ieguvumu analīzes </w:t>
            </w:r>
            <w:r w:rsidR="00000000" w:rsidRPr="00000000" w:rsidDel="00000000">
              <w:rPr>
                <w:b w:val="1"/>
                <w:i w:val="1"/>
                <w:rtl w:val="0"/>
              </w:rPr>
              <w:t xml:space="preserve">negatīvu rezultātu</w:t>
            </w:r>
            <w:r w:rsidR="00000000" w:rsidRPr="00000000" w:rsidDel="00000000">
              <w:rPr>
                <w:i w:val="1"/>
                <w:rtl w:val="0"/>
              </w:rPr>
              <w:t xml:space="preserve"> vai būtisku </w:t>
            </w:r>
            <w:r w:rsidR="00000000" w:rsidRPr="00000000" w:rsidDel="00000000">
              <w:rPr>
                <w:b w:val="1"/>
                <w:i w:val="1"/>
                <w:rtl w:val="0"/>
              </w:rPr>
              <w:t xml:space="preserve">negatīvo ietekmi uz vidi</w:t>
            </w:r>
            <w:r w:rsidR="00000000" w:rsidRPr="00000000" w:rsidDel="00000000">
              <w:rPr>
                <w:i w:val="1"/>
                <w:rtl w:val="0"/>
              </w:rPr>
              <w:t xml:space="preserve"> vai </w:t>
            </w:r>
            <w:r w:rsidR="00000000" w:rsidRPr="00000000" w:rsidDel="00000000">
              <w:rPr>
                <w:b w:val="1"/>
                <w:i w:val="1"/>
                <w:rtl w:val="0"/>
              </w:rPr>
              <w:t xml:space="preserve">biodaudzveidību,</w:t>
            </w:r>
            <w:r w:rsidR="00000000" w:rsidRPr="00000000" w:rsidDel="00000000">
              <w:rPr>
                <w:rtl w:val="0"/>
              </w:rPr>
              <w:t xml:space="preserve">" proti, ne tikai pamatojoties uz:" </w:t>
            </w:r>
            <w:r w:rsidR="00000000" w:rsidRPr="00000000" w:rsidDel="00000000">
              <w:rPr>
                <w:i w:val="1"/>
                <w:rtl w:val="0"/>
              </w:rPr>
              <w:t xml:space="preserve">[..] ekonomiski vai tehniski (ģeogrāfiski)</w:t>
            </w:r>
            <w:r w:rsidR="00000000" w:rsidRPr="00000000" w:rsidDel="00000000">
              <w:rPr>
                <w:rtl w:val="0"/>
              </w:rPr>
              <w:t xml:space="preserve">" ierobežojumu, kā tas norādīts Ministru kabineta sēdes protokollēmuma projekta 3. punktā. Ievērojot, ka informatīvā ziņojuma 12. lappusē norādīts uzdevums Satiksmes ministrijai veikt atbrīvojuma pamatojuma izstrādi, aicinām precizēt Ministru kabineta sēdes protokollēmuma projekta 3. punktu, svītrojot tajā ierobežojošo norādi: " </w:t>
            </w:r>
            <w:r w:rsidR="00000000" w:rsidRPr="00000000" w:rsidDel="00000000">
              <w:rPr>
                <w:i w:val="1"/>
                <w:rtl w:val="0"/>
              </w:rPr>
              <w:t xml:space="preserve">[..] autoceļu posmiem, kuru pārbūve nav ekonomiski vai tehniski (ģeogrāfiski) iespējama.</w:t>
            </w:r>
            <w:r w:rsidR="00000000" w:rsidRPr="00000000" w:rsidDel="00000000">
              <w:rPr>
                <w:rtl w:val="0"/>
              </w:rPr>
              <w:t xml:space="preserve">" Papildus aicinām izvērtēt nepieciešamību papildināt informatīvo ziņojumu ar norādi, ka tieši Satiksmes ministrijai ir jāveic visaptverošs izvērtējums par piemērojamiem pamatojuma kritērijiem, ņemot vērā visus Regulas 2024/1679 31. panta sestajā punktā noteiktos nosacījumus, sagatavojot pieprasījumu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deviņu mēnešu laikā sagatavot un iesniegt Eiropas Komisijā lūgumu piešķirt atbrīvojumus no </w:t>
            </w:r>
            <w:r w:rsidR="00000000" w:rsidRPr="00000000" w:rsidDel="00000000">
              <w:rPr>
                <w:rtl w:val="0"/>
              </w:rPr>
              <w:t xml:space="preserve">Eiropas Parlamenta un Padomes 2024. gada 13. jūnija Regulas (ES) 2024/1679 par Savienības pamatnostādnēm Eiropas transporta tīkla attīstībai un ar ko groza Regulas (ES) 2021/1153 un (ES) Nr. 913/2010 un atceļ Regulu (ES) Nr. 1315/2013 31. panta 2., 3. un 4. punkta</w:t>
            </w:r>
            <w:r w:rsidR="00000000" w:rsidRPr="00000000" w:rsidDel="00000000">
              <w:rPr>
                <w:rtl w:val="0"/>
              </w:rPr>
              <w:t xml:space="preserve"> prasību izpildes saskaņā ar iepriekš minētās regulas 31. panta 6.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7. tabulā rindā “Autoceļu finansējums kopā” norādīto apmēru, ņemot vērā, ka atbilstoši iepriekš izteiktajam FM iebildumam ir veikti precizējumi rindā “Valsts autoceļu fonds” un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protokollēmuma 2.punktā veikto precizējumu, kas nosaka, ka turpmākā rīcība nodrošināma Satiksmes ministrijas esošo valsts budžeta līdzekļu ietvaros vai piesaistot papildu ES fondu un citu ārvalstu finanšu palīdzības finansējumu, lūdzam arī ziņojuma 27.lp. pēdējā rindkopā un 19., 22., 24., un 29.lp. zemsvītras atsaucēs precizēt norādes par jautājuma par papildu valsts budžeta līdzekļu piešķiršanu izskatīšanu likumprojekta par valsts budžetu kārtējam gadam un likumprojekta par vidēja termiņa budžeta ietvaru sagatavošanas un izskatīšanas procesā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prioritāti ir noteicis aizsardzību un demogrāfiju, kā arī ir noteicis ministrijām un citām centrālajām valsts iestādēm nesniegt priekšlikumus prioritārajiem pasākumiem (MK 27.03.2025. rīkojums Nr.179, kas tika grozīts ar MK 26.06.2025. rīkojumu Nr.377),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pieņēmis zināšanai, ka fiskālā telpa 2026. gadā ir 39,7 milj. euro, savukārt turpmākajos gados negatīva, proti, 2027. gadā ir -140,1 milj. euro, 2028. gadā ir -144,4 milj. euro un 2029. gadā ir -321,6 milj. euro (MK 19.08.2025. prot. Nr.32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attiecīgi nozīmē, ka aktuālās valsts budžeta finansiālās iespējas šobrīd nepieļauj papildu valsts budžeta līdzekļu piešķiršanu valsts autoceļiem, attiecīgi finansējuma nodrošināšanai ir nepieciešami citi risinājumi, tāpēc arī minētajās ziņojuma vietās nepieciešams precizēt, ka turpmākā rīcība nodrošināma Satiksmes ministrijas esošo valsts budžeta līdzekļu ietvaros vai piesaistot papildu ES fondu un citu ārvalstu finanšu palīdzības finansējumu, lai neveidojas pretruna ar līdzšinēji pieņemtajiem aktuālajiem Ministru kabineta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Satiksmes ministrijas izstrādāto dokumentu "Valsts autoceļu attīstības stratēģija līdz 2040.gadam", secināms, ka stratēģijā nav iekļauts Lielo un stratēģiski nozīmīgo investīciju projektu koordinācijas padomes 2025. gada 10. aprīļa sēdē nolemtais saistībā ar jautājumu par Rīgas Ziemeļu transporta koridora 3. un 4. posmu – A5 savienojumu ar Daugavgrīvas šoseju (protokola Nr. 2/2025 3.1.§  otrais punkts). Proti, Satiksmes ministrijai ir uzdots sagatavot precizējumu Eiropas Savienības TEN-T tīkla shēmai ar pamattīkla valsts autoceļa A5 posmu un Rīgas pilsētmezgla posmiem, ar pamatojumu TEN-T Regulas prasību kontekstā, un iesniegt Eiropas Komisijas Transporta un Mobilitātes Ģenerāldirektorātam. Stratēģijā šobrīd nav atspoguļotas padomes lēmumā paredzētās izmaiņas kā plānotas, lai gan tās ir būtiskas TEN-T tīkla attīstības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izsaka priekšlikumu stratēģiju papildināt, iekļaujot: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atsauci uz minēto padomes lēmumu un nepieciešamību veikt izmaiņas TEN-T pamattīklā;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plānotajām izmaiņām TEN-T tīkla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norādi uz nepieciešamību šīs izmaiņas saskaņot ar attiecīgām pašvaldībām, nodrošinot teritoriālās attīstības plānu savstarpējo atbilstību un koordināciju ar valsts līmeņa transporta attīstības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 darbs ar ietveršanu TEN-T tīklā, pirms to virzīt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(AM) aicina papildināt informatīvo ziņojumu un Valsts autoceļu attīstības stratēģiju līdz 2040. gadam ar rindkopu par militārās mobilitātes vajadzību integrēšanu, attīstot autoceļu infrastruktūru. Piedāvājumam sekojoša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Latvijas autoceļus, ir svarīgi ņemt vērā arī stratēģiskās militārās mobilitātes prasības, lai valsts aizsardzības vajadzībām spētu efektīvi un ātri pārvietot Latvijas un sabiedroto bruņotos spēkus. Militārās mobilitātes veicināšanai ir svarīgi nodrošināt Eiropas Komisijas Īstenošanas regulai ((ES) 2021/1328) atbilstošus autoceļus, tostarp, savienojumus starp ostām, lidostām, dzelzceļiem un militāriem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komentārs: AM ieskatā autoceļi, kas savieno Latviju ar Krieviju vai Baltkrieviju var radīt riskus valsts drošībai. AM aicinājums ir pārtraukt uzturēt vietējas nozīmes autoceļus, kas savieno Latviju ar Krieviju un Baltkrieviju.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Latvijas autoceļus, ir svarīgi ņemt vērā arī stratēģiskās militārās mobilitātes prasības, lai valsts aizsardzības vajadzībām spētu efektīvi un ātri pārvietot Latvijas un sabiedroto bruņotos spēkus. Militārās mobilitātes veicināšanai ir svarīgi nodrošināt Eiropas Komisijas Īstenošanas regulai ((ES) 2021/1328) atbilstošus autoceļus, tostarp, savienojumus starp ostām, lidostām, dzelzceļiem un militāriem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aicina Valsts autoceļu attīstības stratēģijā līdz 2040.gadam (turpmāk - Stratēģija) paredzēt ne tikai, sadarbojoties ar pašvaldībām, veidot  atbilstošu mikromobilitātes (gājēju un velosipēdu) infrastruktūru un komunikāciju koridorus, kas paredzēti dažāda veida sakaru kabeļu izvietošanai vienuviet un satiksmes digitalizācijai, bet valsts autoceļu attīstības projektēšanas un pārbūves gaitā paredzēt rezervētas joslas  inženierkomunikācijām, tai skaitā elektroenerģijas, datu pārvades, ūdensapgādes un citu  tīklu izvietošanai, lai veicinātu integrētu infrastruktūras attīstību, kas būtu efektīvi un ekonomiski pamatoti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ievērojot, ka strauji pieaug elektroauto skaits, Ministrijas ieskatā būtu lietderīgi Stratēģijā ietver arī elektrouzlādes infrastruktūras attīstības risinājumus vismaz gar valsts galvenajiem autoceļiem. Tas nodrošinātu iespēju elektrotīkla attīstību, tā jaudas palielināšanu plānot vienlaikus ar autoceļu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daļa no jau autoceļu projektos virzītās kopējās nostājas.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informāciju. Piemēram: "Valsts autoceļu attīstības stratēģija līdz 2040.gadam" 2. lpp. beigās (un informatīvā ziņojumā 12. lpp. sakumā) ir minēts, ka "Pārbūvējot esošos vienas brauktuves vai izbūvējot jaunus divu brauktuvju autoceļus, viena km vidējās būvniecības izmaksas 2025.gada cenās ir aptuveni 9,4 milj. EUR". Vai tas nozīmē, ka vienas brauktuves autoceļu pārbūvei ir nepieciešams aptuveni tāds pats finansējums kā jaunu divu brauktuvju autoceļu izbūvei? Savukārt, informatīvā ziņojuma pielikumā  "Valsts autoceļu attīstības stratēģija līdz 2040.gadam" minētais liecina, ka divu brauktuvju autoceļu pārbūvei ir nepieciešams 3 - 9 reizes mazāks finansējums ("Pārbūvējot esošos divu brauktuvju autoceļus, viena km pārbūves izmaksas ir aptuveni 1,0 – 3,0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ir domāta pārbūve, kad ir divas joslas (tipveida Latvija autoceļi) jāpārbūvē par četru joslu ceļu, un kad ir jāpārbūvē jau esošie četru joslu ceļi atbilstoši Regulas prasībai.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aktualizēt informatīvā ziņojuma 3.7. sadaļas "Investīciju programma valsts autoceļu attīstībai administratīvi teritoriālās reformas kontekstā"  pēdējo rindkopu, ņemot vērā apjomu, kas pārdalīts 3.1.1.1.i investīcijas  "Valsts reģionālo un vietējo autoceļu tīkla uzlabošana" īstenošanai finansējuma pārdali" papildus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3.7.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3.4.sadaļu "Valsts reģionālo autoceļu būvniecība" ar zemsvītras atsauci, norādot ES fondu plānošanas periodu, pasākumu un finansējumu, kas iekļauts minētajos 415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2.3.sadaļu "Eiropas Savienības fondu līdzekļi" (turpmāk - sadaļa), ņemot vērā, ka atbilstoši Ministru kabineta 17.06.2025. sēdes protokola Nr. 24 56. §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(turpmāk - 1.3.1.1.i  investīcija) kopējais finansējums 3.1.1.1.i. investīcijas īstenošanai palielināts līdz 133 463 000 euro, nodrošinot projektu īstenošanu līdz 2026.gada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sadaļā, attiecībā uz finansējumu, skaidri norādīt vai minētais finansējuma apjoms ir Atveseļošanās fonda finansējums vai kopējais investīcijai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informatīvā ziņojuma 12. lappusē iekļauto uzdevumu Satiksmes ministrijai norādīt informatīvā ziņojuma 6. 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turpmaka rīcība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izvērstākas informācijas iekļaušanai par valsts reģionālo un vietējo autoceļu pārbūves un atjaunošanas investīciju programmu administratīvi teritoriālās reformas kontekstā, ņemot vērā visus finansēšanas avotus ATR ceļu programmas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- 36,91 milj. EUR ar PVN – faktiski izlietots 27,52 milj.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9. aprīļa Ministru kabineta rīkojums Nr. 237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- 55,00 milj. EUR ar PVN – faktiski izlietots 44,44 milj.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22. marta Ministru kabineta rīkojums Nr. 182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- 23,79 milj.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decembra Ministru kabineta sēdes protokola Nr. 80, 68.§,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- 111,68 milj. EUR ar PVN Eiropas Savienības Atveseļošanas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- 21,78 milj. EUR ar PVN papildus Eiropas Savienības Atveseļošanās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17. jūnija Ministru kabineta sēdes protokola Nr.24, 56.§,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Informatīvie ziņojumi par ATR ceļiem un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2019. gada 5. novembra sēdē izskatītais informatīvais ziņojums “Par investīciju programmu autoceļu attīstībai administratīvi teritoriālās reformas kontekstā” (prot. Nr.51/ 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https://www.varam.gov.lv/lv/investiciju-programma-autocelu-attistibai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2021. gada 14. decembra sēdē izskatītais informatīvais ziņojums “Par finanšu līdzekļu apguvi un nepieciešamo papildus finansējumu valsts reģionālo un vietējo autoceļu pārbūvei un atjaunošanai administratīvi teritoriālās reformas kontekstā” (prot. Nr.80/68.§).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https://tapportals.mk.gov.lv/legal_acts/fac3e450-70dc-4edb-87fa-b90fb70b94e1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2022. gada 8. novembra sēdē izskatītais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(prot. Nr. 56/36.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https://tapportals.mk.gov.lv/legal_acts/f80bff03-1d3b-4884-9fb5-dda500705a67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2025. gada 17. jūnija sēdē izskatītais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(prot. Nr.24/56.§).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https://tapportals.mk.gov.lv/legal_acts/c32afdbe-dbfe-44d5-a255-1c8119f30028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izstrādātās stratēģijas laika periodu 15 gadiem un tādus faktorus kā reģionā esošo pilsētu un novadu ekonomiskā attīstība, telpiskā izplešanās, apdzīvojuma centru un industriālo teritoriju veidošanās un citus laika gaitā potenciāli mainīgus apstākļus un būvdarbu realizācijai atbilstošo finansējumu, paredzēt iespēju ik gadu pārskatīt prioritāri pārbūvējamos autoceļu posmus, iesaistot plānošanas reģionus. Lūdzam informatīvā ziņojuma 3.6.sadaļā un 3.6.1.apakšsadaļā precizēt, kādos periodos un cik bieži plānošanas reģioniem ir iespēja  3. prioritātē attiecīgajā pašvaldībā, pašvaldībās vai plānošanas reģionā identificēto maršrutu vai maršrutus aizvietot ar citu līdzvērtīgu un samērīgu maršrutu vai maršrutiem.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plānošanas reģionam iesaistīties posmu izvēle ir atrunāta IZ, kā arī turpmākaja rīcībā.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Valsts robežsardze vairākkārt ir sniegusi atzinumus par valsts galveno autoceļu pirms robežšķērsošanas vietām attīstības un modernizācijas plāniem, lūdzam Informatīvajā ziņojumā iekļaut informāciju par sekojošu ceļa posmu pirms robežšķērsošanas vietām pārbūves plāniem, ievērojot kopējo stratēgiju līdz 2040.gadam: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galvenais autoceļš A12 Jēkabpils - Rēzekne - Ludza - Krievijas robeža (Terehova);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galvenais ceļš A13 Krievijas robeža (Grebņeva) - Rēzekne - Daugavpils - Lietuvas robeža (Medumi).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ceļu tīkla attīstība ir atspoguļota skatoties no tīkla - TEN-T pamattīkls vai vispārīgais TEN-T tīkls, tajā skaitā arī ir iekļauti robežšķērsošanas vietas, ja atbilst Regulas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paredzēto turpmāko rīcību attiecībā uz prioritātēm valsts galveno, reģionālo un vietējo autoceļu attīstība, kā arī darbības vietējās sasniedzamības nodrošināšanai Satiksmes ministrijas esošo valsts budžeta līdzekļu ietvaros vai piesaistot papildu ES fondu un citu ārvalstu finanšu palīdzības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protokollēmuma 2. punktu, aizstājot vārdu "attīstība"ar vārdu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paredzēto turpmāko rīcību attiecībā uz prioritātēm valsts galveno, reģionālo un vietējo autoceļu attīstībai, kā arī darbības vietējās sasniedzamības nodrošināšanai Satiksmes ministrijas esošo valsts budžeta līdzekļu ietvaros vai piesaistot papildu ES fondu un citu ārvalstu finanšu palīdzības finansējumu.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25-TA-1223</w:t>
    </w:r>
    <w:r>
      <w:br/>
    </w:r>
    <w:r w:rsidR="00000000" w:rsidRPr="00000000" w:rsidDel="00000000">
      <w:rPr>
        <w:rtl w:val="0"/>
      </w:rPr>
      <w:t xml:space="preserve">09.10.2025. 16.08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25-TA-1223</w:t>
    </w:r>
    <w:r>
      <w:br/>
    </w:r>
    <w:r w:rsidR="00000000" w:rsidRPr="00000000" w:rsidDel="00000000">
      <w:rPr>
        <w:rtl w:val="0"/>
      </w:rPr>
      <w:t xml:space="preserve">09.10.2025. 16.08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Izziņa_25-TA-1223.docx</dc:title>
</cp:coreProperties>
</file>

<file path=docProps/custom.xml><?xml version="1.0" encoding="utf-8"?>
<Properties xmlns="http://schemas.openxmlformats.org/officeDocument/2006/custom-properties" xmlns:vt="http://schemas.openxmlformats.org/officeDocument/2006/docPropsVTypes"/>
</file>