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153F114" w14:textId="77777777" w:rsidR="00410EC5"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10EC5" w14:paraId="51588F98" w14:textId="77777777">
        <w:tc>
          <w:tcPr>
            <w:tcW w:w="750" w:type="dxa"/>
            <w:shd w:val="clear" w:color="auto" w:fill="FFFFFF"/>
            <w:noWrap/>
            <w:tcMar>
              <w:top w:w="75" w:type="dxa"/>
              <w:left w:w="75" w:type="dxa"/>
              <w:bottom w:w="75" w:type="dxa"/>
              <w:right w:w="75" w:type="dxa"/>
            </w:tcMar>
            <w:vAlign w:val="center"/>
          </w:tcPr>
          <w:p w14:paraId="4C5471A5" w14:textId="77777777" w:rsidR="00410EC5" w:rsidRDefault="00000000">
            <w:pPr>
              <w:jc w:val="center"/>
            </w:pPr>
            <w:r>
              <w:rPr>
                <w:b/>
              </w:rPr>
              <w:t>Nr.p.k.</w:t>
            </w:r>
          </w:p>
        </w:tc>
        <w:tc>
          <w:tcPr>
            <w:tcW w:w="4155" w:type="dxa"/>
            <w:shd w:val="clear" w:color="auto" w:fill="FFFFFF"/>
            <w:noWrap/>
            <w:tcMar>
              <w:top w:w="75" w:type="dxa"/>
              <w:left w:w="75" w:type="dxa"/>
              <w:bottom w:w="75" w:type="dxa"/>
              <w:right w:w="75" w:type="dxa"/>
            </w:tcMar>
            <w:vAlign w:val="center"/>
          </w:tcPr>
          <w:p w14:paraId="5E989790" w14:textId="77777777" w:rsidR="00410EC5" w:rsidRDefault="0000000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1EFB5A3D" w14:textId="77777777" w:rsidR="00410EC5" w:rsidRDefault="0000000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2BC1915B" w14:textId="77777777" w:rsidR="00410EC5"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3BF21691" w14:textId="77777777" w:rsidR="00410EC5" w:rsidRDefault="00000000">
            <w:pPr>
              <w:jc w:val="center"/>
            </w:pPr>
            <w:r>
              <w:rPr>
                <w:b/>
              </w:rPr>
              <w:t>Pamatojums, ja iebildums / priekšlikums nav ņemts vērā</w:t>
            </w:r>
          </w:p>
        </w:tc>
      </w:tr>
      <w:tr w:rsidR="00410EC5" w14:paraId="22EF511D" w14:textId="77777777">
        <w:tc>
          <w:tcPr>
            <w:tcW w:w="750" w:type="dxa"/>
            <w:shd w:val="clear" w:color="auto" w:fill="FFFFFF"/>
            <w:noWrap/>
            <w:tcMar>
              <w:top w:w="75" w:type="dxa"/>
              <w:left w:w="75" w:type="dxa"/>
              <w:bottom w:w="75" w:type="dxa"/>
              <w:right w:w="75" w:type="dxa"/>
            </w:tcMar>
            <w:vAlign w:val="center"/>
          </w:tcPr>
          <w:p w14:paraId="4D8988AB" w14:textId="77777777" w:rsidR="00410EC5" w:rsidRDefault="00000000">
            <w:pPr>
              <w:jc w:val="center"/>
            </w:pPr>
            <w:r>
              <w:t>1.</w:t>
            </w:r>
          </w:p>
        </w:tc>
        <w:tc>
          <w:tcPr>
            <w:tcW w:w="4155" w:type="dxa"/>
            <w:shd w:val="clear" w:color="auto" w:fill="FFFFFF"/>
            <w:noWrap/>
            <w:tcMar>
              <w:top w:w="75" w:type="dxa"/>
              <w:left w:w="75" w:type="dxa"/>
              <w:bottom w:w="75" w:type="dxa"/>
              <w:right w:w="75" w:type="dxa"/>
            </w:tcMar>
            <w:vAlign w:val="center"/>
          </w:tcPr>
          <w:p w14:paraId="304CE8C8" w14:textId="77777777" w:rsidR="00410EC5" w:rsidRDefault="00000000">
            <w:pPr>
              <w:jc w:val="left"/>
            </w:pPr>
            <w:r>
              <w:t>Latvijas Finanšu nozares asociācija, Armands Onzuls</w:t>
            </w:r>
          </w:p>
        </w:tc>
        <w:tc>
          <w:tcPr>
            <w:tcW w:w="4156" w:type="dxa"/>
            <w:shd w:val="clear" w:color="auto" w:fill="FFFFFF"/>
            <w:noWrap/>
            <w:tcMar>
              <w:top w:w="75" w:type="dxa"/>
              <w:left w:w="75" w:type="dxa"/>
              <w:bottom w:w="75" w:type="dxa"/>
              <w:right w:w="75" w:type="dxa"/>
            </w:tcMar>
            <w:vAlign w:val="center"/>
          </w:tcPr>
          <w:p w14:paraId="118B0046" w14:textId="77777777" w:rsidR="00410EC5" w:rsidRDefault="00000000">
            <w:pPr>
              <w:jc w:val="left"/>
            </w:pPr>
            <w:r>
              <w:t>Latvijas Finanšu nozares asociācija (turpmāk – Asociācija) ir biedrība, kas pārstāv Latvijas finanšu nozari nacionālajā un starptautiskajā līmenī, apvienojot Latvijā reģistrētās kredītiestādes un ārzemju kredītiestāžu filiāles.</w:t>
            </w:r>
            <w:r>
              <w:br/>
            </w:r>
            <w:r>
              <w:br/>
              <w:t xml:space="preserve">Izvērtējot Finanšu minstrijas sagatavotos grozījumus likumā "Par nodokļiem un nodevām", kuru mērķis citastarp ir izslēgt no likuma darījuma aizdomīguma pazīmes nodokļu jomā, lai nodrošinātu nepārprotamu un vienveidīgu tiesību normu interpretāciju, </w:t>
            </w:r>
            <w:r>
              <w:rPr>
                <w:b/>
                <w:vertAlign w:val="superscript"/>
              </w:rPr>
              <w:t>Asociācija atbalsta grozījumus likuma 22.2 pantā</w:t>
            </w:r>
            <w:r>
              <w:t>.</w:t>
            </w:r>
            <w:r>
              <w:br/>
            </w:r>
            <w:r>
              <w:br/>
            </w:r>
            <w:r>
              <w:rPr>
                <w:b/>
              </w:rPr>
              <w:t>Vienlaikus Asociācija aicina veikt divus precizējumus:</w:t>
            </w:r>
            <w:r>
              <w:br/>
            </w:r>
            <w:r>
              <w:lastRenderedPageBreak/>
              <w:t>1. Saglabāt panta ceturto daļu, jo tā skaidrāk norāda uz to, ka IKS jāsatur noteikumi par aizdomīgiem darījumiem nodokļu jomā.</w:t>
            </w:r>
            <w:r>
              <w:br/>
              <w:t>2. Novērst pretrunu starp panta pirmo un otro daļu, jo no otrās daļas teksta var kļūdaini saprast, ka ziņošana aptver ne tikai noziedzīgus nodarījumus, bet arī administratīva rakstura pārkāpumus. Iespējams, otrā daļa jāpārformulē uz to, kādiem nolūkiem VID apstrādā datus, nevis kādēļ likuma subjekts sniedz ziņojumu.</w:t>
            </w:r>
          </w:p>
        </w:tc>
        <w:tc>
          <w:tcPr>
            <w:tcW w:w="1350" w:type="dxa"/>
            <w:shd w:val="clear" w:color="auto" w:fill="FFFFFF"/>
            <w:noWrap/>
            <w:tcMar>
              <w:top w:w="75" w:type="dxa"/>
              <w:left w:w="75" w:type="dxa"/>
              <w:bottom w:w="75" w:type="dxa"/>
              <w:right w:w="75" w:type="dxa"/>
            </w:tcMar>
            <w:vAlign w:val="center"/>
          </w:tcPr>
          <w:p w14:paraId="1C963913" w14:textId="69949A09" w:rsidR="00410EC5" w:rsidRDefault="00D64073">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4A1857DB" w14:textId="77777777" w:rsidR="00410EC5" w:rsidRDefault="00410EC5">
            <w:pPr>
              <w:jc w:val="left"/>
            </w:pPr>
          </w:p>
        </w:tc>
      </w:tr>
      <w:tr w:rsidR="00410EC5" w14:paraId="19F91E4C" w14:textId="77777777">
        <w:tc>
          <w:tcPr>
            <w:tcW w:w="750" w:type="dxa"/>
            <w:shd w:val="clear" w:color="auto" w:fill="FFFFFF"/>
            <w:noWrap/>
            <w:tcMar>
              <w:top w:w="75" w:type="dxa"/>
              <w:left w:w="75" w:type="dxa"/>
              <w:bottom w:w="75" w:type="dxa"/>
              <w:right w:w="75" w:type="dxa"/>
            </w:tcMar>
            <w:vAlign w:val="center"/>
          </w:tcPr>
          <w:p w14:paraId="5207963B" w14:textId="77777777" w:rsidR="00410EC5" w:rsidRDefault="00000000">
            <w:pPr>
              <w:jc w:val="center"/>
            </w:pPr>
            <w:r>
              <w:t>2.</w:t>
            </w:r>
          </w:p>
        </w:tc>
        <w:tc>
          <w:tcPr>
            <w:tcW w:w="4155" w:type="dxa"/>
            <w:shd w:val="clear" w:color="auto" w:fill="FFFFFF"/>
            <w:noWrap/>
            <w:tcMar>
              <w:top w:w="75" w:type="dxa"/>
              <w:left w:w="75" w:type="dxa"/>
              <w:bottom w:w="75" w:type="dxa"/>
              <w:right w:w="75" w:type="dxa"/>
            </w:tcMar>
            <w:vAlign w:val="center"/>
          </w:tcPr>
          <w:p w14:paraId="081B4754" w14:textId="77777777" w:rsidR="00410EC5" w:rsidRDefault="00000000">
            <w:pPr>
              <w:jc w:val="left"/>
            </w:pPr>
            <w:r>
              <w:t>Latvijas Darba devēju konfederācija</w:t>
            </w:r>
          </w:p>
        </w:tc>
        <w:tc>
          <w:tcPr>
            <w:tcW w:w="4156" w:type="dxa"/>
            <w:shd w:val="clear" w:color="auto" w:fill="FFFFFF"/>
            <w:noWrap/>
            <w:tcMar>
              <w:top w:w="75" w:type="dxa"/>
              <w:left w:w="75" w:type="dxa"/>
              <w:bottom w:w="75" w:type="dxa"/>
              <w:right w:w="75" w:type="dxa"/>
            </w:tcMar>
            <w:vAlign w:val="center"/>
          </w:tcPr>
          <w:p w14:paraId="198C1897" w14:textId="77777777" w:rsidR="00410EC5" w:rsidRDefault="00000000">
            <w:pPr>
              <w:jc w:val="left"/>
            </w:pPr>
            <w:r>
              <w:t>Latvijas Darba devēju konfederācija (turpmāk - LDDK) ir iepazinusies ar Tiesību aktu portālā sabiedriskai apspriešanai iekļauto likumprojektu  “Grozījumi likumā “Par nodokļiem un nodevām”” (24-TA-151) (turpmāk – Likumprojekts)</w:t>
            </w:r>
            <w:r>
              <w:br/>
            </w:r>
            <w:r>
              <w:br/>
              <w:t xml:space="preserve">Kopumā atbalstām Likumprojektā ietvertos grozījumus, tomēr vēlamies norādīt uz šobrīd </w:t>
            </w:r>
            <w:r>
              <w:lastRenderedPageBreak/>
              <w:t>identificētiem nepieciešamiem uzlabojumiem, kas nodrošinātu administratīvā sloga mazināšanu gan uzņēmējiem, gan uzņēmējus uzraugošajām valsts iestādēm.</w:t>
            </w:r>
            <w:r>
              <w:br/>
            </w:r>
            <w:r>
              <w:br/>
            </w:r>
            <w:r>
              <w:rPr>
                <w:b/>
              </w:rPr>
              <w:t>LDDK iebilst pret Likumprojekta pantiem - no 16.panta līdz 18.pantam.</w:t>
            </w:r>
            <w:r>
              <w:br/>
            </w:r>
            <w:r>
              <w:br/>
            </w:r>
            <w:r>
              <w:rPr>
                <w:b/>
              </w:rPr>
              <w:t>Pamatojums:</w:t>
            </w:r>
            <w:r>
              <w:br/>
              <w:t xml:space="preserve">1) Individuālu rīkojumu (e-dokumentu) nosūtīšana elektronisko sakaru komersantiem rada administratīvu slogu abās pusēs, arī pieprasītāja pusē. Šobrīd tiesības ierobežot interneta resursus ir Nacionālās elektronisko plašsaziņas līdzekļu padomei (NEPLP), Patērētāju tiesību aizsardzības centram (PTAC), Veselības Inspekcijai, Izložu un azartspēļu uzraudzības inspekcijai (IAUI), Valsts ieņēmumu dienestam (VID), Valsts Policijai  un līdz ar jauno Nacionālā Kiberdrošības likuma stāšanos spēkā arī  Satversmes </w:t>
            </w:r>
            <w:r>
              <w:lastRenderedPageBreak/>
              <w:t>aizsardzības birojam un Nacionālajam kiberdrošības centram. Aicinām valstī noteikt vienotu institūciju, kura uztur aktuālu visu valsts institūciju ierobežoto interneta resursu sarakstu mašīnlasāmā formātā elektronisko sakaru komersantiem, jo šobrīd jau  tiek bloķēti vairāk kā 11 000 domēna vārdi.  Šobrīd faktiski šādu funkciju veic  augstākā līmeņa domēna ".lv" reģistra un elektroniskās numurēšanas sistēmas uzturētājs – Latvijas Universitātes Matemātikas un informātikas institūts, “DNS ugunsmūris” risinājuma ietvaros, bet šāda funkcija nav noteikta likumā, izņemot attiecībā uz Satversmes aizsardzības biroja un Nacionālā Kiberdrošības centra lēmumiem.</w:t>
            </w:r>
            <w:r>
              <w:br/>
            </w:r>
            <w:r>
              <w:br/>
              <w:t xml:space="preserve">2) Resursa ierobežošana izraisa apjukumu interneta lietotājiem, kā rezultātā tie vēršas pie elektronisko sakaru pakalpojumu sniedzējiem ar pretenzijām. Nepieciešams noteikt, </w:t>
            </w:r>
            <w:r>
              <w:lastRenderedPageBreak/>
              <w:t>ka augstākā līmeņa domēna ".lv" reģistra un elektroniskās numurēšanas sistēmas uzturētājs  un/vai elektronisko sakaru pakalpojumu sniedzējs pārvirza gala lietotāja pieprasījumu uz ierobežošanas pieprasītāja uzturētu informatīvu interneta vietni.</w:t>
            </w:r>
            <w:r>
              <w:br/>
              <w:t>Kā pozitīvu piemēru norādām Elektronisko sakaru likuma (ESL) 109. pantā “Izložu un azartspēļu uzraudzības inspekcijas tiesības” noteikto: “(6) Elektronisko sakaru komersants, izpildot šā panta ceturtajā daļā noteikto prasību, vienlaikus pāradresē galalietotāju uz Izložu un azartspēļu uzraudzības inspekcijas tīmekļvietni, kur norādīta informācija par personai piemērojamo atbildību”.</w:t>
            </w:r>
            <w:r>
              <w:br/>
            </w:r>
            <w:r>
              <w:br/>
              <w:t>Tādējādi interneta lietotājs tiek informēts par iemeslu (informācija par lēmuma pieņēmēju un pārsūdzības iespējām).</w:t>
            </w:r>
            <w:r>
              <w:br/>
              <w:t xml:space="preserve">Līdzvērtīgi kā ESL ir ietverts regulējums attiecībā uz IAUI, būtu </w:t>
            </w:r>
            <w:r>
              <w:lastRenderedPageBreak/>
              <w:t>izstrādājams regulējums arī citām valsts pārvaldes iestādēm, tai skaitā VID. Veselības inspekcijai un NEPLP mājas lapā ir iespējams atrast informāciju par IP adreses bloķēšanas iemeslu. Mūsu ieskatā būtu nepieciešams papildināt ESL, lai izveidotu līdzvērtīgu regulējumu attiecībā uz visām valsts pārvaldes iestādēm, kas minētas ESL attiecībā uz IP adreses bloķēšanu.</w:t>
            </w:r>
            <w:r>
              <w:br/>
            </w:r>
            <w:r>
              <w:br/>
              <w:t xml:space="preserve">3) Attīstoties tehnoloģijām un mākoņdatošanai, vienu un to pašu IP adresi var izmantot daudzi un dažādi uzņēmumi. Ir bijuši negatīvi piemēri, kad valsts institūciju uzdevumā, bloķējot IP adresi, tiek pārtraukta sabiedrībai būtisku un svarīgu pakalpojumu sniegšana, piemēram, bloķējot viena uzņēmuma resursu, vienlaikus tiek nobloķēta piekļuve e-klasei, “Dobeles ūdens” un “Rīgas Siltuma” mājas lapai. Aicinām noteikt, ka pirms IP adreses bloķēšanas VID konsultējas ar </w:t>
            </w:r>
            <w:r>
              <w:lastRenderedPageBreak/>
              <w:t>Nacionālo Kiberdrošības centru, kurš kompetenti varētu izvērtēt šāda lēmuma ietekmi uz it kā nesaistītiem interneta resursiem.</w:t>
            </w:r>
            <w:r>
              <w:br/>
            </w:r>
            <w:r>
              <w:br/>
            </w:r>
            <w:r>
              <w:rPr>
                <w:b/>
              </w:rPr>
              <w:t>Priekšlikumi:</w:t>
            </w:r>
            <w:r>
              <w:br/>
              <w:t>1) Nepieciešams valstī noteikt vienotu institūciju, kura uztur aktuālu visu valsts institūciju ierobežoto resursu sarakstu mašīnlasāmā formātā;</w:t>
            </w:r>
            <w:r>
              <w:br/>
              <w:t>2) Nepieciešams noteikt, ka elektronisko sakaru pakalpojumu sniedzējs pārvirza pieprasījumu uz ierobežošanas pieprasītāja uzturētu informatīvu interneta vietni;</w:t>
            </w:r>
            <w:r>
              <w:br/>
              <w:t>3) Aicinām noteikt, ka pirms IP adreses bloķēšanas, VID konsultējas ar Nacionālo Kiberdrošības centru, kurš kompetenti varētu izvērtēt šāda lēmuma ietekmi uz it kā nesaistītiem interneta resursiem.</w:t>
            </w:r>
          </w:p>
        </w:tc>
        <w:tc>
          <w:tcPr>
            <w:tcW w:w="1350" w:type="dxa"/>
            <w:shd w:val="clear" w:color="auto" w:fill="FFFFFF"/>
            <w:noWrap/>
            <w:tcMar>
              <w:top w:w="75" w:type="dxa"/>
              <w:left w:w="75" w:type="dxa"/>
              <w:bottom w:w="75" w:type="dxa"/>
              <w:right w:w="75" w:type="dxa"/>
            </w:tcMar>
            <w:vAlign w:val="center"/>
          </w:tcPr>
          <w:p w14:paraId="2E981FBD" w14:textId="43995317" w:rsidR="00410EC5" w:rsidRDefault="00D64073">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259E9A05" w14:textId="0CA1AA27" w:rsidR="00410EC5" w:rsidRDefault="00D64073">
            <w:pPr>
              <w:jc w:val="left"/>
            </w:pPr>
            <w:r>
              <w:t>Likumprojektā iekļautie grozījumi</w:t>
            </w:r>
            <w:r w:rsidR="00D5101F">
              <w:t xml:space="preserve">, kas paredz </w:t>
            </w:r>
            <w:r>
              <w:t>Valsts ieņēmumu dienesta tiesīb</w:t>
            </w:r>
            <w:r w:rsidR="00D5101F">
              <w:t xml:space="preserve">as </w:t>
            </w:r>
            <w:r>
              <w:t xml:space="preserve">pieņemt lēmumu par to, ka </w:t>
            </w:r>
            <w:r w:rsidR="00D5101F">
              <w:t>Latvijas Republikā ierobežojama piekļuve domēna vārdam vai interneta protokola (IP) adresei</w:t>
            </w:r>
            <w:r w:rsidR="00D5101F">
              <w:t xml:space="preserve">, ir izstrādāti, lai salāgotu likuma regulējumu ar Elektronisko sakara likuma </w:t>
            </w:r>
            <w:r w:rsidR="00D5101F">
              <w:t>110.panta ceturt</w:t>
            </w:r>
            <w:r w:rsidR="00D5101F">
              <w:t>o daļu, kurā jau šobrīd šādi lēmuma veidi ir paredzēti.</w:t>
            </w:r>
          </w:p>
          <w:p w14:paraId="1D06690F" w14:textId="6808CE22" w:rsidR="00D64073" w:rsidRDefault="00D5101F">
            <w:pPr>
              <w:jc w:val="left"/>
            </w:pPr>
            <w:r>
              <w:rPr>
                <w:color w:val="auto"/>
              </w:rPr>
              <w:t xml:space="preserve">Tā kā </w:t>
            </w:r>
            <w:r w:rsidR="00D64073">
              <w:rPr>
                <w:color w:val="auto"/>
              </w:rPr>
              <w:t xml:space="preserve">Latvijas Darba devēju </w:t>
            </w:r>
            <w:r w:rsidR="00D64073">
              <w:rPr>
                <w:color w:val="auto"/>
              </w:rPr>
              <w:lastRenderedPageBreak/>
              <w:t>konfederācijas atzinums būtībā ir saistīts ar Elektronisko sakaru likuma regulējuma piemērošanu, Finanšu ministrija to nosūtīs zināšanai Satiksmes ministrijai</w:t>
            </w:r>
            <w:r>
              <w:rPr>
                <w:color w:val="auto"/>
              </w:rPr>
              <w:t>.</w:t>
            </w:r>
          </w:p>
        </w:tc>
      </w:tr>
    </w:tbl>
    <w:p w14:paraId="050C05C8" w14:textId="77777777" w:rsidR="00743BA5" w:rsidRDefault="00743BA5"/>
    <w:sectPr w:rsidR="00743BA5">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767CD" w14:textId="77777777" w:rsidR="00743BA5" w:rsidRDefault="00743BA5">
      <w:r>
        <w:separator/>
      </w:r>
    </w:p>
  </w:endnote>
  <w:endnote w:type="continuationSeparator" w:id="0">
    <w:p w14:paraId="321F9464" w14:textId="77777777" w:rsidR="00743BA5" w:rsidRDefault="0074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7225C" w14:textId="77777777" w:rsidR="00410EC5" w:rsidRDefault="00000000">
    <w:pPr>
      <w:jc w:val="right"/>
    </w:pPr>
    <w:r>
      <w:rPr>
        <w:sz w:val="24"/>
        <w:szCs w:val="24"/>
      </w:rPr>
      <w:fldChar w:fldCharType="begin"/>
    </w:r>
    <w:r>
      <w:rPr>
        <w:sz w:val="24"/>
        <w:szCs w:val="24"/>
      </w:rPr>
      <w:instrText>PAGE</w:instrText>
    </w:r>
    <w:r w:rsidR="00D64073">
      <w:rPr>
        <w:sz w:val="24"/>
        <w:szCs w:val="24"/>
      </w:rPr>
      <w:fldChar w:fldCharType="separate"/>
    </w:r>
    <w:r w:rsidR="00D6407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1D21C"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70D4D" w14:textId="77777777" w:rsidR="00743BA5" w:rsidRDefault="00743BA5">
      <w:r>
        <w:separator/>
      </w:r>
    </w:p>
  </w:footnote>
  <w:footnote w:type="continuationSeparator" w:id="0">
    <w:p w14:paraId="776E9120" w14:textId="77777777" w:rsidR="00743BA5" w:rsidRDefault="00743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976F0" w14:textId="77777777" w:rsidR="00410EC5" w:rsidRDefault="00000000">
    <w:pPr>
      <w:pStyle w:val="Header"/>
      <w:contextualSpacing w:val="0"/>
    </w:pPr>
    <w:r>
      <w:t>Viedokļu pārskats 24-TA-151</w:t>
    </w:r>
    <w:r>
      <w:br/>
      <w:t>Izdrukāts 21.06.2024. 12.54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11AF" w14:textId="77777777" w:rsidR="00410EC5" w:rsidRDefault="00000000">
    <w:pPr>
      <w:pStyle w:val="Header"/>
      <w:contextualSpacing w:val="0"/>
    </w:pPr>
    <w:r>
      <w:t>Viedokļu pārskats 24-TA-151</w:t>
    </w:r>
    <w:r>
      <w:br/>
      <w:t>Izdrukāts 21.06.2024. 12.54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10EC5"/>
    <w:rsid w:val="00410EC5"/>
    <w:rsid w:val="00743BA5"/>
    <w:rsid w:val="00D5101F"/>
    <w:rsid w:val="00D640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F4DA"/>
  <w15:docId w15:val="{7FF05712-46FD-4925-83A9-04403D81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3875</Words>
  <Characters>2209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viedoklu_parskats_24-TA-151.docx</vt:lpstr>
    </vt:vector>
  </TitlesOfParts>
  <Company>Finanšu Ministrija</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viedoklu_parskats_24-TA-151.docx</dc:title>
  <cp:lastModifiedBy>NASIPD</cp:lastModifiedBy>
  <cp:revision>2</cp:revision>
  <dcterms:created xsi:type="dcterms:W3CDTF">2024-06-21T09:54:00Z</dcterms:created>
  <dcterms:modified xsi:type="dcterms:W3CDTF">2024-06-21T10:11:00Z</dcterms:modified>
</cp:coreProperties>
</file>