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4FBA271" w14:textId="77777777" w:rsidR="00B92B94" w:rsidRDefault="00AD0F7D">
      <w:pPr>
        <w:spacing w:after="240"/>
        <w:jc w:val="center"/>
        <w:rPr>
          <w:b/>
        </w:rPr>
      </w:pPr>
      <w:r>
        <w:rPr>
          <w:b/>
        </w:rPr>
        <w:t>Sabiedrības iebildumi un priekšlikumi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155"/>
        <w:gridCol w:w="4156"/>
        <w:gridCol w:w="1350"/>
        <w:gridCol w:w="4156"/>
      </w:tblGrid>
      <w:tr w:rsidR="00B92B94" w14:paraId="0EDBC885" w14:textId="77777777" w:rsidTr="7FB0B6B8">
        <w:tc>
          <w:tcPr>
            <w:tcW w:w="750" w:type="dxa"/>
            <w:shd w:val="clear" w:color="auto" w:fill="FFFFFF" w:themeFill="background1"/>
            <w:noWrap/>
            <w:tcMar>
              <w:top w:w="75" w:type="dxa"/>
              <w:left w:w="75" w:type="dxa"/>
              <w:bottom w:w="75" w:type="dxa"/>
              <w:right w:w="75" w:type="dxa"/>
            </w:tcMar>
            <w:vAlign w:val="center"/>
          </w:tcPr>
          <w:p w14:paraId="5493BA91" w14:textId="77777777" w:rsidR="00B92B94" w:rsidRDefault="00AD0F7D">
            <w:pPr>
              <w:jc w:val="center"/>
            </w:pPr>
            <w:r>
              <w:rPr>
                <w:b/>
              </w:rPr>
              <w:t>Nr.p.k.</w:t>
            </w:r>
          </w:p>
        </w:tc>
        <w:tc>
          <w:tcPr>
            <w:tcW w:w="4155" w:type="dxa"/>
            <w:shd w:val="clear" w:color="auto" w:fill="FFFFFF" w:themeFill="background1"/>
            <w:noWrap/>
            <w:tcMar>
              <w:top w:w="75" w:type="dxa"/>
              <w:left w:w="75" w:type="dxa"/>
              <w:bottom w:w="75" w:type="dxa"/>
              <w:right w:w="75" w:type="dxa"/>
            </w:tcMar>
            <w:vAlign w:val="center"/>
          </w:tcPr>
          <w:p w14:paraId="42692DA2" w14:textId="77777777" w:rsidR="00B92B94" w:rsidRDefault="00AD0F7D">
            <w:pPr>
              <w:jc w:val="center"/>
            </w:pPr>
            <w:r>
              <w:rPr>
                <w:b/>
              </w:rPr>
              <w:t>Iebilduma / priekšlikuma iesniedzējs</w:t>
            </w:r>
          </w:p>
        </w:tc>
        <w:tc>
          <w:tcPr>
            <w:tcW w:w="4156" w:type="dxa"/>
            <w:shd w:val="clear" w:color="auto" w:fill="FFFFFF" w:themeFill="background1"/>
            <w:noWrap/>
            <w:tcMar>
              <w:top w:w="75" w:type="dxa"/>
              <w:left w:w="75" w:type="dxa"/>
              <w:bottom w:w="75" w:type="dxa"/>
              <w:right w:w="75" w:type="dxa"/>
            </w:tcMar>
            <w:vAlign w:val="center"/>
          </w:tcPr>
          <w:p w14:paraId="58087B56" w14:textId="77777777" w:rsidR="00B92B94" w:rsidRDefault="00AD0F7D">
            <w:pPr>
              <w:jc w:val="center"/>
            </w:pPr>
            <w:r>
              <w:rPr>
                <w:b/>
              </w:rPr>
              <w:t>Iesniegtā iebilduma / priekšlikuma būtība</w:t>
            </w:r>
          </w:p>
        </w:tc>
        <w:tc>
          <w:tcPr>
            <w:tcW w:w="1350" w:type="dxa"/>
            <w:shd w:val="clear" w:color="auto" w:fill="FFFFFF" w:themeFill="background1"/>
            <w:noWrap/>
            <w:tcMar>
              <w:top w:w="75" w:type="dxa"/>
              <w:left w:w="75" w:type="dxa"/>
              <w:bottom w:w="75" w:type="dxa"/>
              <w:right w:w="75" w:type="dxa"/>
            </w:tcMar>
            <w:vAlign w:val="center"/>
          </w:tcPr>
          <w:p w14:paraId="58708A20" w14:textId="77777777" w:rsidR="00B92B94" w:rsidRDefault="00AD0F7D">
            <w:pPr>
              <w:jc w:val="center"/>
            </w:pPr>
            <w:r>
              <w:rPr>
                <w:b/>
              </w:rPr>
              <w:t>Ņemts vērā / nav ņemts vērā</w:t>
            </w:r>
          </w:p>
        </w:tc>
        <w:tc>
          <w:tcPr>
            <w:tcW w:w="4156" w:type="dxa"/>
            <w:shd w:val="clear" w:color="auto" w:fill="FFFFFF" w:themeFill="background1"/>
            <w:noWrap/>
            <w:tcMar>
              <w:top w:w="75" w:type="dxa"/>
              <w:left w:w="75" w:type="dxa"/>
              <w:bottom w:w="75" w:type="dxa"/>
              <w:right w:w="75" w:type="dxa"/>
            </w:tcMar>
            <w:vAlign w:val="center"/>
          </w:tcPr>
          <w:p w14:paraId="706FDF70" w14:textId="77777777" w:rsidR="00B92B94" w:rsidRDefault="00AD0F7D">
            <w:pPr>
              <w:jc w:val="center"/>
            </w:pPr>
            <w:r>
              <w:rPr>
                <w:b/>
              </w:rPr>
              <w:t>Pamatojums, ja iebildums / priekšlikums nav ņemts vērā</w:t>
            </w:r>
          </w:p>
        </w:tc>
      </w:tr>
      <w:tr w:rsidR="00B92B94" w14:paraId="2ED45A44" w14:textId="77777777" w:rsidTr="7FB0B6B8">
        <w:tc>
          <w:tcPr>
            <w:tcW w:w="750" w:type="dxa"/>
            <w:shd w:val="clear" w:color="auto" w:fill="FFFFFF" w:themeFill="background1"/>
            <w:noWrap/>
            <w:tcMar>
              <w:top w:w="75" w:type="dxa"/>
              <w:left w:w="75" w:type="dxa"/>
              <w:bottom w:w="75" w:type="dxa"/>
              <w:right w:w="75" w:type="dxa"/>
            </w:tcMar>
            <w:vAlign w:val="center"/>
          </w:tcPr>
          <w:p w14:paraId="20A86179" w14:textId="77777777" w:rsidR="00B92B94" w:rsidRDefault="00AD0F7D">
            <w:pPr>
              <w:jc w:val="center"/>
            </w:pPr>
            <w:r>
              <w:t>1.</w:t>
            </w:r>
          </w:p>
        </w:tc>
        <w:tc>
          <w:tcPr>
            <w:tcW w:w="4155" w:type="dxa"/>
            <w:shd w:val="clear" w:color="auto" w:fill="FFFFFF" w:themeFill="background1"/>
            <w:noWrap/>
            <w:tcMar>
              <w:top w:w="75" w:type="dxa"/>
              <w:left w:w="75" w:type="dxa"/>
              <w:bottom w:w="75" w:type="dxa"/>
              <w:right w:w="75" w:type="dxa"/>
            </w:tcMar>
            <w:vAlign w:val="center"/>
          </w:tcPr>
          <w:p w14:paraId="76B0198C" w14:textId="77777777" w:rsidR="00B92B94" w:rsidRDefault="00AD0F7D">
            <w:pPr>
              <w:jc w:val="left"/>
            </w:pPr>
            <w:r>
              <w:t>Fiziska persona</w:t>
            </w:r>
          </w:p>
        </w:tc>
        <w:tc>
          <w:tcPr>
            <w:tcW w:w="4156" w:type="dxa"/>
            <w:shd w:val="clear" w:color="auto" w:fill="FFFFFF" w:themeFill="background1"/>
            <w:noWrap/>
            <w:tcMar>
              <w:top w:w="75" w:type="dxa"/>
              <w:left w:w="75" w:type="dxa"/>
              <w:bottom w:w="75" w:type="dxa"/>
              <w:right w:w="75" w:type="dxa"/>
            </w:tcMar>
            <w:vAlign w:val="center"/>
          </w:tcPr>
          <w:p w14:paraId="5CD111B5" w14:textId="4EAEEC27" w:rsidR="00B92B94" w:rsidRDefault="00AD0F7D">
            <w:pPr>
              <w:jc w:val="left"/>
            </w:pPr>
            <w:r>
              <w:t> Labdien,</w:t>
            </w:r>
            <w:r w:rsidR="69BBF482">
              <w:t xml:space="preserve"> </w:t>
            </w:r>
            <w:r>
              <w:t xml:space="preserve">lai ēku siltināšana raitāk virzītos uz priekšu, būtu nepieciešama lielāka apsaimniekotāja iesaiste. Runāju no Rīgas Nama Pārvaldnieka (RNP) pārvaldītas Āgenskalna priežu apkaimes daudzīvokļu nama iedzīvotāja. Ir bijušas vairākās sapulces un apspriešanas pagalmos un citās sanākšanas vietās par tēmu siltināšana un renovācija. Diemžēl jāsecina, ka par tēmu ir ļoti daudz aizspriedumu (piemēram, ka silikāta ķieģeli labi tur siltumu, ka pēc renovācijas viss pelēs, ka visi visus grib apkrāpt utt), bet ir arī ļoti daudzi, kuri ļoti labprāt siltinātu un renovētu un kuri saprot, ka tas paildzinās ēku ilgtspēju un palielinās vērtību. No mana skatupunkta lielākais klupšanas </w:t>
            </w:r>
            <w:r>
              <w:lastRenderedPageBreak/>
              <w:t>akmens ir tieši pats pirmais solis - cilvēki nezin ar ko sākt, kā savākt parakstus, kā nobalsot. Cilvēkus attur ļoti liela birokrātiskā procedūra, arī informācijas trūkums. Es uzskatu, ka apsaimniekotājam būtu jāuzņemās lielāka loma šajā procesā, vismaz veicot pirmās aptaujas - par/pret (kaut vai attālināti). Es un daudzi citi mūsu mājā labprāt renovētu un siltinātu, bet kas tālāk??? Biedrības dibināšanas nestrādā, tāpēc uzskatu, ka Rīgas gadījumā RNP būtu jābūt aktīvai šīs lietas virzīšanai (bezjedzīgi semināri nestrādā)</w:t>
            </w:r>
            <w:r>
              <w:br/>
              <w:t>cieņā</w:t>
            </w:r>
            <w:r>
              <w:br/>
              <w:t>Eva</w:t>
            </w:r>
          </w:p>
        </w:tc>
        <w:tc>
          <w:tcPr>
            <w:tcW w:w="1350" w:type="dxa"/>
            <w:shd w:val="clear" w:color="auto" w:fill="FFFFFF" w:themeFill="background1"/>
            <w:noWrap/>
            <w:tcMar>
              <w:top w:w="75" w:type="dxa"/>
              <w:left w:w="75" w:type="dxa"/>
              <w:bottom w:w="75" w:type="dxa"/>
              <w:right w:w="75" w:type="dxa"/>
            </w:tcMar>
            <w:vAlign w:val="center"/>
          </w:tcPr>
          <w:p w14:paraId="5BA144B6" w14:textId="4FE68538" w:rsidR="00B92B94" w:rsidRDefault="00AE31E0" w:rsidP="00AE31E0">
            <w:pPr>
              <w:jc w:val="center"/>
            </w:pPr>
            <w:r>
              <w:lastRenderedPageBreak/>
              <w:t>Ņemts vērā</w:t>
            </w:r>
          </w:p>
        </w:tc>
        <w:tc>
          <w:tcPr>
            <w:tcW w:w="4156" w:type="dxa"/>
            <w:shd w:val="clear" w:color="auto" w:fill="FFFFFF" w:themeFill="background1"/>
            <w:noWrap/>
            <w:tcMar>
              <w:top w:w="75" w:type="dxa"/>
              <w:left w:w="75" w:type="dxa"/>
              <w:bottom w:w="75" w:type="dxa"/>
              <w:right w:w="75" w:type="dxa"/>
            </w:tcMar>
            <w:vAlign w:val="center"/>
          </w:tcPr>
          <w:p w14:paraId="4982F8B3" w14:textId="1F585E40" w:rsidR="00B92B94" w:rsidRDefault="00B92B94">
            <w:pPr>
              <w:jc w:val="left"/>
            </w:pPr>
          </w:p>
          <w:p w14:paraId="56E2C82C" w14:textId="77777777" w:rsidR="0025789A" w:rsidRDefault="00E35286">
            <w:pPr>
              <w:jc w:val="left"/>
            </w:pPr>
            <w:r>
              <w:t xml:space="preserve">Pateicamies par sniegto viedokli un informējam, ka šobrīd mājokļu politikas jomā tiek strādāts </w:t>
            </w:r>
            <w:r w:rsidR="000B195E">
              <w:t xml:space="preserve">pie risinājumu izstrādes, lai atvieglotu gan dzīvokļu īpašnieku, gan apsaimniekotāju </w:t>
            </w:r>
            <w:r w:rsidR="00E513B2">
              <w:t>lēmumu pieņemšanu un iesaisti.</w:t>
            </w:r>
          </w:p>
          <w:p w14:paraId="4827D97C" w14:textId="5144CCD1" w:rsidR="00B67F14" w:rsidRDefault="005F6B0D" w:rsidP="00B67F14">
            <w:pPr>
              <w:jc w:val="left"/>
            </w:pPr>
            <w:r>
              <w:t>Viens no risinājumiem</w:t>
            </w:r>
            <w:r w:rsidR="00E410A5">
              <w:t xml:space="preserve"> </w:t>
            </w:r>
            <w:r w:rsidR="00B67F14">
              <w:t xml:space="preserve">ir izmaiņas dzīvokļu īpašnieku </w:t>
            </w:r>
            <w:r w:rsidR="59ADFFCF">
              <w:t>lēmumu pieņemšanas</w:t>
            </w:r>
            <w:r w:rsidR="00B67F14">
              <w:t xml:space="preserve"> kārtībā. Līdz šim Dzīvokļa īpašuma likumā bija noteikts, ka dzīvokļu īpašnieku kopsapulce ir lemttiesīga un ar vienkāršo balsu vairākumu varēja pieņemt lēmumu tostarp par mājas energoefektivitātes pasākumu veikšanu, ja dalībnieku reģistrācijas sarakstā reģistrētie dzīvokļu īpašnieki pārstāv vairāk nekā pusi no visiem dzīvokļu </w:t>
            </w:r>
            <w:r w:rsidR="00B67F14">
              <w:lastRenderedPageBreak/>
              <w:t xml:space="preserve">īpašumiem. Ar 2024. gada 30. maijā pieņemtajiem grozījumiem likumā (https://likumi.lv/ta/id/352746-grozijumi-dzivokla-ipasuma-likuma ), kas stāsies spēkā 2024. gada 1. novembrī, paredzēts, ka gadījumā, ja dzīvokļu īpašnieku kopsapulce nav lemttiesīga (reģistrācijas sarakstā reģistrētie dzīvokļu īpašnieki nepārstāv vairāk nekā pusi no visiem dzīvokļu īpašumiem), tad to varēs sasaukt atkārtoti. Ja kopsapulce ar to pašu darba kārtību tiks atkārtoti sasaukta mēneša laikā, tā būs lemttiesīga, ja dalībnieku reģistrācijas sarakstā reģistrētie dzīvokļu īpašnieki pārstāvēs vairāk nekā vienu trešdaļu no visiem dzīvokļu īpašumiem. </w:t>
            </w:r>
          </w:p>
          <w:p w14:paraId="2391FEE0" w14:textId="0FE6F44B" w:rsidR="005F6B0D" w:rsidRDefault="00B67F14" w:rsidP="00B67F14">
            <w:pPr>
              <w:jc w:val="left"/>
            </w:pPr>
            <w:r>
              <w:t xml:space="preserve">Līdzīgs risinājums paredzēts arī aptaujās - ja dzīvokļu īpašnieki, kuri pārstāv vairāk nekā pusi no visiem dzīvokļu īpašumiem, noteiktajā termiņā nebūs snieguši rakstveida atbildi, mēneša laikā varēs tikt organizēta atkārtota </w:t>
            </w:r>
            <w:r>
              <w:lastRenderedPageBreak/>
              <w:t>aptauja, kurā aptaujas dalībnieku reģistrācijas sarakstā reģistrētie dzīvokļu īpašnieki pārstāv vairāk nekā vienu trešdaļu no visiem dzīvokļu īpašumiem. Lēmumu pieņemšanai atkārtotā kopsapulcē un aptaujā nepieciešams, lai "par" nobalsotu vairāk nekā puse no atkārtotajā kopsapulcē vai aptaujā pārstāvēto dzīvokļu īpašumu īpašniekiem.</w:t>
            </w:r>
          </w:p>
          <w:p w14:paraId="54D5F2E7" w14:textId="21059937" w:rsidR="005F6B0D" w:rsidRDefault="0BE2BDD1" w:rsidP="7FB0B6B8">
            <w:pPr>
              <w:jc w:val="left"/>
            </w:pPr>
            <w:r>
              <w:t>Šobrīd</w:t>
            </w:r>
            <w:r w:rsidR="78C70A73">
              <w:t xml:space="preserve">, esošā likuma ietvarā, </w:t>
            </w:r>
            <w:r>
              <w:t xml:space="preserve"> apsaimniekotāji jau var iesaistīties un iniciēt ēkas atjaunošanu</w:t>
            </w:r>
            <w:r w:rsidR="20FDA899">
              <w:t xml:space="preserve"> un rosināt iedzīvotājus lemt par ēkas atjaunošanu. </w:t>
            </w:r>
            <w:r>
              <w:t xml:space="preserve"> </w:t>
            </w:r>
            <w:r w:rsidR="46C1B74F">
              <w:t>Vienlaikus informējam, ka  tiek plānotas</w:t>
            </w:r>
            <w:r>
              <w:t xml:space="preserve"> izmaiņas</w:t>
            </w:r>
            <w:r w:rsidR="034FF7C4">
              <w:t xml:space="preserve"> </w:t>
            </w:r>
            <w:r w:rsidR="42E06EF2">
              <w:t xml:space="preserve">dzīvojamo </w:t>
            </w:r>
            <w:r w:rsidR="034FF7C4">
              <w:t>ēk</w:t>
            </w:r>
            <w:r w:rsidR="53772C1B">
              <w:t>u</w:t>
            </w:r>
            <w:r w:rsidR="034FF7C4">
              <w:t xml:space="preserve"> pārvaldīšanas likumā,</w:t>
            </w:r>
            <w:r>
              <w:t xml:space="preserve"> lai to varētu darīt vēl aktīvāk</w:t>
            </w:r>
            <w:r w:rsidR="5AFC0341">
              <w:t>. Tāpat regulāri sazināmies ar apsaimniekotājiem, tostarp, RNP, lai kopā rastu risinājumus efektīvākai ēku atjaunošanai.</w:t>
            </w:r>
          </w:p>
        </w:tc>
      </w:tr>
      <w:tr w:rsidR="00B92B94" w14:paraId="1BAD24C0" w14:textId="77777777" w:rsidTr="7FB0B6B8">
        <w:tc>
          <w:tcPr>
            <w:tcW w:w="750" w:type="dxa"/>
            <w:shd w:val="clear" w:color="auto" w:fill="FFFFFF" w:themeFill="background1"/>
            <w:noWrap/>
            <w:tcMar>
              <w:top w:w="75" w:type="dxa"/>
              <w:left w:w="75" w:type="dxa"/>
              <w:bottom w:w="75" w:type="dxa"/>
              <w:right w:w="75" w:type="dxa"/>
            </w:tcMar>
            <w:vAlign w:val="center"/>
          </w:tcPr>
          <w:p w14:paraId="2397AE15" w14:textId="77777777" w:rsidR="00B92B94" w:rsidRDefault="00AD0F7D">
            <w:pPr>
              <w:jc w:val="center"/>
            </w:pPr>
            <w:r>
              <w:lastRenderedPageBreak/>
              <w:t>2.</w:t>
            </w:r>
          </w:p>
        </w:tc>
        <w:tc>
          <w:tcPr>
            <w:tcW w:w="4155" w:type="dxa"/>
            <w:shd w:val="clear" w:color="auto" w:fill="FFFFFF" w:themeFill="background1"/>
            <w:noWrap/>
            <w:tcMar>
              <w:top w:w="75" w:type="dxa"/>
              <w:left w:w="75" w:type="dxa"/>
              <w:bottom w:w="75" w:type="dxa"/>
              <w:right w:w="75" w:type="dxa"/>
            </w:tcMar>
            <w:vAlign w:val="center"/>
          </w:tcPr>
          <w:p w14:paraId="0CFE2B22" w14:textId="77777777" w:rsidR="00B92B94" w:rsidRDefault="00AD0F7D">
            <w:pPr>
              <w:jc w:val="left"/>
            </w:pPr>
            <w:r>
              <w:t>"Zaļā brīvība"</w:t>
            </w:r>
          </w:p>
        </w:tc>
        <w:tc>
          <w:tcPr>
            <w:tcW w:w="4156" w:type="dxa"/>
            <w:shd w:val="clear" w:color="auto" w:fill="FFFFFF" w:themeFill="background1"/>
            <w:noWrap/>
            <w:tcMar>
              <w:top w:w="75" w:type="dxa"/>
              <w:left w:w="75" w:type="dxa"/>
              <w:bottom w:w="75" w:type="dxa"/>
              <w:right w:w="75" w:type="dxa"/>
            </w:tcMar>
            <w:vAlign w:val="center"/>
          </w:tcPr>
          <w:p w14:paraId="0DC9601E" w14:textId="3AC3A9FA" w:rsidR="00B92B94" w:rsidRDefault="00AD0F7D">
            <w:pPr>
              <w:jc w:val="left"/>
            </w:pPr>
            <w:r>
              <w:t>Biedrība "Zaļā brīvība" iepazinās ar noteikumu pro</w:t>
            </w:r>
            <w:r w:rsidR="009F472B">
              <w:t>jek</w:t>
            </w:r>
            <w:r>
              <w:t>tu un sniedz sekojošus ieteikumus:</w:t>
            </w:r>
            <w:r>
              <w:br/>
            </w:r>
            <w:r>
              <w:lastRenderedPageBreak/>
              <w:t>1) Noteikumu projekta 1.daļā trūkst paskaidrojums, atbilstoši kādai definīcijai vai spēkā esošiem normatīviem aktiem tiek noteikta iedzīvotāju atbilstība enerģētiskās nabadzības pakļauto personu grupai.</w:t>
            </w:r>
            <w:r>
              <w:br/>
              <w:t xml:space="preserve">2) </w:t>
            </w:r>
            <w:r w:rsidRPr="007B11B1">
              <w:t>2.daļu nepieciešams papildināt ar nosacījumu, ka atbalstu nevar saņemt, ja energoefektivitātes paaugstināšanas darbu laikā tiek plānota daudzdzīvokļu dzīvojamās ēkas atslēgšanās no efektīvas centralizētās siltumapgādes sistēmas.</w:t>
            </w:r>
            <w:r>
              <w:br/>
              <w:t>3) 22.2. pantā trūkst anotācijā norādītais minimālais kopējās primārās enerģijas ietaupījums (10%). Ierosinām nenoteikt maksimālo enerģijas ietaupījumu, jo tās noteikšana ir lieka un neatbilst investīcijas mērķim, t.i. sasniegt pēc iespējas lielāku emisiju ietaupījumu.</w:t>
            </w:r>
          </w:p>
        </w:tc>
        <w:tc>
          <w:tcPr>
            <w:tcW w:w="1350" w:type="dxa"/>
            <w:shd w:val="clear" w:color="auto" w:fill="FFFFFF" w:themeFill="background1"/>
            <w:noWrap/>
            <w:tcMar>
              <w:top w:w="75" w:type="dxa"/>
              <w:left w:w="75" w:type="dxa"/>
              <w:bottom w:w="75" w:type="dxa"/>
              <w:right w:w="75" w:type="dxa"/>
            </w:tcMar>
            <w:vAlign w:val="center"/>
          </w:tcPr>
          <w:p w14:paraId="01790B2F" w14:textId="11C0E973" w:rsidR="00B92B94" w:rsidRDefault="00EC3FC2">
            <w:pPr>
              <w:jc w:val="left"/>
            </w:pPr>
            <w:r>
              <w:lastRenderedPageBreak/>
              <w:t>Ņemts vērā</w:t>
            </w:r>
          </w:p>
        </w:tc>
        <w:tc>
          <w:tcPr>
            <w:tcW w:w="4156" w:type="dxa"/>
            <w:shd w:val="clear" w:color="auto" w:fill="FFFFFF" w:themeFill="background1"/>
            <w:noWrap/>
            <w:tcMar>
              <w:top w:w="75" w:type="dxa"/>
              <w:left w:w="75" w:type="dxa"/>
              <w:bottom w:w="75" w:type="dxa"/>
              <w:right w:w="75" w:type="dxa"/>
            </w:tcMar>
            <w:vAlign w:val="center"/>
          </w:tcPr>
          <w:p w14:paraId="12DAFB30" w14:textId="77777777" w:rsidR="00B92B94" w:rsidRDefault="0034788B" w:rsidP="00D70BEB">
            <w:pPr>
              <w:pStyle w:val="ListParagraph"/>
              <w:numPr>
                <w:ilvl w:val="0"/>
                <w:numId w:val="1"/>
              </w:numPr>
              <w:jc w:val="left"/>
            </w:pPr>
            <w:r>
              <w:t xml:space="preserve">Noteikumu projekta anotācijā iekļauts paskaidrojums par </w:t>
            </w:r>
            <w:r w:rsidR="00506FF2" w:rsidRPr="00506FF2">
              <w:lastRenderedPageBreak/>
              <w:t>enerģētiskās nabadzības</w:t>
            </w:r>
            <w:r w:rsidR="00454166">
              <w:t xml:space="preserve"> skartām mājsaimniecībām</w:t>
            </w:r>
            <w:r w:rsidR="000D37FA">
              <w:t>;</w:t>
            </w:r>
          </w:p>
          <w:p w14:paraId="7CB6F6AE" w14:textId="2C42323A" w:rsidR="000D37FA" w:rsidRDefault="001E421D" w:rsidP="00D70BEB">
            <w:pPr>
              <w:pStyle w:val="ListParagraph"/>
              <w:numPr>
                <w:ilvl w:val="0"/>
                <w:numId w:val="1"/>
              </w:numPr>
              <w:jc w:val="left"/>
            </w:pPr>
            <w:r>
              <w:t>Skaidrojam, ka šī noteikuma projekta ietvaros kā atbalstāmā darbība nav</w:t>
            </w:r>
            <w:r w:rsidR="00EF034F">
              <w:t xml:space="preserve"> ēkas atslēgšanās no centralizētās siltumapgādes sistēmas</w:t>
            </w:r>
            <w:r w:rsidR="00FE7BE8">
              <w:t xml:space="preserve">, līdz ar to, noteikumu projekts pēc būtības neatbalsta šādu </w:t>
            </w:r>
            <w:r w:rsidR="00211465">
              <w:t>darbību. Papildus skaidrojam, ka Noteikumu projekta 3</w:t>
            </w:r>
            <w:r w:rsidR="00AE0848">
              <w:t>2</w:t>
            </w:r>
            <w:r w:rsidR="00211465">
              <w:t xml:space="preserve">. punktā noteikta kārtība </w:t>
            </w:r>
            <w:r w:rsidR="001C42D2">
              <w:t>atbalsta saņemšanai siltumenerģijas ražošanas avotu iegādei.</w:t>
            </w:r>
            <w:r w:rsidR="261EA100">
              <w:t xml:space="preserve"> Jautājums ar ēkas siltumapgādes risinājumiem ir pašvaldību kompetencē. </w:t>
            </w:r>
          </w:p>
          <w:p w14:paraId="1BAECAF7" w14:textId="0A592801" w:rsidR="00134BE1" w:rsidRDefault="002A3F7A" w:rsidP="00D70BEB">
            <w:pPr>
              <w:pStyle w:val="ListParagraph"/>
              <w:numPr>
                <w:ilvl w:val="0"/>
                <w:numId w:val="1"/>
              </w:numPr>
              <w:jc w:val="left"/>
            </w:pPr>
            <w:r>
              <w:t xml:space="preserve">Noteikumu projekta punkts papildināts ar minimālo </w:t>
            </w:r>
            <w:r w:rsidR="00A93815">
              <w:t xml:space="preserve">kopējās primārās enerģijas ietaupījumu. Papildus skaidrojam, ka ierobežojums 29% apmērā nepieciešams, jo šim mērķim noteikts kapitāla atlaides </w:t>
            </w:r>
            <w:r w:rsidR="00C42A21">
              <w:t xml:space="preserve">izmaksu </w:t>
            </w:r>
            <w:r w:rsidR="00A93815">
              <w:t>ierobežojum</w:t>
            </w:r>
            <w:r w:rsidR="00C42A21">
              <w:t>s</w:t>
            </w:r>
            <w:r w:rsidR="00937E4A">
              <w:t xml:space="preserve">, nosakot, ka  </w:t>
            </w:r>
            <w:r w:rsidR="00411E8A">
              <w:t xml:space="preserve">kapitāla atlaide no cita </w:t>
            </w:r>
            <w:r w:rsidR="00411E8A">
              <w:lastRenderedPageBreak/>
              <w:t xml:space="preserve">finansētāja vai sabiedrības "Altum" attiecināmo izmaksu aizdevuma apmēra nepārsniedz </w:t>
            </w:r>
            <w:r w:rsidR="00937E4A">
              <w:t xml:space="preserve">80 000 </w:t>
            </w:r>
            <w:r w:rsidR="00937E4A">
              <w:rPr>
                <w:i/>
              </w:rPr>
              <w:t>euro</w:t>
            </w:r>
            <w:r w:rsidR="00937E4A">
              <w:t xml:space="preserve"> uz katra projekta attiecināmajām izmaksām</w:t>
            </w:r>
            <w:r w:rsidR="00411E8A">
              <w:t>.</w:t>
            </w:r>
          </w:p>
        </w:tc>
      </w:tr>
      <w:tr w:rsidR="00B92B94" w14:paraId="0E344C52" w14:textId="77777777" w:rsidTr="7FB0B6B8">
        <w:tc>
          <w:tcPr>
            <w:tcW w:w="750" w:type="dxa"/>
            <w:shd w:val="clear" w:color="auto" w:fill="FFFFFF" w:themeFill="background1"/>
            <w:noWrap/>
            <w:tcMar>
              <w:top w:w="75" w:type="dxa"/>
              <w:left w:w="75" w:type="dxa"/>
              <w:bottom w:w="75" w:type="dxa"/>
              <w:right w:w="75" w:type="dxa"/>
            </w:tcMar>
            <w:vAlign w:val="center"/>
          </w:tcPr>
          <w:p w14:paraId="5C678F82" w14:textId="77777777" w:rsidR="00B92B94" w:rsidRDefault="00AD0F7D">
            <w:pPr>
              <w:jc w:val="center"/>
            </w:pPr>
            <w:r>
              <w:lastRenderedPageBreak/>
              <w:t>3.</w:t>
            </w:r>
          </w:p>
        </w:tc>
        <w:tc>
          <w:tcPr>
            <w:tcW w:w="4155" w:type="dxa"/>
            <w:shd w:val="clear" w:color="auto" w:fill="FFFFFF" w:themeFill="background1"/>
            <w:noWrap/>
            <w:tcMar>
              <w:top w:w="75" w:type="dxa"/>
              <w:left w:w="75" w:type="dxa"/>
              <w:bottom w:w="75" w:type="dxa"/>
              <w:right w:w="75" w:type="dxa"/>
            </w:tcMar>
            <w:vAlign w:val="center"/>
          </w:tcPr>
          <w:p w14:paraId="0BF967CD" w14:textId="77777777" w:rsidR="00B92B94" w:rsidRDefault="00AD0F7D">
            <w:pPr>
              <w:jc w:val="left"/>
            </w:pPr>
            <w:r>
              <w:t>Rīgas valstspilsētas pašvaldības aģentūra "Rīgas enerģētikas aģentūra", Jānis Ikaunieks</w:t>
            </w:r>
          </w:p>
        </w:tc>
        <w:tc>
          <w:tcPr>
            <w:tcW w:w="4156" w:type="dxa"/>
            <w:shd w:val="clear" w:color="auto" w:fill="FFFFFF" w:themeFill="background1"/>
            <w:noWrap/>
            <w:tcMar>
              <w:top w:w="75" w:type="dxa"/>
              <w:left w:w="75" w:type="dxa"/>
              <w:bottom w:w="75" w:type="dxa"/>
              <w:right w:w="75" w:type="dxa"/>
            </w:tcMar>
            <w:vAlign w:val="center"/>
          </w:tcPr>
          <w:p w14:paraId="7A0FDF1D" w14:textId="77777777" w:rsidR="00B92B94" w:rsidRDefault="00AD0F7D">
            <w:pPr>
              <w:jc w:val="left"/>
            </w:pPr>
            <w:r>
              <w:t>Rīgas valstspilsētas pašvaldības aģentūras "Rīgas enerģētikas aģentūra" iebildumi un/vai priekšlikumi:</w:t>
            </w:r>
            <w:r>
              <w:br/>
              <w:t>- </w:t>
            </w:r>
            <w:r>
              <w:rPr>
                <w:b/>
              </w:rPr>
              <w:t>Iebildums.</w:t>
            </w:r>
            <w:r>
              <w:br/>
              <w:t>MK projekts 7.4. punktā paredz investīcijas ietvaros līdz 2029.gadam sasniegt mērķi, kura ietvaros tiek atbalstīti vismaz 2017 dzīvokļu īpašumi, kuros dzīvo enerģētikas nabadzības riskam pakļautas personas, bet MK projektā nav noteiktas rīcības kā tiek sasniegts šis mērķis.</w:t>
            </w:r>
            <w:r>
              <w:br/>
              <w:t>- </w:t>
            </w:r>
            <w:r>
              <w:rPr>
                <w:b/>
              </w:rPr>
              <w:t>Priekšlikums.</w:t>
            </w:r>
            <w:r>
              <w:br/>
              <w:t>Noteikt 31.punktā papildus atbalsta intensitāti 10% apmērā katram dzīvokļa īpašumam, ja tā īpašnieki ir enerģētikas nabadzības riskam pakļautas personas .</w:t>
            </w:r>
            <w:r>
              <w:br/>
            </w:r>
            <w:r>
              <w:rPr>
                <w:b/>
              </w:rPr>
              <w:t>- Iebildums </w:t>
            </w:r>
            <w:r>
              <w:br/>
            </w:r>
            <w:r>
              <w:lastRenderedPageBreak/>
              <w:t>28.2.4. un 66.2.1. punkti. Ēkas enegosertifikāts izstrādāts un iesniegts Būvniecības informācijas sistēmā līdz 2021. gada 15.aprīlim, tas ir izstrādāts atbilstoši tā laika normatīvajiem aktiem un ir spēkā 10 gadus. Prasība iesniegt pārrēķinu ir apgrūtinājums un barjera iedzīvotājiem, kas izriet no normatīvo aktu izmaiņām, kas šajā periodā stājušās spēkā. Līdz ar to uzskatām, ka pārrēķins jāveic atbalsta programmas administrētājiem nevis iedzīvotājiem, vai jānosaka pārrēķina koeficienti.  </w:t>
            </w:r>
            <w:r>
              <w:br/>
            </w:r>
            <w:r>
              <w:rPr>
                <w:b/>
              </w:rPr>
              <w:t>- Priekšlikums.</w:t>
            </w:r>
            <w:r>
              <w:br/>
              <w:t>Noteikt 61.4. punktā prasītās informācijas iesniegum veidlapu. Aprakstīt principus, kuri ir jāiekļauj un cik lielā mērā, lai ieviestu principus "Klimatdrošināšana", kā arī princips "Nenodarīt būtisku kaitējumu".</w:t>
            </w:r>
            <w:r>
              <w:br/>
            </w:r>
            <w:r>
              <w:br/>
            </w:r>
          </w:p>
        </w:tc>
        <w:tc>
          <w:tcPr>
            <w:tcW w:w="1350" w:type="dxa"/>
            <w:shd w:val="clear" w:color="auto" w:fill="FFFFFF" w:themeFill="background1"/>
            <w:noWrap/>
            <w:tcMar>
              <w:top w:w="75" w:type="dxa"/>
              <w:left w:w="75" w:type="dxa"/>
              <w:bottom w:w="75" w:type="dxa"/>
              <w:right w:w="75" w:type="dxa"/>
            </w:tcMar>
            <w:vAlign w:val="center"/>
          </w:tcPr>
          <w:p w14:paraId="4DEF4BDA" w14:textId="36432444" w:rsidR="00B92B94" w:rsidRDefault="0091544A">
            <w:pPr>
              <w:jc w:val="left"/>
            </w:pPr>
            <w: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788F2466" w14:textId="542DA31B" w:rsidR="00B92B94" w:rsidRDefault="00D20247" w:rsidP="00D20247">
            <w:pPr>
              <w:jc w:val="left"/>
            </w:pPr>
            <w:r>
              <w:t xml:space="preserve">1) </w:t>
            </w:r>
            <w:r w:rsidR="004F5506">
              <w:t xml:space="preserve">Skaidrojam, ka anotācijā iekļauts skaidrojums kā tiks </w:t>
            </w:r>
            <w:r>
              <w:t>nodrošināta šī rādītāja izpilde.</w:t>
            </w:r>
          </w:p>
          <w:p w14:paraId="40441515" w14:textId="3152BA63" w:rsidR="00D20247" w:rsidRDefault="00D20247" w:rsidP="00D20247">
            <w:r>
              <w:t xml:space="preserve">Rādītāji “dzīvokļu īpašumi, kuros dzīvo enerģētikas nabadzības riskam pakļautas personas” tiek </w:t>
            </w:r>
            <w:r w:rsidR="12CFFAB6">
              <w:t>pamatoti</w:t>
            </w:r>
            <w:r>
              <w:t xml:space="preserve"> </w:t>
            </w:r>
            <w:r w:rsidR="37E06FCA">
              <w:t>un mērīti balstoties uz</w:t>
            </w:r>
            <w:r>
              <w:t xml:space="preserve"> Centrālajā statistikas pārvaldes</w:t>
            </w:r>
            <w:r w:rsidR="0071AA04">
              <w:t xml:space="preserve"> datiem par</w:t>
            </w:r>
            <w:r>
              <w:t xml:space="preserve"> vidēji statistisko procentuālo apjomu no mājokļu skaita, neiegūstot faktiskos datus pasākuma ietvaros par enerģētiskās nabadzības riskam pakļautām personām.</w:t>
            </w:r>
          </w:p>
          <w:p w14:paraId="7A0E1FE9" w14:textId="7E955674" w:rsidR="004B3258" w:rsidRDefault="00151879">
            <w:pPr>
              <w:jc w:val="left"/>
            </w:pPr>
            <w:r>
              <w:t>2)</w:t>
            </w:r>
            <w:r w:rsidR="00925C3F">
              <w:t xml:space="preserve"> </w:t>
            </w:r>
            <w:r w:rsidR="45D693C5">
              <w:t>Mūsu ieskatā, j</w:t>
            </w:r>
            <w:r w:rsidR="00765366">
              <w:t xml:space="preserve">aunas informācijas iesnieguma veidlapas izveide </w:t>
            </w:r>
            <w:r w:rsidR="004B3258">
              <w:t>nebūtu lietderīgākais risinājums, jo:</w:t>
            </w:r>
          </w:p>
          <w:p w14:paraId="651214FA" w14:textId="4BDF807A" w:rsidR="00A76A6A" w:rsidRDefault="004B3258">
            <w:pPr>
              <w:jc w:val="left"/>
            </w:pPr>
            <w:r>
              <w:t>*</w:t>
            </w:r>
            <w:r w:rsidR="003A4D45">
              <w:t>viens no noteikumu projekta mērķiem ir mazināt birokrātiju un administratīvo slogu</w:t>
            </w:r>
            <w:r w:rsidR="00F228A9">
              <w:t>-</w:t>
            </w:r>
            <w:r w:rsidR="003A4D45">
              <w:t xml:space="preserve"> </w:t>
            </w:r>
            <w:r w:rsidR="00FF3384">
              <w:t xml:space="preserve">jaunas </w:t>
            </w:r>
            <w:r w:rsidR="00FF3384">
              <w:lastRenderedPageBreak/>
              <w:t>i</w:t>
            </w:r>
            <w:r w:rsidR="00925C3F">
              <w:t>nformācijas iesniegum</w:t>
            </w:r>
            <w:r w:rsidR="00600412">
              <w:t>a</w:t>
            </w:r>
            <w:r w:rsidR="00925C3F">
              <w:t xml:space="preserve"> veidlap</w:t>
            </w:r>
            <w:r w:rsidR="00600412">
              <w:t>a</w:t>
            </w:r>
            <w:r w:rsidR="000D2FBC">
              <w:t>s izveide</w:t>
            </w:r>
            <w:r w:rsidR="00D26E49">
              <w:t xml:space="preserve"> </w:t>
            </w:r>
            <w:r w:rsidR="00FF3384">
              <w:t xml:space="preserve">šo </w:t>
            </w:r>
            <w:r w:rsidR="002928BB">
              <w:t>principu neveicinās</w:t>
            </w:r>
            <w:r w:rsidR="00A76A6A">
              <w:t>;</w:t>
            </w:r>
          </w:p>
          <w:p w14:paraId="48FDEA17" w14:textId="735B882C" w:rsidR="00151879" w:rsidRDefault="00861C09">
            <w:pPr>
              <w:jc w:val="left"/>
              <w:rPr>
                <w:szCs w:val="28"/>
              </w:rPr>
            </w:pPr>
            <w:r>
              <w:rPr>
                <w:szCs w:val="28"/>
              </w:rPr>
              <w:t>*</w:t>
            </w:r>
            <w:r w:rsidR="002E7668" w:rsidRPr="00745932">
              <w:rPr>
                <w:szCs w:val="28"/>
              </w:rPr>
              <w:t>prognozējam</w:t>
            </w:r>
            <w:r w:rsidR="00D04FFE" w:rsidRPr="00745932">
              <w:rPr>
                <w:szCs w:val="28"/>
              </w:rPr>
              <w:t>,</w:t>
            </w:r>
            <w:r w:rsidR="002E7668" w:rsidRPr="00745932">
              <w:rPr>
                <w:szCs w:val="28"/>
              </w:rPr>
              <w:t xml:space="preserve"> ka</w:t>
            </w:r>
            <w:r w:rsidR="00D04FFE" w:rsidRPr="00745932">
              <w:rPr>
                <w:szCs w:val="28"/>
              </w:rPr>
              <w:t xml:space="preserve"> ēkas energosertifikāti, kas </w:t>
            </w:r>
            <w:r w:rsidR="002E7668" w:rsidRPr="00745932">
              <w:rPr>
                <w:szCs w:val="28"/>
              </w:rPr>
              <w:t xml:space="preserve">izstrādāti </w:t>
            </w:r>
            <w:r w:rsidR="00745932" w:rsidRPr="00745932">
              <w:rPr>
                <w:szCs w:val="28"/>
              </w:rPr>
              <w:t>un reģistrēti Būvniecības informācijas sistēmā līdz 2021. gada 15. aprīlim</w:t>
            </w:r>
            <w:r w:rsidR="00B40167">
              <w:rPr>
                <w:szCs w:val="28"/>
              </w:rPr>
              <w:t xml:space="preserve"> un kuriem ir nepieciešama </w:t>
            </w:r>
            <w:r w:rsidR="000B2FCB">
              <w:rPr>
                <w:szCs w:val="28"/>
              </w:rPr>
              <w:t xml:space="preserve">šis pārrēķins, būs </w:t>
            </w:r>
            <w:r w:rsidR="00D55DFB">
              <w:rPr>
                <w:szCs w:val="28"/>
              </w:rPr>
              <w:t>vien pāris projektos</w:t>
            </w:r>
            <w:r w:rsidR="003A1A63">
              <w:rPr>
                <w:szCs w:val="28"/>
              </w:rPr>
              <w:t xml:space="preserve"> no visiem iesniegtajiem projekta pieteikumiem</w:t>
            </w:r>
            <w:r w:rsidR="00E27D50">
              <w:rPr>
                <w:szCs w:val="28"/>
              </w:rPr>
              <w:t>.</w:t>
            </w:r>
          </w:p>
          <w:p w14:paraId="28E28B23" w14:textId="77777777" w:rsidR="003A1A63" w:rsidRDefault="003A1A63">
            <w:pPr>
              <w:jc w:val="left"/>
              <w:rPr>
                <w:szCs w:val="28"/>
              </w:rPr>
            </w:pPr>
            <w:r>
              <w:rPr>
                <w:szCs w:val="28"/>
              </w:rPr>
              <w:t xml:space="preserve">Ņemot vērā visu augstāk minēto, </w:t>
            </w:r>
            <w:r w:rsidR="00C94A69">
              <w:rPr>
                <w:szCs w:val="28"/>
              </w:rPr>
              <w:t>aicinām pieturēties pie līdzšinējās kārtības</w:t>
            </w:r>
            <w:r w:rsidR="006D51F0">
              <w:rPr>
                <w:szCs w:val="28"/>
              </w:rPr>
              <w:t>,</w:t>
            </w:r>
            <w:r w:rsidR="00C94A69">
              <w:rPr>
                <w:szCs w:val="28"/>
              </w:rPr>
              <w:t xml:space="preserve"> kāda tā tiek īstenota arī </w:t>
            </w:r>
            <w:r w:rsidR="006D51F0">
              <w:rPr>
                <w:szCs w:val="28"/>
              </w:rPr>
              <w:t>Atjaunošanas un noturības mehānisma ietvaros īstenotajā daudzdzīvokļu ēku energoefektiv</w:t>
            </w:r>
            <w:r w:rsidR="00C43EBC">
              <w:rPr>
                <w:szCs w:val="28"/>
              </w:rPr>
              <w:t>itātes paaugstināšanas programmā.</w:t>
            </w:r>
          </w:p>
          <w:p w14:paraId="703DCED2" w14:textId="20830C02" w:rsidR="00F228A9" w:rsidRDefault="00F228A9" w:rsidP="00F228A9">
            <w:pPr>
              <w:jc w:val="left"/>
            </w:pPr>
            <w:r w:rsidRPr="00F228A9">
              <w:rPr>
                <w:szCs w:val="28"/>
              </w:rPr>
              <w:t>3)</w:t>
            </w:r>
            <w:r>
              <w:t xml:space="preserve"> Noteikumu</w:t>
            </w:r>
            <w:r w:rsidR="00040B25">
              <w:t xml:space="preserve"> </w:t>
            </w:r>
            <w:r w:rsidR="004A7432">
              <w:t xml:space="preserve">projekts un tā anotācija ir </w:t>
            </w:r>
            <w:r w:rsidR="001B7A12">
              <w:t>papild</w:t>
            </w:r>
            <w:r w:rsidR="00EC4DE8">
              <w:t>ināti</w:t>
            </w:r>
            <w:r w:rsidR="004717AC">
              <w:t>, aprakstot principus.</w:t>
            </w:r>
          </w:p>
        </w:tc>
      </w:tr>
      <w:tr w:rsidR="00B92B94" w14:paraId="5D9DD3E2" w14:textId="77777777" w:rsidTr="7FB0B6B8">
        <w:tc>
          <w:tcPr>
            <w:tcW w:w="750" w:type="dxa"/>
            <w:shd w:val="clear" w:color="auto" w:fill="FFFFFF" w:themeFill="background1"/>
            <w:noWrap/>
            <w:tcMar>
              <w:top w:w="75" w:type="dxa"/>
              <w:left w:w="75" w:type="dxa"/>
              <w:bottom w:w="75" w:type="dxa"/>
              <w:right w:w="75" w:type="dxa"/>
            </w:tcMar>
            <w:vAlign w:val="center"/>
          </w:tcPr>
          <w:p w14:paraId="0760AD59" w14:textId="77777777" w:rsidR="00B92B94" w:rsidRDefault="00AD0F7D">
            <w:pPr>
              <w:jc w:val="center"/>
            </w:pPr>
            <w:r>
              <w:lastRenderedPageBreak/>
              <w:t>4.</w:t>
            </w:r>
          </w:p>
        </w:tc>
        <w:tc>
          <w:tcPr>
            <w:tcW w:w="4155" w:type="dxa"/>
            <w:shd w:val="clear" w:color="auto" w:fill="FFFFFF" w:themeFill="background1"/>
            <w:noWrap/>
            <w:tcMar>
              <w:top w:w="75" w:type="dxa"/>
              <w:left w:w="75" w:type="dxa"/>
              <w:bottom w:w="75" w:type="dxa"/>
              <w:right w:w="75" w:type="dxa"/>
            </w:tcMar>
            <w:vAlign w:val="center"/>
          </w:tcPr>
          <w:p w14:paraId="22E6F4B8" w14:textId="77777777" w:rsidR="00B92B94" w:rsidRDefault="00AD0F7D">
            <w:pPr>
              <w:jc w:val="left"/>
            </w:pPr>
            <w:r>
              <w:t>Ēku saglabāšanas un energotaupības birojs, Nicolas Stancioff</w:t>
            </w:r>
          </w:p>
        </w:tc>
        <w:tc>
          <w:tcPr>
            <w:tcW w:w="4156" w:type="dxa"/>
            <w:shd w:val="clear" w:color="auto" w:fill="FFFFFF" w:themeFill="background1"/>
            <w:noWrap/>
            <w:tcMar>
              <w:top w:w="75" w:type="dxa"/>
              <w:left w:w="75" w:type="dxa"/>
              <w:bottom w:w="75" w:type="dxa"/>
              <w:right w:w="75" w:type="dxa"/>
            </w:tcMar>
            <w:vAlign w:val="center"/>
          </w:tcPr>
          <w:p w14:paraId="1146F1F7" w14:textId="77777777" w:rsidR="00B92B94" w:rsidRDefault="00AD0F7D">
            <w:pPr>
              <w:jc w:val="left"/>
            </w:pPr>
            <w:r>
              <w:t>Ēku saglabāšanas un energotaupības biroja (Ēkubirojs) priekšlikumi:</w:t>
            </w:r>
            <w:r>
              <w:br/>
              <w:t>1) Noteikumu projekta 22.2 punktu aizstāt ar lielāku atbalsta apjomu (50% apmērā), saglabājot prasību, sasniegt vismaz 30% ietaupījumus. Šāds atvieglojums būtu saskaņā ar “energoefektivitāte pirmajā vietā” principu. Ēku energoefektivitātes direktīvas jaunā versija paredz, ka dalībvalstīm ir jānodrošina visiem, t.s. mazaizsargātām mājsaimniecībām un enerģētiskās nabadzības skartiem cilvēkiem, atbilstību minimālajiem energosnieguma standartiem, izmantojot dažādus paņēmienus, t.s. un it īpaši tām mērķa grupām atbilstošu, finansiālo pasākumu ieviešanu, tādējādi norādot, ka arī tām mājsaimniecībām ir nepieciešams sasniegt energoefektivitātes standartus (EPBD 9. pants, 4. punkts). </w:t>
            </w:r>
            <w:r>
              <w:br/>
              <w:t xml:space="preserve">2) Noteikumu projekta 31. punktu papildināt ar punktu kas nodrošina lielāku motivācija projektiem </w:t>
            </w:r>
            <w:r>
              <w:lastRenderedPageBreak/>
              <w:t>sasniegt enerģijas ietaupījumus, kas ir augstāki par 30%, līdz ar to aicinām kapitāla atlaidi piemērojot 50% apmērā gadījumos, kad enerģijas ietaupījumi pārsniedz 60% no primārā enerģijas patēriņa. Tas atbilstu EPBD 17. panta 16. punktam, kas paredz, ka dalībvalstīm jāstimulē pamatīga renovācija (deep renovation).</w:t>
            </w:r>
            <w:r>
              <w:br/>
              <w:t xml:space="preserve">3) Noteikumu projekta 31. punktu papildināt ar kapitāla atlaidi 50% apmērā kultūrvēsturiskā mantojuma ēku atjaunošanas projektiem. Latvijā ir ievērojams skaits ar kultūrvēsturiskā mantojuma ēkām un tās pakļaujas valsts noteiktajām prasībām attiecībā uz to atjaunošanu un nepieciešamību saglabāt vizuālo tēlu (līdz ar to ierobežo energoefektivitātes pasākumu veikšanu). Arī šīm ēkām ir liels potenciāls un nepieciešamība pēc energoefektivitātes pasākumu ieviešanas, tomēr, to kategorija bieži vien ierobežo fasādes siltināšanas iespējas no ārpuses un </w:t>
            </w:r>
            <w:r>
              <w:lastRenderedPageBreak/>
              <w:t>kā alternatīva paliek siltināšana no iekšpuses, kas ir dārgāks risinājums. Aicinām paaugstināt kapitāla atlaides apjomu šīm ēkām, uz pamata, ka šādu ēku energoefektivitātes risinājumi, kas atbilstu valsts prasībām, izmaksā gala patērētājiem dārgāk salīdzinājumā ar citiem sērijveida daudzdzīvokļu ēku projektiem.</w:t>
            </w:r>
            <w:r>
              <w:br/>
              <w:t xml:space="preserve">4) </w:t>
            </w:r>
            <w:r w:rsidRPr="00594215">
              <w:t>Noteikumu projekta 17. punktu papildināt ar tekstu, kas skaidri izsaka, ka Altum var izsniegt aizdevumus un citus finanšu produktus, kas novērstu tirgū esošās barjeras, tādējādi ļaujot sabiedrībai “Altum”, pēc nepieciešamības, ieviest papildus finanšu instrumentus, programmas ietvaros, lai motivētu realizēt projektu ieviešanu. </w:t>
            </w:r>
            <w:r w:rsidRPr="00594215">
              <w:br/>
              <w:t xml:space="preserve">5) Aicinām papildināt noteikumu projektu, skaidri izsakot iespēju Altum piedāvāt garantiju projekta neattiecināmo izmaksu daļai, lai stimulētu privātā finanšu sektora aktīvāku iesaisti finansējuma piešķiršanā (atbilstoši </w:t>
            </w:r>
            <w:r w:rsidRPr="00594215">
              <w:lastRenderedPageBreak/>
              <w:t>energoefektivitātes direktīvā atrunātajam, kas izceļ nepieciešamību pēc atbalsta programmām, kas piesaista un aktivizē privāto finansējumu) projekta neattiecināmajām izmaksām. EPBD ievadvārdos (45. punkts) arī ir minēts, ka pamatīgas renovācijas (deep renovation) laiks ir lieliska iespēja kad ieviest arī pasākumus, kas nav ar energoefektivitāti saistīti, bet uzlabo vispārējo dzīves kvalitāti un ir nepieciešami iedzīvotāju drošībai un veselībai.</w:t>
            </w:r>
            <w:r>
              <w:t> </w:t>
            </w:r>
            <w:r>
              <w:br/>
            </w:r>
          </w:p>
        </w:tc>
        <w:tc>
          <w:tcPr>
            <w:tcW w:w="1350" w:type="dxa"/>
            <w:shd w:val="clear" w:color="auto" w:fill="FFFFFF" w:themeFill="background1"/>
            <w:noWrap/>
            <w:tcMar>
              <w:top w:w="75" w:type="dxa"/>
              <w:left w:w="75" w:type="dxa"/>
              <w:bottom w:w="75" w:type="dxa"/>
              <w:right w:w="75" w:type="dxa"/>
            </w:tcMar>
            <w:vAlign w:val="center"/>
          </w:tcPr>
          <w:p w14:paraId="69BD5044" w14:textId="5C7FC7CC" w:rsidR="00B92B94" w:rsidRDefault="004B4616">
            <w:pPr>
              <w:jc w:val="left"/>
            </w:pPr>
            <w:r>
              <w:lastRenderedPageBreak/>
              <w:t>Nav ņemts vērā</w:t>
            </w:r>
          </w:p>
        </w:tc>
        <w:tc>
          <w:tcPr>
            <w:tcW w:w="4156" w:type="dxa"/>
            <w:shd w:val="clear" w:color="auto" w:fill="FFFFFF" w:themeFill="background1"/>
            <w:noWrap/>
            <w:tcMar>
              <w:top w:w="75" w:type="dxa"/>
              <w:left w:w="75" w:type="dxa"/>
              <w:bottom w:w="75" w:type="dxa"/>
              <w:right w:w="75" w:type="dxa"/>
            </w:tcMar>
            <w:vAlign w:val="center"/>
          </w:tcPr>
          <w:p w14:paraId="2643ABF8" w14:textId="6870F4A9" w:rsidR="00B92B94" w:rsidRDefault="005A1E06">
            <w:pPr>
              <w:jc w:val="left"/>
            </w:pPr>
            <w:r>
              <w:t>1)</w:t>
            </w:r>
            <w:r w:rsidR="004B4616">
              <w:t>, 2) un 3)</w:t>
            </w:r>
            <w:r w:rsidR="00CC1D35">
              <w:t xml:space="preserve"> </w:t>
            </w:r>
            <w:r w:rsidR="06715978">
              <w:t>N</w:t>
            </w:r>
            <w:r w:rsidR="007D0854">
              <w:t>oteikumu projektā ietvertie rādītāji ir</w:t>
            </w:r>
            <w:r w:rsidR="0038517E">
              <w:t xml:space="preserve"> </w:t>
            </w:r>
            <w:r w:rsidR="0051794C">
              <w:t xml:space="preserve">saskaņoti ar Eiropas komisiju un tie ietverti </w:t>
            </w:r>
            <w:r w:rsidR="005A53FA">
              <w:t>Eiropas Savienības kohēzijas politikas programmā 2021.–2027.gadam</w:t>
            </w:r>
            <w:r w:rsidR="00F17097">
              <w:t>. Papildus skaidrojam, ka tie ir</w:t>
            </w:r>
            <w:r w:rsidR="007D0854">
              <w:t xml:space="preserve"> piesaistīti</w:t>
            </w:r>
            <w:r w:rsidR="00F17097">
              <w:t xml:space="preserve"> atbalsta programmā</w:t>
            </w:r>
            <w:r w:rsidR="007D0854">
              <w:t xml:space="preserve"> pieejamajam finansējumam</w:t>
            </w:r>
            <w:r w:rsidR="1691DA4C">
              <w:t xml:space="preserve"> un vadoties pēc efektīva publiskā finanšu izlietošanas principa – programma tiek veidota, lai sniegtu pēc iespējas lielāku mērogu un mērķa rādītājus ar pēc iespējas mazāku finansēju</w:t>
            </w:r>
            <w:r w:rsidR="77060D41">
              <w:t>mu. P</w:t>
            </w:r>
            <w:r w:rsidR="007D0854">
              <w:t>alielinot kapitāla atlaides apmēru</w:t>
            </w:r>
            <w:r w:rsidR="29A6F8FA">
              <w:t xml:space="preserve"> pastāv </w:t>
            </w:r>
            <w:r w:rsidR="0038517E">
              <w:t xml:space="preserve">risks nesasniegt </w:t>
            </w:r>
            <w:r w:rsidR="00E07F9D">
              <w:t>noteiktos rādītājus</w:t>
            </w:r>
            <w:r w:rsidR="497E6B10">
              <w:t xml:space="preserve"> un tas neveicina efektīvu resursu izmantošanu.</w:t>
            </w:r>
          </w:p>
          <w:p w14:paraId="7E9D8509" w14:textId="04C113AF" w:rsidR="005A1E06" w:rsidRDefault="005A1E06">
            <w:pPr>
              <w:jc w:val="left"/>
            </w:pPr>
            <w:r>
              <w:t>4)</w:t>
            </w:r>
            <w:r w:rsidR="00FE62F0">
              <w:t xml:space="preserve"> </w:t>
            </w:r>
            <w:r w:rsidR="09F01677">
              <w:t xml:space="preserve">Altum jau šobrīd nodrošina papildus finanšu instrumentu piesaisti, piemēram, neattiecināmo izmaksu segšanai var izmantot Remonta fonda finansējumu u.c. </w:t>
            </w:r>
            <w:r w:rsidR="00FE62F0">
              <w:t xml:space="preserve"> Papildus jāizvērtē, vai ieviestie papildu finanšu instrumenti nodrošinātu demarkāciju ar jau spēkā esošajām atbalsta </w:t>
            </w:r>
            <w:r w:rsidR="00FE62F0">
              <w:lastRenderedPageBreak/>
              <w:t xml:space="preserve">programmām. No saņemtā iebilduma, diemžēl, nav skaidrs par tieši kādiem finanšu instrumentiem </w:t>
            </w:r>
            <w:r w:rsidR="7444E85B">
              <w:t>ir domāts, bet papildus finanšu instrumenti nav šī konkrētā MK noteikumu projekta mērķis.</w:t>
            </w:r>
          </w:p>
          <w:p w14:paraId="1EBD421B" w14:textId="5DDD2F1F" w:rsidR="00FE62F0" w:rsidRDefault="00FE62F0">
            <w:pPr>
              <w:jc w:val="left"/>
            </w:pPr>
            <w:r>
              <w:t xml:space="preserve">5) </w:t>
            </w:r>
            <w:r w:rsidR="00C0656C">
              <w:t xml:space="preserve">Vēršam uzmanību, ka no </w:t>
            </w:r>
            <w:r w:rsidR="03976C46">
              <w:t xml:space="preserve">konkrētās </w:t>
            </w:r>
            <w:r w:rsidR="00C0656C">
              <w:t>ES fond</w:t>
            </w:r>
            <w:r w:rsidR="281B513B">
              <w:t>u finansējuma</w:t>
            </w:r>
            <w:r w:rsidR="39A2E3E6">
              <w:t xml:space="preserve"> programmas</w:t>
            </w:r>
            <w:r w:rsidR="00C0656C">
              <w:t xml:space="preserve"> nav iespējams sniegt atbalstu, tajā skaitā</w:t>
            </w:r>
            <w:r w:rsidR="52448BB6">
              <w:t xml:space="preserve"> </w:t>
            </w:r>
            <w:r w:rsidR="00C0656C">
              <w:t>garantiju, projekta neattiecināmajām izmaksām.</w:t>
            </w:r>
            <w:r w:rsidR="5BDA113B">
              <w:t xml:space="preserve"> Šim mērķim ir pieejamas citas atbaksta programmas.</w:t>
            </w:r>
          </w:p>
        </w:tc>
      </w:tr>
    </w:tbl>
    <w:p w14:paraId="0AD66949" w14:textId="77777777" w:rsidR="007430F4" w:rsidRDefault="007430F4"/>
    <w:sectPr w:rsidR="007430F4">
      <w:headerReference w:type="default" r:id="rId7"/>
      <w:footerReference w:type="default" r:id="rId8"/>
      <w:headerReference w:type="first" r:id="rId9"/>
      <w:footerReference w:type="first" r:id="rId10"/>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962A5" w14:textId="77777777" w:rsidR="007430F4" w:rsidRDefault="007430F4">
      <w:r>
        <w:separator/>
      </w:r>
    </w:p>
  </w:endnote>
  <w:endnote w:type="continuationSeparator" w:id="0">
    <w:p w14:paraId="6C4BD59E" w14:textId="77777777" w:rsidR="007430F4" w:rsidRDefault="00743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EFEBB" w14:textId="77777777" w:rsidR="00B92B94" w:rsidRDefault="00AD0F7D">
    <w:pPr>
      <w:jc w:val="right"/>
    </w:pPr>
    <w:r>
      <w:rPr>
        <w:sz w:val="24"/>
        <w:szCs w:val="24"/>
      </w:rPr>
      <w:fldChar w:fldCharType="begin"/>
    </w:r>
    <w:r>
      <w:rPr>
        <w:sz w:val="24"/>
        <w:szCs w:val="24"/>
      </w:rPr>
      <w:instrText>PAGE</w:instrText>
    </w:r>
    <w:r>
      <w:rPr>
        <w:sz w:val="24"/>
        <w:szCs w:val="24"/>
      </w:rPr>
      <w:fldChar w:fldCharType="separate"/>
    </w:r>
    <w:r w:rsidR="00527CAC">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84E2E" w14:textId="77777777" w:rsidR="008A16AB" w:rsidRDefault="00AD0F7D">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AAB0B" w14:textId="77777777" w:rsidR="007430F4" w:rsidRDefault="007430F4">
      <w:r>
        <w:separator/>
      </w:r>
    </w:p>
  </w:footnote>
  <w:footnote w:type="continuationSeparator" w:id="0">
    <w:p w14:paraId="4F4BDFA8" w14:textId="77777777" w:rsidR="007430F4" w:rsidRDefault="007430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10209" w14:textId="77777777" w:rsidR="00B92B94" w:rsidRDefault="00AD0F7D">
    <w:pPr>
      <w:pStyle w:val="Header"/>
      <w:contextualSpacing w:val="0"/>
    </w:pPr>
    <w:r>
      <w:t>Viedokļu pārskats 24-TA-1254</w:t>
    </w:r>
    <w:r>
      <w:br/>
      <w:t>Izdrukāts 12.08.2024. 10.17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CA806" w14:textId="77777777" w:rsidR="00B92B94" w:rsidRDefault="00AD0F7D">
    <w:pPr>
      <w:pStyle w:val="Header"/>
      <w:contextualSpacing w:val="0"/>
    </w:pPr>
    <w:r>
      <w:t>Viedokļu pārskats 24-TA-1254</w:t>
    </w:r>
    <w:r>
      <w:br/>
      <w:t>Izdrukāts 12.08.2024. 10.17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D764AF"/>
    <w:multiLevelType w:val="hybridMultilevel"/>
    <w:tmpl w:val="E0A80A5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0AB2438"/>
    <w:multiLevelType w:val="hybridMultilevel"/>
    <w:tmpl w:val="175A1FD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76866429">
    <w:abstractNumId w:val="0"/>
  </w:num>
  <w:num w:numId="2" w16cid:durableId="6205734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B92B94"/>
    <w:rsid w:val="00040B25"/>
    <w:rsid w:val="00077749"/>
    <w:rsid w:val="000B195E"/>
    <w:rsid w:val="000B2FCB"/>
    <w:rsid w:val="000D2FBC"/>
    <w:rsid w:val="000D37FA"/>
    <w:rsid w:val="00134BE1"/>
    <w:rsid w:val="00151879"/>
    <w:rsid w:val="001B7A12"/>
    <w:rsid w:val="001C42D2"/>
    <w:rsid w:val="001E421D"/>
    <w:rsid w:val="00211465"/>
    <w:rsid w:val="0022615C"/>
    <w:rsid w:val="0025789A"/>
    <w:rsid w:val="002928BB"/>
    <w:rsid w:val="002A3F7A"/>
    <w:rsid w:val="002E22C0"/>
    <w:rsid w:val="002E7668"/>
    <w:rsid w:val="0034788B"/>
    <w:rsid w:val="0038517E"/>
    <w:rsid w:val="003A1A63"/>
    <w:rsid w:val="003A4D45"/>
    <w:rsid w:val="00411E8A"/>
    <w:rsid w:val="00454166"/>
    <w:rsid w:val="004717AC"/>
    <w:rsid w:val="004A7432"/>
    <w:rsid w:val="004B3258"/>
    <w:rsid w:val="004B4616"/>
    <w:rsid w:val="004F5506"/>
    <w:rsid w:val="00506FF2"/>
    <w:rsid w:val="0051794C"/>
    <w:rsid w:val="00527CAC"/>
    <w:rsid w:val="00582B86"/>
    <w:rsid w:val="00594215"/>
    <w:rsid w:val="00597E20"/>
    <w:rsid w:val="005A1E06"/>
    <w:rsid w:val="005A53FA"/>
    <w:rsid w:val="005F6B0D"/>
    <w:rsid w:val="00600412"/>
    <w:rsid w:val="00603106"/>
    <w:rsid w:val="006D51F0"/>
    <w:rsid w:val="0071AA04"/>
    <w:rsid w:val="007430F4"/>
    <w:rsid w:val="00745932"/>
    <w:rsid w:val="007619B0"/>
    <w:rsid w:val="00765366"/>
    <w:rsid w:val="00783D5C"/>
    <w:rsid w:val="007B11B1"/>
    <w:rsid w:val="007D0854"/>
    <w:rsid w:val="007D2D04"/>
    <w:rsid w:val="00861C09"/>
    <w:rsid w:val="008A16AB"/>
    <w:rsid w:val="008C6EC4"/>
    <w:rsid w:val="0091544A"/>
    <w:rsid w:val="00925C3F"/>
    <w:rsid w:val="00925E8F"/>
    <w:rsid w:val="00937E4A"/>
    <w:rsid w:val="00942C4F"/>
    <w:rsid w:val="009574B0"/>
    <w:rsid w:val="009C216C"/>
    <w:rsid w:val="009F472B"/>
    <w:rsid w:val="00A47BD5"/>
    <w:rsid w:val="00A76A6A"/>
    <w:rsid w:val="00A93815"/>
    <w:rsid w:val="00AD0F7D"/>
    <w:rsid w:val="00AE0848"/>
    <w:rsid w:val="00AE31E0"/>
    <w:rsid w:val="00B40167"/>
    <w:rsid w:val="00B67F14"/>
    <w:rsid w:val="00B92B94"/>
    <w:rsid w:val="00C0656C"/>
    <w:rsid w:val="00C42A21"/>
    <w:rsid w:val="00C43EBC"/>
    <w:rsid w:val="00C67DC6"/>
    <w:rsid w:val="00C94A69"/>
    <w:rsid w:val="00C964A0"/>
    <w:rsid w:val="00CC1D35"/>
    <w:rsid w:val="00D04FFE"/>
    <w:rsid w:val="00D20247"/>
    <w:rsid w:val="00D26E49"/>
    <w:rsid w:val="00D55DFB"/>
    <w:rsid w:val="00D70BEB"/>
    <w:rsid w:val="00DC5D12"/>
    <w:rsid w:val="00E07F9D"/>
    <w:rsid w:val="00E27D50"/>
    <w:rsid w:val="00E35286"/>
    <w:rsid w:val="00E410A5"/>
    <w:rsid w:val="00E513B2"/>
    <w:rsid w:val="00EC3FC2"/>
    <w:rsid w:val="00EC4DE8"/>
    <w:rsid w:val="00EC4F8F"/>
    <w:rsid w:val="00EF034F"/>
    <w:rsid w:val="00F03DFD"/>
    <w:rsid w:val="00F17097"/>
    <w:rsid w:val="00F228A9"/>
    <w:rsid w:val="00F734C1"/>
    <w:rsid w:val="00FE16B4"/>
    <w:rsid w:val="00FE62F0"/>
    <w:rsid w:val="00FE7BE8"/>
    <w:rsid w:val="00FF3384"/>
    <w:rsid w:val="034FF7C4"/>
    <w:rsid w:val="03976C46"/>
    <w:rsid w:val="06715978"/>
    <w:rsid w:val="09F01677"/>
    <w:rsid w:val="0BE2BDD1"/>
    <w:rsid w:val="120D607E"/>
    <w:rsid w:val="125AB846"/>
    <w:rsid w:val="12CFFAB6"/>
    <w:rsid w:val="1691DA4C"/>
    <w:rsid w:val="1AFCEC57"/>
    <w:rsid w:val="1CBD1914"/>
    <w:rsid w:val="1F2B92FB"/>
    <w:rsid w:val="20FDA899"/>
    <w:rsid w:val="261EA100"/>
    <w:rsid w:val="281B513B"/>
    <w:rsid w:val="29A6F8FA"/>
    <w:rsid w:val="29BBD830"/>
    <w:rsid w:val="32B3BB85"/>
    <w:rsid w:val="353ADEE8"/>
    <w:rsid w:val="367C5503"/>
    <w:rsid w:val="37E06FCA"/>
    <w:rsid w:val="39A2E3E6"/>
    <w:rsid w:val="39CE9548"/>
    <w:rsid w:val="3A467D6F"/>
    <w:rsid w:val="3BC184FA"/>
    <w:rsid w:val="42E06EF2"/>
    <w:rsid w:val="44DAD281"/>
    <w:rsid w:val="45D693C5"/>
    <w:rsid w:val="46C1B74F"/>
    <w:rsid w:val="497E6B10"/>
    <w:rsid w:val="4F34C45B"/>
    <w:rsid w:val="52448BB6"/>
    <w:rsid w:val="53772C1B"/>
    <w:rsid w:val="590F3C4B"/>
    <w:rsid w:val="59ADFFCF"/>
    <w:rsid w:val="5AFC0341"/>
    <w:rsid w:val="5BDA113B"/>
    <w:rsid w:val="5E3CABC9"/>
    <w:rsid w:val="693C83A7"/>
    <w:rsid w:val="69BBF482"/>
    <w:rsid w:val="69C8D17C"/>
    <w:rsid w:val="6D356D3F"/>
    <w:rsid w:val="70C22588"/>
    <w:rsid w:val="7444E85B"/>
    <w:rsid w:val="77060D41"/>
    <w:rsid w:val="77E01027"/>
    <w:rsid w:val="78C70A73"/>
    <w:rsid w:val="79B18E4E"/>
    <w:rsid w:val="7D3505A2"/>
    <w:rsid w:val="7DDFB223"/>
    <w:rsid w:val="7ED43411"/>
    <w:rsid w:val="7FB0B6B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DD687"/>
  <w15:docId w15:val="{293C35C1-9A17-4339-B4BE-22103E320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character" w:styleId="CommentReference">
    <w:name w:val="annotation reference"/>
    <w:basedOn w:val="DefaultParagraphFont"/>
    <w:uiPriority w:val="99"/>
    <w:semiHidden/>
    <w:unhideWhenUsed/>
    <w:rsid w:val="00527CAC"/>
    <w:rPr>
      <w:sz w:val="16"/>
      <w:szCs w:val="16"/>
    </w:rPr>
  </w:style>
  <w:style w:type="paragraph" w:styleId="CommentText">
    <w:name w:val="annotation text"/>
    <w:basedOn w:val="Normal"/>
    <w:link w:val="CommentTextChar"/>
    <w:uiPriority w:val="99"/>
    <w:unhideWhenUsed/>
    <w:rsid w:val="00527CAC"/>
    <w:rPr>
      <w:sz w:val="20"/>
    </w:rPr>
  </w:style>
  <w:style w:type="character" w:customStyle="1" w:styleId="CommentTextChar">
    <w:name w:val="Comment Text Char"/>
    <w:basedOn w:val="DefaultParagraphFont"/>
    <w:link w:val="CommentText"/>
    <w:uiPriority w:val="99"/>
    <w:rsid w:val="00527CAC"/>
    <w:rPr>
      <w:sz w:val="20"/>
    </w:rPr>
  </w:style>
  <w:style w:type="paragraph" w:styleId="CommentSubject">
    <w:name w:val="annotation subject"/>
    <w:basedOn w:val="CommentText"/>
    <w:next w:val="CommentText"/>
    <w:link w:val="CommentSubjectChar"/>
    <w:uiPriority w:val="99"/>
    <w:semiHidden/>
    <w:unhideWhenUsed/>
    <w:rsid w:val="00527CAC"/>
    <w:rPr>
      <w:b/>
      <w:bCs/>
    </w:rPr>
  </w:style>
  <w:style w:type="character" w:customStyle="1" w:styleId="CommentSubjectChar">
    <w:name w:val="Comment Subject Char"/>
    <w:basedOn w:val="CommentTextChar"/>
    <w:link w:val="CommentSubject"/>
    <w:uiPriority w:val="99"/>
    <w:semiHidden/>
    <w:rsid w:val="00527CAC"/>
    <w:rPr>
      <w:b/>
      <w:bCs/>
      <w:sz w:val="20"/>
    </w:rPr>
  </w:style>
  <w:style w:type="paragraph" w:styleId="EndnoteText">
    <w:name w:val="endnote text"/>
    <w:basedOn w:val="Normal"/>
    <w:link w:val="EndnoteTextChar"/>
    <w:uiPriority w:val="99"/>
    <w:semiHidden/>
    <w:unhideWhenUsed/>
    <w:rsid w:val="00E35286"/>
    <w:rPr>
      <w:sz w:val="20"/>
    </w:rPr>
  </w:style>
  <w:style w:type="character" w:customStyle="1" w:styleId="EndnoteTextChar">
    <w:name w:val="Endnote Text Char"/>
    <w:basedOn w:val="DefaultParagraphFont"/>
    <w:link w:val="EndnoteText"/>
    <w:uiPriority w:val="99"/>
    <w:semiHidden/>
    <w:rsid w:val="00E35286"/>
    <w:rPr>
      <w:sz w:val="20"/>
    </w:rPr>
  </w:style>
  <w:style w:type="character" w:styleId="EndnoteReference">
    <w:name w:val="endnote reference"/>
    <w:basedOn w:val="DefaultParagraphFont"/>
    <w:uiPriority w:val="99"/>
    <w:semiHidden/>
    <w:unhideWhenUsed/>
    <w:rsid w:val="00E35286"/>
    <w:rPr>
      <w:vertAlign w:val="superscript"/>
    </w:rPr>
  </w:style>
  <w:style w:type="paragraph" w:styleId="ListParagraph">
    <w:name w:val="List Paragraph"/>
    <w:basedOn w:val="Normal"/>
    <w:uiPriority w:val="34"/>
    <w:qFormat/>
    <w:rsid w:val="00D70B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7591826">
      <w:bodyDiv w:val="1"/>
      <w:marLeft w:val="0"/>
      <w:marRight w:val="0"/>
      <w:marTop w:val="0"/>
      <w:marBottom w:val="0"/>
      <w:divBdr>
        <w:top w:val="none" w:sz="0" w:space="0" w:color="auto"/>
        <w:left w:val="none" w:sz="0" w:space="0" w:color="auto"/>
        <w:bottom w:val="none" w:sz="0" w:space="0" w:color="auto"/>
        <w:right w:val="none" w:sz="0" w:space="0" w:color="auto"/>
      </w:divBdr>
    </w:div>
    <w:div w:id="1948386820">
      <w:bodyDiv w:val="1"/>
      <w:marLeft w:val="0"/>
      <w:marRight w:val="0"/>
      <w:marTop w:val="0"/>
      <w:marBottom w:val="0"/>
      <w:divBdr>
        <w:top w:val="none" w:sz="0" w:space="0" w:color="auto"/>
        <w:left w:val="none" w:sz="0" w:space="0" w:color="auto"/>
        <w:bottom w:val="none" w:sz="0" w:space="0" w:color="auto"/>
        <w:right w:val="none" w:sz="0" w:space="0" w:color="auto"/>
      </w:divBdr>
    </w:div>
    <w:div w:id="20719228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7864</Words>
  <Characters>4484</Characters>
  <Application>Microsoft Office Word</Application>
  <DocSecurity>0</DocSecurity>
  <Lines>37</Lines>
  <Paragraphs>24</Paragraphs>
  <ScaleCrop>false</ScaleCrop>
  <Company/>
  <LinksUpToDate>false</LinksUpToDate>
  <CharactersWithSpaces>12324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viedoklu_parskats_24-TA-1254.docx</dc:title>
  <cp:lastModifiedBy>Indra Stepanova</cp:lastModifiedBy>
  <cp:revision>101</cp:revision>
  <dcterms:created xsi:type="dcterms:W3CDTF">2024-08-13T14:56:00Z</dcterms:created>
  <dcterms:modified xsi:type="dcterms:W3CDTF">2024-09-06T11:25:00Z</dcterms:modified>
</cp:coreProperties>
</file>