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23-TA-2513: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nepieciešamo papildu finansējumu sabiedriskā transporta pakalpojumu sniegšanai 2023.gadā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 sadaļā norādīts, ka reģionālās nozīmes pārvadājumos bez maksas pārvadāto Ukrainas civiliedzīvotāju skaits 2023.gada astoņos mēnešos salīdzinājumā 2022.gada to pašu periodu, ir pieaudzis par 10,5%, kā rezultātā ir palielinājies arī kompensējamo zaudējumu apmērs par 3%, sasniedzot 2023.gada astoņos mēnešos 1 053 894 euro (t.sk. PVN). Lūdzam ziņojumu papildināt ar informāciju, vai un kā tiek nodrošināta datu pārbaude, ka bez maksas braucieni tiek piešķirti Ukrainas civiliedzīvotājiem.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5.lpp papildināts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"Pārvadāto Ukrainas civiliedzīvotāju braucieni un bagāža tiek reģistrēta kases aparātos (kases sistēmās), pamatojoties uz personu apliecinošo dokumentu vai citu dokumentu, kas apliecina, ka persona ir Ukrainas civiliedzīvotājs. Novērojumi un tendences liecina, ka lielākais pārvadāto Ukrainas civiliedzīvotāju pasažieru skaits pārvadāts vietējās nozīmes pārvadājumos Pierīgas reģionā".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 sadaļas tabulā Nr.2 norādītais apmērs 3.punktā ailē “Reģionālie vilcienu pārvadājumi” atšķiras no tabulā Nr.6 norādītā apmēra. Lūdzam izvērtēt un precizēt, vienlaikus, ja norādītais apmērs tiek precizēts šajā tabulā, tad attiecīgi arī jāprecizē citos šīs tabulas punktos aprēķinātās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tabula Nr.2 vienlaikus skaidrojot, ka tabulā Nr.2 3.punkta ailē "Reģionālie vilcienu pārvadājumi" veidojas no tabulā Nr.6 un tabulā Nr.7 kopsummas attiecībā uz faktiskajiem izdevumiem astošos mēnešos.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III sadaļas 2.punktā norādīts, ka šobrīd nolemts atlikt braukšanas maksas (tarifu) izmaiņas 2023.gadā, vienlaikus nav sniegta informācija, kas šādu lēmumu ir pieņēmis. Vēršam uzmanību, ka Sabiedriskā transporta padomes 2023.gada 29.septembra sēdē (prot. Nr.8, 11.§) informācija par tarifu izmaiņām reģionālās nozīmes dotētajos maršrutos tika pieņemta zināšanai, nepieņemot lēmumus jautājuma atlikšanai. Vienlaikus norādām, ka ziņojuma II sadaļas tabulā Nr.2 sniegtā informācija liecina, ka reģionālajos vilcienu pārvadājumos biļešu ieņēmumu segums pār kompensējamiem izdevumiem ir 41,39%, savukārt reģionālajos autobusu pārvadājumos tas ir vēl zemāks, proti, tikai 32,54% apmērā. Uzskatām, ka situācijā, kad biļešu ieņēmumu segums pie augošām izmaksām ir tik zemā apmērā, nav atbalstāma ilgāka kavēšanās ar braukšanas maksas (tarifu) pārskatīšanu. Attiecīgi lūdzam pārskatīt un precizēt ziņojumā sniegto informāciju attiecībā uz braukšanas maksas (tarifu) izmaiņām, tai skaitā norādot, ka Satiksmes ministrija Ministru kabineta 2023.gada 20.jūnija sēdes prot. Nr.33, 49.§ 2.punktā dotā uzdevuma izpildi nodrošinās 2023.gada ietvaros un līdz 2023.gada 29.decembrim informēs Ministru kabinetu par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informatīvā ziņojuma III sadaļas 2.punktā Braukšanas maksa (tarifi) (13. un 14.lpp.).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3.2.apakšpunktā izvērtēt un precizēt norādīto skaidrojumu attiecībā uz administrācijas izmaksām, ņemot vērā tabulā Nr. 6 norādīto, ka administrācijas izmaksu prognoze 2023.gadam, salīdzinot ar 2022.gada izpildi, palielinās par 843 tūkst. </w:t>
            </w:r>
            <w:r w:rsidR="00000000" w:rsidRPr="00000000" w:rsidDel="00000000">
              <w:rPr>
                <w:i w:val="1"/>
                <w:rtl w:val="0"/>
              </w:rPr>
              <w:t xml:space="preserve">euro</w:t>
            </w:r>
            <w:r w:rsidR="00000000" w:rsidRPr="00000000" w:rsidDel="00000000">
              <w:rPr>
                <w:rtl w:val="0"/>
              </w:rPr>
              <w:t xml:space="preserve"> jeb 19,57 %.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sadaļas 3.2.apakšpunkts papildināts ar skaidrojumu (17.lpp.)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III sadaļas 4.punktā skaidrot, kā noteikts norādītais prognozētais kompensējamo zaudējumu apmērs 2023.gadā pārvadājumiem, kas ir ārpus pilsētas administratīvās teritorijas, ja maršruta daļa ir vairāk kā 30% no kopējā maršruta garuma 2 253 914 </w:t>
            </w:r>
            <w:r w:rsidR="00000000" w:rsidRPr="00000000" w:rsidDel="00000000">
              <w:rPr>
                <w:i w:val="1"/>
                <w:rtl w:val="0"/>
              </w:rPr>
              <w:t xml:space="preserve">euro</w:t>
            </w:r>
            <w:r w:rsidR="00000000" w:rsidRPr="00000000" w:rsidDel="00000000">
              <w:rPr>
                <w:rtl w:val="0"/>
              </w:rPr>
              <w:t xml:space="preserve"> apmērā, un prognozētais kompensējamo zaudējumu apmērs 2023.gadā par personu ar invaliditāti pārvadāšanu valstspilsētas 12 788 769 </w:t>
            </w:r>
            <w:r w:rsidR="00000000" w:rsidRPr="00000000" w:rsidDel="00000000">
              <w:rPr>
                <w:i w:val="1"/>
                <w:rtl w:val="0"/>
              </w:rPr>
              <w:t xml:space="preserve">euro</w:t>
            </w:r>
            <w:r w:rsidR="00000000" w:rsidRPr="00000000" w:rsidDel="00000000">
              <w:rPr>
                <w:rtl w:val="0"/>
              </w:rPr>
              <w:t xml:space="preserve"> apmērā. Vēršam uzmanību, ja prognozes noteikšanai izmanto ziņojuma II sadaļas tabulā Nr.3 norādītos faktiskās izpildes 7 un 8 mēnešu datus un aprēķina vidējo 1 mēneša izpildi, tad prognozei 2023.gada 12 mēnešiem jābūt mazākā apmērā nekā šobrīd norādīts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precizēta prognoze (20.lpp).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4.punktu papildināt ar informāciju, kāda ir aktuālā situācija ar braukšanas maksas atvieglojumu uzskaites sistēmas ieviešanu un tās izmantošanu datu pārbaudē par piešķirtajiem braukšanas maksas atvieglojumiem valstspilsētu pārvadājumos.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sadaļas 4.punkts papildināts ar informāciju par aktuālo situāciju ar braukšanas maksas atvieglojumu uzskaites sistēmas ieviešanu (20.lpp.).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tabulās Nr.5, Nr.6, Nr.7 un Nr.8 ailes nosaukumu “Plāns 2023. gadam” precizēt uz “Prognoze 2023. gadam”, ņemot vērā, ka tajā norādītais apmērs ir prognoze par kompensējamo zaudējumu apmēru, attiecīgi arī precizējot pašu tabulu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sniegt skaidrojumu, kā noteikts tabulā Nr. 5 norādītais apmērs 2023.gada prognozētajām kompensējamām izmaksām atbilstoši līgumiem 88 426 659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Nr.5 atspoguļotajām izmaksām skaidrojums sniegts ar zemsvītras atsaucēm.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tabulā Nr.6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norādītos finansējuma apmērus izdevuma pozīcijās “Materiālu izmaksas kopā” un “Pārējās sabiedriskā transporta pakalpojumu sniegšanas izmaksas kopā”, jo kopsummas neatbilst apakšpozīcijās norādītajiem apmēriem, attiecīgi arī precizējot informāciju izmaiņu ailēs un izmaksas kopā ailē.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 8 mēnešu izpildes informāciju, jo tabulā Nr. 3 tā norādīta citā apmērā, vienlaikus ņemot vērā iepriekš norādīto par šajā tabulā nepieciešamajiem precizējumiem.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jo tabulā Nr.3 izdevumu pozīcijās "Materiālu izmaksas kopā" un "Pārējās sabiedriskā transporta pakalpojumu sniegšanas izmaksas kopā" atšifrējums apakšpozīcijās neveido summu, bet tikai skaidro lielākās un būtiskākās izdevumu pozīcijas. Informatīvā ziņojuma tekstā sniegts papildu skaidrojums par citu izmaksu izmaiņu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III sadaļas 6.punktā pēdējā rindkopā norādītos 1., 2. un 3. punktus un to apakšpunktus, norādot nepieciešamo finansējuma apmēru 2023.gadam kopā, neizdalot atsevišķus laika periodus, šādā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reģionālās nozīmes pārvadājumos ar autobusiem;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reģionālās nozīmes pārvadājumos ar vilcieniem;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valstspilsētas pašvaldībām par personu ar invaliditāti pārvadāšanu.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finansējums 2023.gadam norādīts prasītajā sadalījumā.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III sadaļas 6.punktā attiecībā uz informāciju par Ukrainas civiliedzīvotāju pārvadāšanu papildināt aiz teksta “no budžeta resora “74. Gadskārtējā valsts budžeta izpildes procesā pārdalāmais finansējums”” ar tekstu “programmas 17.00.00 "Finansējums Ukrainas civiliedzīvotāju atbalsta likumā noteikto pasākumu īstenošanai”, pievienojot zemsvītras atsauci ar norādi uz likuma "Par valsts budžetu 2023. gadam un budžeta ietvaru 2023., 2024. un 2025. gadam" 65.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attiecīgs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atbilstoši Ministru kabineta 2021. gada 7. septembra noteikumu Nr. 606 "Ministru kabineta kārtības rullis" 54. punktā noteiktajam </w:t>
            </w:r>
            <w:r w:rsidR="00000000" w:rsidRPr="00000000" w:rsidDel="00000000">
              <w:rPr>
                <w:u w:val="single"/>
                <w:rtl w:val="0"/>
              </w:rPr>
              <w:t xml:space="preserve">informatīvo ziņojumu, ja saistībā ar informatīvajā ziņojumā minēto jautājumu turpmākā rīcība nav paredzēta vai tas nav saistīts ar citu institūciju kompetenci, kā arī Ministru kabineta sēdes protokollēmuma projektu, ja tas nav saistīts ar citu institūciju kompetenci, nesaskaņo ar citām ministrijām vai institūcijām</w:t>
            </w:r>
            <w:r w:rsidR="00000000" w:rsidRPr="00000000" w:rsidDel="00000000">
              <w:rPr>
                <w:rtl w:val="0"/>
              </w:rPr>
              <w:t xml:space="preserve">. Ievērojot minēto, kā arī to, ka informatīvais ziņojums "Par nepieciešamo papildu finansējumu sabiedriskā transporta pakalpojumu sniegšanai 2023. gadā" (turpmāk – projekts) neskar Tieslietu ministrijas kompetenci, un projektam pievienotajā Ministru kabineta sēdes protokollēmuma projektā nav noteikti uzdevumi Tieslietu ministrijai, Tieslietu ministrija nesniegs atzinumu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tabulā Nr.6 izdevuma pozīcijas “Materiālu izmaksas kopā” un “Pārējās sabiedriskā transporta pakalpojumu sniegšanas izmaksas kopā” atšifrēt pilnībā, lai apakšpasākumu summa veido tabulā norādīto iepriekšminēto izdevumu pozīciju kopsummu, piemēram, iekļaujot aili “citas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tabula Nr.6.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4.punktā pievienot plašāku skaidrojumu, kā noteikts norādītais prognozētais kompensējamo zaudējumu apmērs 2023.gadā pārvadājumiem, kas ir ārpus pilsētas administratīvās teritorijas, ja maršruta daļa ir vairāk kā 30% no kopējā maršruta garuma, 2 253 914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skaidrojumu, ka: "Ievērojot pozitīvo ieņēmumu ietekmi pēc braukšanas maksas (tarifu) palielināšanas atsevišķās valstspilsētu pašvaldībās, bet vienlaikus mainīgās izmaksas (sevišķi dīzeļdegvielai), kurām ir pieaugoša tendence, kā arī to, ka ik gadu pēdējos gada mēnešos (īpaši decembrī) palielinās zaudējumu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III sadaļas 10. lpp. pirmajā rindkopā precizēt pirmo teikumu, vārdu “Saskaņā ar sagatavoto valsts budžeta likumprojektu” vietā norādot vārdus “Saskaņā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redakcionāls precizējums.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tabulā Nr.4 pozīcijai “Vidējā pakalpojumu cena īstermiņa līgumos” ailē “2023.gada otrais pusgads” norādīto min vērtību uz 0,9384.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tabulā Nr.4 pozīcijai “Vidējā pakalpojumu cena īstermiņa līgumos” ailē “2023.gada pirmais pusgads” norādītā min vērtība uz 0,9384.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tabulai Nr.8 sniegt atsauci zem tabula attiecībā uz 4. punktā norādītajiem rādītājiem “Nobraukums maršrutu tīklā, kilometri (vilcieniem - vilcienkilometri)” un “Nobraukums maršrutu tīklā, kilometri (vilcieniem - vagonkilometri)”, skaidrojot tos atšķirību un rādītāju nozīmi aprēķinos.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atsauci, kurā ietverts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tabulai Nr.8 pozīcijām nr. 10. un 11. aizpildīt aili "Pavisam 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tabulai Nr.8 pozīcijām nr. 10. un 11. aizpildīta aile "Pavisam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Ministru kabineta 2021. gada 7. septembra noteikumu Nr. 606 "Ministru kabineta kārtības rullis" 54. punktā noteiktajam </w:t>
            </w:r>
            <w:r w:rsidR="00000000" w:rsidRPr="00000000" w:rsidDel="00000000">
              <w:rPr>
                <w:u w:val="single"/>
                <w:rtl w:val="0"/>
              </w:rPr>
              <w:t xml:space="preserve">informatīvo ziņojumu, ja saistībā ar informatīvajā ziņojumā minēto jautājumu turpmākā rīcība nav paredzēta vai tas nav saistīts ar citu institūciju kompetenci, kā arī Ministru kabineta sēdes protokollēmuma projektu, ja tas nav saistīts ar citu institūciju kompetenci, nesaskaņo ar citām ministrijām vai institūcijām</w:t>
            </w:r>
            <w:r w:rsidR="00000000" w:rsidRPr="00000000" w:rsidDel="00000000">
              <w:rPr>
                <w:rtl w:val="0"/>
              </w:rPr>
              <w:t xml:space="preserve">. Ievērojot minēto, kā arī to, ka informatīvais ziņojums "Par nepieciešamo papildu finansējumu sabiedriskā transporta pakalpojumu sniegšanai 2023. gadā" (turpmāk – projekts) neskar Tieslietu ministrijas kompetenci, un projektam pievienotajā Ministru kabineta sēdes protokollēmuma projektā nav noteikti uzdevumi Tieslietu ministrijai, Tieslietu ministrija nesniegs atzinumu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Tieslietu ministrijai netiks nodots atkārtotai saskaņošanai.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23-TA-2513</w:t>
    </w:r>
    <w:r>
      <w:br/>
    </w:r>
    <w:r w:rsidR="00000000" w:rsidRPr="00000000" w:rsidDel="00000000">
      <w:rPr>
        <w:rtl w:val="0"/>
      </w:rPr>
      <w:t xml:space="preserve">19.11.2023. 11.50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23-TA-2513</w:t>
    </w:r>
    <w:r>
      <w:br/>
    </w:r>
    <w:r w:rsidR="00000000" w:rsidRPr="00000000" w:rsidDel="00000000">
      <w:rPr>
        <w:rtl w:val="0"/>
      </w:rPr>
      <w:t xml:space="preserve">19.11.2023. 11.50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Izziņa_23-TA-2513.docx</dc:title>
</cp:coreProperties>
</file>

<file path=docProps/custom.xml><?xml version="1.0" encoding="utf-8"?>
<Properties xmlns="http://schemas.openxmlformats.org/officeDocument/2006/custom-properties" xmlns:vt="http://schemas.openxmlformats.org/officeDocument/2006/docPropsVTypes"/>
</file>