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24-TA-1473: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kopējais finansējums ir ne mazāks kā 78 357 628 </w:t>
            </w:r>
            <w:r w:rsidR="00000000" w:rsidRPr="00000000" w:rsidDel="00000000">
              <w:rPr>
                <w:i w:val="1"/>
                <w:rtl w:val="0"/>
              </w:rPr>
              <w:t xml:space="preserve">euro</w:t>
            </w:r>
            <w:r w:rsidR="00000000" w:rsidRPr="00000000" w:rsidDel="00000000">
              <w:rPr>
                <w:rtl w:val="0"/>
              </w:rPr>
              <w:t xml:space="preserve"> (tai skaitā elastības finansējuma apjoms – 12 384 389 </w:t>
            </w:r>
            <w:r w:rsidR="00000000" w:rsidRPr="00000000" w:rsidDel="00000000">
              <w:rPr>
                <w:i w:val="1"/>
                <w:rtl w:val="0"/>
              </w:rPr>
              <w:t xml:space="preserve">euro</w:t>
            </w:r>
            <w:r w:rsidR="00000000" w:rsidRPr="00000000" w:rsidDel="00000000">
              <w:rPr>
                <w:rtl w:val="0"/>
              </w:rPr>
              <w:t xml:space="preserve">), tai skaitā Kohēzijas fonda finansējums 66 603 984 </w:t>
            </w:r>
            <w:r w:rsidR="00000000" w:rsidRPr="00000000" w:rsidDel="00000000">
              <w:rPr>
                <w:i w:val="1"/>
                <w:rtl w:val="0"/>
              </w:rPr>
              <w:t xml:space="preserve">euro</w:t>
            </w:r>
            <w:r w:rsidR="00000000" w:rsidRPr="00000000" w:rsidDel="00000000">
              <w:rPr>
                <w:rtl w:val="0"/>
              </w:rPr>
              <w:t xml:space="preserve"> (tai skaitā elastības finansējuma apjoms – 10 526 731 </w:t>
            </w:r>
            <w:r w:rsidR="00000000" w:rsidRPr="00000000" w:rsidDel="00000000">
              <w:rPr>
                <w:i w:val="1"/>
                <w:rtl w:val="0"/>
              </w:rPr>
              <w:t xml:space="preserve">euro</w:t>
            </w:r>
            <w:r w:rsidR="00000000" w:rsidRPr="00000000" w:rsidDel="00000000">
              <w:rPr>
                <w:rtl w:val="0"/>
              </w:rPr>
              <w:t xml:space="preserve">) un valsts budžeta finansējums - ne mazāks kā 11 753 644 </w:t>
            </w:r>
            <w:r w:rsidR="00000000" w:rsidRPr="00000000" w:rsidDel="00000000">
              <w:rPr>
                <w:i w:val="1"/>
                <w:rtl w:val="0"/>
              </w:rPr>
              <w:t xml:space="preserve">euro</w:t>
            </w:r>
            <w:r w:rsidR="00000000" w:rsidRPr="00000000" w:rsidDel="00000000">
              <w:rPr>
                <w:rtl w:val="0"/>
              </w:rPr>
              <w:t xml:space="preserve"> (tai skaitā elastības finansējuma apjoms 1 857 658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4.punktā norādīto finansējumu tā, lai Kohēzijas fonda līdzfinansējuma likme nepārsniedz 85%, t.i. 4.punktā valsts budžeta līdzfinansējumu norādot 11 753 645 </w:t>
            </w:r>
            <w:r w:rsidR="00000000" w:rsidRPr="00000000" w:rsidDel="00000000">
              <w:rPr>
                <w:i w:val="1"/>
                <w:rtl w:val="0"/>
              </w:rPr>
              <w:t xml:space="preserve">euro </w:t>
            </w:r>
            <w:r w:rsidR="00000000" w:rsidRPr="00000000" w:rsidDel="00000000">
              <w:rPr>
                <w:rtl w:val="0"/>
              </w:rPr>
              <w:t xml:space="preserve">un attiecīgi kopējo finansējumu 78 357 629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atbilstošus precizējumus noteikumu projekta 6.punktā, precizējot norādīto nacionālā līdzfinansējuma summu un kopējo summu (attiecīgi 9 895 987 </w:t>
            </w:r>
            <w:r w:rsidR="00000000" w:rsidRPr="00000000" w:rsidDel="00000000">
              <w:rPr>
                <w:i w:val="1"/>
                <w:rtl w:val="0"/>
              </w:rPr>
              <w:t xml:space="preserve">euro </w:t>
            </w:r>
            <w:r w:rsidR="00000000" w:rsidRPr="00000000" w:rsidDel="00000000">
              <w:rPr>
                <w:rtl w:val="0"/>
              </w:rPr>
              <w:t xml:space="preserve">un 65 973 240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noteikumu projekta 4. un 6.punktā vārdu salikumu "ne mazāk kā" pirms norādītā valsts budžeta līdzfinansējuma apmēra, attiecīgi arī precizējot anotācijas 3.sadaļas 6.punktā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kopējais finansējums ir ne mazāks kā 78 357 629 </w:t>
            </w:r>
            <w:r w:rsidR="00000000" w:rsidRPr="00000000" w:rsidDel="00000000">
              <w:rPr>
                <w:i w:val="1"/>
                <w:rtl w:val="0"/>
              </w:rPr>
              <w:t xml:space="preserve">euro</w:t>
            </w:r>
            <w:r w:rsidR="00000000" w:rsidRPr="00000000" w:rsidDel="00000000">
              <w:rPr>
                <w:rtl w:val="0"/>
              </w:rPr>
              <w:t xml:space="preserve"> (tai skaitā elastības finansējuma apjoms – 12 384 389 </w:t>
            </w:r>
            <w:r w:rsidR="00000000" w:rsidRPr="00000000" w:rsidDel="00000000">
              <w:rPr>
                <w:i w:val="1"/>
                <w:rtl w:val="0"/>
              </w:rPr>
              <w:t xml:space="preserve">euro</w:t>
            </w:r>
            <w:r w:rsidR="00000000" w:rsidRPr="00000000" w:rsidDel="00000000">
              <w:rPr>
                <w:rtl w:val="0"/>
              </w:rPr>
              <w:t xml:space="preserve">), tai skaitā Kohēzijas fonda finansējums 66 603 984 </w:t>
            </w:r>
            <w:r w:rsidR="00000000" w:rsidRPr="00000000" w:rsidDel="00000000">
              <w:rPr>
                <w:i w:val="1"/>
                <w:rtl w:val="0"/>
              </w:rPr>
              <w:t xml:space="preserve">euro</w:t>
            </w:r>
            <w:r w:rsidR="00000000" w:rsidRPr="00000000" w:rsidDel="00000000">
              <w:rPr>
                <w:rtl w:val="0"/>
              </w:rPr>
              <w:t xml:space="preserve"> (tai skaitā elastības finansējuma apjoms – 10 526 731 </w:t>
            </w:r>
            <w:r w:rsidR="00000000" w:rsidRPr="00000000" w:rsidDel="00000000">
              <w:rPr>
                <w:i w:val="1"/>
                <w:rtl w:val="0"/>
              </w:rPr>
              <w:t xml:space="preserve">euro</w:t>
            </w:r>
            <w:r w:rsidR="00000000" w:rsidRPr="00000000" w:rsidDel="00000000">
              <w:rPr>
                <w:rtl w:val="0"/>
              </w:rPr>
              <w:t xml:space="preserve">) un valsts budžeta finansējums 11 753 645 </w:t>
            </w:r>
            <w:r w:rsidR="00000000" w:rsidRPr="00000000" w:rsidDel="00000000">
              <w:rPr>
                <w:i w:val="1"/>
                <w:rtl w:val="0"/>
              </w:rPr>
              <w:t xml:space="preserve">euro</w:t>
            </w:r>
            <w:r w:rsidR="00000000" w:rsidRPr="00000000" w:rsidDel="00000000">
              <w:rPr>
                <w:rtl w:val="0"/>
              </w:rPr>
              <w:t xml:space="preserve"> (tai skaitā elastības finansējuma apjoms 1 857 658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attiecināmās izmaksas ekspertu konsultācijām par būvētās vides piekļūstamību. Piemēram, nevalstisko organizāciju, kas pārstāv personu ar invaliditāti intereses, ekspertu konsultācijas var būtiski uzlabot projektā izvēlēto transportbūvju un sabiedriskā transporta pieturvietu piekļūstamības risinājumu kvalitāti, piemērotību, drošību  un funkcionalitāti no dažādu lietotāju skatupunkta, īpaši personu ar invaliditāti skatupunkta.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19.19.apakšpunktu šādā redakcijā “vides piekļūstamības ekspertu konsultāciju nodrošināšanas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sadaļu "IV. Projekta īstenošanas nosacījumi" ar jaunu apakšpunktu saistībā ar horizontālo principu "Klimatdrošināšana". Vēršam uzmanību, ka horizontālais princips “Klimatdrošināšana” un “Nenodarīt būtisku kaitējumu” ir divi dažādi 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mērķis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InvestEU (Eiropas Parlamenta un Padomes 2021. gada 24. marta Regula (ES) 2021/523, ar ko izveido programmu InvestEU un groza Regulu (ES) 2015/1017),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EISI (Eiropas Parlamenta un Padomes 2021. gada 7. jūlija Regula (ES) 2021/1153, ar ko izveido Eiropas infrastruktūras savienošanas instrumentu un atceļ Regulu (ES) 1316/2013 un (ES) 283/2014),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KNR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(Eiropas Parlamenta un Padomes 2021. gada 12. februāra Regula (ES) 2021/241, ar ko izveido Atveseļošanas un noturības mehānismu) regulās,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partnerības līgumā Eiropas Savienības investīciju fondu ieviešanai 2021.–2027. 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horizontālā principa “Klimatdrošināšana” mērķi, infrastruktūras projektu izstrādē ir jāintegrē klimata pārmaiņu mazināšanas un pielāgošanās klimata pārmaiņām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Kopīgo noteikumu regulas (KNR) 6. apsvērumā par horizontālajiem principiem ir noteikts, ka fondu mērķi jāsasniedz, ņemot vērā, ka ES veicina mērķi saglabāt, aizsargāt un uzlabot vides kvalitāti, kā noteikts Līguma par Eiropas Savienības darbību (LESD) 11. pantā un 191. panta 1. punktā, cita starpā ņemot vērā </w:t>
            </w:r>
            <w:r w:rsidR="00000000" w:rsidRPr="00000000" w:rsidDel="00000000">
              <w:rPr>
                <w:b w:val="1"/>
                <w:rtl w:val="0"/>
              </w:rPr>
              <w:t xml:space="preserve">Parīzes nolīgumu</w:t>
            </w:r>
            <w:r w:rsidR="00000000" w:rsidRPr="00000000" w:rsidDel="00000000">
              <w:rPr>
                <w:rtl w:val="0"/>
              </w:rPr>
              <w:t xml:space="preserve">. Regulas 73. panta 2. punkta j) apakšpunktā ir noteikts, ka vadošā iestāde, veicot darbību atlasi, nodrošina, ka </w:t>
            </w:r>
            <w:r w:rsidR="00000000" w:rsidRPr="00000000" w:rsidDel="00000000">
              <w:rPr>
                <w:b w:val="1"/>
                <w:rtl w:val="0"/>
              </w:rPr>
              <w:t xml:space="preserve">klimatdrošināšana tiek veikta investīcijām infrastruktūrā, kuras paredzamais kalpošanas laiks ir vismaz pieci gad</w:t>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Eiropas Komisija ir izstrādājusi tehniskus norādījumus par infrastruktūras projektu klimatdrošināšanu 2021.-2027. gada periodam “Tehniskie norādījumi par infrastruktūras klimatdrošināšanu 2021.–2027. gada periodā (2021/C 373/01)”. Dokuments pieejams: chrome-extension://efaidnbmnnnibpcajpcglclefindmkaj/https://eur-lex.europa.eu/legal-content/LV/TXT/PDF/?uri=CELEX:52021XC0916(03)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projektā izveidotā infrastruktūra būs noturīga pret ekstrēmiem klimatiskajiem notikumiem, tai skaitā iesniedz novērtējumu, kā projekta ietvaros tiks nodrošināta atbilstība pielāgošanās klimata pārmaiņām aspektiem, lai uzlabotu noturības līmeni pret klimata pārmaiņu ietekmi, novēršot infrastruktūras neaizsargātību pret klimatisko apstākļu iespējamo ilgtermiņa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Vienošanās panākta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noteic, ka īstenojot projektu finansējuma saņēmējs izpilda attiecināmās prasības un nodrošina, ka projekts atbilst principa “Klimatdrošināšana” ievērošanai (noteikumu projekta 25.3.apakšpunkts). Vienlaikus arī pasākuma projektu iesniegumu vērtēšanas kritēriji[1] paredz/iekļauj specifisko atbilstības kritēriju, nosakot, ka projektā ietvertie pasākumi paredz horizontālā principa “Klimatdrošināšana” nepieciešamo prasību ievērošanu attiecībā uz klimata pārmaiņu mazināšanu un pielāgošanos klimata pārmaiņām, attiecīgo informāciju iekļaujot projekta iesniegumā, ja attiecināms,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īstenot darbības, kas nodrošina klimata pārmaiņu mazināšanu, t.i., siltumnīcefekta gāzu (turpmāk – SEG) emisiju samazināšanu (projekta iesniegumā vai tā pielikumā sniedzot informāciju par SEG emisiju apjoma samazinājumu projekta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nodrošinot atbilstību pielāgošanās klimata pārmaiņu aspektiem, kopsakarībā ar klimata pārmaiņu radītajiem potenciālajiem riskiem un to ietekmes novēršanu projektā tiks izvērtēta iespēja veikt attiecīgas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izbūvēt lietusūdens caurplūdes grāvjus u.tml. ceļa elementus atbilstoši klimata pārmaiņu radītajam nokrišņu intensitātes palielinājumam, kur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autoceļu infrastruktūras drošības uzlabošanā būvniecības procesā ceļa segai paredzēt materiālus, kas samazina seguma (segas) paliekošo deformāciju (temperatūras un slodzes ietekmē) un citu bojājumu veidošanos, vienlaicīgi nodrošinot ceļa nestspēju atbilstoši paredzētai slodzei un satiksmes intensitātei;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veicot ieguldījumus autoceļu infrastruktūras drošības uzlabošanā, pamatotos gadījumos paredzēt lietus ūdeņu savākšanas un novadīšanas sistēmu izbūve, lai mazinātu applūšanas riskus spēcīgu lietusgāžu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iepriekšminēto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3.1.1.specifiskā atbalsta mērķa “Attīstīt ilgtspējīgu, pret klimatu izturīgu, inteliģentu, drošu un vairākveidu TEN-T infrastruktūru” 3.1.1.2.pasākuma “Ieguldījumi TEN-T tīkla autoceļu drošībā un vides piekļūstamībā” projekta iesnieguma vērtēšanas kritēriji, pieejami https://www.esfondi.lv/profesionaliem/uzraudzibas-komiteja/uk-e-portfelis-2021-2027/2024-07-29-uk-rakstiska-procedura-sm_3112_groz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sadaļu IV. Projekta īstenošanas nosacījumi ar jaunu 25.7. punktu, saistībā ar horizontālo principu "Klimatdrošināšana".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nodrošina, ka projektā izveidotā infrastruktūra būs noturīga pret ekstrēmiem klimatiskajiem notikumiem, tai skaitā iesniedz novērtējumu, kā projekta ietvaros tiks nodrošināta atbilstība pielāgošanās klimata pārmaiņām aspektiem, lai uzlabotu noturības līmeni pret klimata pārmaiņu ietekmi, novēršot infrastruktūras neaizsargātību pret klimatisko apstākļu iespējamo ilgtermiņa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Vienošanās panākta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detalizētāku informāciju izziņas 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25.2.2.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25.2.2. punktu un 25.2.3. punktu, to vietā izveidojot jaunu 25.3.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izpilda nepieciešamās prasības un nodrošina, ka projekts atbilst principa “Nenodarīt būtisku kaitējumu” un “Klimatdrošināšana” ievērošanai un atbilst Eiropas Savienības kohēzijas politikas programmas 2021.–2027.gadam noteiktajiem Eiropas Savienības un nacionālajiem normatīvajiem aktiem vides un klimata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tai skaitā papildināts ar jaunu 25.3.apakšpunktu.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"Projekta īstenošanas nosacījumi" precizēt teikumus saistībā ar horizontālo principu “Klimatdrošināšana” un “Nenodarīt būtisku kaitējumu”, ņemot vērā, ka tie ir dažādi 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projektā un tā anotācijā ietvertās informācijas par to, vai 3.1.1.2.pasākuma ietvaros finansējuma saņēmējam netiks piešķirts komercdarbības atbalsts, neizriet skaidrs secinājums par to, ka finansējuma saņēmējs – valsts sabiedrība ar ierobežotu atbildību “Latvijas Valsts ceļi”, pasākuma ietvaros rīkosies tās funkciju ietvaros un attiecīgi nav jāanalizē, vai plānotais atbalsts saistīts ar saimnieciskās darbības veikšanu atbilstoši Komercdarbības atbalsta kontroles likuma (turpmāk – KAKL) 5.pantā noteiktajām četrām kumulatīvajām pazīmēm. Vēršam uzmanību, ka iebildumā ietvertā teksta pārrakstīšana anotācijā nenodrošina tajā lūgto. Attiecīgi lūdzam precizēt skaidrojumu anotācijā, skaidri norādot to, vai un no kāda normatīvā tiesību akta izriet finansējuma saņēmēja deleģējums īstenot pasākumā plānotās aktivitātes valsts pārvaldes funkciju ietvaros, un attiecīgi secinājums par to, vai plānotais atbalsts saistīts ar saimnieciskās darbības veikšanu vai 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komercdarbības atbalsta izslēgšanu gala lietotāju līmenī būtu precizējams un papildināms anotācijā sniegtais skaidrojums, dzēšot teikumu “Pasākumā komercdarbības atbalsta kontroles regulējums nav jāpiemēro, jo pasākumā plānotās darbības neatbilst KAKL 5.panta 3.punktā minētajām komercdarbības atbalsta pazīmēm par pasākuma selektivitāti.”, tā vietā iekļaujot anotācijā korektu informāciju par to, ka izveidotā transporta infrastruktūra pēc pieņemšanas ekspluatācijā būs pieejama ikvienam bez diskriminācijas un ierobežojumiem, saglabājot vispārējās publiskās infrastruktūras statusu atbilstoši tam, kā tas izriet no Komisijas paziņojuma par Līguma par Eiropas Savienības darbību 107. panta 1. punktā minēto valsts atbalsta jēdzienu (2016/C 262/01) 203.punkta. Attiecīgi, lai nodrošinātu skaidrību, vai 3.1.1.2.pasākuma ietvaros nav jāpiemēro komercdarbības atbalsta regulējums, lūdzam anotāciju papildināt ar atbilstošu informāciju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(LVC) Pasākuma ietvaros rīkosies tās valsts deleģēto funkciju ietvaros, tai skaitā atbilstoši likuma “Par autoceļiem” 7. panta trešajai daļai un Satiksmes ministrijas 2022. gada 29. decembra deleģēšanas līgumam SM2022/-58. Ņemot vērā, ka finansējuma saņēmējs īstenos projektu valsts pārvaldes funkciju ietvaros, Pasākuma ietvaros plānotais atbalsts finansējuma saņēmējam nav saistīts ar saimnieciskās darbības veikšanu atbilstoši Komercdarbības atbalsta kontroles likuma 5.pantā noteiktajām četrām kumulatīvajām pazīmēm. Vienlaikus jāņem vērā, ka Pasākuma ietvaros izveidotā transporta infrastruktūra pēc pieņemšanas ekspluatācijā būs pieejama ikvienam bez diskriminācijas un ierobežojumiem, saglabājot vispārējās publiskās infrastruktūras statusu atbilstoši tam, kā tas izriet no Eiropas Komisijas paziņojuma par Līguma par Eiropas Savienības darbību 107. panta 1. punktā minēto valsts atbalsta jēdzienu (2016/C 262/01) 203.punktu, proti, Pasākuma/projekta ietvaros izveidotā infrastruktūra netiks izmantota komerciāli un to bez maksas varēs izmantot ikviens, tai skaitā satiksmes dalībnieki, tostarp mazaizsargātie satiksmes dalībnieki. Līdz ar to Pasākumā netiek piemērots komercdarbības atbalsta kontroles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anotācijā norādīto rindkopu sadaļā "8.1.6. uz vidi": </w:t>
            </w:r>
            <w:r w:rsidR="00000000" w:rsidRPr="00000000" w:rsidDel="00000000">
              <w:rPr>
                <w:i w:val="1"/>
                <w:rtl w:val="0"/>
              </w:rPr>
              <w:t xml:space="preserve">Ņemot vērā, ka uz noteikumu izstrādes/saskaņošanas brīdi publiski nav pieejamas Klimata un enerģētikas ministrijas vadlīnijas “Vadlīnijas horizontālā principa “Klimatdrošināšana” ieviešanai un uzraudzībai (2021-2027)”, principa “Klimatdrošināšana” ievērošana, tai skaitā ir ietverta caur principa “Nenodarīt būtisku kaitējumu” ievērošanu/izpildi".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horizontālais princips “Klimatdrošināšana” un “Nenodarīt būtisku kaitējumu” ir divi dažādi horizontālie principi, kur, īstenojot horizontālo principu “Klimatdrošināšana”, infrastruktūras projektu izstrādē ir jāintegrē klimata pārmaiņu mazināšanas un pielāgošanās klimata pārmaiņām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horizontālā principa “Klimatdrošināšana” mērķis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InvestEU (Eiropas Parlamenta un Padomes 2021. gada 24. marta Regula (ES) 2021/523, ar ko izveido programmu InvestEU un groza Regulu (ES) 2015/1017),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EISI (Eiropas Parlamenta un Padomes 2021. gada 7. jūlija Regula (ES) 2021/1153, ar ko izveido Eiropas infrastruktūras savienošanas instrumentu un atceļ Regulu (ES) 1316/2013 un (ES) 283/2014),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KNR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(Eiropas Parlamenta un Padomes 2021. gada 12. februāra Regula (ES) 2021/241, ar ko izveido Atveseļošanas un noturības mehānismu) regulās,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partnerības līgumā Eiropas Savienības investīciju fondu ieviešanai 2021.–2027. 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ievērot, ka Eiropas Komisija ir izstrādājusi tehniskus norādījumus par infrastruktūras projektu klimatdrošināšanu 2021.-2027. gada periodam “Tehniskie norādījumi par infrastruktūras klimatdrošināšanu 2021.–2027. gada periodā (2021/C 373/01)”. Dokuments pieejams: chrome-extension://efaidnbmnnnibpcajpcglclefindmkaj/https://eur-lex.europa.eu/legal-content/LV/TXT/PDF/?uri=CELEX:52021XC0916(03).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8.1.6.sadaļa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"8.1.6. uz vidi" precizēt teikumus saistībā ar horizontālo principu “Klimatdrošināšana” un horizontālo principu “Nenodarīt būtisku kaitējumu”, ņemot vērā, ka tie ir dažādi 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8.1.6.sadaļa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horizontālais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"8.2. Cita informācija", no otrās rindkopas svītrojot vārdu </w:t>
            </w:r>
            <w:r w:rsidR="00000000" w:rsidRPr="00000000" w:rsidDel="00000000">
              <w:rPr>
                <w:b w:val="1"/>
                <w:rtl w:val="0"/>
              </w:rPr>
              <w:t xml:space="preserve">“Klimatdrošināšana”</w:t>
            </w:r>
            <w:r w:rsidR="00000000" w:rsidRPr="00000000" w:rsidDel="00000000">
              <w:rPr>
                <w:rtl w:val="0"/>
              </w:rPr>
              <w:t xml:space="preserve">, ņemot vērā, ka 3.1.1. specifiskā atbalsta mērķa pasākums ir attīstīt ilgtspējīgu, pret klimatu izturīgu, inteliģentu, drošu un vairākveidu TEN-T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Pasākumam nav ietekmes uz horizontālā principa “Energoefektivitāte pirmajā vietā”, “</w:t>
            </w:r>
            <w:r w:rsidR="00000000" w:rsidRPr="00000000" w:rsidDel="00000000">
              <w:rPr>
                <w:b w:val="1"/>
                <w:i w:val="1"/>
                <w:rtl w:val="0"/>
              </w:rPr>
              <w:t xml:space="preserve">Klimatdrošināšana” </w:t>
            </w:r>
            <w:r w:rsidR="00000000" w:rsidRPr="00000000" w:rsidDel="00000000">
              <w:rPr>
                <w:i w:val="1"/>
                <w:rtl w:val="0"/>
              </w:rPr>
              <w:t xml:space="preserve">un “Nenodarīt būtisku kaitējumu īstenošanu, kā arī ir netieša ietekme uz horizontālo principu “Vienlīdzība, iekļaušana, nediskriminācija un pamattiesību ievērošana”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“Energoefektivitāte pirmajā vietā”, “Nenodarīt būtisku kaitējumu" īstenošanu, kā arī ir netieša ietekme uz horizontālo principu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"8.2.Cita informācija" precizēt teikumu, nomainot vārdu "neapdraud" ar vārdiem "tiek ievēroti".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tiek ievēroti horizontālā principa “Klimatdrošināšana” un horizontālā principa “Nenodarīt būtisku kaitējumu” noteiktie klimata pārmaiņu mazināšanas, pielāgošanās klimata pārmaiņām un vides principi (detalizētāku informāciju skat.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esošā noteikumu projekta redakcija tiek virzīta par 3.1.1.2.pasākuma “Ieguldījumi TEN-T tīkla autoceļu drošībā un vides piekļūstamībā” tvērumu, darbībām un finansējuma apjomu, kas ir ierosināts ar ES kohēzijas politikas programmas 2021- 2027.gadam grozījumiem, kas vēl nav apstiprināti, lūdzam papildināt Ministru kabineta sēdes protokollēmuma projektu ar jaunu punktu, skaidri norādot, kāda būs Satiksmes ministrijas rīcība gadījumā, ja Eiropas Komisija neatbalstīs rosinātos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papildināt protokollēmuma projektu ar punktu, kas atļautu finansējuma saņēmējam nepieciešamības gadījumā piesaistīt papildu publiskos līdzekļus attiecināmo izmaksu segšanai, ņemot vērā noteikumu projekta 7.punktā paredzēto. Lūdzam arī anotācijas 3.sadaļas punktā “Cita informācija” iekļaut anotācijas 1.3.sadaļā norādīto, ka noteikumu projekta 7.punktā paredzētais nozīmē, ka, nepieciešamības gadījumā, projekta iesniedzējs projekta īstenošanai var piesaistīt finanšu līdzekļus valsts budžeta programmas 23.00.00 "Valsts autoceļu fonds" finansējuma ietvaros, nepieprasot papildu finansējumu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jaunu 3.,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“Pašreizējā situācija, problēmas un risinājumi” papildināti ar šādu redakciju “Ņemot vērā projektam pieejamo finansējumu un plānotās izbūvējamās infrastruktūras apjomu, kā arī iespējamo preču/pakalpojumu sadārdzinājumu būvniecības nozarē, tai skaitā, lai samazināt cenu izmaiņu (inflācijas vai deflācijas) riskus, noteikumu projekts paredz, ka projekta iesniedzējs projekta īstenošanai, nepieciešamības gadījumā, var piesaistīt papildu publiskos līdzekļus, tas ir, piesaistīt finanšu līdzekļus valsts budžeta programmas 23.00.00. "Valsts autoceļu fonds" finansējuma ietvaros, nepieprasot papildu.".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nosaukumā un citur tekstā vārdus “pret klimatu izturīgu” nomainīt uz “klimatnoturīgu”, lai termini tiktu lietoti vienādi visos valsts pārvaldes dokumentos (piemēram, skat. terminoloģiju 21-TA-62, Klimata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3.1.1. specifiskā atbalsta mērķa "Attīstīt ilgtspējīgu, klimatnoturīgu, inteliģentu, drošu un vairākveidu TEN-T infrastruktūru" 3.1.1.2. pasākuma "Ieguldījumi TEN-T tīkla autoceļu drošībā un vides piekļūstamībā"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Vienošanās panākta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vārdi “pret klimatu izturīgu” ir ietverti tikai 3.1.1.specifiskā atbalsta mērķa nosaukumā, ko nav iespējams atsevišķi precizēt, ņemot vērā ka 3.1.1.specifiskā atbalsta mērķa nosaukums ir noteikts/definēts atbilstoši Eiropas Savienības kohēzijas politikas programmai 2021.-2027. gadam, tostarp specifiskā atbalsta mērķa nosaukums ir attiecināms uz visiem 3.1.1.specifiskā atbalsta mērķa pasākumiem (ne tikai uz 3.1.1.2.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zemes iegādes izmaksas, ja zemes iegāde ir tieši nepieciešama projektā paredzētās būvniecības īstenošanai, ne vairāk kā 10 procenti no projekta attiecināmo izmaksu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19.3.punktā kā vienas no attiecināmajām izmaksām tiek plānotas zemes iegādes izmaksas, lūdzam anotācijā skaidrot un iekļaut pamatojumu šādu izmaksu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plānots pilnībā no jauna izbūvēt un pārbūvēt transporta infrastruktūru (objektus), ņemot to vērā pastāv situācijas, kad jauno vai pārbūvējamo būvju konstrukcijas nav iespējams ietilpināt valsts autoceļu ceļu zemes nodalījuma joslā jeb jau valsts īpašumā esošajā nekustamajā īpašumā, tamdēļ var rasties situācijas, kad var būt nepieciešams veikt papildus zemes iegādi. Ņemot vērā iepriekš minēto, noteikumu projekts paredz, ka ir attiecināmas zemes iegādes izmaksas, ja zemes iegāde ir tieši nepieciešama projektā paredzētās būvniecības īstenošanai (ne vairāk kā 10 procenti no projekta attiecināmo izmaksu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zemes iegādes izmaksas, ja zemes iegāde ir tieši nepieciešama projektā paredzētās būvniecības īstenošanai, ne vairāk kā 10 procenti no projekta attiecināmo izmaksu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ar mazaizsargāto satiksmes dalībniekiem paredzēto ceļu būvniecību saistītās izmaksas, tostarp, lai novērstu infrastruktūras pārrāvumus, ar nosacījumu, ka tie nedalāmi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būtu skaidri projekta īstenošanas nosacījumi un novērstu interpretācijas iespējas, lūdzam noteikumu anotācijā iekļaut skaidrojumu jēdzienam "mazaizsargātie satiksmes dalībnieki" un precizēt, kuras ar ceļu būvniecību saistītās izmaksas ir attiecināmas. Tāpat lūdzam izvērtēt, vai 19.12. apakšpunkts nedublē 19.8. apakšpunktu, un, ja nepieciešams, tos apvienot. Ja 19.12. apakšpunkts nedublē 19.8. apakšpunktu, lūdzam anotācijā sniegt papildu skaidrojumu par izmaksu nedublēšanos.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anotācijas 1.3. sadaļā “1.3. Pašreizējā situācija, problēmas un risinājumi” ir definēts jēdziens “mazaizsargātie satiksmes dalībnieki”, proti, ceļu satiksmes dalībnieki, kuri tiek definēti kā mazaizsargātie ir, piemēram, gājēji un velosipēdu vadītāji, elektroskrejriteņu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19.8. un 19.12. apakšpunktā ietvertās izmaksas nav savstarpēji dublējošas, jo katra no izmaksu pozīcijām ir paredzēta konkrētās darbības/projekta veida īstenošanai. Noteikumu projekta 19.8.apakšunktā ietvertās izmaksu pozīcijas paredz attiecināt esošo krustojumu pārbūves izmaksas, savukārt 19.12.apakšpunktā paredz attiecināt mazaizsargāto satiksmes dalībnieku ceļu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19.12.apakšpunktā netiek detalizēti uzskaitītas/ietvertas izmaksu pozīcijas vai izmaksu apakšpozīcijas, ņemot vērā to, ka projekta īstenošanā iespējamas daudz dažādas būvniecības darbu vienības pozīcijas, kuras nevar būt izsmeļošas un šobrīd skaidri definētas.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ar mazaizsargātajiem satiksmes dalībniekiem paredzēto ceļu būvniecību saistītās izmaksas, tostarp, lai novērstu infrastruktūras pārrāvumus, ar nosacījumu, ka tie nedalāmi saistīti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izmaksas ir attiecināmas no 2022. gada 25. novembra, izņemot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un </w:t>
            </w:r>
            <w:r w:rsidR="00000000" w:rsidRPr="00000000" w:rsidDel="00000000">
              <w:rPr>
                <w:rtl w:val="0"/>
              </w:rPr>
              <w:t xml:space="preserve">19.17.</w:t>
            </w:r>
            <w:r w:rsidR="00000000" w:rsidRPr="00000000" w:rsidDel="00000000">
              <w:rPr>
                <w:rtl w:val="0"/>
              </w:rPr>
              <w:t xml:space="preserve"> apakšpunktā minētās izmaksas, kas ir attiecināmas, ja tās veiktas pēc 2021.gada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punktā noteikts, ka darbības atbalsta saņemšanai no fondiem neatlasa, ja tās ir faktiski pabeigtas vai pilnībā īstenotas, pirms ir iesniegts pieteikums par finansējumu atbilstoši programmai, neatkarīgi no tā, vai ir veikti visi saistītie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23. punktu ar norādi, ka projekta iesniegumā neiekļauj un finansējumu nepiešķir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projekta izmaksas paredzēts attiecināt no noteikumu spēkā stāšanās dienas vai pirms tam, un finansējuma saņēmējs ir valsts budžeta iestāde,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noteikumu projekta 14. punktam projekta iesniedzējs ir Satiksmes ministrija, kuras vārdā darbosies valsts sabiedrība ar ierobežotu atbildību "Latvijas Valsts ceļi" uz noslēgtā deleģēšanas līguma pamata, tad lūdzam atbilstoši izvērtēt iepriekšminēto, un ja nepieciešams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23.punkts un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anotācijā ietverts detalizētāks skaidrojums attiecībā uz definīciju “pabeigtas darbības”, proti: “Noteikumu projekts nosaka, ka projekta iesniegumā neiekļauj un finansējumu nepiešķir pabeigtām darbībām. Atbilstoši būvniecības gadījumā ar darbību (tai skaitā "pabeigtu darbību") būtu saprotams projekts kopumā, t.i., pieņemot, ka pabeigta darbība ir pilnībā pabeigti darbi/projekts, piemēram, konkrētais objekts, kurā ir uzlabota satiksmes dalībnieku, tostarp mazaizsargāto, drošība un vides piekļūstamība  ir nodots ekspluatācijā. Līdz ar to, nosacījums par pabeigtām darbībām nebūtu/nav attiecināms uz atsevišķiem projekta posmiem, piemēram, iepirkumu veikšanu, projektēšanu, vides piekļūstamības ekspertu konsultācijām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sēdēs protokollēmuma projekts papildināts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nekavējoties informēt Ministru kabinetu gadījumā, ja izmaksas, kas Pasākumā veiktas pirms projekta iesnieguma apstiprināšanas, varētu netikt vai netiek attiecinātas finansēšanai no Kohēzijas fonda, sagatavojot attiecīgu informatīvo ziņojumu, kurā norādīts detalizēts apraksts par radušos situāciju, neatbilstības rašanās cēloņiem un finansiālo ietekmi, sniegts apraksts par iespējamo risinājumu, lai turpinātu Pasākuma ietvaros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izmaksas ir attiecināmas no 2022. gada 25. novembra, izņemot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19.7. </w:t>
            </w:r>
            <w:r w:rsidR="00000000" w:rsidRPr="00000000" w:rsidDel="00000000">
              <w:rPr>
                <w:rtl w:val="0"/>
              </w:rPr>
              <w:t xml:space="preserve">apakšpunktā</w:t>
            </w:r>
            <w:r w:rsidR="00000000" w:rsidRPr="00000000" w:rsidDel="00000000">
              <w:rPr>
                <w:rtl w:val="0"/>
              </w:rPr>
              <w:t xml:space="preserve"> minētās izmaksas, kas ir attiecināmas, ja tās veiktas pēc 2021.gada 1.janvāra. Projekta iesniegumā neiekļauj un finansējumu nepiešķir pabeigtām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ar informāciju par sinerģiju ar citiem atbalsta instrumentiem, t.i., detalizētāk norādot, ar kādiem citiem ES fondu ietvaros īstenotiem pasākumiem 3.1.1.2.pasākuma nodrošinās sinerģiju un papildinātību, kuros pasākumos ir īstenotas līdzīgas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to, vai pasākumam būs tieša vai netieša ietekme uz horizontālajiem principiem “Klimatdrošināšana”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nav plānots īstenot līdzīga satura transporta infrastruktūras investīciju projektus satiksmes dalībnieku drošības un vides piekļūstamības uzlabošanai, līdz ar to nav noteikti konkrēti ES vai citu atbalsta instrumentu finansēti pasākumi, ar kuriem ir nodrošināma sinerģija/demarkācija. Gadījumā, ja tiks secināts, ka citos ES fondu projektos tiks īstenotas līdzīgas investīcijas, finansējuma saņēmējs nodrošinās, lai pasākuma ietvaros attiecināmās izmaksas nepārklātos ar citiem valsts un ārvalstu finanšu atbalsta instrumentiem un novērš dubultā finansējuma risku (to paredz arī noteikumu projekta 25.5.apakšpunkts). Tāpat, kā papildu instrumentu finansējuma saņēmējam dubultfinansējuma riska novēršanai ir iespēja izmantot publiski pieejamo Finanšu ministrijas izstrādāto dubultfinansējuma riska kontroles matrica. Pieejama šeit: https://matrica.fm.gov.lv/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ietverta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sadarbības iestāde varētu veikt riska līmeņa izvērtējumu pasākuma ietvaros, lūdzam anotāciju papildināt ar informāciju par plānoto projektu iesniegumu skaitu, t.i., vai plānots iesniegt vienu projektu iesniegumu par visiem pārbūvējamajiem objektiem kopā vai atsevišķu projektu iesniegumu par katru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nosaka, ka projekta iesniedzējs pasākuma ietvaros var iesniegt vairākus projekta iesniegumus un projekta iesniegumā var iekļaut vairākus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brīdī, kad projekta iesniedzējs saņems uzaicinājumu iesniegt projekta iesniegumu, tiks pieņemts gala lēmums atbilstoši tā brīža situācijai. Uz noteikumu projekta saskaņošanas brīdi paredzams, ka plānots iesniegt vairākus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attiecināmo izmaksu identificēšanu, lūdzam skaidrot, kāda veida izmaksas ir plānotas noteikumu projekta 19.10.apakšpunktā "transportlīdzekļu svēršanas gaitā nodrošināšanai infrastruktūras izbūves un  aprīkojumu iegādes un uzstādīšanas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19.10.apakšpunktā (“transportlīdzekļu svēršanas gaitā nodrošināšanai infrastruktūras izbūves un  aprīkojumu iegādes un uzstādīšanas izmaksas”) plānots ietvert, piemēram, būvprojekta izstrādes, būvdarbu un būvuzraudzības, autoruzraudzības darbu un būvdarbu obligātās apdrošināšanas izmaksas; elektrotīkla pieslēguma izmaksas; sakaru iekārtu, monitoringa sistēmu iegādes un uzstādīšanas izmaksas;  svaru sensoru, indikatoru, videokameru, balstu, sadalnes u.c. izmaksas; aprīkojuma piegādes, montāžas, ceļa seguma sagatavošanas darbu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Satiksmes ministriju kā atbildīgo iestādi un projekta iesniedzēju atbilstoši noteikumu projekta 14.punktam (t.i., Satiksmes ministriju, kuras vārdā darbojos sabiedrības ar ierobežotu atbildību "Latvijas Valsts ceļi"), savukārt atbilstošajā apakšsadaļā "Ietekmes apraksts" norādot, ka Satiksme ministrija pildīs atbildīgās iestādes funkcijas, savukārt, attiecīgais plānotais projekta iesniedzējs pildīs finansējuma saņēmēja funkcijas. Tādējādi minētajā apakšsadaļā ir svītrojams teikums "Juridiskām personām noteikumu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noteikumu projekta anotācijas 2.1. sadaļas apakšsadaļas "Fiziskās personas" atbilstošajā apakšsadaļā "Ietekmes apraksts" ietverto informāciju, ņemot vērā sabiedrības ar ierobežotu atbildību "Latvijas Valsts ceļi" juridisko statusu, kas nav fiziska persona, bet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6.1.sadaļu ar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24-TA-1473</w:t>
    </w:r>
    <w:r>
      <w:br/>
    </w:r>
    <w:r w:rsidR="00000000" w:rsidRPr="00000000" w:rsidDel="00000000">
      <w:rPr>
        <w:rtl w:val="0"/>
      </w:rPr>
      <w:t xml:space="preserve">28.10.2024. 15.32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24-TA-1473</w:t>
    </w:r>
    <w:r>
      <w:br/>
    </w:r>
    <w:r w:rsidR="00000000" w:rsidRPr="00000000" w:rsidDel="00000000">
      <w:rPr>
        <w:rtl w:val="0"/>
      </w:rPr>
      <w:t xml:space="preserve">28.10.2024. 15.32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Izziņa_24-TA-1473.docx</dc:title>
</cp:coreProperties>
</file>

<file path=docProps/custom.xml><?xml version="1.0" encoding="utf-8"?>
<Properties xmlns="http://schemas.openxmlformats.org/officeDocument/2006/custom-properties" xmlns:vt="http://schemas.openxmlformats.org/officeDocument/2006/docPropsVTypes"/>
</file>