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5.0.0 -->
  <w:body>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56"/>
        <w:gridCol w:w="6873"/>
      </w:tblGrid>
      <w:tr w:rsidTr="00EF5C30">
        <w:tblPrEx>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324" w:type="dxa"/>
          </w:tcPr>
          <w:p w:rsidR="008E3FA3" w:rsidRPr="00882A22" w:rsidP="000007DA">
            <w:pPr>
              <w:ind w:left="-80" w:right="-118"/>
            </w:pPr>
            <w:r w:rsidRPr="00882A22">
              <w:rPr>
                <w:noProof/>
                <w:lang w:eastAsia="lv-LV"/>
              </w:rPr>
              <w:drawing>
                <wp:inline distT="0" distB="0" distL="0" distR="0">
                  <wp:extent cx="1405255" cy="1119505"/>
                  <wp:effectExtent l="0" t="0" r="4445" b="4445"/>
                  <wp:docPr id="1" name="Picture 1" descr="lielais3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elais3_9"/>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05255" cy="1119505"/>
                          </a:xfrm>
                          <a:prstGeom prst="rect">
                            <a:avLst/>
                          </a:prstGeom>
                          <a:noFill/>
                          <a:ln>
                            <a:noFill/>
                          </a:ln>
                        </pic:spPr>
                      </pic:pic>
                    </a:graphicData>
                  </a:graphic>
                </wp:inline>
              </w:drawing>
            </w:r>
          </w:p>
        </w:tc>
        <w:tc>
          <w:tcPr>
            <w:tcW w:w="6873" w:type="dxa"/>
            <w:vAlign w:val="center"/>
          </w:tcPr>
          <w:p w:rsidR="00EA7D65" w:rsidRPr="00882A22" w:rsidP="00EA7D65">
            <w:pPr>
              <w:spacing w:before="120" w:line="312" w:lineRule="auto"/>
              <w:jc w:val="center"/>
              <w:rPr>
                <w:sz w:val="28"/>
              </w:rPr>
            </w:pPr>
            <w:r w:rsidRPr="00882A22">
              <w:rPr>
                <w:sz w:val="28"/>
              </w:rPr>
              <w:t>LATVIJAS REPUBLIKAS PROKURATŪRA</w:t>
            </w:r>
          </w:p>
          <w:p w:rsidR="00EA7D65" w:rsidRPr="00882A22" w:rsidP="00EA7D65">
            <w:pPr>
              <w:spacing w:line="264" w:lineRule="auto"/>
              <w:jc w:val="center"/>
              <w:rPr>
                <w:b/>
                <w:sz w:val="40"/>
              </w:rPr>
            </w:pPr>
            <w:r w:rsidRPr="00882A22">
              <w:rPr>
                <w:b/>
                <w:sz w:val="40"/>
              </w:rPr>
              <w:t>ĢENERĀLPROKURATŪRA</w:t>
            </w:r>
          </w:p>
          <w:p w:rsidR="008E3FA3" w:rsidRPr="00882A22" w:rsidP="00EA7D65">
            <w:pPr>
              <w:spacing w:line="216" w:lineRule="auto"/>
              <w:ind w:left="-50"/>
              <w:jc w:val="center"/>
              <w:rPr>
                <w:b/>
                <w:sz w:val="8"/>
                <w:szCs w:val="8"/>
              </w:rPr>
            </w:pPr>
          </w:p>
          <w:p w:rsidR="00EA7D65" w:rsidRPr="00882A22" w:rsidP="00EA7D65">
            <w:pPr>
              <w:ind w:left="-50"/>
              <w:jc w:val="center"/>
              <w:rPr>
                <w:sz w:val="22"/>
              </w:rPr>
            </w:pPr>
            <w:r w:rsidRPr="00882A22">
              <w:rPr>
                <w:sz w:val="22"/>
              </w:rPr>
              <w:t>Reģ.Nr. 90000022859, Kalpaka bulvārī 6, Rīgā, LV-1801</w:t>
            </w:r>
          </w:p>
          <w:p w:rsidR="008E3FA3" w:rsidRPr="00882A22" w:rsidP="00EA7D65">
            <w:pPr>
              <w:ind w:left="-50"/>
              <w:jc w:val="center"/>
            </w:pPr>
            <w:r w:rsidRPr="00882A22">
              <w:rPr>
                <w:sz w:val="22"/>
              </w:rPr>
              <w:t>tālr. 67044400, fakss 67044449, e-pasts: gen@lrp.gov.lv</w:t>
            </w:r>
          </w:p>
        </w:tc>
      </w:tr>
    </w:tbl>
    <w:p w:rsidR="00177881" w:rsidRPr="00882A22" w:rsidP="00177881">
      <w:pPr>
        <w:rPr>
          <w:sz w:val="8"/>
          <w:szCs w:val="8"/>
        </w:rPr>
      </w:pPr>
    </w:p>
    <w:tbl>
      <w:tblPr>
        <w:tblW w:w="9683" w:type="dxa"/>
        <w:tblBorders>
          <w:top w:val="double" w:sz="12" w:space="0" w:color="auto"/>
        </w:tblBorders>
        <w:tblLayout w:type="fixed"/>
        <w:tblLook w:val="0000"/>
      </w:tblPr>
      <w:tblGrid>
        <w:gridCol w:w="9683"/>
      </w:tblGrid>
      <w:tr w:rsidTr="00914657">
        <w:tblPrEx>
          <w:tblW w:w="9683" w:type="dxa"/>
          <w:tblBorders>
            <w:top w:val="double" w:sz="12" w:space="0" w:color="auto"/>
          </w:tblBorders>
          <w:tblLayout w:type="fixed"/>
          <w:tblLook w:val="0000"/>
        </w:tblPrEx>
        <w:trPr>
          <w:cantSplit/>
        </w:trPr>
        <w:tc>
          <w:tcPr>
            <w:tcW w:w="9575" w:type="dxa"/>
          </w:tcPr>
          <w:p w:rsidR="00C64B92" w:rsidRPr="00882A22" w:rsidP="00914657">
            <w:pPr>
              <w:spacing w:line="276" w:lineRule="auto"/>
              <w:ind w:hanging="388"/>
              <w:jc w:val="center"/>
              <w:rPr>
                <w:bCs/>
              </w:rPr>
            </w:pPr>
            <w:r w:rsidRPr="00882A22">
              <w:rPr>
                <w:bCs/>
              </w:rPr>
              <w:t>Rīgā</w:t>
            </w:r>
          </w:p>
        </w:tc>
      </w:tr>
    </w:tbl>
    <w:tbl>
      <w:tblPr>
        <w:tblpPr w:leftFromText="180" w:rightFromText="180" w:vertAnchor="text" w:horzAnchor="margin" w:tblpY="266"/>
        <w:tblW w:w="9498" w:type="dxa"/>
        <w:tblLayout w:type="fixed"/>
        <w:tblLook w:val="04A0"/>
      </w:tblPr>
      <w:tblGrid>
        <w:gridCol w:w="2088"/>
        <w:gridCol w:w="606"/>
        <w:gridCol w:w="2748"/>
        <w:gridCol w:w="4056"/>
      </w:tblGrid>
      <w:tr w:rsidTr="00914657">
        <w:tblPrEx>
          <w:tblW w:w="9498" w:type="dxa"/>
          <w:tblLayout w:type="fixed"/>
          <w:tblLook w:val="04A0"/>
        </w:tblPrEx>
        <w:trPr>
          <w:gridAfter w:val="1"/>
          <w:wAfter w:w="4056" w:type="dxa"/>
        </w:trPr>
        <w:tc>
          <w:tcPr>
            <w:tcW w:w="2088" w:type="dxa"/>
            <w:tcBorders>
              <w:top w:val="nil"/>
              <w:left w:val="nil"/>
              <w:right w:val="nil"/>
            </w:tcBorders>
          </w:tcPr>
          <w:p w:rsidR="00C64B92" w:rsidRPr="00882A22" w:rsidP="00914657">
            <w:pPr>
              <w:spacing w:line="276" w:lineRule="auto"/>
            </w:pPr>
            <w:r>
              <w:fldChar w:fldCharType="begin"/>
            </w:r>
            <w:r>
              <w:instrText xml:space="preserve"> DOCPROPERTY  #DOC_DAT#  \* MERGEFORMAT </w:instrText>
            </w:r>
            <w:r>
              <w:fldChar w:fldCharType="separate"/>
            </w:r>
            <w:r>
              <w:t>10.09.2021.</w:t>
            </w:r>
            <w:r>
              <w:fldChar w:fldCharType="end"/>
            </w:r>
          </w:p>
        </w:tc>
        <w:tc>
          <w:tcPr>
            <w:tcW w:w="606" w:type="dxa"/>
            <w:tcBorders>
              <w:top w:val="nil"/>
              <w:left w:val="nil"/>
              <w:right w:val="nil"/>
            </w:tcBorders>
          </w:tcPr>
          <w:p w:rsidR="00C64B92" w:rsidRPr="00882A22" w:rsidP="00914657">
            <w:pPr>
              <w:tabs>
                <w:tab w:val="left" w:pos="3960"/>
              </w:tabs>
              <w:spacing w:line="276" w:lineRule="auto"/>
              <w:jc w:val="both"/>
            </w:pPr>
            <w:r w:rsidRPr="00882A22">
              <w:t>Nr.</w:t>
            </w:r>
          </w:p>
        </w:tc>
        <w:tc>
          <w:tcPr>
            <w:tcW w:w="2748" w:type="dxa"/>
            <w:tcBorders>
              <w:top w:val="nil"/>
              <w:left w:val="nil"/>
              <w:right w:val="nil"/>
            </w:tcBorders>
          </w:tcPr>
          <w:p w:rsidR="00C64B92" w:rsidRPr="00882A22" w:rsidP="00914657">
            <w:pPr>
              <w:spacing w:line="276" w:lineRule="auto"/>
            </w:pPr>
            <w:r>
              <w:fldChar w:fldCharType="begin"/>
            </w:r>
            <w:r>
              <w:instrText xml:space="preserve"> DOCPROPERTY  #DOC_NR#  \* MERGEFORMAT </w:instrText>
            </w:r>
            <w:r>
              <w:fldChar w:fldCharType="separate"/>
            </w:r>
            <w:r>
              <w:t>N-120-2021-00154</w:t>
            </w:r>
            <w:r>
              <w:fldChar w:fldCharType="end"/>
            </w:r>
          </w:p>
        </w:tc>
      </w:tr>
      <w:tr w:rsidTr="00914657">
        <w:tblPrEx>
          <w:tblW w:w="9498" w:type="dxa"/>
          <w:tblLayout w:type="fixed"/>
          <w:tblLook w:val="04A0"/>
        </w:tblPrEx>
        <w:tc>
          <w:tcPr>
            <w:tcW w:w="5442" w:type="dxa"/>
            <w:gridSpan w:val="3"/>
            <w:tcBorders>
              <w:top w:val="nil"/>
              <w:left w:val="nil"/>
              <w:right w:val="nil"/>
            </w:tcBorders>
          </w:tcPr>
          <w:p w:rsidR="00C64B92" w:rsidRPr="00882A22" w:rsidP="00914657"/>
        </w:tc>
        <w:tc>
          <w:tcPr>
            <w:tcW w:w="4056" w:type="dxa"/>
            <w:vMerge w:val="restart"/>
            <w:vAlign w:val="bottom"/>
          </w:tcPr>
          <w:p w:rsidR="00125BBC" w:rsidP="00125BBC">
            <w:r w:rsidRPr="00B549DE">
              <w:t xml:space="preserve"> </w:t>
            </w:r>
            <w:r>
              <w:t xml:space="preserve">                   </w:t>
            </w:r>
            <w:r w:rsidRPr="00B549DE">
              <w:t>Tieslietu ministrija</w:t>
            </w:r>
            <w:r>
              <w:t>s</w:t>
            </w:r>
          </w:p>
          <w:p w:rsidR="00125BBC" w:rsidP="00125BBC">
            <w:r>
              <w:t xml:space="preserve">                         valsts sekretāram</w:t>
            </w:r>
          </w:p>
          <w:p w:rsidR="00125BBC" w:rsidP="00125BBC">
            <w:r>
              <w:t xml:space="preserve">                     </w:t>
            </w:r>
            <w:r>
              <w:t>R.Kronberga</w:t>
            </w:r>
            <w:r>
              <w:t xml:space="preserve"> k-gam</w:t>
            </w:r>
          </w:p>
          <w:p w:rsidR="00C64B92" w:rsidRPr="00882A22" w:rsidP="00914657">
            <w:pPr>
              <w:spacing w:line="276" w:lineRule="auto"/>
              <w:jc w:val="right"/>
            </w:pPr>
          </w:p>
        </w:tc>
      </w:tr>
      <w:tr w:rsidTr="00914657">
        <w:tblPrEx>
          <w:tblW w:w="9498" w:type="dxa"/>
          <w:tblLayout w:type="fixed"/>
          <w:tblLook w:val="04A0"/>
        </w:tblPrEx>
        <w:trPr>
          <w:trHeight w:val="550"/>
        </w:trPr>
        <w:tc>
          <w:tcPr>
            <w:tcW w:w="5442" w:type="dxa"/>
            <w:gridSpan w:val="3"/>
            <w:tcBorders>
              <w:top w:val="nil"/>
              <w:left w:val="nil"/>
              <w:right w:val="nil"/>
            </w:tcBorders>
          </w:tcPr>
          <w:p w:rsidR="00C64B92" w:rsidRPr="00882A22" w:rsidP="00914657">
            <w:pPr>
              <w:rPr>
                <w:color w:val="FF0000"/>
              </w:rPr>
            </w:pPr>
          </w:p>
        </w:tc>
        <w:tc>
          <w:tcPr>
            <w:tcW w:w="4056" w:type="dxa"/>
            <w:vMerge/>
            <w:vAlign w:val="bottom"/>
          </w:tcPr>
          <w:p w:rsidR="00C64B92" w:rsidRPr="00882A22" w:rsidP="00914657">
            <w:pPr>
              <w:spacing w:line="276" w:lineRule="auto"/>
              <w:jc w:val="right"/>
              <w:rPr>
                <w:color w:val="FF0000"/>
              </w:rPr>
            </w:pPr>
          </w:p>
        </w:tc>
      </w:tr>
      <w:tr w:rsidTr="00914657">
        <w:tblPrEx>
          <w:tblW w:w="9498" w:type="dxa"/>
          <w:tblLayout w:type="fixed"/>
          <w:tblLook w:val="04A0"/>
        </w:tblPrEx>
        <w:trPr>
          <w:gridAfter w:val="1"/>
          <w:wAfter w:w="4056" w:type="dxa"/>
          <w:trHeight w:val="622"/>
        </w:trPr>
        <w:tc>
          <w:tcPr>
            <w:tcW w:w="5442" w:type="dxa"/>
            <w:gridSpan w:val="3"/>
            <w:tcBorders>
              <w:top w:val="nil"/>
              <w:left w:val="nil"/>
              <w:bottom w:val="nil"/>
              <w:right w:val="nil"/>
            </w:tcBorders>
            <w:vAlign w:val="bottom"/>
          </w:tcPr>
          <w:p w:rsidR="00125BBC" w:rsidRPr="00B549DE" w:rsidP="00125BBC">
            <w:pPr>
              <w:tabs>
                <w:tab w:val="left" w:pos="7005"/>
              </w:tabs>
              <w:rPr>
                <w:i/>
              </w:rPr>
            </w:pPr>
            <w:r w:rsidRPr="00B549DE">
              <w:rPr>
                <w:i/>
                <w:color w:val="000000"/>
              </w:rPr>
              <w:t xml:space="preserve">Par likumprojektu </w:t>
            </w:r>
            <w:r w:rsidRPr="00B549DE">
              <w:rPr>
                <w:bCs/>
                <w:i/>
                <w:color w:val="000000"/>
              </w:rPr>
              <w:t>„</w:t>
            </w:r>
            <w:r w:rsidRPr="00B549DE">
              <w:rPr>
                <w:i/>
              </w:rPr>
              <w:t>Grozījumi Kriminālprocesa likumā</w:t>
            </w:r>
            <w:r w:rsidRPr="00B549DE">
              <w:rPr>
                <w:bCs/>
                <w:i/>
                <w:color w:val="000000"/>
              </w:rPr>
              <w:t>”,</w:t>
            </w:r>
            <w:r>
              <w:rPr>
                <w:bCs/>
                <w:i/>
                <w:color w:val="000000"/>
              </w:rPr>
              <w:t xml:space="preserve"> </w:t>
            </w:r>
            <w:r w:rsidRPr="00B549DE">
              <w:rPr>
                <w:i/>
              </w:rPr>
              <w:t xml:space="preserve">tā anotāciju un </w:t>
            </w:r>
            <w:r w:rsidRPr="00B549DE">
              <w:rPr>
                <w:i/>
              </w:rPr>
              <w:t>protokollēmuma</w:t>
            </w:r>
            <w:r w:rsidRPr="00B549DE">
              <w:rPr>
                <w:i/>
              </w:rPr>
              <w:t xml:space="preserve"> projektu</w:t>
            </w:r>
          </w:p>
          <w:p w:rsidR="00C64B92" w:rsidRPr="00882A22" w:rsidP="00914657">
            <w:pPr>
              <w:spacing w:line="276" w:lineRule="auto"/>
            </w:pPr>
          </w:p>
        </w:tc>
      </w:tr>
    </w:tbl>
    <w:p w:rsidR="00C64B92" w:rsidP="0055061C">
      <w:pPr>
        <w:ind w:firstLine="357"/>
        <w:jc w:val="both"/>
        <w:rPr>
          <w:i/>
          <w:color w:val="FF0000"/>
        </w:rPr>
      </w:pPr>
      <w:r w:rsidRPr="00B549DE">
        <w:t>Ģenerālprokuratūra savas kompetences ietvaros ir izvērtējusi Tieslietu ministrijas izstrādāto un 20</w:t>
      </w:r>
      <w:r>
        <w:t>21</w:t>
      </w:r>
      <w:r w:rsidRPr="00B549DE">
        <w:t>.</w:t>
      </w:r>
      <w:r>
        <w:t> </w:t>
      </w:r>
      <w:r w:rsidRPr="00B549DE">
        <w:t xml:space="preserve">gada </w:t>
      </w:r>
      <w:r>
        <w:t>26</w:t>
      </w:r>
      <w:r w:rsidRPr="00B549DE">
        <w:t>.</w:t>
      </w:r>
      <w:r>
        <w:t> augustā</w:t>
      </w:r>
      <w:r w:rsidRPr="00B549DE">
        <w:t xml:space="preserve"> Valsts sekretāru sanāksmē izsludināto (VSS-</w:t>
      </w:r>
      <w:r>
        <w:t>814</w:t>
      </w:r>
      <w:r w:rsidRPr="00B549DE">
        <w:t>) likumprojektu „Grozījumi Kriminālprocesa likumā”</w:t>
      </w:r>
      <w:r w:rsidR="004266BF">
        <w:t xml:space="preserve"> </w:t>
      </w:r>
      <w:r w:rsidRPr="00B549DE">
        <w:t xml:space="preserve">(turpmāk – likumprojekts), tā sākotnējās ietekmes novērtējuma ziņojumu (anotāciju) un </w:t>
      </w:r>
      <w:r w:rsidRPr="00B549DE">
        <w:t>protokollēmuma</w:t>
      </w:r>
      <w:r w:rsidRPr="00B549DE">
        <w:t xml:space="preserve"> projektu. Minēto likumprojektu, tā anotāciju un </w:t>
      </w:r>
      <w:r w:rsidRPr="00B549DE">
        <w:t>protokollēmuma</w:t>
      </w:r>
      <w:r w:rsidRPr="00B549DE">
        <w:t xml:space="preserve"> projektu konceptuāli atbalstām, vienlaicīgi izsakot šādu</w:t>
      </w:r>
      <w:r>
        <w:t>s</w:t>
      </w:r>
      <w:r w:rsidRPr="00B549DE">
        <w:t xml:space="preserve"> iebildumu</w:t>
      </w:r>
      <w:r>
        <w:t>s</w:t>
      </w:r>
      <w:r w:rsidRPr="00B549DE">
        <w:t>:</w:t>
      </w:r>
      <w:r>
        <w:t xml:space="preserve"> </w:t>
      </w:r>
      <w:r w:rsidRPr="00882A22" w:rsidR="00EF63CD">
        <w:rPr>
          <w:i/>
          <w:color w:val="FF0000"/>
        </w:rPr>
        <w:t xml:space="preserve"> </w:t>
      </w:r>
    </w:p>
    <w:p w:rsidR="0055061C" w:rsidP="0055061C">
      <w:pPr>
        <w:ind w:firstLine="357"/>
        <w:jc w:val="both"/>
        <w:rPr>
          <w:i/>
          <w:color w:val="FF0000"/>
        </w:rPr>
      </w:pPr>
    </w:p>
    <w:p w:rsidR="00125BBC" w:rsidP="00125BBC">
      <w:pPr>
        <w:pStyle w:val="naisf"/>
        <w:numPr>
          <w:ilvl w:val="0"/>
          <w:numId w:val="1"/>
        </w:numPr>
        <w:spacing w:before="0" w:beforeAutospacing="0" w:after="0" w:afterAutospacing="0"/>
        <w:jc w:val="both"/>
        <w:rPr>
          <w:iCs/>
        </w:rPr>
      </w:pPr>
      <w:r w:rsidRPr="00B549DE">
        <w:t xml:space="preserve">Likumprojekta </w:t>
      </w:r>
      <w:r>
        <w:t>2</w:t>
      </w:r>
      <w:r w:rsidRPr="00B549DE">
        <w:t>.</w:t>
      </w:r>
      <w:r>
        <w:t> </w:t>
      </w:r>
      <w:r w:rsidRPr="00B549DE">
        <w:t xml:space="preserve">pants paredz </w:t>
      </w:r>
      <w:r>
        <w:t>papildināt</w:t>
      </w:r>
      <w:r w:rsidRPr="00B549DE">
        <w:t xml:space="preserve"> Kriminālprocesa likuma (turpmāk – KPL) </w:t>
      </w:r>
      <w:r>
        <w:t>146</w:t>
      </w:r>
      <w:r w:rsidRPr="00B549DE">
        <w:t>.</w:t>
      </w:r>
      <w:r>
        <w:t> </w:t>
      </w:r>
      <w:r w:rsidRPr="00B549DE">
        <w:t>pant</w:t>
      </w:r>
      <w:r>
        <w:t>u</w:t>
      </w:r>
      <w:r w:rsidRPr="00B549DE">
        <w:t xml:space="preserve"> </w:t>
      </w:r>
      <w:r>
        <w:t>ar piekto daļu, nosakot procesa virzītājam tiesības aicināt personu, kurai ir tiesības uz aizstāvību, piedalīties tādas liecinošās personas nopratināšanā, kuru turpmākā kriminālprocesa</w:t>
      </w:r>
      <w:r w:rsidRPr="00B549DE">
        <w:rPr>
          <w:i/>
        </w:rPr>
        <w:t xml:space="preserve"> </w:t>
      </w:r>
      <w:r>
        <w:rPr>
          <w:iCs/>
        </w:rPr>
        <w:t xml:space="preserve">gaitā nebūs iespējams nopratināt. Lai gan likumprojekta anotācijā (7., 8. lapa) uzsvars likts uz liecinieku nopratināšanu, tomēr piedāvātā norma attiecas arī uz citām kriminālprocesā liecinošām personām, tostarp cietušajiem. Lai gadījumos, kad radīsies jautājums, piemēram, par īpaši aizsargājama cietušā vai nepilngadīgā liecinieka nopratināšanu KPL 146. panta piektajā daļā paredzētajā kārtībā, tiktu izvērtēta arī šo personu interešu un tiesību aizsardzība, ierosinām KPL 146. panta piekto daļu izteikt šādā redakcijā: </w:t>
      </w:r>
      <w:r w:rsidRPr="00AA1E29">
        <w:rPr>
          <w:iCs/>
        </w:rPr>
        <w:t xml:space="preserve">“Ja turpmākā kriminālprocesa gaitā liecinošo personu nebūs iespējams nopratināt, procesa virzītājs, </w:t>
      </w:r>
      <w:r w:rsidRPr="00AA1E29">
        <w:rPr>
          <w:iCs/>
          <w:u w:val="single"/>
        </w:rPr>
        <w:t>izvērtējot kriminālprocesa intereses</w:t>
      </w:r>
      <w:r w:rsidRPr="00AA1E29">
        <w:rPr>
          <w:iCs/>
        </w:rPr>
        <w:t>, var aicināt personu, kurai ir tiesības uz aizstāvību, piedalīties šīs personas pratināšanā. Personas, kurai ir tiesības uz aizstāvību, neierašanās uz pratināšanu nav šķērslis pratināšanas veikšanai.”</w:t>
      </w:r>
    </w:p>
    <w:p w:rsidR="009433DB" w:rsidRPr="00A96729" w:rsidP="009433DB">
      <w:pPr>
        <w:pStyle w:val="naisf"/>
        <w:spacing w:before="0" w:beforeAutospacing="0" w:after="0" w:afterAutospacing="0"/>
        <w:ind w:left="720"/>
        <w:jc w:val="both"/>
        <w:rPr>
          <w:iCs/>
        </w:rPr>
      </w:pPr>
    </w:p>
    <w:p w:rsidR="009433DB" w:rsidP="009433DB">
      <w:pPr>
        <w:pStyle w:val="naisf"/>
        <w:numPr>
          <w:ilvl w:val="0"/>
          <w:numId w:val="1"/>
        </w:numPr>
        <w:spacing w:before="0" w:beforeAutospacing="0" w:after="0" w:afterAutospacing="0"/>
        <w:jc w:val="both"/>
        <w:rPr>
          <w:iCs/>
        </w:rPr>
      </w:pPr>
      <w:r>
        <w:rPr>
          <w:iCs/>
        </w:rPr>
        <w:t xml:space="preserve">Likumprojekta 3. pants paredz papildināt KPL 147. pantu ar astoto daļu, nosakot tiesības personai, kurai ir tiesības uz aizstāvību, uzdot jautājumus liecinošai personai, kuras nopratināšana tiek veikta KPL 146. panta kārtībā. Mūsuprāt, lai izslēgtu iespēju nepamatoti novilcināt izmeklēšanas darbību, uzdodot jautājumus, kas nav attiecināmi uz konkrēto lietu, minētā norma būtu papildināma ar norādi, ka </w:t>
      </w:r>
      <w:r w:rsidRPr="002B389D">
        <w:rPr>
          <w:iCs/>
        </w:rPr>
        <w:t>izmeklēšanas darbības veicējs ir tiesīgs noraidīt tos jautājumus, kas nav būtiski vai neattiecas uz lietu. Šādas tiesības izmeklēšanas darbības veicējam ir piešķirtas arī KPL 158.</w:t>
      </w:r>
      <w:r>
        <w:rPr>
          <w:iCs/>
        </w:rPr>
        <w:t> </w:t>
      </w:r>
      <w:r w:rsidRPr="002B389D">
        <w:rPr>
          <w:iCs/>
        </w:rPr>
        <w:t>p</w:t>
      </w:r>
      <w:r>
        <w:rPr>
          <w:iCs/>
        </w:rPr>
        <w:t>anta ceturtajā daļā</w:t>
      </w:r>
      <w:r w:rsidRPr="002B389D">
        <w:rPr>
          <w:iCs/>
        </w:rPr>
        <w:t xml:space="preserve">, kas </w:t>
      </w:r>
      <w:r>
        <w:rPr>
          <w:iCs/>
        </w:rPr>
        <w:t>nosaka</w:t>
      </w:r>
      <w:r w:rsidRPr="002B389D">
        <w:rPr>
          <w:iCs/>
        </w:rPr>
        <w:t xml:space="preserve"> konfrontēšanas kārtību</w:t>
      </w:r>
      <w:r>
        <w:rPr>
          <w:iCs/>
        </w:rPr>
        <w:t>. Turklāt tiesības noraidīt jautājumus, kuri neattiecas uz lietu, ir paredzētas arī tiesai atbilstoši KPL 500. panta pirmajai daļai.</w:t>
      </w:r>
    </w:p>
    <w:p w:rsidR="009433DB" w:rsidP="009433DB">
      <w:pPr>
        <w:pStyle w:val="ListParagraph"/>
        <w:rPr>
          <w:iCs/>
        </w:rPr>
      </w:pPr>
    </w:p>
    <w:p w:rsidR="009433DB" w:rsidP="00125BBC">
      <w:pPr>
        <w:pStyle w:val="naisf"/>
        <w:numPr>
          <w:ilvl w:val="0"/>
          <w:numId w:val="1"/>
        </w:numPr>
        <w:spacing w:before="0" w:beforeAutospacing="0" w:after="0" w:afterAutospacing="0"/>
        <w:jc w:val="both"/>
        <w:rPr>
          <w:iCs/>
        </w:rPr>
      </w:pPr>
      <w:r w:rsidRPr="009433DB">
        <w:rPr>
          <w:iCs/>
        </w:rPr>
        <w:t>Likumprojekta 7. pants paredz papildināt KPL ar 243.</w:t>
      </w:r>
      <w:r w:rsidRPr="009433DB">
        <w:rPr>
          <w:iCs/>
          <w:vertAlign w:val="superscript"/>
        </w:rPr>
        <w:t>1 </w:t>
      </w:r>
      <w:r w:rsidRPr="009433DB">
        <w:rPr>
          <w:iCs/>
        </w:rPr>
        <w:t>pantu (Nodrošinājuma līdzekļi juridiskajai personai). Šā panta pirmās daļas 2. punktā ir ietverts nodrošinājuma līdzeklis – aizliegums veikt izmaiņas Latvijas Republikas Uzņēmumu reģistra vestajos reģistros bez procesa virzītāja atļaujas. Vēršam uzmanību, ka likumprojekta 8. pantā KPL</w:t>
      </w:r>
      <w:r w:rsidR="004266BF">
        <w:rPr>
          <w:iCs/>
        </w:rPr>
        <w:t xml:space="preserve"> </w:t>
      </w:r>
      <w:r w:rsidRPr="009433DB">
        <w:rPr>
          <w:iCs/>
        </w:rPr>
        <w:t>261.</w:t>
      </w:r>
      <w:r w:rsidRPr="004266BF">
        <w:rPr>
          <w:iCs/>
          <w:vertAlign w:val="superscript"/>
        </w:rPr>
        <w:t>2</w:t>
      </w:r>
      <w:r w:rsidRPr="009433DB">
        <w:rPr>
          <w:iCs/>
        </w:rPr>
        <w:t xml:space="preserve"> panta </w:t>
      </w:r>
      <w:r w:rsidRPr="009433DB">
        <w:rPr>
          <w:iCs/>
        </w:rPr>
        <w:t>nosaukumā tiek lietots nepilnīgs minētā drošības līdzekļa nosaukums. Mūsuprāt, abos pantos būtu nepieciešams novienādot lietoto terminoloģiju.</w:t>
      </w:r>
    </w:p>
    <w:p w:rsidR="009433DB" w:rsidP="009433DB">
      <w:pPr>
        <w:pStyle w:val="ListParagraph"/>
        <w:rPr>
          <w:iCs/>
        </w:rPr>
      </w:pPr>
    </w:p>
    <w:p w:rsidR="009433DB" w:rsidP="00125BBC">
      <w:pPr>
        <w:pStyle w:val="naisf"/>
        <w:numPr>
          <w:ilvl w:val="0"/>
          <w:numId w:val="1"/>
        </w:numPr>
        <w:spacing w:before="0" w:beforeAutospacing="0" w:after="0" w:afterAutospacing="0"/>
        <w:jc w:val="both"/>
        <w:rPr>
          <w:iCs/>
        </w:rPr>
      </w:pPr>
      <w:r w:rsidRPr="009433DB">
        <w:rPr>
          <w:iCs/>
        </w:rPr>
        <w:t>Likumprojekta 13. pants paredz papildināt 333.</w:t>
      </w:r>
      <w:r w:rsidRPr="004266BF">
        <w:rPr>
          <w:iCs/>
          <w:vertAlign w:val="superscript"/>
        </w:rPr>
        <w:t>1</w:t>
      </w:r>
      <w:r w:rsidRPr="009433DB">
        <w:rPr>
          <w:iCs/>
        </w:rPr>
        <w:t xml:space="preserve"> pantu ar 1.</w:t>
      </w:r>
      <w:r w:rsidRPr="004266BF">
        <w:rPr>
          <w:iCs/>
          <w:vertAlign w:val="superscript"/>
        </w:rPr>
        <w:t>1</w:t>
      </w:r>
      <w:r w:rsidRPr="009433DB">
        <w:rPr>
          <w:iCs/>
        </w:rPr>
        <w:t xml:space="preserve"> daļu, nosakot, ka tiesai pieteikumi, iesniegumi vai lūgumi iesniedzami ne vēlāk kā 10 darbdienas līdz iztiesāšanas uzsākšanai. Atbilstoši likumprojekta anotācijā norādītajam </w:t>
      </w:r>
      <w:r w:rsidRPr="00C670D4">
        <w:rPr>
          <w:i/>
        </w:rPr>
        <w:t>grozījums saistīts ar praksē konstatētajām problēmām, kad procesa dalībnieki iesniedz pieteikumus vai lūgumu pirmajā tiesas sēdē, kā rezultātā ir nepieciešams taisīt pārtraukumu un atlikt tiesas sēdi, lai nodrošinātu citu procesa dalībnieku tiesības iepazīties ar pieteikumu vai lūgumu un sniegt par to viedokli. Īpaši aktuāli tas ir gadījumos, kad iesniegtie pieteikumi vai lūgumi ir liela apjoma. Savukārt, ja persona savu pieteikumu būs iesniegusi savlaicīgi, pārējie procesa dalībnieki ar to varēs iepazīties vēl pirms tiesas sēdes un tiesas sēdē izteikt viedokli.</w:t>
      </w:r>
      <w:r w:rsidRPr="009433DB">
        <w:rPr>
          <w:iCs/>
        </w:rPr>
        <w:t xml:space="preserve"> Mūsuprāt, lai praksē minētā norma darbotos un risinātu likumprojekta anotācijā norādītās problēmas, to nepieciešams papildināt, nosakot, ka tiesa par saņemtiem pieteikumiem, iesniegumiem vai lūgumiem informē apsūdzēto, aizstāvi un prokuroru.</w:t>
      </w:r>
    </w:p>
    <w:p w:rsidR="009433DB" w:rsidP="009433DB">
      <w:pPr>
        <w:pStyle w:val="ListParagraph"/>
        <w:rPr>
          <w:iCs/>
        </w:rPr>
      </w:pPr>
    </w:p>
    <w:p w:rsidR="009433DB" w:rsidP="00125BBC">
      <w:pPr>
        <w:pStyle w:val="naisf"/>
        <w:numPr>
          <w:ilvl w:val="0"/>
          <w:numId w:val="1"/>
        </w:numPr>
        <w:spacing w:before="0" w:beforeAutospacing="0" w:after="0" w:afterAutospacing="0"/>
        <w:jc w:val="both"/>
        <w:rPr>
          <w:iCs/>
        </w:rPr>
      </w:pPr>
      <w:r w:rsidRPr="009433DB">
        <w:rPr>
          <w:iCs/>
        </w:rPr>
        <w:t>Likumprojekta 16. pants paredz KPL 377. pantu papildināt ar 11. punktu, nosakot, ka  kriminālprocesu nedrīkst uzsākt, bet uzsākts kriminālprocess jāizbeidz, ja cietušais līdz izmeklēšanas pabeigšanai pirmstiesas kriminālprocesā atsaucis pieteikumu tādā kriminālprocesā, kuru var uzsākt tikai uz šīs personas pieteikuma pamata. Vēršam uzmanību, ka praksē ir gadījumi, kad cietusī persona savu pieteikumu vēlas atsaukt uzreiz pēc tā iesniegšanas, brīdī, kad procesa virzītājs vēl nav pieņēmis lēmumu par viņas atzīšanu par cietušo, tādēļ uzskatām, ka minētā norma būtu jāveido pēc līdzības ar KPL 377. panta 8.</w:t>
      </w:r>
      <w:r w:rsidR="00B602CA">
        <w:rPr>
          <w:iCs/>
        </w:rPr>
        <w:t> </w:t>
      </w:r>
      <w:r w:rsidRPr="009433DB">
        <w:rPr>
          <w:iCs/>
        </w:rPr>
        <w:t>punktu, paredzot, ka pieteikumu var atsaukt cietusī persona.</w:t>
      </w:r>
    </w:p>
    <w:p w:rsidR="009433DB" w:rsidP="009433DB">
      <w:pPr>
        <w:pStyle w:val="ListParagraph"/>
        <w:rPr>
          <w:iCs/>
        </w:rPr>
      </w:pPr>
    </w:p>
    <w:p w:rsidR="00125BBC" w:rsidP="00125BBC">
      <w:pPr>
        <w:pStyle w:val="naisf"/>
        <w:numPr>
          <w:ilvl w:val="0"/>
          <w:numId w:val="1"/>
        </w:numPr>
        <w:spacing w:before="0" w:beforeAutospacing="0" w:after="0" w:afterAutospacing="0"/>
        <w:jc w:val="both"/>
        <w:rPr>
          <w:iCs/>
        </w:rPr>
      </w:pPr>
      <w:r w:rsidRPr="009433DB">
        <w:rPr>
          <w:iCs/>
        </w:rPr>
        <w:t>Likumprojekta 29. pants paredz papildināt KPL 547.</w:t>
      </w:r>
      <w:r w:rsidRPr="00B602CA">
        <w:rPr>
          <w:iCs/>
          <w:vertAlign w:val="superscript"/>
        </w:rPr>
        <w:t>1</w:t>
      </w:r>
      <w:r w:rsidRPr="009433DB">
        <w:rPr>
          <w:iCs/>
        </w:rPr>
        <w:t xml:space="preserve"> pantu ar trešo daļu, nosakot, ka ja iztiesāšanas laikā ir mainījušies šā likuma 439.</w:t>
      </w:r>
      <w:r w:rsidRPr="00B602CA">
        <w:rPr>
          <w:iCs/>
          <w:vertAlign w:val="superscript"/>
        </w:rPr>
        <w:t>1</w:t>
      </w:r>
      <w:r w:rsidRPr="009433DB">
        <w:rPr>
          <w:iCs/>
        </w:rPr>
        <w:t xml:space="preserve"> panta pirmās daļas 1., 2. un 3. punktā minētie apstākļi, prokurors groza piespiedu ietekmēšanas līdzekļa piemērošanas procesā konstatētos apstākļus un pieņem lēmumu, par ko paziņo juridiskajai personai un iesniedz tiesai. Norādām, ka praksē var rasties atšķirīga izpratne par lēmuma paziņošanas veidu juridiskajai personai. Tādēļ rosinām normu precizēt, skaidri nosakot, kam – tiesai vai prokuroram ir pienākums nosūtīt lēmumu juridiskajai personai.</w:t>
      </w:r>
    </w:p>
    <w:p w:rsidR="009433DB" w:rsidP="009433DB">
      <w:pPr>
        <w:pStyle w:val="ListParagraph"/>
        <w:rPr>
          <w:iCs/>
        </w:rPr>
      </w:pPr>
    </w:p>
    <w:p w:rsidR="009433DB" w:rsidRPr="009433DB" w:rsidP="009433DB">
      <w:pPr>
        <w:pStyle w:val="naisf"/>
        <w:spacing w:before="0" w:beforeAutospacing="0" w:after="0" w:afterAutospacing="0"/>
        <w:ind w:left="720"/>
        <w:jc w:val="both"/>
        <w:rPr>
          <w:iCs/>
        </w:rPr>
      </w:pPr>
    </w:p>
    <w:p w:rsidR="00836A0E" w:rsidP="00310AF4">
      <w:pPr>
        <w:pStyle w:val="naisf"/>
        <w:spacing w:before="0" w:beforeAutospacing="0" w:after="0" w:afterAutospacing="0"/>
        <w:ind w:firstLine="357"/>
        <w:jc w:val="both"/>
        <w:rPr>
          <w:iCs/>
        </w:rPr>
      </w:pPr>
      <w:r w:rsidRPr="00836A0E">
        <w:rPr>
          <w:iCs/>
        </w:rPr>
        <w:t xml:space="preserve">Vienlaicīgi lūdzam papildināt likumprojektu, iekļaujot tajā grozījumus KPL 373. pantā. Praksē prokurors atsevišķos gadījumos izvērtē pieņemtā lēmuma par atteikšanos uzsākt kriminālprocesu likumību un pamatotību arī gadījumos, kad nav saņemta KPL 369. panta otrās daļas 1., 2., vai 4.punktā minētās personas sūdzība. Tomēr šādos gadījumos praksē konstatēta dažāda amatpersonu izpratne par prokurora tiesībām atcelt lēmumu par atteikšanos uzsākt kriminālprocesu un atsauci uz likuma normu, saskaņā ar kuru nolēmums pieņemts. Nolūkā ieviest vienotu pieeju minētā jautājuma risināšanā, kā arī novērst dažādu izpratni par lēmuma saturu gadījumos, kad prokurors, atceļot lēmumu par atteikšanos uzsākt kriminālprocesu, uzreiz neuzsāk kriminālprocesu, bet </w:t>
      </w:r>
      <w:r w:rsidRPr="00836A0E">
        <w:rPr>
          <w:iCs/>
        </w:rPr>
        <w:t>nosūta</w:t>
      </w:r>
      <w:r w:rsidRPr="00836A0E">
        <w:rPr>
          <w:iCs/>
        </w:rPr>
        <w:t xml:space="preserve"> materiālu pārbaudes veikšanai, piedāvājam precizēt KPL 373. panta regulējumu un papildināt minēto normu ar jaunu astoto daļu šādā redakcijā:</w:t>
      </w:r>
    </w:p>
    <w:p w:rsidR="00836A0E" w:rsidRPr="00836A0E" w:rsidP="00310AF4">
      <w:pPr>
        <w:pStyle w:val="naisf"/>
        <w:spacing w:before="0" w:beforeAutospacing="0" w:after="0" w:afterAutospacing="0"/>
        <w:ind w:firstLine="357"/>
        <w:jc w:val="both"/>
        <w:rPr>
          <w:iCs/>
        </w:rPr>
      </w:pPr>
      <w:r w:rsidRPr="00836A0E">
        <w:rPr>
          <w:iCs/>
        </w:rPr>
        <w:t>“Prokurors var izvērtēt lēmuma par atteikšanos uzsākt kriminālprocesu likumību un pamatotību arī gadījumos, kad nav saņemta šā likuma 369. panta otrās daļas 1., 2. vai 4. punktā minēto personu sūdzība. Šādā gadījumā prokurors var pilnīgi vai daļēji atcelt vai grozīt pieņemto lēmumu par atteikšanos uzsākt kriminālprocesu. Pilnīgi vai daļēji atceļot lēmumu par atteikšanos uzsākt kriminālprocesu un nosūtot materiālu pārbaudei, norāda veicamās darbības. Prokurora lēmums nav pārsūdzams."</w:t>
      </w:r>
    </w:p>
    <w:p w:rsidR="00125BBC" w:rsidP="00310AF4">
      <w:pPr>
        <w:pStyle w:val="naisf"/>
        <w:spacing w:before="0" w:beforeAutospacing="0" w:after="0" w:afterAutospacing="0"/>
        <w:ind w:firstLine="360"/>
        <w:jc w:val="both"/>
        <w:rPr>
          <w:iCs/>
        </w:rPr>
      </w:pPr>
      <w:r w:rsidRPr="00836A0E">
        <w:rPr>
          <w:iCs/>
        </w:rPr>
        <w:t>Ievērojot, ka prokurors, atceļot lēmumu par atteikšanos uzsākt kriminālprocesu, var nosūtīt materiālu pārbaudei arī gadījumos, kad izskata sūdzību,  lūdzam attiecīgi papildināt arī KPL 373.</w:t>
      </w:r>
      <w:r w:rsidR="009C5136">
        <w:rPr>
          <w:iCs/>
        </w:rPr>
        <w:t> </w:t>
      </w:r>
      <w:r w:rsidRPr="00836A0E">
        <w:rPr>
          <w:iCs/>
        </w:rPr>
        <w:t>panta septīto daļu ar norādi, ka pilnīgi vai daļēji atceļot lēmumu par atteikšanos uzsākt kriminālprocesu un nosūtot materiālu pārbaudei, norāda veicamās darbības.</w:t>
      </w:r>
    </w:p>
    <w:p w:rsidR="00D171D4" w:rsidP="00310AF4">
      <w:pPr>
        <w:pStyle w:val="naisf"/>
        <w:spacing w:before="0" w:beforeAutospacing="0" w:after="0" w:afterAutospacing="0"/>
        <w:ind w:firstLine="360"/>
        <w:jc w:val="both"/>
        <w:rPr>
          <w:iCs/>
        </w:rPr>
      </w:pPr>
    </w:p>
    <w:p w:rsidR="00D171D4" w:rsidP="00D171D4">
      <w:pPr>
        <w:pStyle w:val="Header"/>
        <w:tabs>
          <w:tab w:val="clear" w:pos="4153"/>
          <w:tab w:val="clear" w:pos="8306"/>
        </w:tabs>
        <w:jc w:val="both"/>
      </w:pPr>
    </w:p>
    <w:p w:rsidR="00D171D4" w:rsidP="00D171D4">
      <w:pPr>
        <w:pStyle w:val="Header"/>
        <w:tabs>
          <w:tab w:val="clear" w:pos="4153"/>
          <w:tab w:val="clear" w:pos="8306"/>
        </w:tabs>
        <w:jc w:val="both"/>
      </w:pPr>
    </w:p>
    <w:p w:rsidR="00D171D4" w:rsidRPr="00B549DE" w:rsidP="00D171D4">
      <w:pPr>
        <w:pStyle w:val="Header"/>
        <w:tabs>
          <w:tab w:val="clear" w:pos="4153"/>
          <w:tab w:val="clear" w:pos="8306"/>
        </w:tabs>
        <w:jc w:val="both"/>
      </w:pPr>
      <w:r>
        <w:t>A</w:t>
      </w:r>
      <w:r w:rsidRPr="00B549DE">
        <w:t>r cieņu</w:t>
      </w:r>
    </w:p>
    <w:p w:rsidR="00D171D4" w:rsidRPr="00B549DE" w:rsidP="00D171D4">
      <w:pPr>
        <w:pStyle w:val="Header"/>
        <w:tabs>
          <w:tab w:val="clear" w:pos="4153"/>
          <w:tab w:val="clear" w:pos="8306"/>
        </w:tabs>
        <w:jc w:val="both"/>
      </w:pPr>
    </w:p>
    <w:p w:rsidR="00D171D4" w:rsidRPr="00B549DE" w:rsidP="00D171D4">
      <w:pPr>
        <w:pStyle w:val="Header"/>
        <w:tabs>
          <w:tab w:val="clear" w:pos="4153"/>
          <w:tab w:val="clear" w:pos="8306"/>
        </w:tabs>
        <w:jc w:val="both"/>
      </w:pPr>
      <w:r w:rsidRPr="00B549DE">
        <w:t xml:space="preserve">Darbības </w:t>
      </w:r>
      <w:r>
        <w:t>kontroles un starptautiskās sadarbības</w:t>
      </w:r>
    </w:p>
    <w:p w:rsidR="00D171D4" w:rsidRPr="00B549DE" w:rsidP="00D171D4">
      <w:pPr>
        <w:pStyle w:val="Header"/>
        <w:tabs>
          <w:tab w:val="clear" w:pos="4153"/>
          <w:tab w:val="clear" w:pos="8306"/>
        </w:tabs>
        <w:jc w:val="both"/>
      </w:pPr>
      <w:r w:rsidRPr="00B549DE">
        <w:t>departamenta virsprokuror</w:t>
      </w:r>
      <w:r>
        <w:t xml:space="preserve">a </w:t>
      </w:r>
      <w:r>
        <w:t>p.i</w:t>
      </w:r>
      <w:r>
        <w:t>.</w:t>
      </w:r>
      <w:r w:rsidRPr="00B549DE">
        <w:tab/>
      </w:r>
      <w:r w:rsidRPr="00B549DE">
        <w:tab/>
      </w:r>
      <w:r w:rsidRPr="00B549DE">
        <w:tab/>
        <w:t xml:space="preserve">                                </w:t>
      </w:r>
      <w:r>
        <w:tab/>
      </w:r>
      <w:r>
        <w:tab/>
      </w:r>
      <w:r w:rsidRPr="00B549DE">
        <w:t xml:space="preserve">  </w:t>
      </w:r>
      <w:r>
        <w:t>U</w:t>
      </w:r>
      <w:r w:rsidRPr="00B549DE">
        <w:t>.</w:t>
      </w:r>
      <w:r>
        <w:t>Brenča</w:t>
      </w:r>
    </w:p>
    <w:p w:rsidR="00D171D4" w:rsidP="00D171D4">
      <w:pPr>
        <w:jc w:val="both"/>
        <w:rPr>
          <w:iCs/>
          <w:sz w:val="18"/>
          <w:szCs w:val="18"/>
        </w:rPr>
      </w:pPr>
    </w:p>
    <w:p w:rsidR="00D171D4" w:rsidRPr="00D171D4" w:rsidP="00D171D4">
      <w:pPr>
        <w:jc w:val="both"/>
        <w:rPr>
          <w:iCs/>
          <w:sz w:val="18"/>
          <w:szCs w:val="18"/>
        </w:rPr>
      </w:pPr>
      <w:r w:rsidRPr="00D171D4">
        <w:rPr>
          <w:iCs/>
          <w:sz w:val="18"/>
          <w:szCs w:val="18"/>
        </w:rPr>
        <w:t>D.Trušinska</w:t>
      </w:r>
      <w:r w:rsidRPr="00D171D4">
        <w:rPr>
          <w:iCs/>
          <w:sz w:val="18"/>
          <w:szCs w:val="18"/>
        </w:rPr>
        <w:t xml:space="preserve"> 67044881</w:t>
      </w:r>
    </w:p>
    <w:p w:rsidR="00125BBC" w:rsidRPr="00913E61" w:rsidP="00913E61">
      <w:pPr>
        <w:jc w:val="both"/>
        <w:rPr>
          <w:iCs/>
          <w:sz w:val="18"/>
          <w:szCs w:val="18"/>
          <w:lang w:val="de-DE"/>
        </w:rPr>
      </w:pPr>
      <w:r w:rsidRPr="00D171D4">
        <w:rPr>
          <w:iCs/>
          <w:sz w:val="18"/>
          <w:szCs w:val="18"/>
          <w:lang w:val="de-DE"/>
        </w:rPr>
        <w:t>Dace.Trusinska@lrp.gov.lv</w:t>
      </w:r>
    </w:p>
    <w:tbl>
      <w:tblPr>
        <w:tblW w:w="0" w:type="auto"/>
        <w:tblLook w:val="04A0"/>
      </w:tblPr>
      <w:tblGrid>
        <w:gridCol w:w="6228"/>
        <w:gridCol w:w="3240"/>
      </w:tblGrid>
      <w:tr w:rsidTr="00914657">
        <w:tblPrEx>
          <w:tblW w:w="0" w:type="auto"/>
          <w:tblLook w:val="04A0"/>
        </w:tblPrEx>
        <w:tc>
          <w:tcPr>
            <w:tcW w:w="6228" w:type="dxa"/>
            <w:tcBorders>
              <w:top w:val="nil"/>
              <w:left w:val="nil"/>
              <w:bottom w:val="nil"/>
              <w:right w:val="nil"/>
            </w:tcBorders>
          </w:tcPr>
          <w:p w:rsidR="00C64B92" w:rsidRPr="00882A22" w:rsidP="008D4D76">
            <w:pPr>
              <w:spacing w:line="276" w:lineRule="auto"/>
            </w:pPr>
          </w:p>
        </w:tc>
        <w:tc>
          <w:tcPr>
            <w:tcW w:w="3240" w:type="dxa"/>
            <w:tcBorders>
              <w:top w:val="nil"/>
              <w:left w:val="nil"/>
              <w:bottom w:val="nil"/>
              <w:right w:val="nil"/>
            </w:tcBorders>
          </w:tcPr>
          <w:p w:rsidR="00C64B92" w:rsidRPr="00882A22" w:rsidP="00914657">
            <w:pPr>
              <w:spacing w:line="276" w:lineRule="auto"/>
              <w:jc w:val="right"/>
            </w:pPr>
          </w:p>
        </w:tc>
      </w:tr>
      <w:tr w:rsidTr="00914657">
        <w:tblPrEx>
          <w:tblW w:w="0" w:type="auto"/>
          <w:tblLook w:val="04A0"/>
        </w:tblPrEx>
        <w:tc>
          <w:tcPr>
            <w:tcW w:w="6228" w:type="dxa"/>
            <w:tcBorders>
              <w:top w:val="nil"/>
              <w:left w:val="nil"/>
              <w:bottom w:val="nil"/>
              <w:right w:val="nil"/>
            </w:tcBorders>
          </w:tcPr>
          <w:p w:rsidR="00D171D4" w:rsidP="008D4D76">
            <w:pPr>
              <w:spacing w:line="276" w:lineRule="auto"/>
            </w:pPr>
          </w:p>
        </w:tc>
        <w:tc>
          <w:tcPr>
            <w:tcW w:w="3240" w:type="dxa"/>
            <w:tcBorders>
              <w:top w:val="nil"/>
              <w:left w:val="nil"/>
              <w:bottom w:val="nil"/>
              <w:right w:val="nil"/>
            </w:tcBorders>
          </w:tcPr>
          <w:p w:rsidR="00D171D4" w:rsidRPr="00882A22" w:rsidP="00914657">
            <w:pPr>
              <w:spacing w:line="276" w:lineRule="auto"/>
              <w:jc w:val="right"/>
            </w:pPr>
          </w:p>
        </w:tc>
      </w:tr>
    </w:tbl>
    <w:p w:rsidR="00C64B92" w:rsidRPr="00882A22" w:rsidP="00C64B92">
      <w:pPr>
        <w:spacing w:before="240" w:line="276" w:lineRule="auto"/>
        <w:jc w:val="center"/>
        <w:rPr>
          <w:sz w:val="26"/>
          <w:szCs w:val="26"/>
        </w:rPr>
      </w:pPr>
      <w:r w:rsidRPr="00882A22">
        <w:rPr>
          <w:sz w:val="26"/>
          <w:szCs w:val="26"/>
        </w:rPr>
        <w:t>DOKUMENTS IR PARAKSTĪTS AR DROŠU ELEKTRONISKO PARAKSTU</w:t>
      </w:r>
    </w:p>
    <w:p w:rsidR="00452403" w:rsidRPr="00882A22" w:rsidP="00FA34CB">
      <w:pPr>
        <w:spacing w:after="240" w:line="276" w:lineRule="auto"/>
        <w:jc w:val="center"/>
        <w:rPr>
          <w:sz w:val="26"/>
          <w:szCs w:val="26"/>
        </w:rPr>
      </w:pPr>
      <w:r w:rsidRPr="00882A22">
        <w:rPr>
          <w:sz w:val="26"/>
          <w:szCs w:val="26"/>
        </w:rPr>
        <w:t>UN SATUR LAIKA ZĪMOGU</w:t>
      </w:r>
    </w:p>
    <w:sectPr w:rsidSect="00452403">
      <w:headerReference w:type="even" r:id="rId6"/>
      <w:headerReference w:type="default" r:id="rId7"/>
      <w:footerReference w:type="default" r:id="rId8"/>
      <w:footerReference w:type="first" r:id="rId9"/>
      <w:pgSz w:w="11906" w:h="16838"/>
      <w:pgMar w:top="853" w:right="567" w:bottom="1440"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1423022"/>
      <w:docPartObj>
        <w:docPartGallery w:val="Page Numbers (Bottom of Page)"/>
        <w:docPartUnique/>
      </w:docPartObj>
    </w:sdtPr>
    <w:sdtContent>
      <w:p w:rsidR="00EF63CD" w:rsidRPr="00EF63CD" w:rsidP="00EF63CD">
        <w:pPr>
          <w:pStyle w:val="Footer"/>
          <w:jc w:val="both"/>
          <w:rPr>
            <w:sz w:val="20"/>
            <w:szCs w:val="20"/>
          </w:rPr>
        </w:pPr>
        <w:r w:rsidRPr="00EF63CD">
          <w:rPr>
            <w:sz w:val="20"/>
            <w:szCs w:val="20"/>
          </w:rPr>
          <w:t xml:space="preserve">GPAtz_100921_KPL_groz; Atzinums par likumprojektu „Grozījumi Kriminālprocesa likumā”, tā anotāciju un </w:t>
        </w:r>
        <w:r w:rsidRPr="00EF63CD">
          <w:rPr>
            <w:sz w:val="20"/>
            <w:szCs w:val="20"/>
          </w:rPr>
          <w:t>protokollēmumu</w:t>
        </w:r>
      </w:p>
      <w:p w:rsidR="00452403">
        <w:pPr>
          <w:pStyle w:val="Footer"/>
          <w:jc w:val="center"/>
        </w:pPr>
        <w:r>
          <w:fldChar w:fldCharType="begin"/>
        </w:r>
        <w:r>
          <w:instrText>PAGE   \* MERGEFORMAT</w:instrText>
        </w:r>
        <w:r>
          <w:fldChar w:fldCharType="separate"/>
        </w:r>
        <w:r>
          <w:t>2</w:t>
        </w:r>
        <w:r>
          <w:fldChar w:fldCharType="end"/>
        </w:r>
      </w:p>
    </w:sdtContent>
  </w:sdt>
  <w:p w:rsidR="00452403">
    <w:pPr>
      <w:pStyle w:val="Footer"/>
    </w:pPr>
  </w:p>
  <w:p>
    <w:r>
      <w:t>
Elektroniski parakstītā dokumenta Nr.: 001416AY2535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63CD" w:rsidRPr="00EF63CD" w:rsidP="00EF63CD">
    <w:pPr>
      <w:pStyle w:val="Footer"/>
      <w:rPr>
        <w:sz w:val="20"/>
        <w:szCs w:val="20"/>
      </w:rPr>
    </w:pPr>
    <w:r w:rsidRPr="00EF63CD">
      <w:rPr>
        <w:sz w:val="20"/>
        <w:szCs w:val="20"/>
      </w:rPr>
      <w:t xml:space="preserve">GPAtz_100921_KPL_groz; Atzinums par likumprojektu „Grozījumi Kriminālprocesa likumā”, tā anotāciju un </w:t>
    </w:r>
    <w:r w:rsidRPr="00EF63CD">
      <w:rPr>
        <w:sz w:val="20"/>
        <w:szCs w:val="20"/>
      </w:rPr>
      <w:t>protokollēmumu</w:t>
    </w:r>
  </w:p>
  <w:p w:rsidR="00EF63CD">
    <w:pPr>
      <w:pStyle w:val="Footer"/>
    </w:pPr>
  </w:p>
  <w:p>
    <w:r>
      <w:t>
Elektroniski parakstītā dokumenta Nr.: 001416AY2535</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F3" w:rsidP="00142D3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sidR="003403AE">
      <w:rPr>
        <w:rStyle w:val="PageNumber"/>
      </w:rPr>
      <w:fldChar w:fldCharType="separate"/>
    </w:r>
    <w:r>
      <w:rPr>
        <w:rStyle w:val="PageNumber"/>
      </w:rPr>
      <w:fldChar w:fldCharType="end"/>
    </w:r>
  </w:p>
  <w:p w:rsidR="007D0DF3" w:rsidP="00142D3C">
    <w:pPr>
      <w:pStyle w:val="Header"/>
      <w:ind w:right="360"/>
    </w:pPr>
  </w:p>
  <w:p w:rsidR="0083059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DF3" w:rsidP="00142D3C">
    <w:pPr>
      <w:pStyle w:val="Header"/>
      <w:ind w:right="360"/>
    </w:pPr>
  </w:p>
  <w:p w:rsidR="008305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F3029DA"/>
    <w:multiLevelType w:val="hybridMultilevel"/>
    <w:tmpl w:val="7E9CC9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lv-LV"/>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rPr>
  </w:style>
  <w:style w:type="paragraph" w:styleId="Header">
    <w:name w:val="header"/>
    <w:basedOn w:val="Normal"/>
    <w:rsid w:val="00D26FB3"/>
    <w:pPr>
      <w:tabs>
        <w:tab w:val="center" w:pos="4153"/>
        <w:tab w:val="right" w:pos="8306"/>
      </w:tabs>
    </w:pPr>
  </w:style>
  <w:style w:type="paragraph" w:styleId="Footer">
    <w:name w:val="footer"/>
    <w:basedOn w:val="Normal"/>
    <w:link w:val="FooterChar"/>
    <w:uiPriority w:val="99"/>
    <w:rsid w:val="00D26FB3"/>
    <w:pPr>
      <w:tabs>
        <w:tab w:val="center" w:pos="4153"/>
        <w:tab w:val="right" w:pos="8306"/>
      </w:tabs>
    </w:pPr>
  </w:style>
  <w:style w:type="character" w:styleId="PageNumber">
    <w:name w:val="page number"/>
    <w:basedOn w:val="DefaultParagraphFont"/>
    <w:rsid w:val="00D26FB3"/>
  </w:style>
  <w:style w:type="paragraph" w:styleId="BalloonText">
    <w:name w:val="Balloon Text"/>
    <w:basedOn w:val="Normal"/>
    <w:semiHidden/>
    <w:rsid w:val="00911845"/>
    <w:rPr>
      <w:rFonts w:ascii="Tahoma" w:hAnsi="Tahoma" w:cs="Tahoma"/>
      <w:sz w:val="16"/>
      <w:szCs w:val="16"/>
    </w:rPr>
  </w:style>
  <w:style w:type="table" w:styleId="TableGrid">
    <w:name w:val="Table Grid"/>
    <w:basedOn w:val="TableNormal"/>
    <w:rsid w:val="008E3F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52403"/>
    <w:rPr>
      <w:sz w:val="24"/>
      <w:szCs w:val="24"/>
      <w:lang w:val="en-US" w:eastAsia="en-US"/>
    </w:rPr>
  </w:style>
  <w:style w:type="paragraph" w:customStyle="1" w:styleId="Style3">
    <w:name w:val="Style3"/>
    <w:basedOn w:val="Normal"/>
    <w:link w:val="Style3Char"/>
    <w:rsid w:val="001C762B"/>
    <w:pPr>
      <w:jc w:val="both"/>
    </w:pPr>
  </w:style>
  <w:style w:type="character" w:customStyle="1" w:styleId="Style3Char">
    <w:name w:val="Style3 Char"/>
    <w:basedOn w:val="DefaultParagraphFont"/>
    <w:link w:val="Style3"/>
    <w:rsid w:val="001C762B"/>
    <w:rPr>
      <w:sz w:val="24"/>
      <w:szCs w:val="24"/>
      <w:lang w:eastAsia="en-US"/>
    </w:rPr>
  </w:style>
  <w:style w:type="paragraph" w:customStyle="1" w:styleId="naisf">
    <w:name w:val="naisf"/>
    <w:basedOn w:val="Normal"/>
    <w:rsid w:val="00125BBC"/>
    <w:pPr>
      <w:spacing w:before="100" w:beforeAutospacing="1" w:after="100" w:afterAutospacing="1"/>
    </w:pPr>
    <w:rPr>
      <w:lang w:eastAsia="lv-LV"/>
    </w:rPr>
  </w:style>
  <w:style w:type="paragraph" w:styleId="ListParagraph">
    <w:name w:val="List Paragraph"/>
    <w:basedOn w:val="Normal"/>
    <w:uiPriority w:val="34"/>
    <w:qFormat/>
    <w:rsid w:val="00943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53F8A-1656-40EB-9C12-2F6B7AEF0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4883</Words>
  <Characters>2784</Characters>
  <Application>Microsoft Office Word</Application>
  <DocSecurity>0</DocSecurity>
  <Lines>23</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RDLIS</vt:lpstr>
    </vt:vector>
  </TitlesOfParts>
  <Company>A/S DATI</Company>
  <LinksUpToDate>false</LinksUpToDate>
  <CharactersWithSpaces>7652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Valts Grigāns</dc:creator>
  <cp:lastModifiedBy>Alēns Mickevičs</cp:lastModifiedBy>
  <cp:revision>29</cp:revision>
  <cp:lastPrinted>2008-02-21T10:46:00Z</cp:lastPrinted>
  <dcterms:created xsi:type="dcterms:W3CDTF">2020-08-03T10:20:00Z</dcterms:created>
  <dcterms:modified xsi:type="dcterms:W3CDTF">2021-09-10T12:15:00Z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TIESLIETU MINISTRIJA (TM)
Tieslietu ministrija
 Ilona-Sabīne Sviķe</vt:lpwstr>
  </property>
  <property fmtid="{D5CDD505-2E9C-101B-9397-08002B2CF9AE}" pid="3" name="#ANOTACIJA#">
    <vt:lpwstr>Atzinums par likumprojektu "Grozījumi Kriminālprocesa likumā"(VSS-814)</vt:lpwstr>
  </property>
  <property fmtid="{D5CDD505-2E9C-101B-9397-08002B2CF9AE}" pid="4" name="#ATB_DAT#">
    <vt:lpwstr/>
  </property>
  <property fmtid="{D5CDD505-2E9C-101B-9397-08002B2CF9AE}" pid="5" name="#ATB_NR#">
    <vt:lpwstr/>
  </property>
  <property fmtid="{D5CDD505-2E9C-101B-9397-08002B2CF9AE}" pid="6" name="#DOC_DAT#">
    <vt:lpwstr>10.09.2021.</vt:lpwstr>
  </property>
  <property fmtid="{D5CDD505-2E9C-101B-9397-08002B2CF9AE}" pid="7" name="#DOC_NR#">
    <vt:lpwstr>N-120-2021-00154</vt:lpwstr>
  </property>
  <property fmtid="{D5CDD505-2E9C-101B-9397-08002B2CF9AE}" pid="8" name="#EXEC_OBJECT_NR#">
    <vt:lpwstr/>
  </property>
  <property fmtid="{D5CDD505-2E9C-101B-9397-08002B2CF9AE}" pid="9" name="#EXEC_OBJECT_SHORT_NR#">
    <vt:lpwstr/>
  </property>
  <property fmtid="{D5CDD505-2E9C-101B-9397-08002B2CF9AE}" pid="10" name="#PARAKST_AMATS#">
    <vt:lpwstr>Virsprokurors</vt:lpwstr>
  </property>
  <property fmtid="{D5CDD505-2E9C-101B-9397-08002B2CF9AE}" pid="11" name="#PARAKST_V_UZV#">
    <vt:lpwstr>A.Ostapko</vt:lpwstr>
  </property>
  <property fmtid="{D5CDD505-2E9C-101B-9397-08002B2CF9AE}" pid="12" name="#SAG_TALR#">
    <vt:lpwstr>67044881</vt:lpwstr>
  </property>
  <property fmtid="{D5CDD505-2E9C-101B-9397-08002B2CF9AE}" pid="13" name="#SAG_UZV#">
    <vt:lpwstr>Trušinska</vt:lpwstr>
  </property>
  <property fmtid="{D5CDD505-2E9C-101B-9397-08002B2CF9AE}" pid="14" name="#STRUKT_FAX#">
    <vt:lpwstr>67044449</vt:lpwstr>
  </property>
  <property fmtid="{D5CDD505-2E9C-101B-9397-08002B2CF9AE}" pid="15" name="#STRUKT_TALR#">
    <vt:lpwstr>67044448</vt:lpwstr>
  </property>
  <property fmtid="{D5CDD505-2E9C-101B-9397-08002B2CF9AE}" pid="16" name="#STR_ADRESE#">
    <vt:lpwstr>Kalpaka bulvāris 6, Rīga, LV-1050</vt:lpwstr>
  </property>
  <property fmtid="{D5CDD505-2E9C-101B-9397-08002B2CF9AE}" pid="17" name="#STR_EPASTS#">
    <vt:lpwstr>DKSSD@lrp.gov.lv</vt:lpwstr>
  </property>
  <property fmtid="{D5CDD505-2E9C-101B-9397-08002B2CF9AE}" pid="18" name="#STR_NOS#">
    <vt:lpwstr>Darbības kontroles un starptautiskās sadarbības departaments</vt:lpwstr>
  </property>
  <property fmtid="{D5CDD505-2E9C-101B-9397-08002B2CF9AE}" pid="19" name="#STR_REG_NR#">
    <vt:lpwstr>Reģistrācijas Nr. 90000022859, </vt:lpwstr>
  </property>
</Properties>
</file>