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decembra noteikumos Nr. 816 "Publisko elektronisko iepirkumu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punktā lietots šķietami jauns formulējums "daudzfaktoru elektroniskās identifikācijas līdzekļi", kura nozīme netiek skaidrota, attiecīgi nav skaidrs, kādi identifikācijas līdzekļi ar konkrēto formulējumu ir saprotami. Attiecīgi iesakām papildināt noteikumu projektu vai anotācijā skaidrot konkrēto formulējumu nolūkā nodrošināt skaidru un nepārprotamu projekta 1. punkta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izvērtēt tiesību akta projekta izpildes nodrošināšanu un tās ietekmi (anotācijas 7. punkts) uz Valsts reģionālās attīstības aģentūru saprotot vai noteikumu projekts nepaplašina tās uzdevumus. Tāpat iesakam izvērtēt arī noteikumu projekta ietekmi uz Valsts reģionālās attīstības aģentūras administratīvo slogu (anotācijas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“daudzfaktoru autentifikācija” šobrīd jau tiek lietots tiesību aktos, piemēram, Ministru kabineta 2012. gada 19. jūnija noteikumu Nr. 421 „Valsts informācijas sistēmu savietotāju un integrēto valsts informācijas sistēmu aizsardzības prasības” 7.5. apakšpunktā. Noteikumu projektā lietotais attiecīgais termins nozīmē tādu autentifikāciju, kas sastāv no vismaz diviem atribūtiem, kur viens ir atribūts, kuram nav statiska daba (piemēram, kodu kalkulators, vienreiz lietojams īsziņas kods), un vismaz viens cits atribūts. Būtiski piebilst, ka noteikumu projekta izpratnē daudzfaktoru autentifikācijas jēdzienam atbilst arī Latvijā izmantotā eParaksta vai eID autentifikācija tajos gadījumos, kad sertifikāts atrodas čipkartē un čipkarte ir aizsargāta ar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17.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pielikums noteic pretendenta un kandidāta ierobežojumu ņemt dalību iepirkumu procedūrā, ja kandidāts vai pretendents ir izdarījis 17. pielikuma 1. un 2. punktā minētos noziedzīgos nodarījumus, kas paredzēti Krimināllikuma 79.</w:t>
            </w:r>
            <w:r w:rsidR="00000000" w:rsidRPr="00000000" w:rsidDel="00000000">
              <w:rPr>
                <w:vertAlign w:val="superscript"/>
                <w:rtl w:val="0"/>
              </w:rPr>
              <w:t xml:space="preserve">1</w:t>
            </w:r>
            <w:r w:rsidR="00000000" w:rsidRPr="00000000" w:rsidDel="00000000">
              <w:rPr>
                <w:rtl w:val="0"/>
              </w:rPr>
              <w:t xml:space="preserve">, 79.</w:t>
            </w:r>
            <w:r w:rsidR="00000000" w:rsidRPr="00000000" w:rsidDel="00000000">
              <w:rPr>
                <w:vertAlign w:val="superscript"/>
                <w:rtl w:val="0"/>
              </w:rPr>
              <w:t xml:space="preserve">2</w:t>
            </w:r>
            <w:r w:rsidR="00000000" w:rsidRPr="00000000" w:rsidDel="00000000">
              <w:rPr>
                <w:rtl w:val="0"/>
              </w:rPr>
              <w:t xml:space="preserve">, 79.</w:t>
            </w:r>
            <w:r w:rsidR="00000000" w:rsidRPr="00000000" w:rsidDel="00000000">
              <w:rPr>
                <w:vertAlign w:val="superscript"/>
                <w:rtl w:val="0"/>
              </w:rPr>
              <w:t xml:space="preserve">3</w:t>
            </w:r>
            <w:r w:rsidR="00000000" w:rsidRPr="00000000" w:rsidDel="00000000">
              <w:rPr>
                <w:rtl w:val="0"/>
              </w:rPr>
              <w:t xml:space="preserve">, 79.</w:t>
            </w:r>
            <w:r w:rsidR="00000000" w:rsidRPr="00000000" w:rsidDel="00000000">
              <w:rPr>
                <w:vertAlign w:val="superscript"/>
                <w:rtl w:val="0"/>
              </w:rPr>
              <w:t xml:space="preserve">4</w:t>
            </w:r>
            <w:r w:rsidR="00000000" w:rsidRPr="00000000" w:rsidDel="00000000">
              <w:rPr>
                <w:rtl w:val="0"/>
              </w:rPr>
              <w:t xml:space="preserve">, 79.</w:t>
            </w:r>
            <w:r w:rsidR="00000000" w:rsidRPr="00000000" w:rsidDel="00000000">
              <w:rPr>
                <w:vertAlign w:val="superscript"/>
                <w:rtl w:val="0"/>
              </w:rPr>
              <w:t xml:space="preserve">5</w:t>
            </w:r>
            <w:r w:rsidR="00000000" w:rsidRPr="00000000" w:rsidDel="00000000">
              <w:rPr>
                <w:rtl w:val="0"/>
              </w:rPr>
              <w:t xml:space="preserve">, 79.</w:t>
            </w:r>
            <w:r w:rsidR="00000000" w:rsidRPr="00000000" w:rsidDel="00000000">
              <w:rPr>
                <w:vertAlign w:val="superscript"/>
                <w:rtl w:val="0"/>
              </w:rPr>
              <w:t xml:space="preserve">6</w:t>
            </w:r>
            <w:r w:rsidR="00000000" w:rsidRPr="00000000" w:rsidDel="00000000">
              <w:rPr>
                <w:rtl w:val="0"/>
              </w:rPr>
              <w:t xml:space="preserve">, 88., 88.</w:t>
            </w:r>
            <w:r w:rsidR="00000000" w:rsidRPr="00000000" w:rsidDel="00000000">
              <w:rPr>
                <w:vertAlign w:val="superscript"/>
                <w:rtl w:val="0"/>
              </w:rPr>
              <w:t xml:space="preserve">1</w:t>
            </w:r>
            <w:r w:rsidR="00000000" w:rsidRPr="00000000" w:rsidDel="00000000">
              <w:rPr>
                <w:rtl w:val="0"/>
              </w:rPr>
              <w:t xml:space="preserve">, 88.</w:t>
            </w:r>
            <w:r w:rsidR="00000000" w:rsidRPr="00000000" w:rsidDel="00000000">
              <w:rPr>
                <w:vertAlign w:val="superscript"/>
                <w:rtl w:val="0"/>
              </w:rPr>
              <w:t xml:space="preserve">2</w:t>
            </w:r>
            <w:r w:rsidR="00000000" w:rsidRPr="00000000" w:rsidDel="00000000">
              <w:rPr>
                <w:rtl w:val="0"/>
              </w:rPr>
              <w:t xml:space="preserve">, 88.</w:t>
            </w:r>
            <w:r w:rsidR="00000000" w:rsidRPr="00000000" w:rsidDel="00000000">
              <w:rPr>
                <w:vertAlign w:val="superscript"/>
                <w:rtl w:val="0"/>
              </w:rPr>
              <w:t xml:space="preserve">3</w:t>
            </w:r>
            <w:r w:rsidR="00000000" w:rsidRPr="00000000" w:rsidDel="00000000">
              <w:rPr>
                <w:rtl w:val="0"/>
              </w:rPr>
              <w:t xml:space="preserve">, 89.</w:t>
            </w:r>
            <w:r w:rsidR="00000000" w:rsidRPr="00000000" w:rsidDel="00000000">
              <w:rPr>
                <w:vertAlign w:val="superscript"/>
                <w:rtl w:val="0"/>
              </w:rPr>
              <w:t xml:space="preserve">1</w:t>
            </w:r>
            <w:r w:rsidR="00000000" w:rsidRPr="00000000" w:rsidDel="00000000">
              <w:rPr>
                <w:rtl w:val="0"/>
              </w:rPr>
              <w:t xml:space="preserve">, 154.</w:t>
            </w:r>
            <w:r w:rsidR="00000000" w:rsidRPr="00000000" w:rsidDel="00000000">
              <w:rPr>
                <w:vertAlign w:val="superscript"/>
                <w:rtl w:val="0"/>
              </w:rPr>
              <w:t xml:space="preserve">1</w:t>
            </w:r>
            <w:r w:rsidR="00000000" w:rsidRPr="00000000" w:rsidDel="00000000">
              <w:rPr>
                <w:rtl w:val="0"/>
              </w:rPr>
              <w:t xml:space="preserve">, 177., 177.</w:t>
            </w:r>
            <w:r w:rsidR="00000000" w:rsidRPr="00000000" w:rsidDel="00000000">
              <w:rPr>
                <w:vertAlign w:val="superscript"/>
                <w:rtl w:val="0"/>
              </w:rPr>
              <w:t xml:space="preserve">1</w:t>
            </w:r>
            <w:r w:rsidR="00000000" w:rsidRPr="00000000" w:rsidDel="00000000">
              <w:rPr>
                <w:rtl w:val="0"/>
              </w:rPr>
              <w:t xml:space="preserve">, 178., 179., 184. panta trešajā daļā, 190.</w:t>
            </w:r>
            <w:r w:rsidR="00000000" w:rsidRPr="00000000" w:rsidDel="00000000">
              <w:rPr>
                <w:vertAlign w:val="superscript"/>
                <w:rtl w:val="0"/>
              </w:rPr>
              <w:t xml:space="preserve">1</w:t>
            </w:r>
            <w:r w:rsidR="00000000" w:rsidRPr="00000000" w:rsidDel="00000000">
              <w:rPr>
                <w:rtl w:val="0"/>
              </w:rPr>
              <w:t xml:space="preserve">, 195., 198., 199., 218., 320., 321., 322., 323., 326., 326.</w:t>
            </w:r>
            <w:r w:rsidR="00000000" w:rsidRPr="00000000" w:rsidDel="00000000">
              <w:rPr>
                <w:vertAlign w:val="superscript"/>
                <w:rtl w:val="0"/>
              </w:rPr>
              <w:t xml:space="preserve">1</w:t>
            </w:r>
            <w:r w:rsidR="00000000" w:rsidRPr="00000000" w:rsidDel="00000000">
              <w:rPr>
                <w:rtl w:val="0"/>
              </w:rPr>
              <w:t xml:space="preserve">,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vēršam uzmanību, ka nedz noteikumu projekts, nedz anotācija nesniedz skaidrojumu, kādēļ tieši par noteikumu projekta 17. pielikuma 1. un 2. punktā uzskaitītajiem noziedzīgajiem nodarījumiem pretendents vai kandidāts būtu izslēdzams no dalības iepirkuma procedūrā. Vēlamies uzsvērt,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ņemot vērā minēto, lūdzam noteikumu projekta anotācijā ietvert pamatojumu un skaidrojumu, kādēļ tieši par attiecīgajiem noziedzīgajiem nodarījumiem pretendents vai kandidāts būtu izslēdzams no dalības iepirkuma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pielikums noteic pretendenta un kandidāta ierobežojumu ņemt dalību iepirkumu procedūrā, ja kandidāts vai pretendents ir izdarījis 17. pielikuma 1. un 2. punktā minētos noziedzīgos nodarījumus, kas paredzēti Krimināllikuma 79.</w:t>
            </w:r>
            <w:r w:rsidR="00000000" w:rsidRPr="00000000" w:rsidDel="00000000">
              <w:rPr>
                <w:vertAlign w:val="superscript"/>
                <w:rtl w:val="0"/>
              </w:rPr>
              <w:t xml:space="preserve">1</w:t>
            </w:r>
            <w:r w:rsidR="00000000" w:rsidRPr="00000000" w:rsidDel="00000000">
              <w:rPr>
                <w:rtl w:val="0"/>
              </w:rPr>
              <w:t xml:space="preserve">, 79.</w:t>
            </w:r>
            <w:r w:rsidR="00000000" w:rsidRPr="00000000" w:rsidDel="00000000">
              <w:rPr>
                <w:vertAlign w:val="superscript"/>
                <w:rtl w:val="0"/>
              </w:rPr>
              <w:t xml:space="preserve">2</w:t>
            </w:r>
            <w:r w:rsidR="00000000" w:rsidRPr="00000000" w:rsidDel="00000000">
              <w:rPr>
                <w:rtl w:val="0"/>
              </w:rPr>
              <w:t xml:space="preserve">, 79.</w:t>
            </w:r>
            <w:r w:rsidR="00000000" w:rsidRPr="00000000" w:rsidDel="00000000">
              <w:rPr>
                <w:vertAlign w:val="superscript"/>
                <w:rtl w:val="0"/>
              </w:rPr>
              <w:t xml:space="preserve">3</w:t>
            </w:r>
            <w:r w:rsidR="00000000" w:rsidRPr="00000000" w:rsidDel="00000000">
              <w:rPr>
                <w:rtl w:val="0"/>
              </w:rPr>
              <w:t xml:space="preserve">, 79.</w:t>
            </w:r>
            <w:r w:rsidR="00000000" w:rsidRPr="00000000" w:rsidDel="00000000">
              <w:rPr>
                <w:vertAlign w:val="superscript"/>
                <w:rtl w:val="0"/>
              </w:rPr>
              <w:t xml:space="preserve">4</w:t>
            </w:r>
            <w:r w:rsidR="00000000" w:rsidRPr="00000000" w:rsidDel="00000000">
              <w:rPr>
                <w:rtl w:val="0"/>
              </w:rPr>
              <w:t xml:space="preserve">, 79.</w:t>
            </w:r>
            <w:r w:rsidR="00000000" w:rsidRPr="00000000" w:rsidDel="00000000">
              <w:rPr>
                <w:vertAlign w:val="superscript"/>
                <w:rtl w:val="0"/>
              </w:rPr>
              <w:t xml:space="preserve">5</w:t>
            </w:r>
            <w:r w:rsidR="00000000" w:rsidRPr="00000000" w:rsidDel="00000000">
              <w:rPr>
                <w:rtl w:val="0"/>
              </w:rPr>
              <w:t xml:space="preserve">, 79.</w:t>
            </w:r>
            <w:r w:rsidR="00000000" w:rsidRPr="00000000" w:rsidDel="00000000">
              <w:rPr>
                <w:vertAlign w:val="superscript"/>
                <w:rtl w:val="0"/>
              </w:rPr>
              <w:t xml:space="preserve">6</w:t>
            </w:r>
            <w:r w:rsidR="00000000" w:rsidRPr="00000000" w:rsidDel="00000000">
              <w:rPr>
                <w:rtl w:val="0"/>
              </w:rPr>
              <w:t xml:space="preserve">, 88., 88.</w:t>
            </w:r>
            <w:r w:rsidR="00000000" w:rsidRPr="00000000" w:rsidDel="00000000">
              <w:rPr>
                <w:vertAlign w:val="superscript"/>
                <w:rtl w:val="0"/>
              </w:rPr>
              <w:t xml:space="preserve">1</w:t>
            </w:r>
            <w:r w:rsidR="00000000" w:rsidRPr="00000000" w:rsidDel="00000000">
              <w:rPr>
                <w:rtl w:val="0"/>
              </w:rPr>
              <w:t xml:space="preserve">, 88.</w:t>
            </w:r>
            <w:r w:rsidR="00000000" w:rsidRPr="00000000" w:rsidDel="00000000">
              <w:rPr>
                <w:vertAlign w:val="superscript"/>
                <w:rtl w:val="0"/>
              </w:rPr>
              <w:t xml:space="preserve">2</w:t>
            </w:r>
            <w:r w:rsidR="00000000" w:rsidRPr="00000000" w:rsidDel="00000000">
              <w:rPr>
                <w:rtl w:val="0"/>
              </w:rPr>
              <w:t xml:space="preserve">, 88.</w:t>
            </w:r>
            <w:r w:rsidR="00000000" w:rsidRPr="00000000" w:rsidDel="00000000">
              <w:rPr>
                <w:vertAlign w:val="superscript"/>
                <w:rtl w:val="0"/>
              </w:rPr>
              <w:t xml:space="preserve">3</w:t>
            </w:r>
            <w:r w:rsidR="00000000" w:rsidRPr="00000000" w:rsidDel="00000000">
              <w:rPr>
                <w:rtl w:val="0"/>
              </w:rPr>
              <w:t xml:space="preserve">, 89.</w:t>
            </w:r>
            <w:r w:rsidR="00000000" w:rsidRPr="00000000" w:rsidDel="00000000">
              <w:rPr>
                <w:vertAlign w:val="superscript"/>
                <w:rtl w:val="0"/>
              </w:rPr>
              <w:t xml:space="preserve">1</w:t>
            </w:r>
            <w:r w:rsidR="00000000" w:rsidRPr="00000000" w:rsidDel="00000000">
              <w:rPr>
                <w:rtl w:val="0"/>
              </w:rPr>
              <w:t xml:space="preserve">, 154.</w:t>
            </w:r>
            <w:r w:rsidR="00000000" w:rsidRPr="00000000" w:rsidDel="00000000">
              <w:rPr>
                <w:vertAlign w:val="superscript"/>
                <w:rtl w:val="0"/>
              </w:rPr>
              <w:t xml:space="preserve">1</w:t>
            </w:r>
            <w:r w:rsidR="00000000" w:rsidRPr="00000000" w:rsidDel="00000000">
              <w:rPr>
                <w:rtl w:val="0"/>
              </w:rPr>
              <w:t xml:space="preserve">, 177., 177.</w:t>
            </w:r>
            <w:r w:rsidR="00000000" w:rsidRPr="00000000" w:rsidDel="00000000">
              <w:rPr>
                <w:vertAlign w:val="superscript"/>
                <w:rtl w:val="0"/>
              </w:rPr>
              <w:t xml:space="preserve">1</w:t>
            </w:r>
            <w:r w:rsidR="00000000" w:rsidRPr="00000000" w:rsidDel="00000000">
              <w:rPr>
                <w:rtl w:val="0"/>
              </w:rPr>
              <w:t xml:space="preserve">, 178., 179., 184. panta trešajā daļā, 190.</w:t>
            </w:r>
            <w:r w:rsidR="00000000" w:rsidRPr="00000000" w:rsidDel="00000000">
              <w:rPr>
                <w:vertAlign w:val="superscript"/>
                <w:rtl w:val="0"/>
              </w:rPr>
              <w:t xml:space="preserve">1</w:t>
            </w:r>
            <w:r w:rsidR="00000000" w:rsidRPr="00000000" w:rsidDel="00000000">
              <w:rPr>
                <w:rtl w:val="0"/>
              </w:rPr>
              <w:t xml:space="preserve">, 195., 198., 199., 218., 320., 321., 322., 323., 326., 326.</w:t>
            </w:r>
            <w:r w:rsidR="00000000" w:rsidRPr="00000000" w:rsidDel="00000000">
              <w:rPr>
                <w:vertAlign w:val="superscript"/>
                <w:rtl w:val="0"/>
              </w:rPr>
              <w:t xml:space="preserve">1</w:t>
            </w:r>
            <w:r w:rsidR="00000000" w:rsidRPr="00000000" w:rsidDel="00000000">
              <w:rPr>
                <w:rtl w:val="0"/>
              </w:rPr>
              <w:t xml:space="preserve">, 326.2 un 326.</w:t>
            </w:r>
            <w:r w:rsidR="00000000" w:rsidRPr="00000000" w:rsidDel="00000000">
              <w:rPr>
                <w:vertAlign w:val="superscript"/>
                <w:rtl w:val="0"/>
              </w:rPr>
              <w:t xml:space="preserve">3</w:t>
            </w:r>
            <w:r w:rsidR="00000000" w:rsidRPr="00000000" w:rsidDel="00000000">
              <w:rPr>
                <w:rtl w:val="0"/>
              </w:rPr>
              <w:t xml:space="preserve"> pantā. Attiecīgajos Krimināllikuma pantos tiek paredzēti noziedzīgi nodarījumu sastāvi, kas atbilst iepirkumu jomas likumos ietvertajām prasībām par kandidātu un pretendentu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anotācijai ir jāatklāj projekta izstrādes nepieciešamība (</w:t>
            </w:r>
            <w:r w:rsidR="00000000" w:rsidRPr="00000000" w:rsidDel="00000000">
              <w:rPr>
                <w:i w:val="1"/>
                <w:rtl w:val="0"/>
              </w:rPr>
              <w:t xml:space="preserve">Ministru kabineta 2021. gada 7. septembra noteikumu Nr. 617 "Tiesību akta projekta sākotnējās ietekmes izvērtēšanas kārtība" 14.1. apakšpunkts</w:t>
            </w:r>
            <w:r w:rsidR="00000000" w:rsidRPr="00000000" w:rsidDel="00000000">
              <w:rPr>
                <w:rtl w:val="0"/>
              </w:rPr>
              <w:t xml:space="preserve">). Tas nozīmē, ka projekta anotācijā ir jāapraksta katra grozījumu saturiskā bloka būtība. Tas palīdz arī izsekot līdzi grozījumu gaitai, tostarp identificēt iepriekš pieļautās kļūdas, ja grozījumu rezultātā problēma tomēr nav novērsta un turpina pastāvēt (</w:t>
            </w:r>
            <w:r w:rsidR="00000000" w:rsidRPr="00000000" w:rsidDel="00000000">
              <w:rPr>
                <w:i w:val="1"/>
                <w:rtl w:val="0"/>
              </w:rPr>
              <w:t xml:space="preserve">Smiltēna A., Bloma I. Tiesību akta projekta ietekmes sākotnējā izvērtēšana. Metodiskie norādījumi/rokasgrāmata. Rīga: Valsts kanceleja, 2014,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atrodama informācija, kāpēc tiek grozīts noteikumu 17. pielikums un kādi tieši grozījumi tajā tiek izdarīti. Tas ir gan pretēji anotācijas pamatuzdevumam (informēt par projekta ietekmi un sekām), gan arī vēlāk piemērotājiem apgrūtina iespēju noskaidrot dažādu grozījumu saturu un būtību. Šobrīd tikai salīdzinot spēkā esošo pielikuma redakciju ar noteikumu projektā iekļautā pielikuma tekstu iespējams noskaidrot, ka, piemēram, ar administratīvo atbildību saistītais regulējums netiek grozīts un kādas izmaiņas pielikumā galu galā ir veiktas. Taču šāds salīdzinājums neatklāj grozījumu mērķi, nepieciešamību un 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papildināt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17.pielikuma 2.punkts tiek tehniski precizēts, papildinot tiesību normu uzskaitījumu ar Krimināllikuma 79.</w:t>
            </w:r>
            <w:r w:rsidR="00000000" w:rsidRPr="00000000" w:rsidDel="00000000">
              <w:rPr>
                <w:vertAlign w:val="superscript"/>
                <w:rtl w:val="0"/>
              </w:rPr>
              <w:t xml:space="preserve">1</w:t>
            </w:r>
            <w:r w:rsidR="00000000" w:rsidRPr="00000000" w:rsidDel="00000000">
              <w:rPr>
                <w:rtl w:val="0"/>
              </w:rPr>
              <w:t xml:space="preserve"> pantu, kas atbilst iepirkumu jomas likumos paredzētajiem izslēgšanas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Finanšu ministrijas sagatavotajā izziņā norādītājam, ka attiecīgo likumu prasību izpilde ir risināma tiesību normu piemērotāja darba organizācijas ietvaros, taču norādām, ka tiesību normu piemērotājs, kuram būs jānodrošina attiecīgo likumu prasību izpilde, šajā gadījumā ir pasūtītājs. Iekšlietu ministrijas Informācijas centrs tikai tehniski nodrošinās datu atlasi no Sodu reģistrā pieejamās informācijas, kas var būt par pamatu, lai tālāk jau pasūtītājs lemtu ir vai nav iestājušies Publisko iepirkumu likumā noteiktie ierobežojumi (tostarp vienlaicīgums attiecībā uz pārkāpumu izdarīšanu). Vēršam uzmanību, ka atbilstoši Administratīvās atbildības likumam par katru administratīvo pārkāpumu tiek pieņemts atsevišķs lēmums, pie tam to šajā gadījumā var pieņemt divas dažādas kompetentās iestādes. Līdz ar to Iekšlietu ministrijas Informācijas centrs var sniegt tikai tā rīcībā esošu informāciju, proti, informāciju par to vai persona ir sodīta par attiecīgajiem pārkāpumiem attiecīgajā periodā. Savukārt pasūtītājs, saņemot šādu informāciju, veic tālāko izvērtējumu par atbilstību Publisko iepirkumu likumam, proti, vai minētie pārkāpumi ir izdarīti vienlaikus, nepieciešamības gadījumā  pieprasot attiecīgi informāciju no iestādēm (Valsts darba inspekcijas un Valsts ieņēmumu dienesta), kas veikušas administratīvā pārkāpuma procesu. Tādējādi  projektā nav jābūt ietvertam vienlaicīguma nosacījumam, bet gan tikai informācijas apjomam, kas tiek iegūts no Iekšlietu ministrijas Informācijas centra uzturētā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 uztur spēkā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akceptēts risinājums svītrot Noteikumu projekta 17.pielikumā vārdus "Vienlaikus konstatēti pārkāpumi", jo pasūtītājam jāiegūst informācija par divām pārkāptām tiesību normām, un praksē viss notiek tāpat,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17.pielikuma 1.punktā ietverto Darba likuma 158. pantu un likuma "Par nodokļiem un nodevām" 142. panta otro daļu, norādāms, ka ziņu apritei no Sodu reģistra jāatbilst iepirkumu jomas likumu attiecīgā regulējuma būtībai, kas paredz, ka minēto tiesību aktu pārkāpumiem jābūt konstatētiem vienlaikus (tiem jābūt spēkā esošiem un pieņemtiem attiecībā pret vienu un to pašu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par katru no atšķirīgajiem tiesību aktiem (Darba likuma 158. pants un likuma "Par nodokļiem un nodevām" 142. panta otrā daļa) ir pieņemts atsevišķs nolēmums, ziņas no Sodu reģistra e-izziņu gatavošanai tiek nodotas tikai tad, ja nevienam no attiecīgajiem nolēmumiem vēl nav iestājies iepirkumu jomas normatīvajos aktos noteiktais noilgums (36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saņemot Noteikumu projekta 17.pielikuma 1.punktā norādīto informāciju par Latvijas Administratīvo pārkāpumu kodeksa 41. panta otro daļu un 159.</w:t>
            </w:r>
            <w:r w:rsidR="00000000" w:rsidRPr="00000000" w:rsidDel="00000000">
              <w:rPr>
                <w:vertAlign w:val="superscript"/>
                <w:rtl w:val="0"/>
              </w:rPr>
              <w:t xml:space="preserve">8</w:t>
            </w:r>
            <w:r w:rsidR="00000000" w:rsidRPr="00000000" w:rsidDel="00000000">
              <w:rPr>
                <w:rtl w:val="0"/>
              </w:rPr>
              <w:t xml:space="preserve"> panta septīto daļu, vai informāciju par Darba likuma 158. pantu un likuma "Par nodokļiem un nodevām" 142. panta otro daļu, atbilstoši Publisko iepirkumu likuma 42.panta otrās daļas 6.punkta b) punktā norādītajam, vērtē, vai kandidāts vai pretendents ar kompetentas institūcijas lēmumu, tiesas spriedumu vai prokurora priekšrakstu par sodu, kas stājies spēkā un kļuvis neapstrīdams un nepārsūdzams,  ir atzīts par vainīgu un sodīts par pārkāpumiem, kuriem nav iestājies noilgums un kuri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nodarbināšana bez rakstveidā noslēgta darba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informatīvās deklarācijas, kas iesniedzama par personām, kuras uzsāk darbu, neiesniegšana normatīvajos aktos par nodokļiem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jāņem vērā, ka ziņas no Sodu reģistra nesatur informāciju, vai nolēmumos ietvertie pārkāpumi ir konstatēti saistībā ar vienu un to pašu nodarbināto personu, līdz ar to pirms izslēgšanas iemesla piemērošanas attiecīgais fakts būtu jāpārbauda vēršoties pie nolēmuma sagatavotāja, jo saskaņā ar Publisko iepirkumu likuma regulējumu, izslēgšanas iemesls piemērojams tikai tajā gadījumā, ja nolēmumā, ar kuru piegādātājs sodīts par personas nodarbināšanu bez rakstveidā noslēgta darba līguma un nolēmumā, ar kuru piegādātājs sodīts par termiņā neiesniegtu informatīvo deklarāciju, ietvertie pārkāpumi ir konstatēti saistībā ar vienu un to pašu nodarbināto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ietvertā Ministru kabineta 2022. gada 20. decembra noteikumu Nr. 816 "Publisko elektronisko iepirkumu noteikumi" 17.pielikuma 1.punktā  tiek paredzēts, ka no Sodu reģistra tiks iegūta informācija par administratīvajiem pārkāpumiem, par kuriem atbildība ir paredzēta Darba likuma 158. pantā un likuma "Par nodokļiem un nodevām" 142. panta otrajā daļā, ja tie ir konstatēti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12.pantā ir noteiktas ziņas, kas tiek iekļautas Sodu reģistrā par administratīvo pārkāpumu izdarījušo personu. Atbilstoši  minētā panta pirmās daļas 8.punktam Sodu reģistrā tiek iekļauta informācija par administratīvā pārkāpuma izdarīšanas (konstatēšanas) datumu,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ministrijas Informācijas centrs sniedz tikai Sodu reģistrā pieejamās ziņas, tai skaitā attiecībā uz administratīvā pārkāpuma izdarīšanas (konstatēšanas) datumu, laiku un vietu.  Vērtēt, vai ir iestājušies Publisko iepirkumu likuma 42.pantā noteiktie kandidātu un pretendentu izslēgšanas iemesli (tai skaitā, vai administratīvie pārkāpumi ir izdarīti vienlaikus (vērtējams termina “vienlaikus” tvērums) u.c.)  ir attiecīgā iepirkuma veicēja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paredzot, ka tiek aizstāti projekta pielikumā ietvertā Ministru kabineta 2022. gada 20. decembra noteikumu Nr. 816 "Publisko elektronisko iepirkumu noteikumi" 17.pielikuma 1.punktā vārdi “Vienlaikus konstatēti pārkāpumi: Darba likuma 158.pants un likuma "Par nodokļiem un nodevām" 142.panta otrā daļa” ar vārdiem “Darba likuma 158.pants un likuma "Par nodokļiem un nodevām" 142.panta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izstrādāto noteikumu projektu “Grozījumi Ministru kabineta 2022. gada 20. decembra noteikumos Nr. 816 "Publisko elektronisko iepirkumu noteikumi"” (23-TA-656).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katalogā būtu jānodrošina ērts un jēgpilns veids kā pasūtītāji var iegādāties kvalitatīvus IT tehnikas apkalpošanas uz uzturēšanas pakalpojumus. Analizējot publiskos iepirkumus ir redzams, ka daļa pasūtītāju rīko savus iepirkumus (konkursus), daļa rīko mazos iepirkumus vai to nodrošina citādi, kas nozīmē, ka faktiski šie pakalpojumi tiek lietoti un tiek iegādāti.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izaicinājumiem varētu būt panākt, lai pasūtītāji EIS katalogā tiešām var iegādāties kvalitatīvus pakalpojumus no pakalpojumu sniedzējiem, kuriem ir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kapacitāte (vairāki kvalificēti inženieri, kas kopumā spēj nosegt lielākus apjomus). Lai nav gadījums, kad 3 vai 4 speciālistiem būtu jāapkalpo 1000 datori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kapacitāte (spēja atbildēt par potenciālajiem zaudējumiem un līgumsodiem, spēja laicīgi maksāt algas un nodrošināt tehnisko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kompetence (zināšanu sertifikācijas un pieredze, to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(spēja ievērot ražotāju tehniskās rekomendācijas, ir sadarbības līgumi ar autorizētiem servisa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kvalitāte (ITIL/ISO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tuvākajā nākotnē arī piegādātāja virzība uz ‘zaļo kursu’/sociālo atbildību – ESG.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Visticamāk šie pakalpojumu būtu sadalāmi 2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Datortehnikas (datori, monitori) apkalpošana;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Servertehnikas (fiziskie un virtuālie serveri, disku masīvi, lenšu bibliotēkas, datu tīkla iekārtas) apkalpošana.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arī šīs grupas visticamāk varētu dalīties: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apjoma un nav paaugstinātas drošības prasības (MK 442 izpratnē)  - ar attiecīgi zemāku kvalifikācijas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apjoma vai ir paaugstinātas drošības prasības (MK 442 izpratnē) - ar attiecīgi augstāku  kvalifikācijas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kvalifikācijas prasības nedrīkst būt arī tādas, ka tām atbilst 1..2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piegādātājiem, iesniedzot piedāvājumu VV kataloga iepirkumā pakalpojuma vērtējamā cena būtu par vienu vienību (mēneša maksa) un sevī ietvertu atkarībā no pozīcijas,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uzraudzību (monitoringu)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Attālināto incidentu risināšanu, piemēram, pieslēgšanos lietotāja ekrānam;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Regulāros attālinātos uzturēšanas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Regulāros klātienes uzturēšanas darbus (bez ceļa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pirkumi būtu caur tā saucamo “atlikto grozu”, kurā pasūtītājs detalizētāk apraksta savu saimniecību un vajadzības. Atliktajā grozā būtu iespēja arī iegādāties papildus pakalpojumus par fiksētu stundas likmi (piemēram, 100 stundas tehniķa darbu datortehnikas uzstādīšanai,  lietotāju konsultācijām utml) un komentārā norādīt nepieciešamo SLO (reakcijas, izpildes laiki,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jauna kataloga izveide neapšaubāmi sekmētu atvērtāku konkurenci kopā ar patiesi kvalitatīviem pakalpojumiem. Iespējams, ka šāda caurspīdīga sistēma ļautu kādam pasūtītājam arī izvērtēt to, ka, piemēram, kaut ko šādi var nodot efektīvākā ārpakalpojumā un ietaupīt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tiks ievēroti, rīkojot cikliskās centralizēto iepirkumu procedūras par informācijas un komunikācijas tehnoloģiju iekārtu un pakalpojumu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nav ietverts skaidrojums par grozāmo noteikumu 17. pielikuma 1. punktā veiktajām izmaiņām, kas skar administratīvos pārkāpumus. Lai arī pašreizējās situācijas aprakstā ir raksturota situācija saistībā ar Darba likuma 158. pantu un likuma "Par nodokļiem un nodevām" 142. panta otro daļu, tomēr tas neatklāj paredzētos grozījumus, to būtību un nepieciešamību. Lūdzam papildināt projekta anotāciju un ietvert visus izdarītos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"Attiecībā par Noteikumu projekta 17. pielikuma 1. punktā ietverto Darba likuma 158. pantu un likuma "Par nodokļiem un nodevām" 142. panta otro daļu, norādāms, ka ziņu apritei no Sodu reģistra jāatbilst iepirkumu jomas likumu attiecīgā regulējuma būtībai, kas paredz, ka minēto tiesību aktu pārkāpumiem jābūt konstatētiem vienlaikus (tiem jābūt spēkā esošiem un pieņemtiem attiecībā pret vienu un to pašu personu)." Domājams, šeit ir mēģināts skaidrot, kas būtu saprotams ar vienlaikus konstatētiem pārkāpumiem. Taču paskaidrojošais teksts iekavās ir pavisam neskaidrs. Piemēram, nav saprotams, kas ir domāts ar "tiem jābūt spēkā esošiem" (vai domāti nolēmumi par soda piemērošanu), kāda tieši persona šeit domāta (sodītā persona; persona, ar kuru nav noslēgts darba līgums u. tml.). Pavisam nesaprotama ir tālāk norādītā atšķirība, ja ir pieņemti atsevišķi nolēmumi (administratīvā pārkāpuma procesā tā tas būs gandrīz vienmēr, ievērojot Administratīvo pārkāpumu procesa atbalsta sistēmas darbības principus). Ja projekta anotācijā ir mēģināts skaidrot "vienlaikus konstatētu pārkāpumu" izpratni, tad šo skaidrojumu nepieciešams pilnveidot (likuma norma, no kuras izriet attiecīgā prasība; ko nozīmē "konstatēts"; kā noteikt, vai tas ir noticis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"Pasūtītājam jāņem vērā, ka ziņas no Sodu reģistra nesatur informāciju, vai nolēmumos ietvertie pārkāpumi ir konstatēti saistībā ar vienu un to pašu nodarbināto personu, līdz ar to pirms izslēgšanas iemesla piemērošanas attiecīgais fakts jāpārbauda, vēršoties pie nolēmuma sagatavotāja [..]." Šāds skaidrojums varētu neatbilst faktiskajai situācijai. Nolēmuma sagatavotājam (ja ar to domāts tieši tas nodarbinātais, kurš faktiski uzrakstījis nolēmuma tekstu) vispār nav nekāda īpaša statusa administratīvā pārkāpuma procesā, kā arī nav tiesību un pienākumu sniegt jebkādas ziņas. Ja runa ir par nolēmuma pieņēmēju, tad arī jāievēro, ka tiklīdz nolēmums ir stājies spēkā un nodots izpildei, procesu virzošā loma ir iestādei, kura organizē un kontrolē soda izpildi. Ievērojot minēto, atkārtoti izvērtējams veids, kā tiks iegūtas nepieciešamās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 sadaļas "Problēmas apraksts" ceturtās rindkopas otrā teikuma vārdu "noziedzīgi" aizstāt ar vārdu "noziedzīgu" atbilstoši juridiskās valodas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grozījumus 17.pielikumā, savukārt anotācijā nav sniegts nekāds skaidrojums, kādēļ šie grozījumi tiek veikti. Lūdzam attiecīgi precizēt anotāciju, papildinot ar skaidrojumu par grozījumu veikšanu 17.pielikumā.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17.pielikuma 2.punkts tiek tehniski precizēts, papildinot tiesību normu uzskaitījumu ar Krimināllikuma 79.</w:t>
            </w:r>
            <w:r w:rsidR="00000000" w:rsidRPr="00000000" w:rsidDel="00000000">
              <w:rPr>
                <w:vertAlign w:val="superscript"/>
                <w:rtl w:val="0"/>
              </w:rPr>
              <w:t xml:space="preserve">1 </w:t>
            </w:r>
            <w:r w:rsidR="00000000" w:rsidRPr="00000000" w:rsidDel="00000000">
              <w:rPr>
                <w:rtl w:val="0"/>
              </w:rPr>
              <w:t xml:space="preserve">pantu, kas atbilst iepirkumu jomas likumos paredzētajiem izslēgšanas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sadaļu "Risinājuma apraksts", tekstā "[..] un VRAA izsniegtos daudzfaktoru elektroniskās identifikācijas līdzekļus [..]" lietoto vārdu "un" aizstājot ar vārdu "vai" atbilstoši noteikumu projekta 1. un 3.punkta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iespēja identificēties EIS, izmantojot VRAA izsniegtos pieejas rekvizītus, VRAA pārziņā esošajā vienotajā pieteikšanās modulī pieejamos elektroniskās identifikācijas līdzekļus (līdz 2024. gada 31. janvārim) un, izmantojot kvalificētus vai kvalificētus paaugstinātas drošības elektroniskās identifikācijas līdzekļus vai VRAA izsniegtos daudzfaktoru elektroniskās identifikācijas līdzekļus (no 2024. gada 1.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iespēja identificēties EIS, izmantojot VRAA izsniegtos pieejas rekvizītus, VRAA pārziņā esošajā vienotajā pieteikšanās modulī pieejamos elektroniskās identifikācijas līdzekļus (līdz 2024. gada 31. janvārim) un, izmantojot kvalificētus vai kvalificētus paaugstinātas drošības elektroniskās identifikācijas līdzekļus vai VRAA izsniegtos daudzfaktoru elektroniskās identifikācijas līdzekļus (no 2024. gada 1.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"Eiropas Savienības" un tā saīsinājumu "ES", kas tiek lietos pirms tā pieteikšanas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pārskatīt saīsinājuma "eIDAS" lietojumu anotācijas tekstā. Norādām, ka atbilstoši anotācijas 1.3.apakšpunktā sniegtajai informācijai ar saīsinājumu "eIDAS" tiek apzīmēta Eiropas Parlamenta un Padomes 2014. gada 23. jūlija regula (ES) Nr. 910/2014 par elektronisko identifikāciju un uzticamības pakalpojumiem elektronisko darījumu veikšanai iekšējā tirgū un ar ko atceļ direktīvu 1999/93/EK, kuras mērķis ir stiprināt elektronisko darījumu uzticamību iekšējā tirgū, nodrošinot vienotu pamatu drošai elektroniskai mijiedarbībai starp iedzīvotājiem, uzņēmumiem, un publiskām iestādēm kā arī, piemēram, likvidēt šķēršļus, kas patlaban kavē to elektroniskās identifikācijas līdzekļu pārrobežu izmantošanu, kuri tiek lietoti dalībvalstīs, lai autentificētos vismaz sabiedriskajiem pakalpojumiem. Atbilstoši anotācijas skaidrojumiem, par normatīvo aktu šķietami tiek runāts kā sistēmu ar konkrētiem elektroniskās identifikācijas rīkiem. Attiecīgi aicinām pārbaudīt formulējumu korektumu nolūkā nodrošināt skaidrojumu nepārprotamu izpratni, nepieciešamības gadījumā veicot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lai aktivizētu un piesaistītu Eiropas Parlamenta un Padomes 2014. gada 23. jūlija regulā Nr. 910/2014 par elektronisko identifikāciju un uzticamības pakalpojumiem elektronisko darījumu veikšanai iekšējā tirgū un ar ko atceļ direktīvu 1999/93/EK (turpmāk - eIDAS) paredzēto elektroniskās identifikācijas līdzekļu pieslēgšanās risinājumu ārvalstniekiem, ārvalstu fiziskajai personai vispirms jāpieslēdzas EIS ar VRAA izsniegtu lietotājvārdu un paroli.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nacionālie identifikācijas līdzekļi ir pieejami Latvijas piegādātājiem, bet eIDAS paredzēto elektroniskās identifikācijas līdzekļu risinājumi pieejami Eiropas Savienības (turpmāk - ES) dalībvalstu piegādātājiem, pie nosacījuma, ka attiecīgajā dalībvalstī risinājums tiek atbalstīts. Trešo valstu piegādātājiem un to ES dalībvalstu piegādātājiem, kas nav paziņojušas eIDAS noteiktās shēmas, lai piedalītos iepirkumu procedūrās EIS, ir nepieciešams saglabāt iespēju elektroniski identificēties, izmantojot VRAA izsniegtos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“2. Tiesību akta projekta ietekmējamās sabiedrības grupas, ietekme uz tautsaimniecības attīstību un administratīvo slogu” jānorāda visas sabiedrības mērķgrupas, uz kurām tiešā vai netiešā veidā attiecināms projekta tiesiskais regulējums. Ņemot vērā, ka noteikumu grozījumu projekts paredz aģentūrai izskatīt e-iepirkumu sistēmas dalībnieku pieteikumus, kā arī paredz piešķirt tiesības lietot sistēmu un izsniedz elektroniskās identifikācijas līdzekļus, lūgums vērtēt un norādīt noteikumu grozījumu projekta administratīvo slogu (vai tas tiek samazināts, palielināts vai paliek nemainīgs) uz dažādām mērķa grupām, kuras skar šis noteikumu projekts (piemēram, aģentūras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identifikācijas nosacījumus darbam EIS, sniedzot iespēju piedalīties iepirkumu procedūrās un nodrošinot brīvu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VRAA daudzpakāpju elektroniskās identifikācijas līdzekļu izmantošanu, kas tiek nodrošināti jau šobrīd, līdz ar to administratīvais slogs VRAA nemainās.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triju darbdienu laikā pēc 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elektroniskās identifikācijas līdzekļus, kā arī atver piekļuvi autonomajam robotizētajam risinājumam no konkrēta e-iepirkumu sistēmas dalībnieka norādītā sistēmas lietotāja profila un interneta protokola adreses. Lietotājs identificējas e-iepirkumu sistēmā, izmantojot kvalificētus vai kvalificētus paaugstinātas drošības elektroniskās identifikācijas līdzekļus, vai Aģentūras izsniegtos daudzfaktoru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punkta pēdējā teikumā lietoto vārdu "Aģentūras" rakstīt ar mazo sākumburtu "a" atbilstoši Ministru kabineta 2022.gada 20.decembra noteikumu Nr.816 "Publisko elektronisko iepirkumu noteikumi" 2.1.punktā atrunātajam Valsts reģionālās attīstības aģentūras saīsinājumam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triju darbdienu laikā pēc 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elektroniskās identifikācijas līdzekļus, kā arī atver piekļuvi autonomajam robotizētajam risinājumam no konkrēta e-iepirkumu sistēmas dalībnieka norādītā sistēmas lietotāja profila un interneta protokola adreses. Lietotājs identificējas e-iepirkumu sistēmā, izmantojot kvalificētus vai kvalificētus paaugstinātas drošības elektroniskās identifikācijas līdzekļus, vai aģentūras izsniegtos daudzfaktoru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triju darbdienu laikā pēc 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elektroniskās identifikācijas līdzekļus, kā arī atver piekļuvi autonomajam robotizētajam risinājumam no konkrēta e-iepirkumu sistēmas dalībnieka norādītā sistēmas lietotāja profila un interneta protokola adreses. Lietotājs identificējas e-iepirkumu sistēmā, izmantojot kvalificētus vai kvalificētus paaugstinātas drošības elektroniskās identifikācijas līdzekļus, vai aģentūras izsniegtos daudzfaktoru elektroniskās identifikācijas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w:t>
            </w:r>
            <w:r w:rsidR="00000000" w:rsidRPr="00000000" w:rsidDel="00000000">
              <w:rPr>
                <w:rtl w:val="0"/>
              </w:rPr>
              <w:t xml:space="preserve">8.</w:t>
            </w:r>
            <w:r w:rsidR="00000000" w:rsidRPr="00000000" w:rsidDel="00000000">
              <w:rPr>
                <w:rtl w:val="0"/>
              </w:rPr>
              <w:t xml:space="preserve"> punktā minētais  nosacījums, kas paredz identifikāciju e-iepirkumu sistēmā, izmantojot kvalificētus vai kvalificētus paaugstinātas drošības elektroniskās identifikācijas līdzekļus, vai Aģentūras izsniegtos daudzfaktoru elektroniskās identifikācijas līdzekļus, stājas spēkā 2024. gada 1. 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punktā lietoto vārdu "Aģentūras" rakstīt ar mazo sākumburtu "a" atbilstoši Ministru kabineta 2022.gada 20.decembra noteikumu Nr.816 "Publisko elektronisko iepirkumu noteikumi" 2.1.punktā atrunātajam Valsts reģionālās attīstības aģentūras saīsinājumam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minētais  nosacījums, kas paredz identifikāciju e-iepirkumu sistēmā, izmantojot kvalificētus vai kvalificētus paaugstinātas drošības elektroniskās identifikācijas līdzekļus, vai aģentūras izsniegtos daudzfaktoru elektroniskās identifikācijas līdzekļus, stājas spēkā 2024. gada 1. 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w:t>
            </w:r>
            <w:r w:rsidR="00000000" w:rsidRPr="00000000" w:rsidDel="00000000">
              <w:rPr>
                <w:rtl w:val="0"/>
              </w:rPr>
              <w:t xml:space="preserve">8.</w:t>
            </w:r>
            <w:r w:rsidR="00000000" w:rsidRPr="00000000" w:rsidDel="00000000">
              <w:rPr>
                <w:rtl w:val="0"/>
              </w:rPr>
              <w:t xml:space="preserve"> punktā minētais  nosacījums, kas paredz identifikāciju e-iepirkumu sistēmā, izmantojot kvalificētus vai kvalificētus paaugstinātas drošības elektroniskās identifikācijas līdzekļus, vai aģentūras izsniegtos daudzfaktoru elektroniskās identifikācijas līdzekļus, stājas spēkā 2024. gada 1. februārī.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pievēršama saistībā ar Iekšlietu ministrijas 2023. gada 17. aprīļa atzinumu skartajam jautājumam par vārda "vienlaikus" un arī vārda "konstatēts" izpratni. Tā kā abiem šiem vārdiem var būt dažādas nozīmes, turklāt tās varētu atšķirties administratīvā pārkāpuma procesā un iepirkumu jomā, tad tiešām nav vienkārši saprotams, kas šajā gadījumā ir domāts. Tas nav jāvērtē un to nevar vērtēt Sodu reģistra pārzinis. Par katru pārkāpumu tiek veikts atsevišķs administratīvā pārkāpuma process. Pārkāpuma izdarīšanas un konstatēšanas laiks nav viens un tas pats. Turklāt, piemēram, Publisko iepirkumu likuma 42. panta otrajā daļā šāda vārdkopa arī nav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jāpiekrīt izziņā norādītajam, ka "pašlaik nav vienotas interpretācijas par šīs normas ieviešanu praksē" un saskatāma vajadzība "turpināt diskusiju  ar kompetentajām iestādēm par tās tālāko piemērošanu un nepieciešamību iepirkumu procesu regulējošajos tiesību aktos". Tāpat Iekšlietu ministrijas piedāvātā redakcija nešķiet neatbilstoša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17.pielikums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kādas izmaiņas ar noteikumu projektu veiktas 17.pielikumā salīdzinājumā ar šobrīd spēkā esošo noteikumu 17.pielikuma redakciju. Lūgums atbilstoši precizēt 17.pielikuma redakciju un attiecīgo grozījumu nepieciešamību skaidrot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17.pielikuma 2.punkts tiek tehniski precizēts, papildinot tiesību normu uzskaitījumu ar Krimināllikuma 79.</w:t>
            </w:r>
            <w:r w:rsidR="00000000" w:rsidRPr="00000000" w:rsidDel="00000000">
              <w:rPr>
                <w:vertAlign w:val="superscript"/>
                <w:rtl w:val="0"/>
              </w:rPr>
              <w:t xml:space="preserve">1 </w:t>
            </w:r>
            <w:r w:rsidR="00000000" w:rsidRPr="00000000" w:rsidDel="00000000">
              <w:rPr>
                <w:rtl w:val="0"/>
              </w:rPr>
              <w:t xml:space="preserve">pantu, kas atbilst iepirkumu jomas likumos paredzētajiem izslēgšanas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23-TA-656</w:t>
    </w:r>
    <w:r>
      <w:br/>
    </w:r>
    <w:r w:rsidR="00000000" w:rsidRPr="00000000" w:rsidDel="00000000">
      <w:rPr>
        <w:rtl w:val="0"/>
      </w:rPr>
      <w:t xml:space="preserve">01.06.2023. 16.58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23-TA-656</w:t>
    </w:r>
    <w:r>
      <w:br/>
    </w:r>
    <w:r w:rsidR="00000000" w:rsidRPr="00000000" w:rsidDel="00000000">
      <w:rPr>
        <w:rtl w:val="0"/>
      </w:rPr>
      <w:t xml:space="preserve">01.06.2023. 16.58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Izziņa_23-TA-656.docx</dc:title>
</cp:coreProperties>
</file>

<file path=docProps/custom.xml><?xml version="1.0" encoding="utf-8"?>
<Properties xmlns="http://schemas.openxmlformats.org/officeDocument/2006/custom-properties" xmlns:vt="http://schemas.openxmlformats.org/officeDocument/2006/docPropsVTypes"/>
</file>