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5B0" w:rsidRDefault="008705B0" w:rsidP="008705B0">
      <w:pPr>
        <w:rPr>
          <w:rFonts w:asciiTheme="minorHAnsi" w:hAnsiTheme="minorHAnsi" w:cstheme="minorBidi"/>
        </w:rPr>
      </w:pPr>
    </w:p>
    <w:p w:rsidR="008705B0" w:rsidRDefault="008705B0" w:rsidP="008705B0">
      <w:pPr>
        <w:rPr>
          <w:rFonts w:asciiTheme="minorHAnsi" w:hAnsiTheme="minorHAnsi" w:cstheme="minorBidi"/>
        </w:rPr>
      </w:pPr>
    </w:p>
    <w:p w:rsidR="008705B0" w:rsidRDefault="008705B0" w:rsidP="008705B0">
      <w:pPr>
        <w:spacing w:after="0" w:line="240" w:lineRule="auto"/>
        <w:rPr>
          <w:rFonts w:eastAsia="Times New Roman"/>
          <w:lang w:val="en-US" w:eastAsia="lv-LV"/>
        </w:rPr>
      </w:pPr>
      <w:r>
        <w:rPr>
          <w:rFonts w:eastAsia="Times New Roman"/>
          <w:b/>
          <w:bCs/>
          <w:lang w:val="en-US" w:eastAsia="lv-LV"/>
        </w:rPr>
        <w:t>From:</w:t>
      </w:r>
      <w:r>
        <w:rPr>
          <w:rFonts w:eastAsia="Times New Roman"/>
          <w:lang w:val="en-US" w:eastAsia="lv-LV"/>
        </w:rPr>
        <w:t xml:space="preserve"> Sintija Siliņa &lt;Sintija.Silina@lddk.lv&gt;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November 10, 2021 4:35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rita.dreiskena-lace@fm.gov.lv; inguna.dancite@fm.gov.lv; anzelika.osipova@fm.gov.lv; tina.luse@lafpa.lv; Ieva.Deksne@tm.gov.lv; Sandis.Vilcans@tm.gov.lv; Juta.Kupe@tm.gov.lv; Guna.Zvigure@tm.gov.lv; Baiba Vītoliņa &lt;Baiba.Vitolina@ptac.gov.lv&gt;; Ieva.Rublevska@mod.gov.lv</w:t>
      </w:r>
      <w:r>
        <w:rPr>
          <w:rFonts w:eastAsia="Times New Roman"/>
          <w:lang w:val="en-US" w:eastAsia="lv-LV"/>
        </w:rPr>
        <w:br/>
      </w:r>
      <w:r>
        <w:rPr>
          <w:rFonts w:eastAsia="Times New Roman"/>
          <w:b/>
          <w:bCs/>
          <w:lang w:val="en-US" w:eastAsia="lv-LV"/>
        </w:rPr>
        <w:t>Cc:</w:t>
      </w:r>
      <w:r>
        <w:rPr>
          <w:rFonts w:eastAsia="Times New Roman"/>
          <w:lang w:val="en-US" w:eastAsia="lv-LV"/>
        </w:rPr>
        <w:t xml:space="preserve"> Ieva Baldiņa &lt;Ieva.Baldina@ptac.gov.lv&gt;; Dainis Platacs &lt;Dainis.Platacs@ptac.gov.lv&gt;; Arta Šmukste &lt;Arta.Smukste@em.gov.lv&gt;; pasts@fm.gov.lv; info@lafpa.lv; LDDK &lt;lddk@lddk.lv&gt;; pasts@tm.gov.lv; PTAC (pasts@ptac.gov.lv) &lt;pasts@ptac.gov.lv&gt;; kanceleja@mod.gov.lv; info@pateretajs.lv; info@ltrk.lv; Noris.Kruzitis@tirgotaji.lv; info@lta.lv</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Elektroniskā</w:t>
      </w:r>
      <w:proofErr w:type="spellEnd"/>
      <w:r>
        <w:rPr>
          <w:rFonts w:eastAsia="Times New Roman"/>
          <w:lang w:val="en-US" w:eastAsia="lv-LV"/>
        </w:rPr>
        <w:t xml:space="preserve"> 5 </w:t>
      </w:r>
      <w:proofErr w:type="spellStart"/>
      <w:r>
        <w:rPr>
          <w:rFonts w:eastAsia="Times New Roman"/>
          <w:lang w:val="en-US" w:eastAsia="lv-LV"/>
        </w:rPr>
        <w:t>dienu</w:t>
      </w:r>
      <w:proofErr w:type="spellEnd"/>
      <w:r>
        <w:rPr>
          <w:rFonts w:eastAsia="Times New Roman"/>
          <w:lang w:val="en-US" w:eastAsia="lv-LV"/>
        </w:rPr>
        <w:t xml:space="preserve"> </w:t>
      </w:r>
      <w:proofErr w:type="spellStart"/>
      <w:r>
        <w:rPr>
          <w:rFonts w:eastAsia="Times New Roman"/>
          <w:lang w:val="en-US" w:eastAsia="lv-LV"/>
        </w:rPr>
        <w:t>skaņošana</w:t>
      </w:r>
      <w:proofErr w:type="spellEnd"/>
      <w:r>
        <w:rPr>
          <w:rFonts w:eastAsia="Times New Roman"/>
          <w:lang w:val="en-US" w:eastAsia="lv-LV"/>
        </w:rPr>
        <w:t xml:space="preserve"> VSS-639</w:t>
      </w:r>
    </w:p>
    <w:p w:rsidR="008705B0" w:rsidRDefault="008705B0" w:rsidP="008705B0"/>
    <w:p w:rsidR="008705B0" w:rsidRDefault="008705B0" w:rsidP="008705B0">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rsidR="008705B0" w:rsidRDefault="008705B0" w:rsidP="008705B0">
      <w:pPr>
        <w:rPr>
          <w:rFonts w:ascii="Times New Roman" w:hAnsi="Times New Roman" w:cs="Times New Roman"/>
        </w:rPr>
      </w:pPr>
      <w:r>
        <w:rPr>
          <w:rFonts w:ascii="Times New Roman" w:hAnsi="Times New Roman" w:cs="Times New Roman"/>
        </w:rPr>
        <w:t>Labdien.</w:t>
      </w:r>
    </w:p>
    <w:p w:rsidR="008705B0" w:rsidRDefault="008705B0" w:rsidP="008705B0">
      <w:pPr>
        <w:rPr>
          <w:rFonts w:ascii="Times New Roman" w:hAnsi="Times New Roman" w:cs="Times New Roman"/>
        </w:rPr>
      </w:pPr>
      <w:r>
        <w:rPr>
          <w:rFonts w:ascii="Times New Roman" w:hAnsi="Times New Roman" w:cs="Times New Roman"/>
        </w:rPr>
        <w:t>Latvijas Dara devēju konfederācija vispirms pateicas par sadarbību šī likumprojekta izstrādē un informē, ka ir izskatījusi</w:t>
      </w:r>
      <w:r>
        <w:rPr>
          <w:rFonts w:ascii="Times New Roman" w:hAnsi="Times New Roman" w:cs="Times New Roman"/>
          <w:sz w:val="24"/>
          <w:szCs w:val="24"/>
        </w:rPr>
        <w:t xml:space="preserve"> skaņošanai atsūtīto precizēto likumprojektu “Grozījumi Negodīgas </w:t>
      </w:r>
      <w:proofErr w:type="spellStart"/>
      <w:r>
        <w:rPr>
          <w:rFonts w:ascii="Times New Roman" w:hAnsi="Times New Roman" w:cs="Times New Roman"/>
          <w:sz w:val="24"/>
          <w:szCs w:val="24"/>
        </w:rPr>
        <w:t>komercprakses</w:t>
      </w:r>
      <w:proofErr w:type="spellEnd"/>
      <w:r>
        <w:rPr>
          <w:rFonts w:ascii="Times New Roman" w:hAnsi="Times New Roman" w:cs="Times New Roman"/>
          <w:sz w:val="24"/>
          <w:szCs w:val="24"/>
        </w:rPr>
        <w:t xml:space="preserve"> aizlieguma likumā” (VSS-639) un izsaka iebildumu </w:t>
      </w:r>
      <w:r>
        <w:rPr>
          <w:rFonts w:ascii="Times New Roman" w:hAnsi="Times New Roman" w:cs="Times New Roman"/>
          <w:u w:val="single"/>
        </w:rPr>
        <w:t>pret Likumprojekta 9.pantu, kas paredz izmaiņas 15.2 pantā:</w:t>
      </w:r>
      <w:r>
        <w:rPr>
          <w:rFonts w:ascii="Times New Roman" w:hAnsi="Times New Roman" w:cs="Times New Roman"/>
        </w:rPr>
        <w:t xml:space="preserve"> </w:t>
      </w:r>
    </w:p>
    <w:p w:rsidR="008705B0" w:rsidRDefault="008705B0" w:rsidP="008705B0">
      <w:pPr>
        <w:rPr>
          <w:rFonts w:ascii="Times New Roman" w:hAnsi="Times New Roman" w:cs="Times New Roman"/>
        </w:rPr>
      </w:pPr>
      <w:r>
        <w:rPr>
          <w:rFonts w:ascii="Times New Roman" w:hAnsi="Times New Roman" w:cs="Times New Roman"/>
        </w:rPr>
        <w:br/>
        <w:t>[1] Likumprojekta anotācijas pamatojumā minēts, ka “</w:t>
      </w:r>
      <w:r>
        <w:rPr>
          <w:rFonts w:ascii="Times New Roman" w:hAnsi="Times New Roman" w:cs="Times New Roman"/>
          <w:i/>
          <w:iCs/>
        </w:rPr>
        <w:t>Likumprojekts izstrādāts, lai nodrošinātu Direktīvas (ES) 2019/2161 ieviešanu</w:t>
      </w:r>
      <w:r>
        <w:rPr>
          <w:rFonts w:ascii="Times New Roman" w:hAnsi="Times New Roman" w:cs="Times New Roman"/>
        </w:rPr>
        <w:t xml:space="preserve">”. </w:t>
      </w:r>
      <w:r>
        <w:rPr>
          <w:rFonts w:ascii="Times New Roman" w:hAnsi="Times New Roman" w:cs="Times New Roman"/>
        </w:rPr>
        <w:br/>
        <w:t xml:space="preserve">Direktīvas 10.apsvērumā minēts </w:t>
      </w:r>
      <w:r>
        <w:rPr>
          <w:rFonts w:ascii="Times New Roman" w:hAnsi="Times New Roman" w:cs="Times New Roman"/>
          <w:i/>
          <w:iCs/>
        </w:rPr>
        <w:t>'Lai nodrošinātu, ka dalībvalsts iestādes var piemērot iedarbīgas, samērīgas un atturošas sankcijas</w:t>
      </w:r>
      <w:r>
        <w:rPr>
          <w:rFonts w:ascii="Times New Roman" w:hAnsi="Times New Roman" w:cs="Times New Roman"/>
          <w:b/>
          <w:bCs/>
          <w:i/>
          <w:iCs/>
          <w:u w:val="single"/>
        </w:rPr>
        <w:t xml:space="preserve"> par plaši izplatītiem pārkāpumiem un Savienības mēroga plaši izplatītiem pārkāpumiem</w:t>
      </w:r>
      <w:r>
        <w:rPr>
          <w:rFonts w:ascii="Times New Roman" w:hAnsi="Times New Roman" w:cs="Times New Roman"/>
          <w:i/>
          <w:iCs/>
        </w:rPr>
        <w:t xml:space="preserve">, kuriem jāveic koordinēti izmeklēšanas un izpildes pasākumi saskaņā ar Regulu (ES) 2017/2394, naudas sodi būtu jāievieš kā šādu pārkāpumu sankciju elements. Lai nodrošinātu to, ka naudas sodiem ir atturoša iedarbība, dalībvalstīm savos valstu tiesību aktos būtu jānosaka maksimālais naudas sods </w:t>
      </w:r>
      <w:r>
        <w:rPr>
          <w:rFonts w:ascii="Times New Roman" w:hAnsi="Times New Roman" w:cs="Times New Roman"/>
          <w:i/>
          <w:iCs/>
          <w:u w:val="single"/>
        </w:rPr>
        <w:t>par šādiem pārkāpumiem tādā līmenī, kas ir vismaz 4 % no tirgotāja gada apgrozījuma attiecīgajā dalībvalstī vai attiecīgajās dalībvalstīs</w:t>
      </w:r>
      <w:r>
        <w:rPr>
          <w:rFonts w:ascii="Times New Roman" w:hAnsi="Times New Roman" w:cs="Times New Roman"/>
          <w:i/>
          <w:iCs/>
        </w:rPr>
        <w:t xml:space="preserve">". </w:t>
      </w:r>
      <w:r>
        <w:rPr>
          <w:rFonts w:ascii="Times New Roman" w:hAnsi="Times New Roman" w:cs="Times New Roman"/>
        </w:rPr>
        <w:t xml:space="preserve">Šis princips secīgi ietverts Direktīvas 8.b panta 4.punktā, 13.panta 3.punktā, 24.panta 3.punktā ar atsauci uz gadījumiem, kad jāpiemēro sankcijas saskaņā ar </w:t>
      </w:r>
      <w:r>
        <w:rPr>
          <w:rFonts w:ascii="Times New Roman" w:hAnsi="Times New Roman" w:cs="Times New Roman"/>
          <w:u w:val="single"/>
        </w:rPr>
        <w:t>Regulas (ES) 2017/2394 21. pantu.</w:t>
      </w:r>
      <w:r>
        <w:rPr>
          <w:rFonts w:ascii="Times New Roman" w:hAnsi="Times New Roman" w:cs="Times New Roman"/>
        </w:rPr>
        <w:t xml:space="preserve"> </w:t>
      </w:r>
      <w:r>
        <w:rPr>
          <w:rFonts w:ascii="Times New Roman" w:hAnsi="Times New Roman" w:cs="Times New Roman"/>
          <w:b/>
          <w:bCs/>
        </w:rPr>
        <w:t>Regulas 21.pants nosaka izpildes pasākumus</w:t>
      </w:r>
      <w:r>
        <w:rPr>
          <w:rFonts w:ascii="Times New Roman" w:hAnsi="Times New Roman" w:cs="Times New Roman"/>
        </w:rPr>
        <w:t xml:space="preserve"> koordinētas rīcības ietvaros attiecībā uz rīcību pret tirgotāju, kas ir atbildīgs </w:t>
      </w:r>
      <w:r>
        <w:rPr>
          <w:rFonts w:ascii="Times New Roman" w:hAnsi="Times New Roman" w:cs="Times New Roman"/>
          <w:b/>
          <w:bCs/>
          <w:u w:val="single"/>
        </w:rPr>
        <w:t>par plaši izplatīto pārkāpumu vai Eiropas Savienības mēroga plaši izplatīto pārkāpumu</w:t>
      </w:r>
      <w:r>
        <w:rPr>
          <w:rFonts w:ascii="Times New Roman" w:hAnsi="Times New Roman" w:cs="Times New Roman"/>
        </w:rPr>
        <w:t xml:space="preserve">, savā jurisdikcijā veic visus vajadzīgos izpildes pasākumus, lai panāktu, ka tiek izbeigts vai aizliegts minētais pārkāpums. </w:t>
      </w:r>
      <w:r>
        <w:rPr>
          <w:rFonts w:ascii="Times New Roman" w:hAnsi="Times New Roman" w:cs="Times New Roman"/>
        </w:rPr>
        <w:br/>
        <w:t>Saskaņā ar Regulas 3.panta 3) punktu "“</w:t>
      </w:r>
      <w:r>
        <w:rPr>
          <w:rFonts w:ascii="Times New Roman" w:hAnsi="Times New Roman" w:cs="Times New Roman"/>
          <w:b/>
          <w:bCs/>
          <w:i/>
          <w:iCs/>
          <w:u w:val="single"/>
        </w:rPr>
        <w:t>plaši izplatīts pārkāpums</w:t>
      </w:r>
      <w:r>
        <w:rPr>
          <w:rFonts w:ascii="Times New Roman" w:hAnsi="Times New Roman" w:cs="Times New Roman"/>
          <w:i/>
          <w:iCs/>
        </w:rPr>
        <w:t xml:space="preserve">” ir: </w:t>
      </w:r>
      <w:r>
        <w:rPr>
          <w:rFonts w:ascii="Times New Roman" w:hAnsi="Times New Roman" w:cs="Times New Roman"/>
        </w:rPr>
        <w:br/>
      </w:r>
      <w:r>
        <w:rPr>
          <w:rFonts w:ascii="Times New Roman" w:hAnsi="Times New Roman" w:cs="Times New Roman"/>
          <w:i/>
          <w:iCs/>
        </w:rPr>
        <w:t>a) jebkura darbība vai bezdarbība, kas ir pretrunā Savienības tiesību aktiem, kuri aizsargā patērētāju intereses, un kas ir radījusi, rada vai varētu radīt kaitējumu</w:t>
      </w:r>
      <w:r>
        <w:rPr>
          <w:rFonts w:ascii="Times New Roman" w:hAnsi="Times New Roman" w:cs="Times New Roman"/>
          <w:b/>
          <w:bCs/>
          <w:i/>
          <w:iCs/>
          <w:u w:val="single"/>
        </w:rPr>
        <w:t xml:space="preserve"> tādu patērētāju kolektīvajām interesēm, kuri dzīvo vismaz divās dalībvalstīs</w:t>
      </w:r>
      <w:r>
        <w:rPr>
          <w:rFonts w:ascii="Times New Roman" w:hAnsi="Times New Roman" w:cs="Times New Roman"/>
          <w:i/>
          <w:iCs/>
        </w:rPr>
        <w:t>, no kurām neviena nav tā pati dalībvalsts, kurā:</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i) sākusies vai notikusi attiecīgā darbība vai bezdarbība;</w:t>
      </w:r>
      <w:r>
        <w:rPr>
          <w:rFonts w:ascii="Times New Roman" w:hAnsi="Times New Roman" w:cs="Times New Roman"/>
        </w:rPr>
        <w:br/>
      </w:r>
      <w:r>
        <w:rPr>
          <w:rFonts w:ascii="Times New Roman" w:hAnsi="Times New Roman" w:cs="Times New Roman"/>
          <w:i/>
          <w:iCs/>
        </w:rPr>
        <w:t>ii) veic uzņēmējdarbību par darbību vai bezdarbību atbildīgais tirgotājs; vai</w:t>
      </w:r>
      <w:r>
        <w:rPr>
          <w:rFonts w:ascii="Times New Roman" w:hAnsi="Times New Roman" w:cs="Times New Roman"/>
        </w:rPr>
        <w:br/>
      </w:r>
      <w:r>
        <w:rPr>
          <w:rFonts w:ascii="Times New Roman" w:hAnsi="Times New Roman" w:cs="Times New Roman"/>
          <w:i/>
          <w:iCs/>
        </w:rPr>
        <w:t>iii) atrodas pierādījumi vai tirgotāja aktīvi, kas attiecas uz šo darbību vai bezdarbību; vai</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 xml:space="preserve">b) jebkuras darbības vai bezdarbības, kas ir pretrunā Savienības tiesību aktiem, kuri aizsargā </w:t>
      </w:r>
      <w:r>
        <w:rPr>
          <w:rFonts w:ascii="Times New Roman" w:hAnsi="Times New Roman" w:cs="Times New Roman"/>
          <w:i/>
          <w:iCs/>
        </w:rPr>
        <w:lastRenderedPageBreak/>
        <w:t>patērētāju intereses, un kas ir radījušas, r</w:t>
      </w:r>
      <w:r>
        <w:rPr>
          <w:rFonts w:ascii="Times New Roman" w:hAnsi="Times New Roman" w:cs="Times New Roman"/>
          <w:b/>
          <w:bCs/>
          <w:i/>
          <w:iCs/>
          <w:u w:val="single"/>
        </w:rPr>
        <w:t xml:space="preserve">ada vai varētu radīt kaitējumu patērētāju kolektīvajām interesēm, </w:t>
      </w:r>
      <w:r>
        <w:rPr>
          <w:rFonts w:ascii="Times New Roman" w:hAnsi="Times New Roman" w:cs="Times New Roman"/>
          <w:i/>
          <w:iCs/>
        </w:rPr>
        <w:t xml:space="preserve">un kam ir kopīgas iezīmes, tostarp viena un tā pati nelikumīgā prakse, tiek pārkāptas vienas un tās pašas intereses, un ko </w:t>
      </w:r>
      <w:r>
        <w:rPr>
          <w:rFonts w:ascii="Times New Roman" w:hAnsi="Times New Roman" w:cs="Times New Roman"/>
          <w:b/>
          <w:bCs/>
          <w:i/>
          <w:iCs/>
          <w:u w:val="single"/>
        </w:rPr>
        <w:t>viens un tas pats tirgotājs vienlaikus izdara vismaz trīs dalībvalstīs;</w:t>
      </w:r>
      <w:r>
        <w:rPr>
          <w:rFonts w:ascii="Times New Roman" w:hAnsi="Times New Roman" w:cs="Times New Roman"/>
        </w:rPr>
        <w:t xml:space="preserve">". </w:t>
      </w:r>
      <w:r>
        <w:rPr>
          <w:rFonts w:ascii="Times New Roman" w:hAnsi="Times New Roman" w:cs="Times New Roman"/>
        </w:rPr>
        <w:br/>
        <w:t xml:space="preserve">Saskaņā ar Direktīvu, 4% slieksnis (un 2 miljonu </w:t>
      </w:r>
      <w:proofErr w:type="spellStart"/>
      <w:r>
        <w:rPr>
          <w:rFonts w:ascii="Times New Roman" w:hAnsi="Times New Roman" w:cs="Times New Roman"/>
        </w:rPr>
        <w:t>euro</w:t>
      </w:r>
      <w:proofErr w:type="spellEnd"/>
      <w:r>
        <w:rPr>
          <w:rFonts w:ascii="Times New Roman" w:hAnsi="Times New Roman" w:cs="Times New Roman"/>
        </w:rPr>
        <w:t xml:space="preserve"> sods, ja nav nosakāms apgrozījums) nosakāms tikai attiecībā uz </w:t>
      </w:r>
      <w:r>
        <w:rPr>
          <w:rFonts w:ascii="Times New Roman" w:hAnsi="Times New Roman" w:cs="Times New Roman"/>
          <w:u w:val="single"/>
        </w:rPr>
        <w:t>plaši izplatītu pārkāpumu veikšanu</w:t>
      </w:r>
      <w:r>
        <w:rPr>
          <w:rFonts w:ascii="Times New Roman" w:hAnsi="Times New Roman" w:cs="Times New Roman"/>
        </w:rPr>
        <w:t xml:space="preserve"> (skartas patērētāju kolektīvās intereses + 3 dalībvalstu faktors), nevis uz jebkuru negodīgas </w:t>
      </w:r>
      <w:proofErr w:type="spellStart"/>
      <w:r>
        <w:rPr>
          <w:rFonts w:ascii="Times New Roman" w:hAnsi="Times New Roman" w:cs="Times New Roman"/>
        </w:rPr>
        <w:t>komercprakses</w:t>
      </w:r>
      <w:proofErr w:type="spellEnd"/>
      <w:r>
        <w:rPr>
          <w:rFonts w:ascii="Times New Roman" w:hAnsi="Times New Roman" w:cs="Times New Roman"/>
        </w:rPr>
        <w:t xml:space="preserve"> pārkāpumu. </w:t>
      </w:r>
    </w:p>
    <w:p w:rsidR="008705B0" w:rsidRDefault="008705B0" w:rsidP="008705B0">
      <w:pPr>
        <w:rPr>
          <w:rFonts w:ascii="Times New Roman" w:hAnsi="Times New Roman" w:cs="Times New Roman"/>
        </w:rPr>
      </w:pPr>
      <w:r>
        <w:rPr>
          <w:rFonts w:ascii="Times New Roman" w:hAnsi="Times New Roman" w:cs="Times New Roman"/>
        </w:rPr>
        <w:br/>
        <w:t xml:space="preserve">[2] Secīgi un atbilstoši Direktīvā paredzētajam Negodīgas </w:t>
      </w:r>
      <w:proofErr w:type="spellStart"/>
      <w:r>
        <w:rPr>
          <w:rFonts w:ascii="Times New Roman" w:hAnsi="Times New Roman" w:cs="Times New Roman"/>
        </w:rPr>
        <w:t>komercprakses</w:t>
      </w:r>
      <w:proofErr w:type="spellEnd"/>
      <w:r>
        <w:rPr>
          <w:rFonts w:ascii="Times New Roman" w:hAnsi="Times New Roman" w:cs="Times New Roman"/>
        </w:rPr>
        <w:t xml:space="preserve"> aizlieguma likums papildināms ar soda sankciju, kāda piemērojama gadījumā, ja tiek konstatēts </w:t>
      </w:r>
      <w:r>
        <w:rPr>
          <w:rFonts w:ascii="Times New Roman" w:hAnsi="Times New Roman" w:cs="Times New Roman"/>
          <w:u w:val="single"/>
        </w:rPr>
        <w:t xml:space="preserve">plaši izplatīts pārkāpums vai Savienības mēroga plaši izplatīts pārkāpums. </w:t>
      </w:r>
      <w:r>
        <w:rPr>
          <w:rFonts w:ascii="Times New Roman" w:hAnsi="Times New Roman" w:cs="Times New Roman"/>
        </w:rPr>
        <w:t xml:space="preserve">Direktīvas apsvērumos un tekstā ir skaidras norādes uz dalībvalstu pienākumu sodus diferencēt un nošķirt, kad sods piemērojams par </w:t>
      </w:r>
      <w:proofErr w:type="spellStart"/>
      <w:r>
        <w:rPr>
          <w:rFonts w:ascii="Times New Roman" w:hAnsi="Times New Roman" w:cs="Times New Roman"/>
        </w:rPr>
        <w:t>komercprakses</w:t>
      </w:r>
      <w:proofErr w:type="spellEnd"/>
      <w:r>
        <w:rPr>
          <w:rFonts w:ascii="Times New Roman" w:hAnsi="Times New Roman" w:cs="Times New Roman"/>
        </w:rPr>
        <w:t xml:space="preserve"> pārkāpumu ar nacionālu raksturu un kad ar pārrobežu raksturu,</w:t>
      </w:r>
      <w:r>
        <w:rPr>
          <w:rFonts w:ascii="Times New Roman" w:hAnsi="Times New Roman" w:cs="Times New Roman"/>
          <w:u w:val="single"/>
        </w:rPr>
        <w:t xml:space="preserve"> </w:t>
      </w:r>
      <w:r>
        <w:rPr>
          <w:rFonts w:ascii="Times New Roman" w:hAnsi="Times New Roman" w:cs="Times New Roman"/>
        </w:rPr>
        <w:t xml:space="preserve">ievērojot nosacījumu, ka pārkāpumiem ar pārrobežu raksturu sods ir ne mazāks kā 4% no pārkāpēja gada apgrozījuma attiecīgajā dalībvalstī vai dalībvalstīs. </w:t>
      </w:r>
    </w:p>
    <w:p w:rsidR="008705B0" w:rsidRDefault="008705B0" w:rsidP="008705B0">
      <w:pPr>
        <w:rPr>
          <w:rFonts w:ascii="Times New Roman" w:hAnsi="Times New Roman" w:cs="Times New Roman"/>
        </w:rPr>
      </w:pPr>
      <w:r>
        <w:rPr>
          <w:rFonts w:ascii="Times New Roman" w:hAnsi="Times New Roman" w:cs="Times New Roman"/>
        </w:rPr>
        <w:br/>
      </w:r>
      <w:r>
        <w:rPr>
          <w:rFonts w:ascii="Times New Roman" w:hAnsi="Times New Roman" w:cs="Times New Roman"/>
          <w:u w:val="single"/>
        </w:rPr>
        <w:t>[3]</w:t>
      </w:r>
      <w:r>
        <w:rPr>
          <w:rFonts w:ascii="Times New Roman" w:hAnsi="Times New Roman" w:cs="Times New Roman"/>
          <w:b/>
          <w:bCs/>
          <w:u w:val="single"/>
        </w:rPr>
        <w:t xml:space="preserve"> Likumprojekta 9.pants attiecībā uz 15.2 panta pirmo daļu pretēji Direktīvajā noteiktajam pielīdzina pārrobežu pārkāpuma soda sankcijas apmēru nacionāla pārkāpuma soda sankcijas apmēram</w:t>
      </w:r>
      <w:r>
        <w:rPr>
          <w:rFonts w:ascii="Times New Roman" w:hAnsi="Times New Roman" w:cs="Times New Roman"/>
        </w:rPr>
        <w:t>, un paredz, ka “</w:t>
      </w:r>
      <w:r>
        <w:rPr>
          <w:rFonts w:ascii="Times New Roman" w:hAnsi="Times New Roman" w:cs="Times New Roman"/>
          <w:i/>
          <w:iCs/>
        </w:rPr>
        <w:t xml:space="preserve">uzraudzības iestāde ir tiesīga par negodīgu </w:t>
      </w:r>
      <w:proofErr w:type="spellStart"/>
      <w:r>
        <w:rPr>
          <w:rFonts w:ascii="Times New Roman" w:hAnsi="Times New Roman" w:cs="Times New Roman"/>
          <w:i/>
          <w:iCs/>
        </w:rPr>
        <w:t>komercpraksi</w:t>
      </w:r>
      <w:proofErr w:type="spellEnd"/>
      <w:r>
        <w:rPr>
          <w:rFonts w:ascii="Times New Roman" w:hAnsi="Times New Roman" w:cs="Times New Roman"/>
          <w:i/>
          <w:iCs/>
        </w:rPr>
        <w:t xml:space="preserve"> piemērot  naudas sodu līdz 4 procentiem no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 gada apgrozījuma (ieņēmumiem) no saimnieciskajiem darījumiem</w:t>
      </w:r>
      <w:r>
        <w:rPr>
          <w:rFonts w:ascii="Times New Roman" w:hAnsi="Times New Roman" w:cs="Times New Roman"/>
        </w:rPr>
        <w:t>”, mainot pastāvošo kārtību, kas par nacionāla mēroga pārkāpumiem paredz “</w:t>
      </w:r>
      <w:r>
        <w:rPr>
          <w:rFonts w:ascii="Times New Roman" w:hAnsi="Times New Roman" w:cs="Times New Roman"/>
          <w:i/>
          <w:iCs/>
        </w:rPr>
        <w:t xml:space="preserve">uzraudzības iestādes tiesības uzlikt negodīgas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īstenotājam soda naudu līdz 10 procentiem no tā pēdējā finanšu gada neto apgrozījuma, bet ne vairāk kā 100 000 </w:t>
      </w:r>
      <w:proofErr w:type="spellStart"/>
      <w:r>
        <w:rPr>
          <w:rFonts w:ascii="Times New Roman" w:hAnsi="Times New Roman" w:cs="Times New Roman"/>
          <w:i/>
          <w:iCs/>
        </w:rPr>
        <w:t>euro</w:t>
      </w:r>
      <w:proofErr w:type="spellEnd"/>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b/>
          <w:bCs/>
          <w:u w:val="single"/>
        </w:rPr>
        <w:t>Šāda izmaiņa, kas paredz piemērot naudas sodu līdz 4% no gada apgrozījuma arī par nacionāla mēroga pārkāpumiem, nevar tikt pamatota ar Direktīvas pārņemšanu.</w:t>
      </w:r>
      <w:r>
        <w:rPr>
          <w:rFonts w:ascii="Times New Roman" w:hAnsi="Times New Roman" w:cs="Times New Roman"/>
        </w:rPr>
        <w:t xml:space="preserve"> Jebkurām izmaiņām tiesiskajā regulējumā, kas maina ierasto sodu praksi un politiku, ir jābūt pamatotām, samērīgām, izdiskutētām.   </w:t>
      </w:r>
      <w:r>
        <w:rPr>
          <w:rFonts w:ascii="Times New Roman" w:hAnsi="Times New Roman" w:cs="Times New Roman"/>
        </w:rPr>
        <w:br/>
        <w:t xml:space="preserve">Anotācijā šāda pieeja (aplami) skaidrota ar nepieciešamību nodrošināt vienlīdzības principu un izvairīšanos no duālas sodu sistēmas. Vēršam uzmanību, ka sodu diferenciācija atkarībā no pārkāpuma sastāva, ietekmes, aktualitātes, bīstamības, seku iestāšanās un citiem faktoriem jau </w:t>
      </w:r>
      <w:r>
        <w:rPr>
          <w:rFonts w:ascii="Times New Roman" w:hAnsi="Times New Roman" w:cs="Times New Roman"/>
          <w:u w:val="single"/>
        </w:rPr>
        <w:t>šobrīd pastāv un ir nostiprināta Latvijas tiesību sistēmā</w:t>
      </w:r>
      <w:r>
        <w:rPr>
          <w:rFonts w:ascii="Times New Roman" w:hAnsi="Times New Roman" w:cs="Times New Roman"/>
        </w:rPr>
        <w:t xml:space="preserve">. Arīdzan Direktīva sodus nošķir un izdala nacionāla mēroga pārkāpumus, plaši izplatītus pārkāpumus, Eiropas Savienības pārkāpumus, un uz pēdējiem diviem nosakot ierobežojumu attiecībā uz sodas naudas aprēķinu. </w:t>
      </w:r>
      <w:r>
        <w:rPr>
          <w:rFonts w:ascii="Times New Roman" w:hAnsi="Times New Roman" w:cs="Times New Roman"/>
        </w:rPr>
        <w:br/>
        <w:t xml:space="preserve">Attiecināt pārrobežu pārkāpuma sankciju uz nacionāla mēroga sankciju nav pamatoti un samērīgi, jo pārkāpumiem atšķiras gan pārkāpuma mērogs, sekas, skarto patērētāju loks, utt. Likumprojekta anotācijā tas pat nav vērtēts un pieminēts. </w:t>
      </w:r>
      <w:r>
        <w:rPr>
          <w:rFonts w:ascii="Times New Roman" w:hAnsi="Times New Roman" w:cs="Times New Roman"/>
        </w:rPr>
        <w:br/>
        <w:t xml:space="preserve">Papildus jāņem vērā, ka Latvijas kaimiņvalstīs sods pār negodīgas </w:t>
      </w:r>
      <w:proofErr w:type="spellStart"/>
      <w:r>
        <w:rPr>
          <w:rFonts w:ascii="Times New Roman" w:hAnsi="Times New Roman" w:cs="Times New Roman"/>
        </w:rPr>
        <w:t>komercprakses</w:t>
      </w:r>
      <w:proofErr w:type="spellEnd"/>
      <w:r>
        <w:rPr>
          <w:rFonts w:ascii="Times New Roman" w:hAnsi="Times New Roman" w:cs="Times New Roman"/>
        </w:rPr>
        <w:t xml:space="preserve"> pārkāpumiem ir ievērojami mazāks – Igaunijā līdz 50 000 </w:t>
      </w:r>
      <w:proofErr w:type="spellStart"/>
      <w:r>
        <w:rPr>
          <w:rFonts w:ascii="Times New Roman" w:hAnsi="Times New Roman" w:cs="Times New Roman"/>
        </w:rPr>
        <w:t>euro</w:t>
      </w:r>
      <w:proofErr w:type="spellEnd"/>
      <w:r>
        <w:rPr>
          <w:rFonts w:ascii="Times New Roman" w:hAnsi="Times New Roman" w:cs="Times New Roman"/>
        </w:rPr>
        <w:t xml:space="preserve"> juridiskai personai, Lietuvā līdz 100 000 </w:t>
      </w:r>
      <w:proofErr w:type="spellStart"/>
      <w:r>
        <w:rPr>
          <w:rFonts w:ascii="Times New Roman" w:hAnsi="Times New Roman" w:cs="Times New Roman"/>
        </w:rPr>
        <w:t>euro</w:t>
      </w:r>
      <w:proofErr w:type="spellEnd"/>
      <w:r>
        <w:rPr>
          <w:rFonts w:ascii="Times New Roman" w:hAnsi="Times New Roman" w:cs="Times New Roman"/>
        </w:rPr>
        <w:t xml:space="preserve">, bet nepārsniedzot 3% no gada apgrozījuma. </w:t>
      </w:r>
      <w:r>
        <w:rPr>
          <w:rFonts w:ascii="Times New Roman" w:hAnsi="Times New Roman" w:cs="Times New Roman"/>
        </w:rPr>
        <w:br/>
        <w:t xml:space="preserve">Nesamērīga, nepārdomāta pieeja sodu apmēram neatbilst vispārējās un speciālās </w:t>
      </w:r>
      <w:proofErr w:type="spellStart"/>
      <w:r>
        <w:rPr>
          <w:rFonts w:ascii="Times New Roman" w:hAnsi="Times New Roman" w:cs="Times New Roman"/>
        </w:rPr>
        <w:t>prevencijas</w:t>
      </w:r>
      <w:proofErr w:type="spellEnd"/>
      <w:r>
        <w:rPr>
          <w:rFonts w:ascii="Times New Roman" w:hAnsi="Times New Roman" w:cs="Times New Roman"/>
        </w:rPr>
        <w:t xml:space="preserve"> pamatprincipam – būtiska ir nevis soda bardzība, bet soda nenovēršamība. Līdzšinējā nozares regulējošo iestāžu praksē maksimālie sodi tiek piemēroti reti, tādēļ iztrūkst pamatojums, kādēļ būtu būtiski ‘jāsadārdzina’ Latvijas iedzīvotājiem pieejamie pakalpojumi un jāsamazina investīciju vides pievilcība ar šādu paaugstināta komercdarbības riska komponenti papildus jau tā pastāvošajai regulējošās vides nenoteiktībai. </w:t>
      </w:r>
    </w:p>
    <w:p w:rsidR="008705B0" w:rsidRDefault="008705B0" w:rsidP="008705B0">
      <w:pPr>
        <w:rPr>
          <w:rFonts w:ascii="Times New Roman" w:hAnsi="Times New Roman" w:cs="Times New Roman"/>
        </w:rPr>
      </w:pPr>
      <w:r>
        <w:rPr>
          <w:rFonts w:ascii="Times New Roman" w:hAnsi="Times New Roman" w:cs="Times New Roman"/>
        </w:rPr>
        <w:br/>
        <w:t xml:space="preserve">[4] Ņemot to vērā, uzskatām, ka soda apmēru attiecībā uz nacionāla mēroga pārkāpumiem nav pamata pārskatīt un sodu apmērs nav pārskatāms, bet atbilstoši Direktīvā paredzētajam ir </w:t>
      </w:r>
      <w:r>
        <w:rPr>
          <w:rFonts w:ascii="Times New Roman" w:hAnsi="Times New Roman" w:cs="Times New Roman"/>
        </w:rPr>
        <w:lastRenderedPageBreak/>
        <w:t>atsevišķi izdalāmi tie pārkāpumi, kuriem ir pārrobežu raksturs. Atbilstoši Tieslietu ministrijas ierosinātajai kārtībai par sodu diferenciāciju, šī pieeja var tikt iestrādāta (</w:t>
      </w:r>
      <w:proofErr w:type="spellStart"/>
      <w:r>
        <w:rPr>
          <w:rFonts w:ascii="Times New Roman" w:hAnsi="Times New Roman" w:cs="Times New Roman"/>
        </w:rPr>
        <w:t>skat.zemāk</w:t>
      </w:r>
      <w:proofErr w:type="spellEnd"/>
      <w:r>
        <w:rPr>
          <w:rFonts w:ascii="Times New Roman" w:hAnsi="Times New Roman" w:cs="Times New Roman"/>
        </w:rPr>
        <w:t>!) 15.2 panta pirmajā daļā.  </w:t>
      </w:r>
    </w:p>
    <w:p w:rsidR="008705B0" w:rsidRDefault="008705B0" w:rsidP="008705B0">
      <w:pPr>
        <w:rPr>
          <w:rFonts w:ascii="Times New Roman" w:hAnsi="Times New Roman" w:cs="Times New Roman"/>
          <w:sz w:val="24"/>
          <w:szCs w:val="24"/>
          <w:lang w:eastAsia="lv-LV"/>
        </w:rPr>
      </w:pPr>
      <w:r>
        <w:rPr>
          <w:rFonts w:ascii="Times New Roman" w:hAnsi="Times New Roman" w:cs="Times New Roman"/>
        </w:rPr>
        <w:br/>
      </w:r>
      <w:r>
        <w:rPr>
          <w:rFonts w:ascii="Times New Roman" w:hAnsi="Times New Roman" w:cs="Times New Roman"/>
          <w:b/>
          <w:bCs/>
          <w:u w:val="single"/>
        </w:rPr>
        <w:t>Likumprojekta 9.pantu nepieciešams izteikt šādā redakcijā:</w:t>
      </w:r>
      <w:r>
        <w:rPr>
          <w:rFonts w:ascii="Times New Roman" w:hAnsi="Times New Roman" w:cs="Times New Roman"/>
          <w:u w:val="single"/>
        </w:rPr>
        <w:t xml:space="preserve"> </w:t>
      </w:r>
      <w:r>
        <w:rPr>
          <w:rFonts w:ascii="Times New Roman" w:hAnsi="Times New Roman" w:cs="Times New Roman"/>
        </w:rPr>
        <w:br/>
      </w:r>
      <w:r>
        <w:rPr>
          <w:rFonts w:ascii="Times New Roman" w:hAnsi="Times New Roman" w:cs="Times New Roman"/>
          <w:i/>
          <w:iCs/>
        </w:rPr>
        <w:t>“9.        15.2 pantā:</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 xml:space="preserve">izteikt pirmo daļu šādā redakcijā: </w:t>
      </w:r>
      <w:r>
        <w:rPr>
          <w:rFonts w:ascii="Times New Roman" w:hAnsi="Times New Roman" w:cs="Times New Roman"/>
        </w:rPr>
        <w:br/>
      </w:r>
      <w:r>
        <w:rPr>
          <w:rFonts w:ascii="Times New Roman" w:hAnsi="Times New Roman" w:cs="Times New Roman"/>
          <w:i/>
          <w:iCs/>
        </w:rPr>
        <w:t xml:space="preserve">“(1) Uzraudzības iestāde ir tiesīga par negodīgu </w:t>
      </w:r>
      <w:proofErr w:type="spellStart"/>
      <w:r>
        <w:rPr>
          <w:rFonts w:ascii="Times New Roman" w:hAnsi="Times New Roman" w:cs="Times New Roman"/>
          <w:i/>
          <w:iCs/>
        </w:rPr>
        <w:t>komercpraksi</w:t>
      </w:r>
      <w:proofErr w:type="spellEnd"/>
      <w:r>
        <w:rPr>
          <w:rFonts w:ascii="Times New Roman" w:hAnsi="Times New Roman" w:cs="Times New Roman"/>
          <w:i/>
          <w:iCs/>
        </w:rPr>
        <w:t xml:space="preserve"> piemērot  naudas sodu līdz </w:t>
      </w:r>
      <w:r>
        <w:rPr>
          <w:rFonts w:ascii="Times New Roman" w:hAnsi="Times New Roman" w:cs="Times New Roman"/>
          <w:i/>
          <w:iCs/>
          <w:u w:val="single"/>
        </w:rPr>
        <w:t>10 procentiem</w:t>
      </w:r>
      <w:r>
        <w:rPr>
          <w:rFonts w:ascii="Times New Roman" w:hAnsi="Times New Roman" w:cs="Times New Roman"/>
          <w:i/>
          <w:iCs/>
        </w:rPr>
        <w:t xml:space="preserve"> no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 gada apgrozījuma (ieņēmumiem) no saimnieciskajiem darījumiem</w:t>
      </w:r>
      <w:r>
        <w:rPr>
          <w:rFonts w:ascii="Times New Roman" w:hAnsi="Times New Roman" w:cs="Times New Roman"/>
          <w:i/>
          <w:iCs/>
          <w:u w:val="single"/>
        </w:rPr>
        <w:t xml:space="preserve">, bet ne vairāk kā 100 000 </w:t>
      </w:r>
      <w:proofErr w:type="spellStart"/>
      <w:r>
        <w:rPr>
          <w:rFonts w:ascii="Times New Roman" w:hAnsi="Times New Roman" w:cs="Times New Roman"/>
          <w:i/>
          <w:iCs/>
          <w:u w:val="single"/>
        </w:rPr>
        <w:t>euro</w:t>
      </w:r>
      <w:proofErr w:type="spellEnd"/>
      <w:r>
        <w:rPr>
          <w:rFonts w:ascii="Times New Roman" w:hAnsi="Times New Roman" w:cs="Times New Roman"/>
          <w:i/>
          <w:iCs/>
        </w:rPr>
        <w:t xml:space="preserve">: </w:t>
      </w:r>
      <w:r>
        <w:rPr>
          <w:rFonts w:ascii="Times New Roman" w:hAnsi="Times New Roman" w:cs="Times New Roman"/>
        </w:rPr>
        <w:br/>
      </w:r>
      <w:r>
        <w:rPr>
          <w:rFonts w:ascii="Times New Roman" w:hAnsi="Times New Roman" w:cs="Times New Roman"/>
          <w:i/>
          <w:iCs/>
        </w:rPr>
        <w:t>1)        iepriekšējā pārskata vai saimnieciskajā gadā pirms lēmuma par naudas soda piemērošanu pieņemšanas;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2)        pārskata vai saimnieciskajā gadā, kurā ir izdarīts pārkāpums;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3)        kādā no pārskata vai saimnieciskajā gadā pārkāpuma realizēšanas laikā, ja pārkāpums ir ilgstošs;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 xml:space="preserve">4)        laika periodā no dienas, kad uzsākta darbība, līdz pēdējam pilnajam mēnesim pirms lēmuma par naudas soda piemērošanu pieņemšanas, ja no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 darbības uzsākšanas pagājis mazāk nekā gads.”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Pr>
          <w:rFonts w:ascii="Times New Roman" w:hAnsi="Times New Roman" w:cs="Times New Roman"/>
          <w:i/>
          <w:iCs/>
        </w:rPr>
        <w:t>Papildināt ar (1)</w:t>
      </w:r>
      <w:r>
        <w:rPr>
          <w:rFonts w:ascii="Times New Roman" w:hAnsi="Times New Roman" w:cs="Times New Roman"/>
          <w:i/>
          <w:iCs/>
          <w:vertAlign w:val="superscript"/>
        </w:rPr>
        <w:t>1</w:t>
      </w:r>
      <w:r>
        <w:rPr>
          <w:rFonts w:ascii="Times New Roman" w:hAnsi="Times New Roman" w:cs="Times New Roman"/>
          <w:i/>
          <w:iCs/>
        </w:rPr>
        <w:t xml:space="preserve"> daļu: </w:t>
      </w:r>
      <w:r>
        <w:rPr>
          <w:rFonts w:ascii="Times New Roman" w:hAnsi="Times New Roman" w:cs="Times New Roman"/>
        </w:rPr>
        <w:br/>
      </w:r>
      <w:r>
        <w:rPr>
          <w:rFonts w:ascii="Times New Roman" w:hAnsi="Times New Roman" w:cs="Times New Roman"/>
          <w:i/>
          <w:iCs/>
        </w:rPr>
        <w:t>“(1)</w:t>
      </w:r>
      <w:r>
        <w:rPr>
          <w:rFonts w:ascii="Times New Roman" w:hAnsi="Times New Roman" w:cs="Times New Roman"/>
          <w:i/>
          <w:iCs/>
          <w:vertAlign w:val="superscript"/>
        </w:rPr>
        <w:t>1</w:t>
      </w:r>
      <w:r>
        <w:rPr>
          <w:rFonts w:ascii="Times New Roman" w:hAnsi="Times New Roman" w:cs="Times New Roman"/>
          <w:i/>
          <w:iCs/>
        </w:rPr>
        <w:t xml:space="preserve"> Uzraudzības iestāde ir tiesīga par </w:t>
      </w:r>
      <w:r>
        <w:rPr>
          <w:rFonts w:ascii="Times New Roman" w:hAnsi="Times New Roman" w:cs="Times New Roman"/>
          <w:i/>
          <w:iCs/>
          <w:u w:val="single"/>
        </w:rPr>
        <w:t xml:space="preserve">plaši izplatītas negodīgas </w:t>
      </w:r>
      <w:proofErr w:type="spellStart"/>
      <w:r>
        <w:rPr>
          <w:rFonts w:ascii="Times New Roman" w:hAnsi="Times New Roman" w:cs="Times New Roman"/>
          <w:i/>
          <w:iCs/>
          <w:u w:val="single"/>
        </w:rPr>
        <w:t>komercprakses</w:t>
      </w:r>
      <w:proofErr w:type="spellEnd"/>
      <w:r>
        <w:rPr>
          <w:rFonts w:ascii="Times New Roman" w:hAnsi="Times New Roman" w:cs="Times New Roman"/>
          <w:i/>
          <w:iCs/>
          <w:u w:val="single"/>
        </w:rPr>
        <w:t xml:space="preserve"> un Eiropas Savienības mēroga plaši izplatītas negodīgas </w:t>
      </w:r>
      <w:proofErr w:type="spellStart"/>
      <w:r>
        <w:rPr>
          <w:rFonts w:ascii="Times New Roman" w:hAnsi="Times New Roman" w:cs="Times New Roman"/>
          <w:i/>
          <w:iCs/>
          <w:u w:val="single"/>
        </w:rPr>
        <w:t>komercprakses</w:t>
      </w:r>
      <w:proofErr w:type="spellEnd"/>
      <w:r>
        <w:rPr>
          <w:rFonts w:ascii="Times New Roman" w:hAnsi="Times New Roman" w:cs="Times New Roman"/>
          <w:i/>
          <w:iCs/>
          <w:u w:val="single"/>
        </w:rPr>
        <w:t xml:space="preserve"> pārkāpumiem</w:t>
      </w:r>
      <w:r>
        <w:rPr>
          <w:rFonts w:ascii="Times New Roman" w:hAnsi="Times New Roman" w:cs="Times New Roman"/>
          <w:i/>
          <w:iCs/>
        </w:rPr>
        <w:t xml:space="preserve"> piemērot  naudas sodu līdz 4 procentiem no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 gada apgrozījuma (ieņēmumiem) no saimnieciskajiem darījumiem: </w:t>
      </w:r>
      <w:r>
        <w:rPr>
          <w:rFonts w:ascii="Times New Roman" w:hAnsi="Times New Roman" w:cs="Times New Roman"/>
        </w:rPr>
        <w:br/>
      </w:r>
      <w:r>
        <w:rPr>
          <w:rFonts w:ascii="Times New Roman" w:hAnsi="Times New Roman" w:cs="Times New Roman"/>
          <w:i/>
          <w:iCs/>
        </w:rPr>
        <w:t>1)        iepriekšējā pārskata vai saimnieciskajā gadā pirms lēmuma par naudas soda piemērošanu pieņemšanas;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2)        pārskata vai saimnieciskajā gadā, kurā ir izdarīts pārkāpums;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3)        kādā no pārskata vai saimnieciskajā gadā pārkāpuma realizēšanas laikā, ja pārkāpums ir ilgstošs;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 xml:space="preserve">4)        laika periodā no dienas, kad uzsākta darbība, līdz pēdējam pilnajam mēnesim pirms lēmuma par naudas soda piemērošanu pieņemšanas, ja no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 darbības uzsākšanas pagājis mazāk nekā gads.”</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Pr>
          <w:rFonts w:ascii="Times New Roman" w:hAnsi="Times New Roman" w:cs="Times New Roman"/>
          <w:i/>
          <w:iCs/>
        </w:rPr>
        <w:t>papildināt ar  (1)</w:t>
      </w:r>
      <w:r>
        <w:rPr>
          <w:rFonts w:ascii="Times New Roman" w:hAnsi="Times New Roman" w:cs="Times New Roman"/>
          <w:i/>
          <w:iCs/>
          <w:vertAlign w:val="superscript"/>
        </w:rPr>
        <w:t>2</w:t>
      </w:r>
      <w:r>
        <w:rPr>
          <w:rFonts w:ascii="Times New Roman" w:hAnsi="Times New Roman" w:cs="Times New Roman"/>
          <w:i/>
          <w:iCs/>
        </w:rPr>
        <w:t xml:space="preserve"> daļu šādā redakcijā: </w:t>
      </w:r>
      <w:r>
        <w:rPr>
          <w:rFonts w:ascii="Times New Roman" w:hAnsi="Times New Roman" w:cs="Times New Roman"/>
        </w:rPr>
        <w:br/>
      </w:r>
      <w:r>
        <w:rPr>
          <w:rFonts w:ascii="Times New Roman" w:hAnsi="Times New Roman" w:cs="Times New Roman"/>
          <w:i/>
          <w:iCs/>
        </w:rPr>
        <w:t>“(1)</w:t>
      </w:r>
      <w:r>
        <w:rPr>
          <w:rFonts w:ascii="Times New Roman" w:hAnsi="Times New Roman" w:cs="Times New Roman"/>
          <w:i/>
          <w:iCs/>
          <w:vertAlign w:val="superscript"/>
        </w:rPr>
        <w:t>2</w:t>
      </w:r>
      <w:r>
        <w:rPr>
          <w:rFonts w:ascii="Times New Roman" w:hAnsi="Times New Roman" w:cs="Times New Roman"/>
          <w:i/>
          <w:iCs/>
        </w:rPr>
        <w:t xml:space="preserve"> Eiropas Savienības mēroga pārrobežu pārkāpumu gadījumos uzraudzības iestāde ir tiesīga ņemt vērā apgrozījumu arī tajās dalībvalstīs, kurās konstatēts attiecīgais pārkāpums, ja šāda informācija ir pieejama.”</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Pr>
          <w:rFonts w:ascii="Times New Roman" w:hAnsi="Times New Roman" w:cs="Times New Roman"/>
          <w:i/>
          <w:iCs/>
        </w:rPr>
        <w:t>papildināt ar  (1)</w:t>
      </w:r>
      <w:r>
        <w:rPr>
          <w:rFonts w:ascii="Times New Roman" w:hAnsi="Times New Roman" w:cs="Times New Roman"/>
          <w:i/>
          <w:iCs/>
          <w:vertAlign w:val="superscript"/>
        </w:rPr>
        <w:t>3</w:t>
      </w:r>
      <w:r>
        <w:rPr>
          <w:rFonts w:ascii="Times New Roman" w:hAnsi="Times New Roman" w:cs="Times New Roman"/>
          <w:i/>
          <w:iCs/>
        </w:rPr>
        <w:t xml:space="preserve"> daļu šādā redakcijā: </w:t>
      </w:r>
      <w:r>
        <w:rPr>
          <w:rFonts w:ascii="Times New Roman" w:hAnsi="Times New Roman" w:cs="Times New Roman"/>
        </w:rPr>
        <w:br/>
      </w:r>
      <w:r>
        <w:rPr>
          <w:rFonts w:ascii="Times New Roman" w:hAnsi="Times New Roman" w:cs="Times New Roman"/>
          <w:i/>
          <w:iCs/>
        </w:rPr>
        <w:t>“(1)</w:t>
      </w:r>
      <w:r>
        <w:rPr>
          <w:rFonts w:ascii="Times New Roman" w:hAnsi="Times New Roman" w:cs="Times New Roman"/>
          <w:i/>
          <w:iCs/>
          <w:vertAlign w:val="superscript"/>
        </w:rPr>
        <w:t>3</w:t>
      </w:r>
      <w:r>
        <w:rPr>
          <w:rFonts w:ascii="Times New Roman" w:hAnsi="Times New Roman" w:cs="Times New Roman"/>
          <w:i/>
          <w:iCs/>
        </w:rPr>
        <w:t xml:space="preserve">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īstenotājam ir tiesības, pēc uzraudzības iestādes pieprasījuma, iesniegt aktuālo informāciju par gada apgrozījumu (ieņēmumiem). Ja uzraudzības iestādei nav pieejama apgrozījuma informācija, tai skaitā persona nesniedz šādu informāciju, vai iesniegtā informācija ir nepatiesa, iestāde ir tiesīga par negodīgu </w:t>
      </w:r>
      <w:proofErr w:type="spellStart"/>
      <w:r>
        <w:rPr>
          <w:rFonts w:ascii="Times New Roman" w:hAnsi="Times New Roman" w:cs="Times New Roman"/>
          <w:i/>
          <w:iCs/>
        </w:rPr>
        <w:t>komercpraksi</w:t>
      </w:r>
      <w:proofErr w:type="spellEnd"/>
      <w:r>
        <w:rPr>
          <w:rFonts w:ascii="Times New Roman" w:hAnsi="Times New Roman" w:cs="Times New Roman"/>
          <w:i/>
          <w:iCs/>
        </w:rPr>
        <w:t xml:space="preserve"> piemērot naudas sodu līdz diviem miljoniem </w:t>
      </w:r>
      <w:proofErr w:type="spellStart"/>
      <w:r>
        <w:rPr>
          <w:rFonts w:ascii="Times New Roman" w:hAnsi="Times New Roman" w:cs="Times New Roman"/>
          <w:i/>
          <w:iCs/>
        </w:rPr>
        <w:t>euro</w:t>
      </w:r>
      <w:proofErr w:type="spellEnd"/>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Pr>
          <w:rFonts w:ascii="Times New Roman" w:hAnsi="Times New Roman" w:cs="Times New Roman"/>
          <w:i/>
          <w:iCs/>
        </w:rPr>
        <w:t>papildināt otro daļu ar 1.1 punktu šādā redakcijā:</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 xml:space="preserve"> “11)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 gūtais finansiālais labums no negodīgas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īstenošanas vai viņa potenciālie zaudējumi, kurus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rezultātā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īstenotājs ir novērsis, ja ir pieejami attiecīgie dati;”;</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Pr>
          <w:rFonts w:ascii="Times New Roman" w:hAnsi="Times New Roman" w:cs="Times New Roman"/>
          <w:i/>
          <w:iCs/>
        </w:rPr>
        <w:t>papildināt otro daļu ar 7. punktu šādā redakcijā:</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lastRenderedPageBreak/>
        <w:t xml:space="preserve">“7) pārrobežu pārkāpumos ņem vērā arī sankcijas, kas </w:t>
      </w:r>
      <w:proofErr w:type="spellStart"/>
      <w:r>
        <w:rPr>
          <w:rFonts w:ascii="Times New Roman" w:hAnsi="Times New Roman" w:cs="Times New Roman"/>
          <w:i/>
          <w:iCs/>
        </w:rPr>
        <w:t>komercprakses</w:t>
      </w:r>
      <w:proofErr w:type="spellEnd"/>
      <w:r>
        <w:rPr>
          <w:rFonts w:ascii="Times New Roman" w:hAnsi="Times New Roman" w:cs="Times New Roman"/>
          <w:i/>
          <w:iCs/>
        </w:rPr>
        <w:t xml:space="preserve"> īstenotājam piemērotas par to pašu pārkāpumu citās dalībvalstīs, ja informācija par šādām sankcijām ir pieejama, izmantojot ar Eiropas Parlamenta un Padomes Regulu (ES) 2017/2394 izveidoto mehānismu.”;</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Pr>
          <w:rFonts w:ascii="Times New Roman" w:hAnsi="Times New Roman" w:cs="Times New Roman"/>
          <w:i/>
          <w:iCs/>
        </w:rPr>
        <w:t>papildināt otro daļu ar 8. punktu šādā redakcijā:</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i/>
          <w:iCs/>
        </w:rPr>
        <w:t> “8) citi  attiecināmie apstākļi”.”</w:t>
      </w:r>
      <w:r>
        <w:rPr>
          <w:rFonts w:ascii="Times New Roman" w:hAnsi="Times New Roman" w:cs="Times New Roman"/>
        </w:rPr>
        <w:t xml:space="preserve"> </w:t>
      </w:r>
    </w:p>
    <w:p w:rsidR="008705B0" w:rsidRDefault="008705B0" w:rsidP="008705B0">
      <w:pPr>
        <w:spacing w:after="240"/>
      </w:pPr>
    </w:p>
    <w:p w:rsidR="008705B0" w:rsidRDefault="008705B0" w:rsidP="008705B0">
      <w:pPr>
        <w:spacing w:after="0" w:line="240" w:lineRule="auto"/>
        <w:rPr>
          <w:lang w:val="en-US" w:eastAsia="lv-LV"/>
        </w:rPr>
      </w:pPr>
      <w:proofErr w:type="spellStart"/>
      <w:r>
        <w:rPr>
          <w:lang w:val="en-US" w:eastAsia="lv-LV"/>
        </w:rPr>
        <w:t>Ar</w:t>
      </w:r>
      <w:proofErr w:type="spellEnd"/>
      <w:r>
        <w:rPr>
          <w:lang w:val="en-US" w:eastAsia="lv-LV"/>
        </w:rPr>
        <w:t xml:space="preserve"> </w:t>
      </w:r>
      <w:proofErr w:type="spellStart"/>
      <w:r>
        <w:rPr>
          <w:lang w:val="en-US" w:eastAsia="lv-LV"/>
        </w:rPr>
        <w:t>cieņu</w:t>
      </w:r>
      <w:proofErr w:type="spellEnd"/>
      <w:r>
        <w:rPr>
          <w:lang w:val="en-US" w:eastAsia="lv-LV"/>
        </w:rPr>
        <w:t xml:space="preserve">, </w:t>
      </w:r>
    </w:p>
    <w:p w:rsidR="008705B0" w:rsidRDefault="008705B0" w:rsidP="008705B0">
      <w:pPr>
        <w:spacing w:after="0" w:line="240" w:lineRule="auto"/>
        <w:rPr>
          <w:lang w:val="en-US" w:eastAsia="lv-LV"/>
        </w:rPr>
      </w:pPr>
    </w:p>
    <w:p w:rsidR="008705B0" w:rsidRDefault="008705B0" w:rsidP="008705B0">
      <w:pPr>
        <w:spacing w:after="0" w:line="240" w:lineRule="auto"/>
        <w:rPr>
          <w:b/>
          <w:bCs/>
          <w:i/>
          <w:iCs/>
          <w:lang w:val="en-US" w:eastAsia="lv-LV"/>
        </w:rPr>
      </w:pPr>
      <w:r>
        <w:rPr>
          <w:b/>
          <w:bCs/>
          <w:i/>
          <w:iCs/>
          <w:lang w:val="en-US" w:eastAsia="lv-LV"/>
        </w:rPr>
        <w:t>Sintija Siliņa</w:t>
      </w:r>
    </w:p>
    <w:p w:rsidR="008705B0" w:rsidRDefault="008705B0" w:rsidP="008705B0">
      <w:pPr>
        <w:spacing w:after="0" w:line="240" w:lineRule="auto"/>
        <w:rPr>
          <w:lang w:val="en-US" w:eastAsia="lv-LV"/>
        </w:rPr>
      </w:pPr>
    </w:p>
    <w:p w:rsidR="008705B0" w:rsidRDefault="008705B0" w:rsidP="008705B0">
      <w:pPr>
        <w:spacing w:after="0" w:line="240" w:lineRule="auto"/>
        <w:rPr>
          <w:lang w:val="en-US" w:eastAsia="lv-LV"/>
        </w:rPr>
      </w:pPr>
      <w:proofErr w:type="spellStart"/>
      <w:r>
        <w:rPr>
          <w:lang w:val="en-US" w:eastAsia="lv-LV"/>
        </w:rPr>
        <w:t>Latvijas</w:t>
      </w:r>
      <w:proofErr w:type="spellEnd"/>
      <w:r>
        <w:rPr>
          <w:lang w:val="en-US" w:eastAsia="lv-LV"/>
        </w:rPr>
        <w:t xml:space="preserve"> Darba devēju konfederācija</w:t>
      </w:r>
    </w:p>
    <w:p w:rsidR="008705B0" w:rsidRDefault="008705B0" w:rsidP="008705B0">
      <w:pPr>
        <w:spacing w:after="0" w:line="240" w:lineRule="auto"/>
        <w:rPr>
          <w:lang w:val="en-US" w:eastAsia="lv-LV"/>
        </w:rPr>
      </w:pPr>
      <w:proofErr w:type="spellStart"/>
      <w:r>
        <w:rPr>
          <w:lang w:val="en-US" w:eastAsia="lv-LV"/>
        </w:rPr>
        <w:t>Projekta</w:t>
      </w:r>
      <w:proofErr w:type="spellEnd"/>
      <w:r>
        <w:rPr>
          <w:lang w:val="en-US" w:eastAsia="lv-LV"/>
        </w:rPr>
        <w:t xml:space="preserve"> </w:t>
      </w:r>
      <w:proofErr w:type="spellStart"/>
      <w:r>
        <w:rPr>
          <w:lang w:val="en-US" w:eastAsia="lv-LV"/>
        </w:rPr>
        <w:t>nozaru</w:t>
      </w:r>
      <w:proofErr w:type="spellEnd"/>
      <w:r>
        <w:rPr>
          <w:lang w:val="en-US" w:eastAsia="lv-LV"/>
        </w:rPr>
        <w:t xml:space="preserve"> </w:t>
      </w:r>
      <w:proofErr w:type="spellStart"/>
      <w:r>
        <w:rPr>
          <w:lang w:val="en-US" w:eastAsia="lv-LV"/>
        </w:rPr>
        <w:t>eksperts</w:t>
      </w:r>
      <w:proofErr w:type="spellEnd"/>
    </w:p>
    <w:p w:rsidR="008705B0" w:rsidRDefault="008705B0" w:rsidP="008705B0">
      <w:pPr>
        <w:spacing w:after="0" w:line="240" w:lineRule="auto"/>
        <w:rPr>
          <w:lang w:val="en-US" w:eastAsia="lv-LV"/>
        </w:rPr>
      </w:pPr>
      <w:r>
        <w:rPr>
          <w:lang w:val="en-US" w:eastAsia="lv-LV"/>
        </w:rPr>
        <w:t xml:space="preserve">  </w:t>
      </w:r>
    </w:p>
    <w:p w:rsidR="008705B0" w:rsidRDefault="008705B0" w:rsidP="008705B0">
      <w:pPr>
        <w:spacing w:after="0" w:line="240" w:lineRule="auto"/>
        <w:rPr>
          <w:lang w:val="en-US" w:eastAsia="lv-LV"/>
        </w:rPr>
      </w:pPr>
      <w:proofErr w:type="spellStart"/>
      <w:r>
        <w:rPr>
          <w:lang w:val="en-US" w:eastAsia="lv-LV"/>
        </w:rPr>
        <w:t>Adrese</w:t>
      </w:r>
      <w:proofErr w:type="spellEnd"/>
      <w:r>
        <w:rPr>
          <w:lang w:val="en-US" w:eastAsia="lv-LV"/>
        </w:rPr>
        <w:t xml:space="preserve">: </w:t>
      </w:r>
      <w:proofErr w:type="spellStart"/>
      <w:r>
        <w:rPr>
          <w:lang w:val="en-US" w:eastAsia="lv-LV"/>
        </w:rPr>
        <w:t>Raiņa</w:t>
      </w:r>
      <w:proofErr w:type="spellEnd"/>
      <w:r>
        <w:rPr>
          <w:lang w:val="en-US" w:eastAsia="lv-LV"/>
        </w:rPr>
        <w:t xml:space="preserve"> </w:t>
      </w:r>
      <w:proofErr w:type="spellStart"/>
      <w:r>
        <w:rPr>
          <w:lang w:val="en-US" w:eastAsia="lv-LV"/>
        </w:rPr>
        <w:t>bulvāris</w:t>
      </w:r>
      <w:proofErr w:type="spellEnd"/>
      <w:r>
        <w:rPr>
          <w:lang w:val="en-US" w:eastAsia="lv-LV"/>
        </w:rPr>
        <w:t xml:space="preserve"> 4, </w:t>
      </w:r>
      <w:proofErr w:type="spellStart"/>
      <w:r>
        <w:rPr>
          <w:lang w:val="en-US" w:eastAsia="lv-LV"/>
        </w:rPr>
        <w:t>Rīga</w:t>
      </w:r>
      <w:proofErr w:type="spellEnd"/>
      <w:r>
        <w:rPr>
          <w:lang w:val="en-US" w:eastAsia="lv-LV"/>
        </w:rPr>
        <w:t>, LV - 1050</w:t>
      </w:r>
    </w:p>
    <w:p w:rsidR="008705B0" w:rsidRDefault="008705B0" w:rsidP="008705B0">
      <w:pPr>
        <w:spacing w:after="0" w:line="240" w:lineRule="auto"/>
        <w:rPr>
          <w:lang w:val="en-US" w:eastAsia="lv-LV"/>
        </w:rPr>
      </w:pPr>
      <w:r>
        <w:rPr>
          <w:lang w:val="en-US" w:eastAsia="lv-LV"/>
        </w:rPr>
        <w:t xml:space="preserve">E-pasts: </w:t>
      </w:r>
      <w:hyperlink r:id="rId4" w:history="1">
        <w:r>
          <w:rPr>
            <w:rStyle w:val="Hyperlink"/>
            <w:lang w:val="en-US" w:eastAsia="lv-LV"/>
          </w:rPr>
          <w:t>sintija.silina@lddk.lv</w:t>
        </w:r>
      </w:hyperlink>
      <w:r>
        <w:rPr>
          <w:lang w:val="en-US" w:eastAsia="lv-LV"/>
        </w:rPr>
        <w:t xml:space="preserve"> </w:t>
      </w:r>
    </w:p>
    <w:p w:rsidR="008705B0" w:rsidRDefault="008705B0" w:rsidP="008705B0">
      <w:pPr>
        <w:spacing w:after="0" w:line="240" w:lineRule="auto"/>
        <w:rPr>
          <w:lang w:val="en-US" w:eastAsia="lv-LV"/>
        </w:rPr>
      </w:pPr>
      <w:proofErr w:type="spellStart"/>
      <w:r>
        <w:rPr>
          <w:lang w:val="en-US" w:eastAsia="lv-LV"/>
        </w:rPr>
        <w:t>Tālr</w:t>
      </w:r>
      <w:proofErr w:type="spellEnd"/>
      <w:r>
        <w:rPr>
          <w:lang w:val="en-US" w:eastAsia="lv-LV"/>
        </w:rPr>
        <w:t xml:space="preserve">.: +371 67225162 </w:t>
      </w:r>
    </w:p>
    <w:p w:rsidR="008705B0" w:rsidRDefault="008705B0" w:rsidP="008705B0">
      <w:pPr>
        <w:spacing w:after="0" w:line="240" w:lineRule="auto"/>
        <w:rPr>
          <w:lang w:val="en-US" w:eastAsia="lv-LV"/>
        </w:rPr>
      </w:pPr>
      <w:proofErr w:type="spellStart"/>
      <w:r>
        <w:rPr>
          <w:lang w:val="en-US" w:eastAsia="lv-LV"/>
        </w:rPr>
        <w:t>Mob.tālr</w:t>
      </w:r>
      <w:proofErr w:type="spellEnd"/>
      <w:r>
        <w:rPr>
          <w:lang w:val="en-US" w:eastAsia="lv-LV"/>
        </w:rPr>
        <w:t>.: +371 29499216</w:t>
      </w:r>
    </w:p>
    <w:p w:rsidR="008705B0" w:rsidRDefault="008705B0" w:rsidP="008705B0">
      <w:pPr>
        <w:spacing w:after="0" w:line="240" w:lineRule="auto"/>
        <w:rPr>
          <w:color w:val="1F497D"/>
          <w:lang w:val="en-GB" w:eastAsia="en-GB"/>
        </w:rPr>
      </w:pPr>
      <w:r>
        <w:rPr>
          <w:color w:val="1F497D"/>
          <w:lang w:val="en-GB" w:eastAsia="en-GB"/>
        </w:rPr>
        <w:t> </w:t>
      </w:r>
    </w:p>
    <w:p w:rsidR="008705B0" w:rsidRDefault="008705B0" w:rsidP="008705B0">
      <w:pPr>
        <w:spacing w:after="0" w:line="240" w:lineRule="auto"/>
        <w:rPr>
          <w:color w:val="1F497D"/>
          <w:lang w:eastAsia="lv-LV"/>
        </w:rPr>
      </w:pPr>
      <w:r>
        <w:rPr>
          <w:noProof/>
          <w:color w:val="1F497D"/>
          <w:lang w:eastAsia="lv-LV"/>
        </w:rPr>
        <w:drawing>
          <wp:inline distT="0" distB="0" distL="0" distR="0">
            <wp:extent cx="1593850" cy="622300"/>
            <wp:effectExtent l="0" t="0" r="6350" b="6350"/>
            <wp:docPr id="1" name="Picture 1" descr="cid:image001.png@01D5B97D.DC0ED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B97D.DC0EDDB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593850" cy="622300"/>
                    </a:xfrm>
                    <a:prstGeom prst="rect">
                      <a:avLst/>
                    </a:prstGeom>
                    <a:noFill/>
                    <a:ln>
                      <a:noFill/>
                    </a:ln>
                  </pic:spPr>
                </pic:pic>
              </a:graphicData>
            </a:graphic>
          </wp:inline>
        </w:drawing>
      </w:r>
    </w:p>
    <w:p w:rsidR="008705B0" w:rsidRDefault="008705B0" w:rsidP="008705B0">
      <w:pPr>
        <w:rPr>
          <w:color w:val="1F497D"/>
        </w:rPr>
      </w:pPr>
    </w:p>
    <w:p w:rsidR="00D81EBC" w:rsidRDefault="008705B0">
      <w:bookmarkStart w:id="0" w:name="_GoBack"/>
      <w:bookmarkEnd w:id="0"/>
    </w:p>
    <w:sectPr w:rsidR="00D81EB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5B0"/>
    <w:rsid w:val="008705B0"/>
    <w:rsid w:val="00A9402B"/>
    <w:rsid w:val="00C37F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D6C7B-931C-406A-BF07-CD4B9B4E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5B0"/>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05B0"/>
    <w:rPr>
      <w:color w:val="0563C1"/>
      <w:u w:val="single"/>
    </w:rPr>
  </w:style>
  <w:style w:type="paragraph" w:styleId="NormalWeb">
    <w:name w:val="Normal (Web)"/>
    <w:basedOn w:val="Normal"/>
    <w:uiPriority w:val="99"/>
    <w:semiHidden/>
    <w:unhideWhenUsed/>
    <w:rsid w:val="008705B0"/>
    <w:pPr>
      <w:spacing w:before="100" w:beforeAutospacing="1" w:after="100" w:afterAutospacing="1" w:line="240" w:lineRule="auto"/>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10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2.png@01D7D650.DA9B7D70" TargetMode="External"/><Relationship Id="rId5" Type="http://schemas.openxmlformats.org/officeDocument/2006/relationships/image" Target="media/image1.png"/><Relationship Id="rId4" Type="http://schemas.openxmlformats.org/officeDocument/2006/relationships/hyperlink" Target="mailto:sintija.silina@ldd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6725</Words>
  <Characters>3834</Characters>
  <Application>Microsoft Office Word</Application>
  <DocSecurity>0</DocSecurity>
  <Lines>31</Lines>
  <Paragraphs>21</Paragraphs>
  <ScaleCrop>false</ScaleCrop>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Šmukste</dc:creator>
  <cp:keywords/>
  <dc:description/>
  <cp:lastModifiedBy>Arta Šmukste</cp:lastModifiedBy>
  <cp:revision>1</cp:revision>
  <dcterms:created xsi:type="dcterms:W3CDTF">2021-11-16T18:41:00Z</dcterms:created>
  <dcterms:modified xsi:type="dcterms:W3CDTF">2021-11-16T18:42:00Z</dcterms:modified>
</cp:coreProperties>
</file>