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24-TA-749: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21. novembra noteikumos Nr. 714 "Kārtība, kādā notiek preču iznīcināšana vai atteikšanās no precēm par labu valstij"</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(01.12.2018.)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vien Komisijas 2015. gada 28. jūlija Deleģētās regulas (ES) 2015/2446, ar ko papildina Eiropas Parlamenta un Padomes Regulu (ES) Nr. 952/2013 attiecībā uz sīki izstrādātiem noteikumiem, kuri attiecas uz dažiem Savienības Muitas kodeksa noteikumiem (turpmāk - regula Nr. 2446), 175. panta 1. punkta otrajā daļā, bet arī 175. panta 3. un 6. punktā ietverta rīcības brīvība, lūdzam izvērtēt un atbilstoši papildināt projekta anotācijas 5.4. apakšsadaļas 1. tabulas aili (sniedzot pamatojumu) par dalībvalsts rīcības brīvības izmantošanu, norādot minētās regulas normas, kas paredz rīcības brīvību, kādā veidā minētā rīcības brīvība ir izmantota projektā, un to, kādēļ ir vai nav izmantota attiecīgajā regulā paredzētā rīcības brīvība. Pamatojumu rīcības brīvības izmantošanai lūdzam norādīt arī attiecībā uz 175. panta 1. punkta otrajā daļā paredzēto rīcības brīvību.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5.sadaļa.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pants. Izpildes dokuments (Kodeksa 6. panta 2. punkts, 6. panta 3. punkta a) apakšpunkts un 211.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Tādās ievešanas pārstrādei IM/EX un ievešanas pārstrādei EX/IM procedūras izmantošanas atļaujās, kur neizmanto 176. pantā minēto standartizēto informācijas apmaiņu, vai galapatēriņa atļaujās norāda, ka atļaujas turētājam izpildes dokuments uzraudzības muitas iestādē jāuzrāda 30 dienu laikā no noslēgšanas termiņa beigām.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tiek piemērota tādā veidā, ka atļauju, kuras izsniedz Muitas lēmumu sistēmā, pielikumā tiek norādīts, ka un kā ir jāiesniedz izpildes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vienkāršotajā kārtībā pārstrādes/iznīcināšanas gadījumā persona EMDAS iesniedz deklarāciju. Deklarācija tiek izlaista un vienlaicīgi persona EMDAS saņem paziņojumu par to, ka tai izmantojot VID EDS ir jāsazinās ar muitu, lai saskaņotu iznīcināšanas vietu, laiku un saņemtu informāciju par to vai muita piedalīsies iznīcināšanā. Persona iesniedz VID EDS paziņojumu un VID informē personu, vai piedalīsies iznīcināšanas procesā. Ja VID piedalās iznīcināšanas procesā, tad par izpildes dokumenta iesniegšanu/neiesniegšanu paziņos pēc iznīcināšanas procesa pabeigšanas. Ja VID nepiedalīsies iznīcināšanas procesā, tad VID EDS nosūta atbildi par to, ka nepiedalīsies iznīcināšanās procesā, kā arī informāciju par to, ka jāiesniedz izpildes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Tomēr uzraudzības muitas iestāde, kurai izpildes dokuments nav nepieciešams, var atcelt tā iesniegšanas pienākumu.</w:t>
            </w:r>
            <w:r w:rsidR="00000000" w:rsidRPr="00000000" w:rsidDel="00000000">
              <w:rPr>
                <w:rtl w:val="0"/>
              </w:rPr>
              <w:t xml:space="preserve"> Šis ieviests ar noteikumu projekta 13.punktu, ar kuru tiek precizēts MK noteikumu Nr.714 16.pumkts paredzot, ka izpildes dokuments nav jāiesniedz, kad preču iznīcināšanā ir piedalījusies muitas amatpersona un persona ir informēta, ka minētais izpildes dokuments nav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Izpildes dokumentā ietver datus, kas norādīti 71-06. pielikumā, ja vien uzraudzības muitas iestāde nav noteikusi citādi</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tiek piemērota tādā veidā, ka atļauju, kas izsniegtas Muitas lēmumu sistēmā, pielikumā norāda informāciju par izpildes dokumenta saturu. Pielikumā tiek norādīts: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Regulas Nr.2015/2446 175.panta 3.punkta nosacījumiem izpildes dokumentā iekļaujamā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atļaujas atsauces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katra preču veida, kam piemērota īpašā procedūra un uz ko attiecas noslēgšanas prasība, daudzums;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preču, kurām piemērota īpašā procedūra, KN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to preču, kurām piemērota īpašā procedūra, ievedmuitas nodokļa likme un attiecīgā gadījumā muitas vērtība;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ziņas no muitas deklarācijām (-as), ar kuru(ām) precēm piemēro īpašo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preču, kam piemērota procedūra, veids un daudzums un ziņas no nākamās muitas deklarācijas vai jebkāda cita dokumenta, kurš attiecas uz procedūras noslēgšanu;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noslēgšanas laikposmi.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Vienkāršotajā kārtībā izsniegtajās atļaujās (deklarācija EMDAS), pēc tam, kad pēc preču izlaišanas persona VID EDS ir paziņojusi par iznīcināšanas vietu un laiku, tā saņem šādu paziņojumu VID EDS: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preču iznīcināšanas 30 dienu laikā, izmantojot EDS, jāiesniedz: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1.Izpildes dokuments, kas satur Komisijas 2015. gada 28. jūlija Deleģētās regulas (ES)  2015/2446, ar ko papildina Eiropas Parlamenta un Padomes Regulu (ES) Nr. 952/2013 attiecībā uz sīki izstrādātiem noteikumiem, kuri attiecas uz dažiem Savienības Muitas kodeksa noteikumiem 71-06. pielikumā noteikto informāciju. Izpildes dokuments iesniedzams brīvā formā un tajā jābūt informācijai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iznīcināmo preču KN kodu, aprakstu, daudzumu, vērtību, ievedmuitas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iznīcināšanas rezultātā radušos pārstrādes produktu veidu, daudzumu un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deklarācijas, ar kuru iznīcināšanas rezultātā iegūtajiem pārstrādes produktiem piemērota nākamā muitas procedūra,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6.  Muitas dienesti var atļaut minēto izpildes dokumentu uzrādīt, izmantojot tādus līdzekļus, kas nav elektroniskās datu apstrādes metodes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Muitas likuma 13.pantā "Dokumentu iesniegšana muitas iestādei" noteikto dokumentus un informāciju, kas nav jāiesniedz Eiropas Komisijas centrālajās muitas informācijas sistēmās, iesniedz Valsts ieņēmumu dienesta elektroniskās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 sadaļu un veikt tajā nepieciešamos precizējumus, ņemot vērā, ka, atbilstoši projekta redakcijai ar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 punktu ieviests ne tikai Komisijas 2015. gada 28. jūlija Deleģētās regulas (ES) 2015/2446, ar ko papildina Eiropas Parlamenta un Padomes Regulu (ES) Nr. 952/2013 attiecībā uz sīki izstrādātiem noteikumiem, kuri attiecas uz dažiem Savienības Muitas kodeksa noteikumiem (turpmāk – Regula Nr. 2015/2446) 175. pants, bet arī tās 71-06.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 punktu ieviests Eiropas Parlamenta un Padomes 2013. gada 9. oktobra Regulas (ES) Nr. 952/2013, ar ko izveido Savienības Muitas kodeksu (turpmāk – regula Nr. 952/2013) 198. panta 1. punkta "b" apakšpunkta "iv"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7. punktu ieviests Regulas Nr. 952/2013 197.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atbilstoši anotācijas 1.3. apakšsadaļas skaidrojumiem: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2. punkts (Ministru kabineta 2018. gada 21. novembra noteikumu Nr. 714 "Kārtība, kādā notiek preču iznīcināšana vai atteikšanās no precēm par labu valstij"  (turpmāk - noteikumu Nr. 714) 3.2. apakšpunkts) ievieš Regulas Nr. 952/2013 197.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4. punkts (noteikumu Nr. 714 4.7. apakšpunkts) ievieš Regulas Nr. 952/2013 163.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projektā veiktās Eiropas Savienības tiesību normu ieviešanas korektumu un pilnīgi, precīzi to atspoguļot arī anotācijas 5. sadaļā vai precizēt anotācijas 1.3. apakšsadaļas 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anotācijas 5.1. apakšsadaļas Regulas Nr.2015/2446 apraksta daļa lieki dublē anotācijas 5.4. apakšsadaļas 1. tabulas rīcības brīvības sadaļu. Papildus, iesakām pārskatīt pašreizējo rīcības brīvības sadaļas skaidrojumu un papildināt arī ar citās Eiropas Savienības tiesību normās paredzēto rīcības brīvību izmantošanu, piemēram, Regulas Nr. 952/2013 197. pants nosaka, ka "</w:t>
            </w:r>
            <w:r w:rsidR="00000000" w:rsidRPr="00000000" w:rsidDel="00000000">
              <w:rPr>
                <w:i w:val="1"/>
                <w:rtl w:val="0"/>
              </w:rPr>
              <w:t xml:space="preserve">Ja muitas dienestiem ir pamatoti iemesli tā rīkoties, </w:t>
            </w:r>
            <w:r w:rsidR="00000000" w:rsidRPr="00000000" w:rsidDel="00000000">
              <w:rPr>
                <w:i w:val="1"/>
                <w:u w:val="single"/>
                <w:rtl w:val="0"/>
              </w:rPr>
              <w:t xml:space="preserve">tie var</w:t>
            </w:r>
            <w:r w:rsidR="00000000" w:rsidRPr="00000000" w:rsidDel="00000000">
              <w:rPr>
                <w:i w:val="1"/>
                <w:rtl w:val="0"/>
              </w:rPr>
              <w:t xml:space="preserve"> pieprasīt, lai muitai uzrādītās preces tiktu iznīcinātas, un muitas dienesti par to attiecīgi informē preču valdītāju. Iznīcināšanas izmaksas sedz preču valdītājs</w:t>
            </w:r>
            <w:r w:rsidR="00000000" w:rsidRPr="00000000" w:rsidDel="00000000">
              <w:rPr>
                <w:rtl w:val="0"/>
              </w:rPr>
              <w:t xml:space="preserve">". Lūdzam ievērot, ka rīcības brīvības sadaļā norāda: "Kā ir izmantota ES tiesību aktā paredzētā rīcības brīvība dalībvalstij pārņemt vai ieviest noteiktas ES tiesību akta normas? </w:t>
            </w:r>
            <w:r w:rsidR="00000000" w:rsidRPr="00000000" w:rsidDel="00000000">
              <w:rPr>
                <w:u w:val="single"/>
                <w:rtl w:val="0"/>
              </w:rPr>
              <w:t xml:space="preserve">Kādēļ?</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par iebilduma sadaļu - "</w:t>
            </w:r>
            <w:r w:rsidR="00000000" w:rsidRPr="00000000" w:rsidDel="00000000">
              <w:rPr>
                <w:i w:val="1"/>
                <w:rtl w:val="0"/>
              </w:rPr>
              <w:t xml:space="preserve">2) projekta 4. punkts (noteikumu Nr. 714 4.7. apakšpunkts) ievieš Regulas Nr. 952/2013 163. punktu;</w:t>
            </w:r>
            <w:r w:rsidR="00000000" w:rsidRPr="00000000" w:rsidDel="00000000">
              <w:rPr>
                <w:i w:val="1"/>
                <w:rtl w:val="0"/>
              </w:rPr>
              <w:t xml:space="preserve">Attiecīgi lūdzam izvērtēt projektā veiktās Eiropas Savienības tiesību normu ieviešanas korektumu un pilnīgi, precīzi to atspoguļot arī anotācijas 5. sadaļā vai precizēt anotācijas 1.3. apakšsadaļas skaidrojumus</w:t>
            </w:r>
            <w:r w:rsidR="00000000" w:rsidRPr="00000000" w:rsidDel="00000000">
              <w:rPr>
                <w:rtl w:val="0"/>
              </w:rPr>
              <w:t xml:space="preserve">" - paskaidrojam, ka ar noteikumu projekta 4.punktu, kas groza MK noteikumu Nr.714 4.7.apakšpunktu netiek ieviests regulas Nr.952/2013 163.punkts. Tieši otrādi, ar grozījumiem tiek svītrota atsauce uz minēto regulas normu to attiecīgi arī paskaidrojot anotācijā. Proti, atbilstoši šobrīd spēkā esošajam MK noteikumu Nr.714 4.7.punktam persona Valsts ieņēmumu dienestā cita starpā iesniedz regulas Nr. 952/2013 163.pantā noteiktos pavaddokumentus. Regulas Nr. 952/2013 163.pantā noteiktie dokumenti jāpievieno muitas deklarācijai. Tā kā šajā gadījumā, veicot preču iznīcināšanu ar muitas iestādes lēmumu, nav muitas deklarācijas, uz minēto regulas normu atsaukties nav pamata un norma jāprecizē atsauci svītrojot un tā vietā minot, kādus preču pavaddokumentus jāiesniedz.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Ārpussavienības preces, par kurām procesa virzītājs kriminālprocesā ir pieņēmis lēmumu par to iznīcināšanu, vai par kuru iznīcināšanu lēmumu ir pieņēmusi Nodrošinājuma valsts aģentūra, iznīcina, pamatojoties uz minēto lēmumu saskaņā ar rīcību ar lietiskajiem pierādījumiem reglamentējošiem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noteikumu projekta "Grozījumi Ministru kabineta 2018. gada 21. novembra noteikumos Nr. 714 "Kārtība, kādā notiek preču iznīcināšana vai atteikšanās no precēm par labu valstij"" (turpmāk – projekts) 1. punktu, ņemot vērā to, ka saskaņā ar Muitas likuma 6. panta 16. un 17. punktu Ministru kabinets nav pilnvarots noteikt lietisko pierādījumu iznīcināšanas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nevar piekrist Tieslietu ministrijas norādītajam, ka noteikumu projekts neatbilst Muitas likumā dotajam deleģējumam. Noteikumu projekta 2.</w:t>
            </w:r>
            <w:r w:rsidR="00000000" w:rsidRPr="00000000" w:rsidDel="00000000">
              <w:rPr>
                <w:vertAlign w:val="superscript"/>
                <w:rtl w:val="0"/>
              </w:rPr>
              <w:t xml:space="preserve">1 </w:t>
            </w:r>
            <w:r w:rsidR="00000000" w:rsidRPr="00000000" w:rsidDel="00000000">
              <w:rPr>
                <w:rtl w:val="0"/>
              </w:rPr>
              <w:t xml:space="preserve">punktā netiek noteikta lietisko pierādījumu iznīcināšanas kārtība, bet ārpussavienības preču (kas attiecīgā gadījumā var būt arī lietiskie pierādījumi) iznīcināšanas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Nr.714 tvērums ir par ārpussavienības preču iznīcināšanu. Tās varbūt tādas ārpussavienības preces,  kas atzītas par valstij piekritīgu mantu un tās attiecīgi iznīcinās saskaņā ar valstij piekritīgās mantas iznīcināšanu reglamentējošiem normatīvajiem aktiem (šo paredz MK noteikumu Nr.714 2.punkts).  Tāpat, tās var būt arī tādas arpussavienības preces, par kurām lēmumu kriminālprocesā ir pieņēmis procesa virzītājs vai Nodrošinājuma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akti muitas jomā Regulas Nr. 952/2013 5. panta 2. punkta izpratnē ietver regulējumu attiecībā uz rīcību ar ārpussavienības precēm. Ārpussavienības precēm to ārpussavienības preču statuss saglabājas arī gadījumos, kad par šīm precēm ir pieņemts kriminālprocesuāls lēmums (ne vien kā par lietiskajiem pierādījumiem). Līdz ar to šādas ārpussavienības preces ir iznīcināmas vismaz minimālā muitas uzraudzībā (skat. Regulas Nr. 952/2013 134. panta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Muita ir tiesīga pati izvēlēties muitas uzraudzības veidu (Regulas Nr. 952/2013 46. panta 1. punkts) un katrā gadījumā atsevišķi vērtē nepieciešamo muitas uzraudzības veidu un attiecīgi veicamo darbību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attiecībā uz tādu preču (arī ārpussavienības preču) iznīcināšanu, par kuru iznīcināšanu lēmums ir pieņemts kriminālprocesā, jau pastāv attiecīgs regulējums, tad šādas ārpusavienības preces tiesiskās skaidrības labad ir nepieciešams izslēgt no to ārpussavienības preču loka, par kuru iznīcināšanas uzraudzību muita katrā iznīcināšanas gadījumā pieņem atsevišķu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Ārpussavienības preces, par kurām procesa virzītājs kriminālprocesā ir pieņēmis lēmumu par to iznīcināšanu, vai par kuru iznīcināšanu lēmumu ir pieņēmusi Nodrošinājuma valsts aģentūra, iznīcina, pamatojoties uz minēto lēmumu saskaņā ar rīcību ar lietiskajiem pierādījumiem reglamentējošiem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preču pavaddokumentus (piemēram, rēķinu, iepakojuma lapu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4. un 13. punktu, pēc iespējas izvairoties no attiecīgi Eiropas Parlamenta un Padomes 2013. gada 9. oktobra Regulas (ES) Nr. 952/2013, ar ko izveido Savienības Muitas kodeksu (turpmāk - regula Nr. 952/2013) 163. pantā ietvertā regulējuma skaidrošanas un regulas Nr. 2015/2446 175. pantā ietvertā regulējuma dublēšanas (pārrakstīšanas).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 punktā, ja ar preču pavaddokumentiem domāti regulas Nr. 952/2013 163. pantā minētie, lūdzam nenorādīt piemērus preču pavaddokumentiem, lai izvairītos no regulas interpretācijas iespējām. Kā arī, ja minētajā projekta punktā tiek ieviestas minētās regulas prasības, lūdzam projekta anotācijas 5.4. apakšsadaļas 1. tabulu papildināt ar informāciju par regulas Nr 952/2013 163. pantā ietverto prasību ieviešanu projekta 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13. punktā nepieciešams izvairīties no regulas Nr. 2015/2446 175. pantā ietvertās izpildes dokumenta iesniegšanas kārtības (t.i., prasības, ka izpildes dokuments uzraudzības muitas iestādē jāuzrāda 30 dienu laikā no noslēgšanas termiņa beigām) dublēšanas, kā arī norādes, ka izpildes dokumentā ietver datus, kas norādīti 71-06. pielikumā, pārrakstīšanas.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saskaņā ar Līguma par Eiropas Savienības darbību 288. panta otro daļu "regulas ir vispārpiemērojamas. Tās uzliek saistības kopumā un ir tieši piemērojamas visās dalībvalstīs.” Regulas ir aizliegts pārņemt nacionālajos tiesību aktos un tās automātiski kļūst par nacionālās tiesību sistēmas sastāvdaļu. Attiecīgi ir prettiesiski tādi nacionālie regulas normas īstenošanas mehānismi, kas rada šķēršļus regulas tiešam efektam un apdraud vienlaicīgu un vienādu tās piemērošanu Eiropas Savienībā.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Iebildums ņemts vērā daļēji.</w:t>
            </w:r>
            <w:r w:rsidR="00000000" w:rsidRPr="00000000" w:rsidDel="00000000">
              <w:rPr>
                <w:b w:val="1"/>
                <w:rtl w:val="0"/>
              </w:rPr>
              <w:t xml:space="preserve">1. Par iebilduma daļu saistībā ar atsauci uz regulas Nr.952/2013 163.pantu.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4.punktu tiek veikti grozījumi MK noteikumu Nr.714 4.7.punktā svītrojot atsauci uz regulas Nr.952/2013 163.pantu.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Nr.714 4.7.punkts nosaka, ka par precēm, kuras jāiznīcina, persona iesniedz regulas Nr. 952/2013 163. pantā noteiktos pavaddokumentus. Tie ir pavaddokumenti, kas vajadzīgi, lai varētu piemērot noteikumus, ar kuriem reglamentē muitas procedūru, kam preces tiek deklarētas, ir deklarētāja rīcībā un pieejami muitas dienestiem muitas deklarācijas iesniegšanas brīdī. Proti, tie ir pavaddokumenti, kas jāpievieno muitas deklarācijai. Preču iznīcināšanas procedūrā nav muitas deklarācijas, līdz ar to atsauce uz regulas Nr.952/2013 163.pantu ir nekorekta. ņemot vērā, tiesiskās skaidrības dēļ nepieciešams svītrot atsauci uz minēto regulas pantu un noteikt, kādus dokumentus konkrētajā gadījumā jāiesniedz. Tie būs preču pavaddokumenti (piemēram, rēķins, iepakojuma lapa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 noteikumu projekta 4.punktu netiek ieviests regulas Nr.952/2013 163.pants un anotācijas 5.sadaļā tas nav jāatspoguļo.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skaidrojumu papildināta anotācijas 1.3.sadaļa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Par iebilduma daļu saistībā ar noteikumu projekta 13.punktā ietverto atsauci uz regulu Nr.2015/2446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ņemts vērā, ka nepieciešams svītrot atsauci uz regulas Nr.2015/2446 71-06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nav ņemts vērā, ka būtu nepieciešams svītrot prasību par to, ka dokumenti muitas iestādē jāiesniedz 30 darbdienu laikā. Minētais termiņš attiecināms uz atkritumu pārstrādes uzņēmuma izziņas par preču iznīcināšanu iesniegšanu Valsts ieņēmumu dienesta elektroniskās deklarēšanas sistēmā (EDS). Savukārt, regulas Nr. 2015/2446 175. pantā noteiktais izpildes dokuments jāiesniedz minētā panta 1.daļā noteiktajā termiņā - 30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preču pavaddokumentus (piemēram, rēķinu, iepakojuma lapu u.c.);</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- 19.06.2024.)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punktu (Risinājuma apraksts, Noteikumu projekta 10- 13.punkts), ka atkritumu pārstrādes uzņēmumam ir jāsaņem Valsts vides dienesta A  vai B atļauja piesārņojošās darbības veikšanai (atļauja) un atļaujai jābūt spēkā, kad tiek veikta preču iznīcināšana.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 "Proti, persona pēc preču iznīcināšanas 30 darbdienu laikā iesniedz Valsts ieņēmumu dienestā atkritumu pārstrādes uzņēmuma izziņu (atkritumu pārstrādes uzņēmumam ir jāsaņem Valsts vides dienesta A  vai B atļauja piesārņojošās darbības veikšanai un minētajai atļaujai jābūt spēkā, kad tiek veikta preču iznīcināšana) par preču iznīcināšanu un Komisijas regulas Nr. 2015/2446 175. pantā noteikto izpildes dokumentu, kas satur Komisijas regulas Nr. 2015/2446 71-06. pielikumā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5. sadaļu, ņemot vērā, ka atbilstoši noteikumu Nr. 714 sākotnējai anotācijai noteikumu Nr. 714 punktos, kurus paredz grozīt projektā, iepriekš ieviests arī, piemēram, Regulas Nr. 952/2013 22. panta 3. punkts. Attiecīgi lūdzam pārskatīt projektu un izvērtēt, vai uz to attiecināmās, anotācijā nenorādītās (iepriekš ieviestās) Eiropas Savienības tiesību normas joprojām ir attiecināmas. Šādā gadījumā iesakām papildināt anotācijas 5. sadaļu ar norādēm uz Eiropas Savienības tiesību normām un/vai norādīt, ka līdz šim pārņemtās/ieviestās, no Eiropas Savienības tiesību normām  izrietošās prasības netiek mainītas, ietekmētas.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atsauces uz Eiropas Savienības tiesību aktiem noformēt atbilstoši Ministru kabineta 2009. gada 3. februāra noteikumiem Nr. 108 „Normatīvo aktu projektu sagatavošanas noteikumi” 4. nodaļai. Atsaucē uz Eiropas Savienības tiesību aktu norādot šādu informāciju: institūcija (Komisija, Padome, Eiropas Parlaments), kas izdevusi attiecīgo tiesību aktu; tiesību akta pieņemšanas datums; veids (regula, direktīva, lēmums); numurs un nosaukums atbilstoši tiesību akta nosaukumam latviešu valodā EUR-Lex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ievērot juridiskās tehnikas prasības arī attiecībā uz to, ka, nepieciešamības gadījumā, saīsinājumu piesaka pirmajā vietā juridiskajā tekstā, kur lietots attiecīgais normatīvā akta nosaukums, tādā veidā izvairoties no vispārinātām atsaucēm uz normatīvajiem aktiem,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2015. gada 28. jūlija Deleģētā regula (ES) 2015/2446, ar ko papildina Eiropas Parlamenta un Padomes Regulu (ES) Nr. 952/2013 attiecībā uz sīki izstrādātiem noteikumiem, kuri attiecas uz dažiem Savienības Muitas kodeksa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 noteikumu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5.4. apakšsadaļas 1. tabulu, ņemot vērā, ka, skaidrojot no Eiropas Savienības tiesību aktiem izrietošo rīcības brīvību, norāda ne tikai, kā ir izmantota Eiropas Savienības tiesību aktā paredzētā rīcības brīvība dalībvalstij pārņemt vai ieviest noteiktas Eiropas Savienības tiesību akta normas, bet arī </w:t>
            </w:r>
            <w:r w:rsidR="00000000" w:rsidRPr="00000000" w:rsidDel="00000000">
              <w:rPr>
                <w:u w:val="single"/>
                <w:rtl w:val="0"/>
              </w:rPr>
              <w:t xml:space="preserve">kādēļ</w:t>
            </w:r>
            <w:r w:rsidR="00000000" w:rsidRPr="00000000" w:rsidDel="00000000">
              <w:rPr>
                <w:rtl w:val="0"/>
              </w:rPr>
              <w:t xml:space="preserve">. Vēršam uzmanību, piemēram, uz anotācijā ietverto Komisijas 2015. gada 28. jūlija Deleģētās regulas (ES) 2015/2446, ar ko papildina Eiropas Parlamenta un Padomes Regulu (ES) Nr. 952/2013 attiecībā uz sīki izstrādātiem noteikumiem, kuri attiecas uz dažiem Savienības Muitas kodeksa noteikumiem 175. panta 3. punkta skaidrojumu, kur tiek vienkārši uzskaitīta iesniedzamā informācija, nekonkretizējot un nepamatojot to, kāpēc noteikta nepieciešamība tieši pēc šādas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rīcības brīvība izmantota, lai nodrošinātu kvalitatīvu un pilnīgu muitas kontroles un uzraudzības procesu un izpildītu regulas prasības, nodrošinot nepieciešamās informācijas apmaiņu un glabāšanu, piemērojot preču iznīcināšanas muitas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24-TA-749</w:t>
    </w:r>
    <w:r>
      <w:br/>
    </w:r>
    <w:r w:rsidR="00000000" w:rsidRPr="00000000" w:rsidDel="00000000">
      <w:rPr>
        <w:rtl w:val="0"/>
      </w:rPr>
      <w:t xml:space="preserve">02.09.2024. 19.49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24-TA-749</w:t>
    </w:r>
    <w:r>
      <w:br/>
    </w:r>
    <w:r w:rsidR="00000000" w:rsidRPr="00000000" w:rsidDel="00000000">
      <w:rPr>
        <w:rtl w:val="0"/>
      </w:rPr>
      <w:t xml:space="preserve">02.09.2024. 19.49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Izziņa_24-TA-749.docx</dc:title>
</cp:coreProperties>
</file>

<file path=docProps/custom.xml><?xml version="1.0" encoding="utf-8"?>
<Properties xmlns="http://schemas.openxmlformats.org/officeDocument/2006/custom-properties" xmlns:vt="http://schemas.openxmlformats.org/officeDocument/2006/docPropsVTypes"/>
</file>