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22-TA-3217: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2012. gada 6. novembra noteikumos Nr. 745 "Centrālās finanšu un līgumu aģentūras nolikums"</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Starptautiskās palīdzības likumā noteiktās funkcijas;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(ĀM - 16.12.2022.)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Ārlietu ministrija ir atbildīgā iestāde par Ministru kabineta noteikumu izstrādi saskaņā ar Starptautiskās palīdzības likuma 15. panta otro daļu, grozījumi Centrālās finanšu un līgumu aģentūras nolikumā attiecībā uz Starptautiskās palīdzības likumā noteiktajam funkcijām skatāmi kontekstā ar šī dokumenta virzību. Ierosinām izslēgt projekta 3.5.punktu.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grozījumu projekts tiek virzīts tālāk bez 3.5.apakšpunkta.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Izteikt 2.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- 16.12.2022.)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viena no Centrālās finanšu un līgumu aģentūras funkcijām ir sadarbības iestādes funkciju veikšana ES fondu 2021 – 2027 ieviešanā, lūdzam MK noteikumu projekta 2. punktā, veicot ES fondu uzskaitījumu, aizstāt saikli “vai” ar saikli “un”. ES fondu uzskaitījumā ierosinājums lietot vienojuma saikli “un” šķīruma saikļa “vai” vietā nodrošina, ka sadarbības iestāde veic visu šo fondu projektu administrēšanu.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noteikumu grozījumu projekta 1. punktu izteikt piedāvātā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2. punktu šādā redakcijā: "2. Iestādes darbības mērķis ir nodrošināt Eiropas Savienības Eiropas Reģionālās attīstības fonda, Eiropas Sociālā fonda, Eiropas Sociālā fonda Plus, Kohēzijas fonda </w:t>
            </w:r>
            <w:r w:rsidR="00000000" w:rsidRPr="00000000" w:rsidDel="00000000">
              <w:rPr>
                <w:u w:val="single"/>
                <w:rtl w:val="0"/>
              </w:rPr>
              <w:t xml:space="preserve">un </w:t>
            </w:r>
            <w:r w:rsidR="00000000" w:rsidRPr="00000000" w:rsidDel="00000000">
              <w:rPr>
                <w:rtl w:val="0"/>
              </w:rPr>
              <w:t xml:space="preserve">Taisnīgas pārkārtošanās fonda (turpmāk – Eiropas Savienības fondi) projektu, kā arī citu ārvalstu finanšu instrumentu piešķirto līdzekļu administrēšanu."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iestrādāts, lūgums skatīt precizējumus.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Izteikt 2.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aizstāt projekta 1. punktā vārdu „vai” aiz vārdiem „Kohēzijas fonda” ar vārdu „un”. Norādām, ka saiklis „un” ir kumulatīvs nosacījums, kura lietošanas gadījumā ir jāiestājas visiem noteikumu projektā minētajiem priekšnosacījumiem. Savukārt saiklis „vai” ir alternatīvs nosacījums, kura lietošana nosaka tikai viena priekšnosacījuma iestāšanās nepieciešamību. Ņemot vērā šo saikļu nozīmes atšķirību, grozījumu projektā, lietojot saikli "vai" starp fondu nosaukumiem rodas izpratne, ka Centrālās finanšu un līgumu aģentūras darbības mērķī ietilpst darbs tikai ar vienu no diviem uzskaitītajiem un savstarpēji ar saikli "vai" nodalītajiem fondiem (Kohēzijas fonds vai Taisnīgas pārkārtošanās fonds) nevis abiem, kā tas izriet no skaidrojuma anotācijas 1.1. daļas apraksta "[1]" sadaļā.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iestrādāts, lūgums skatīt precizējumus.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3.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(VARAM - 16.12.2022.)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MK noteikumu projekta 2. punkta 3.2. apakšpunktā iekļaut pirms vārda “Noteikumos” vārdus “Ministru kabineta” vai atbilstoši Anotācijā 1.3. sadaļā minētajam vārdus “Normatīvajos aktos”.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iestrādāts, lūgums skatīt precizējumus.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3.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projekta 2. punktu Ministru kabineta 2012. gada 6. novembra noteikumu Nr. 745 "Centrālās finanšu un līgumu aģentūras nolikums" (turpmāk - noteikumi Nr. 745) 3. punkts tiek izteikts jaunā redakcijā, tādā veidā, iepriekš svītrotajiem noteikumu Nr. 745 3. punkta apakšpunktiem, piešķirot jaunu saturu. Vēršam uzmanību uz to, ka, saskaņā ar juridiskās tehnikas prasībām un Ministru kabineta 2009. gada 3. februāra noteikumu Nr. 108 „Normatīvo aktu projektu sagatavošanas noteikumi” (turpmāk - noteikumi Nr. 108) 147. punktu, ieviešot noteikumos jaunas vienības, tās neraksta agrāk svītroto vietā. Attiecīgi lūdzam nodrošināt projekta atbilstību noteikumiem Nr. 108.</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Aģentūras nolikuma 3.punkts ir mainīgs un atkarīgs no ārējiem normatīvajiem aktiem un MK deleģētajām funkcijām. Lai nepieļautu vēsturisku svītrojumu un aktuālo versiju nepārskatāmību, tiek veidota jauna aktuāla redakcija dzēšot vēsturiskos svītrojumus.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Izteikt 2.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(SAM - 10.02.2023.)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1.punktā aizstāt vārdus "Eiropas Sociālo fonda" ar vārdiem "Eiropas Sociālā fonda", nodrošinot korektu Eiropas Sociālā fonda nosaukuma lietošanu.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lūdzam skatīt precizēto redakciju.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3.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- 09.02.2023.)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precizēt noteikumu projektā izteikto 3.2.apakšpunktu, piemēram, šādi: "</w:t>
            </w:r>
            <w:r w:rsidR="00000000" w:rsidRPr="00000000" w:rsidDel="00000000">
              <w:rPr>
                <w:i w:val="1"/>
                <w:rtl w:val="0"/>
              </w:rPr>
              <w:t xml:space="preserve">3.2. </w:t>
            </w:r>
            <w:r w:rsidR="00000000" w:rsidRPr="00000000" w:rsidDel="00000000">
              <w:rPr>
                <w:i w:val="1"/>
                <w:u w:val="single"/>
                <w:rtl w:val="0"/>
              </w:rPr>
              <w:t xml:space="preserve">normatīvajos aktos</w:t>
            </w:r>
            <w:r w:rsidR="00000000" w:rsidRPr="00000000" w:rsidDel="00000000">
              <w:rPr>
                <w:i w:val="1"/>
                <w:rtl w:val="0"/>
              </w:rPr>
              <w:t xml:space="preserve"> par Eiropas Savienības Atveseļošanas un noturības mehānisma īstenošanu un uzraudzību noteiktās funkcijas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Šāds formulējums aptvertu gan Ministru kabineta 2021. gada 7. septembra noteikumus Nr. 621 "Eiropas Savienības Atveseļošanas un noturības mehānisma plāna īstenošanas un uzraudzības kārtība", gan Ministru kabineta 2021. gada 24. augusta noteikumus Nr. 585 "Par Latvijas Republikas un Eiropas Komisijas finansēšanas nolīgumu par Atveseļošanas un noturības mehānismu" (un pašu finansēšanas nolīgumu), gan citus normatīvos, tai skaitā tādus, kas vēl varētu tikt izdoti.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grozījumu projekta 3.2.apakšpunkts tiek veidots no 2 daļām: pirmajā daļā tiek paredzēta atsauce uz MK 2021. gada 7. septembra noteikumiem Nr. 621, kas nosaka horizontālo regulējumu un CFLA funkcijas un otrajā daļā - tiesību aktiem, t.sk., info ziņojumiem, kas nosaka citas CFLA funkcijas, kas nav minētas MK 2021. gada 7. septembra noteikumos Nr. 621. LĪdz ar to priekšlikums netiek ņemts vērā.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projekta 1. punktā norādītais Eiropas Savienības fondu uzskaitījums atšķiras no anotācijas 1.1. daļas aprakstā "[1]" sadaļā uzskaitītajiem fondiem. Lūdzam salāgot fondu uzskaitījumu un pārliecināties, vai ir fiksēti visi attiecināmie fondi.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1.1.daļa atbilstoši projekta 1.punktā norādītajam.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anotācijas daļā "Problēmas un risinājumi" pašlaik tiek vispārīgi skaidrots, kādas izmaiņas Centrālās finanšu un līgumu aģentūras funkcijās ir veicamas, taču nav konkrēti norādīts kā šīs izmaiņas ir praktiski ieviešamas. Nav analizēts projekts un skaidrots tas, kāpēc un kādos noteikumu Nr. 745 punktos ir jāveic piedāvātie grozījumi. Attiecīgi, lūdzam papildināt anotācijas "Risinājuma aprakstu" ar skaidrojumiem par to, kāds ir problēmas plānotais praktiskais risinājums.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sadaļa "Risinājuma apraksts".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"Problēmas apraksts" daļā pašlaik ir ietverta vispārīga norāde uz nepieciešamību veikt grozījumus noteikumos Nr. 745, bet nav konkretizēta problēma un iespējamās sekas, kas varētu rasties, ja netiks ieviests projektā piedāvātais problēmas risinājums. Attiecīgi lūdzam papildināt anotāciju ar nepieciešamo problēmas aprakstu.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sadaļa "Problēmas apraksts".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projekta mērķis ir precizēt Centrālās finanšu un līgumu aģentūras funkcijas, uzdevumus no kurām, dažas iepriekš nav bijušas definētas noteikumos Nr. 745, lūdzam izvērtēt, vai nav nepieciešams papildināt anotācijas 7.4. daļas tabulu ar skaidrojumu. Nepieciešamības gadījumā lūdzam papildināt anotācijas 7. daļu.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7.4.daļas tabula.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22-TA-3217</w:t>
    </w:r>
    <w:r>
      <w:br/>
    </w:r>
    <w:r w:rsidR="00000000" w:rsidRPr="00000000" w:rsidDel="00000000">
      <w:rPr>
        <w:rtl w:val="0"/>
      </w:rPr>
      <w:t xml:space="preserve">27.02.2023. 12.53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22-TA-3217</w:t>
    </w:r>
    <w:r>
      <w:br/>
    </w:r>
    <w:r w:rsidR="00000000" w:rsidRPr="00000000" w:rsidDel="00000000">
      <w:rPr>
        <w:rtl w:val="0"/>
      </w:rPr>
      <w:t xml:space="preserve">27.02.2023. 12.53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Izziņa_22-TA-3217.docx</dc:title>
</cp:coreProperties>
</file>

<file path=docProps/custom.xml><?xml version="1.0" encoding="utf-8"?>
<Properties xmlns="http://schemas.openxmlformats.org/officeDocument/2006/custom-properties" xmlns:vt="http://schemas.openxmlformats.org/officeDocument/2006/docPropsVTypes"/>
</file>