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24-TA-447: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Narkotisko un psihotropo vielu un zāļu, kā arī prekursoru likumīgās aprites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grozītā likuma (turpmāk - Likums) 14.</w:t>
            </w:r>
            <w:r w:rsidR="00000000" w:rsidRPr="00000000" w:rsidDel="00000000">
              <w:rPr>
                <w:vertAlign w:val="superscript"/>
                <w:rtl w:val="0"/>
              </w:rPr>
              <w:t xml:space="preserve">1</w:t>
            </w:r>
            <w:r w:rsidR="00000000" w:rsidRPr="00000000" w:rsidDel="00000000">
              <w:rPr>
                <w:rtl w:val="0"/>
              </w:rPr>
              <w:t xml:space="preserve"> pantā paredzēti Zāļu valsts aģentūrai un Pārtikas un veterinārajam dienestam 30 un 90 dienu termiņi lēmumu sagatavošanai par speciālās atļaujas (licences) izsniegšanu vai par atteikumu izsniegt licenci, kas izriet no Eiropas Parlamenta un Padomes Direktīvas 2001/83/EK par Kopienas kodeksu, kas attiecas uz cilvēkiem paredzētām zālēm) 43., 44. un 78. panta. Lai padarītu tiesību normas skaidrākas, harmonizējot minētajā direktīvā noteiktās prasības ar citām dalībvalstīm, Likumā iekļaujami administratīvā akta izdošanas apturēšanas nosacījumi, paredzot noteikto atļauju izsniegšanas procedūras 30 un 90 dienu termiņa skaitīšanas apturēšanu atbilstoši šīs direktīvas 43., 44. un 78. pantam. Saistībā ar minēto un pamatojoties uz Ministru kabineta 2021. gada 7. septembra noteikumu Nr. 617 "Tiesību akta projekta sākotnējās ietekmes izvērtēšanas kārtība" 9.19. apakšpunktu,  lūdzam aizpildīt likumprojekta anotācijas 5. sadaļu ar informāciju par minētās direktīvas prasību pārņemšanu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Narkotisko un psihotropo vielu un zāļu, kā arī prekursoru likumīgās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anotācijā minēto, ka ar projektu (Narkotisko un psihotropo vielu un zāļu, kā arī prekursoru likumīgās aprites likumu) ir pārņemtas Eiropas Parlamenta un Padomes 2001. gada 6. novembra direktīvas 2001/83/EK par Kopienas kodeksu, kas attiecas uz cilvēkiem paredzētām zālēm, prasības, lūdzam papildināt projektu, paredzot papildināt Narkotisko un psihotropo vielu un zāļu, kā arī prekursoru likumīgās aprites likumu ar informatīvo atsauci uz minēto direktīvu. Kā arī lūdzam papildināt projekta anotācijas 5.4. apakšsadaļas 1. tabulu, skaidrojot arī citu minētās direktīvas prasību pārņemšanu minētajā likumā (piem., šā likuma 14.</w:t>
            </w:r>
            <w:r w:rsidR="00000000" w:rsidRPr="00000000" w:rsidDel="00000000">
              <w:rPr>
                <w:vertAlign w:val="superscript"/>
                <w:rtl w:val="0"/>
              </w:rPr>
              <w:t xml:space="preserve">1</w:t>
            </w:r>
            <w:r w:rsidR="00000000" w:rsidRPr="00000000" w:rsidDel="00000000">
              <w:rPr>
                <w:rtl w:val="0"/>
              </w:rPr>
              <w:t xml:space="preserve"> pirmajā un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papildinot Informatīvo atsauci uz Eiropas Savienības direktīvām ar jaunu punktu, ietverot Eiropas Parlamenta un Padomes 2001. gada 6. novembra direktīvas 2001/83/EK par Kopienas kodeksu, kas attiecas uz cilvēkiem paredzētām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5.4.apakšsadaļas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Narkotisko un psihotropo vielu un zāļu, kā arī prekursoru likumīgās aprites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24-TA-447</w:t>
    </w:r>
    <w:r>
      <w:br/>
    </w:r>
    <w:r w:rsidR="00000000" w:rsidRPr="00000000" w:rsidDel="00000000">
      <w:rPr>
        <w:rtl w:val="0"/>
      </w:rPr>
      <w:t xml:space="preserve">02.06.2025. 17.04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24-TA-447</w:t>
    </w:r>
    <w:r>
      <w:br/>
    </w:r>
    <w:r w:rsidR="00000000" w:rsidRPr="00000000" w:rsidDel="00000000">
      <w:rPr>
        <w:rtl w:val="0"/>
      </w:rPr>
      <w:t xml:space="preserve">02.06.2025. 17.04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Izziņa_24-TA-447.docx</dc:title>
</cp:coreProperties>
</file>

<file path=docProps/custom.xml><?xml version="1.0" encoding="utf-8"?>
<Properties xmlns="http://schemas.openxmlformats.org/officeDocument/2006/custom-properties" xmlns:vt="http://schemas.openxmlformats.org/officeDocument/2006/docPropsVTypes"/>
</file>