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23-TA-3271: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būvdarbu izmaksas, tai skaitā "zaļās" un "zilās" infrastruktūras un inženiertīklu izbūves, atjaunošanas, pārbūves, nojaukšanas vai demontāžas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lūdzam noteikumu projekta anotācijā sniegt papildu skaidrojumu, vai kā zaļo risinājumu atbilstoši 20.1. apakšpunktam var attiecināt arī plānoto būvdarbu vietā šobrīd esošu būvgružu atkārtotu izmantošanu, piemēram, tos sasmalcinot, ja šādu darbību būvprojektā ir akceptējis Valsts vides dienests un tiek veiktas visas nepieciešamās otrreiz izmantojamā materiāla pārbaudes.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“zaļās” un “zilās” infrastruktūras apraksts, kas skaidro, ka ar “zaļo” infrastruktūru saprot, piemēram, veģetācijas un augšņu dabiskās ūdens aiztures un absorbcijas spējas, ko var izmantot, lai mazinātu lietus notekūdeņu apjomu, kas nonāk kanalizācijas sistēmās. Nosakot platību, kādā izveidota “zaļā” infrastruktūra, iekļauj veģetācijas virsmas platību. Savukārt “zilās” infrastruktūras gadījumos ņem vērā ūdens virsmas platības. Papildus pie “zaļās” vai “zilās” infrastruktūras pieskaita arī risinājumus, ko sauc par dabā balstītiem risinājumiem – tādi, kas atdarina ekosistēmās noritošus procesus (piemēram, ūdens filtrācija, uzkrāšana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Būvgružu atkārtota izmantošana ir atbildīgas resursu izmantošanas piemērs. Tomēr tādā veidā netiek radīta “zaļā” vai “zilā” infrastruktūra. Būvgružu atkārtota izmantošana ir atļauta (to neaizliedz neviens no MK noteikumu projekta punktiem), ja vien to paredz būvprojekts, kā arī šāda rīcība ir izvērtēta no būves drošuma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anotācijā jau ir izvērsts attiecīgo infrastruktūras veidu apraksts, papildu skaidrojums netiek iekļauts.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būvdarbu izmaksas, tai skaitā "zaļās" un "zilās" infrastruktūras un inženiertīklu izbūves, atjaunošanas, pārbūves, nojaukšanas vai demontāžas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20.5.2. hidroloģiskā vai hidroģeoloģiskā modeļa un hidroloģisko vai hidraulisko vai līdzvērtīgu (morfodinamisko, hidrodinamisko) aprēķinu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lūdzam noteikumu projekta anotācijā sniegt skaidrojumu, no kura datuma veiktā hidroģeoloģiskajai modelēšana atbilstoši noteikumu projekta 20.5.2. apakšpunktā minētajam nosacījumam ir uzskatīta par atbilstošu un attiecināmu. Vienlaikus minētā kontekstā lūdzam sniegt skaidrojumu, vai noteikumu projekta 20.5.2. apakšpunktā norādītais hidroģeoloģiskais modelis un hidroloģiskie vai hidrauliskie vai līdzvērtīgi (morfodinamiskie, hidrodinamiskie) aprēķini var būt veikti pirms vairākiem gadiem, vai ir ierobežojums hidroģeoloģiskā modeļa aprēķina periodam.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pamatojumā var tikt izmantoti arī iepriekšējos gados veikti aprēķini, ja vien tie: 1) atbilst šobrīd dabā esošajai situācijai un 2) paredz ņemt vērā aktuālos klimata pārmaiņu riskus un aktualizētās hidroloģiskās un klimatiskās prognozes.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upju posmos vai piekrastē hidromorfoloģisko procesu dinamika ir ļoti izteikta un pat dažus gadus veci aprēķina un mērījumi var būt būtiski atšķirīgi. Līdz ar to iepriekš veikto aprēķinu gadījumā būtu jāpievieno aprēķinu veicēju apliecinājums (piemēram, vēstules formā), ka visi mērījumi un pieņēmumi par hidroloģiskajiem un morfoloģiskajiem procesiem joprojām atbilst dabā esošajai situācijai, kā arī plānotā infrastruktūra ir atbilstoša klimata pārmaiņu riskiem un prognozēm. Tādējādi apliecinājumā būtu secināts, ka jauni aprēķini nav nepieciešami. Aicinām ļoti rūpīgi izvērtēt šādu rīcību, ievērojot, ka, piemēram, dambju gadījumā tiem jābūt klimatnoturīgiem un jākalpo vismaz 50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izmaksas par aprēķiniem būs radušās pirms 2023. gada 1. janvāra, tās nevar tikt iekļautas projektā. Attiecīgs skaidrojums iekļauts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20.5.2. hidroloģiskā vai hidroģeoloģiskā modeļa un hidroloģisko vai hidraulisko vai līdzvērtīgu (morfodinamisko, hidrodinamisko) aprēķinu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 finansējuma saņēmējs novērš interešu konflikta risku saskaņā ar Eiropas Parlamenta un Padomes 2018. gada 18. jūlija Regulas (ES, Euratom) Nr.  2018/1046 </w:t>
            </w:r>
            <w:r w:rsidR="00000000" w:rsidRPr="00000000" w:rsidDel="00000000">
              <w:rPr>
                <w:i w:val="1"/>
                <w:rtl w:val="0"/>
              </w:rPr>
              <w:t xml:space="preserve">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31.10. apakšpunktu aiz vārda "prasībām" ar vārdiem "un paraksta interešu konflikta neesamības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 finansējuma saņēmējs novērš interešu konflikta risku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un paraksta interešu konflikta neesamības apliecinājumu;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sadarbības iestādei ir pieejami valsts budžeta līdzekļi, tā, izvērtējot plānotā avansa apmēru un tā pamatojumu un pamatojoties uz finansējuma saņēmēja rakstisku avansa pieprasījumu, pēc vienošanās par projekta īstenošanu noslēgšanas var piešķirt finansējuma saņēmējam avansu. Finansējuma saņēmējs avansa pieprasījumu sagatavo un sadarbības iestāde to apstiprina, ņemot vērā, ka plānotā avansa apmērs un tā pamatojums atbilst spējai to izlietot sešu mēnešu laikā.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apmēra.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finansējuma saņēmējs ir pašvaldība, noteikumu projektā jāietver nosacījums, ka finansējuma saņēmējs avansa pieprasījumu sagatavo, un sadarbības iestāde avansa pieprasījumu apstiprina, ņemot vērā nosacījumu, ka plānotā avansa apmērs, tā pamatojums atbilst spējai to izlietot </w:t>
            </w:r>
            <w:r w:rsidR="00000000" w:rsidRPr="00000000" w:rsidDel="00000000">
              <w:rPr>
                <w:u w:val="single"/>
                <w:rtl w:val="0"/>
              </w:rPr>
              <w:t xml:space="preserve">saimnieciskā gada ietvaros</w:t>
            </w:r>
            <w:r w:rsidR="00000000" w:rsidRPr="00000000" w:rsidDel="00000000">
              <w:rPr>
                <w:rtl w:val="0"/>
              </w:rPr>
              <w:t xml:space="preserve"> (piemēram, sešu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projekta 32. punktu aiz vārdiem "sešu mēnešu laikā" ar vārdiem "saimnieciskā gada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 iebildumā norādītajai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sadarbības iestādei ir pieejami valsts budžeta līdzekļi, tā, izvērtējot plānotā avansa apmēru un tā pamatojumu un pamatojoties uz finansējuma saņēmēja rakstisku avansa pieprasījumu, pēc vienošanās par projekta īstenošanu noslēgšanas var piešķirt finansējuma saņēmējam avansu. Finansējuma saņēmējs avansa pieprasījumu sagatavo un sadarbības iestāde to apstiprina, ņemot vērā, ka plānotā avansa apmērs atbilst spējai to izlietot sešu mēnešu laikā saimnieciskā gada ietvaros.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apmēra.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paredz iespēju  saņemt lielāku Eiropas Reģionālās attīstības fonda finansējuma apmēru (līdz 95%), ja projekta ietvaros plānots nodrošinātu lielāku pienesumu "zaļās" infrastruktūras rādītājam, izveidojot vai atjauninot infrastruktūru nolūkā pielāgoties klimata pārmaiņām. Vienlaikus anotācijā norādīts, ka  ES fondu 2021-2027 programmā konkrētajai prioritātei (2.1.prioritāte "Klimata pārmaiņu mazināšana un pielāgošanās klimata pārmaiņām") noteiktā atbalsta likme netiks pārsniegta, jo paredzētas investīcijas vairākos pasākumos, piemērojot finanšu instrumenta pieeju, kur nevienā gadījumā ES fondu ieguldījums nav paredzams lielāks par 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normatīvais regulējums investīciju īstenošanai klimata pārmaiņu mazināšanai un pielāgošanās pasākumiem klimata pārmaiņām ir apstiprināts nelielai daļai Vides aizsardzības un reģionālās attīstības ministrijas un Iekšlietu ministrijas pārziņā esošajām investīcijām, attiecīgi noteikumu projekta saskaņošanas brīdī nav iespējams pārliecināties, ka  atbalsta likme netiks pārsniegta kopumā prioritātes līmenī. Ņemot vērā minēto, lūdzam papildināt MK protokollēmuma projektu ar uzdevumu VARAM rīcībai, ja tiek konstatēta situācija, ka ES fondu 2021-2027 programmā konkrētajai prioritātei  noteiktā atbalsta likme tiek pārsniegta.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atbalsta likme netiks pārsniegta kopumā prioritātes līmenī, VARAM paredz noteikt 65% likmi daļai no 2.1.1.6. pasākuma “Pašvaldību ēku energoefektivitātes paaugstināšana” ERAF finansējuma. Tādējādi kopumā tiks nodrošināts minimāli nepieciešamais nacionālais līdzfinansējums. Attiecīgs nosacījums iekļauts protokollēmumā.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1.6.sadaļu “Cita informācija” ar izvērtējumu par to, vai finansējuma saņēmējiem pasākuma ietvaros sniegtais atbalsts netiek sniegts saimnieciskās darbības veikšanai un nav kvalificējams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 iebildumā norādītajai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veic projekta vispārīgu ietekmes uz tautsaimniecību novērtējumu un noformē to apraksta veidā, pievienojot projekta iesniegumam. Novērtējuma pielikumā var pievienot izmaksu un ieguvumu analīzi par projekta īstenošanas finanšu un ekonomiskajiem ieguvumiem.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izziņas 7.punktā VARAM nav ņēmusi vērā FM priekšlikumu MK noteikumu projektā noteikt, ka izmaksu un ieguvumu analīzi veic vai nu "projekta vispārīgās ietekmes uz tautsaimniecību novērtējuma" ietvaros, vai arī to pievieno kā atsevišķu dokumentu projekta iesniegumam. Argumentācijā norādīts, ka pastāv objektīvi apstākļi, kas liedz visiem projektu iesniedzējiem izstrādāt vienotus aprēķina pieņēmumus, proti, plūdu modeļa sarežģītība, neskaidrības plūdu postījumu prognozēšanā un analīzei pieejamie vēsturiskie dati, kā arī grūtības kvantitatīvi noteikt nemateriālos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katrs projekts ir individuāls, jo sevišķi pretplūdu infrastruktūras projekts, līdz ar to vienotus aprēķinu pieņēmumus visiem projektiem objektīvi nav iespējams izstrādāt, un tas arī nav jādara. Tāpat arī vēsturisko datu izmantošana jau minēto projektu unikalitātes dēļ būtu apšaubāma, jo katrā prognozējamo applūstošo teritoriju vietā atšķiras gan platība, gan teritorijā atrodošās materiālās vērtības, bet datu trūkums konkrētajā vietā drīzāk liecina par to, ka būtiski pieaug risks neefektīvi izmantot ES fondu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pretplūdu infrastruktūras projektā ir jāprognozē tās teritorijas, kuras projekta īstenošanas rezultātā vairs netiks applūdinātas (pretējā gadījumā projektam nav jēgas), līdz ar to nav sarežģīti konstatēt, kādi ir īpašumi esošajās teritorijās, cik cilvēku dzīvo šādās teritorijās, un kādi potenciālie zaudējumi iedzīvotājiem rastos, ja projekts netiku īstenots. Ja ir grūtības ieguvumus (novērstos zaudējumus) aprēķināt, tad drīzāk tas ir arguments tam, ka šāds projekts nav īstenojams, nevis tam, ka izmaksu un ieguvumu analīze nav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un ieguvumu analīzes mērķis nav uzlabot projekta kvalitāti, bet gan pārliecināties, ka potenciālie ieguvumi ir lielāki par projekta izmaksām. Ja projektā nav iespējams gūt pārliecību, ka potenciālie zaudējumi ir lielāki par projekta īstenošanas un uzturēšanas izmaksām, projekta īstenošana nav attaisnojama, un līdzekļi ir novirzāmi projektiem, kuros paredzamie ieguvumi ir lielāki par projekta kopējām izmaksām. Aicinām VARAM izstrādāt tādus atbalsta pasākuma nosacījumus, kas nodrošina plānoto investīciju pozitīvu atdevi.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īstenot pretplūdu pasākumus nosaka vairāki tiesību akti, tai skaitā Eiropas Parlamenta un Padomes Direktīva 2007/60/EK ( 2007. gada 23. oktobris ) par plūdu riska novērtējumu un pārvaldību un Pašvaldību likums, kurā pretplūdu pasākumu īstenošana ir noteikta par vienu no pašvaldības autonomajām funkcijām. Nereti izmēros lielas un attiecīgi finansiāli ietilpīgas infrastruktūras izveide ir vienīgais iespējamais risinājums, lai novērstu teritorijas applūšanu, kas jo sevišķi attiecas uz nacionālas nozīmes plūdu riska teritorijām. Līdz ar to šādu projektu īstenošanai var nebūt citu alternatīvu.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uzskata, ka gan MK noteikumu projekta anotācijā, gan iepriekš izziņā ir skaidrojusi objektīvus apsvērumus, kamdēļ šajos projektos nevar tikt piemērota izmaksu un ieguvumu aprēķinu pieeja. Tāpat norādām, ka MK 2023. gada 13. jūlija sēdes protokollēmums par noteikumu projektu "Kārtība, kādā Eiropas Savienības fondu vadībā iesaistītās institūcijas nodrošina šo fondu ieviešanu 2021.–2027. gada plānošanas periodā" paredz, ka atbildīgā iestāde var nepiemērot prasību par izmaksu un ieguvumu analīzes veikšanu, ja to objektīvi un izvērsti pamato MK noteikumu anotācijā. Tādējādi VARAM uzskata, ka ir izpildīts iepriekš minētā protokollēmuma nosacījums.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veic projekta vispārīgu ietekmes uz tautsaimniecību novērtējumu un noformē to apraksta veidā, pievienojot projekta iesniegumam. Novērtējuma pielikumā var pievienot izmaksu un ieguvumu analīzi par projekta īstenošanas finanšu un ekonomiskajiem ieguvumiem.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veic projekta vispārīgu ietekmes uz tautsaimniecību novērtējumu un noformē to apraksta veidā, pievienojot projekta iesniegumam. Novērtējuma pielikumā var pievienot izmaksu un ieguvumu analīzi par projekta īstenošanas finanšu un ekonomiskajiem ieguvumiem.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vispārīgs ietekmes uz tautsaimniecību novērtējums", kas noformēts apraksta veidā, nav uzskatāms par izmaksu un ieguvumu analīzei līdzvērtīgu projekta ekonomiskā novērtējuma dokumentu, kā tas ir norādīts anotācijā. Izmaksu un ieguvumu analīzes rezultāts ir pārbaudāmos aprēķinos balstīti secinājumi. Tas neizriet skaidri no VARAM piedāvātā redzējuma. Ja tomēr ir plānots, ka "projekta vispārīgs ietekmes uz tautsaimniecību novērtējums" satur pārbaudāmus aprēķinus, tad aicinām aprēķinus veikt atbilstoši aprobētai metodikai, kas samazinās administratīvo slogu gan projekta iesniedzējam, gan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un ieguvumu analīzes galvenais mērķis publiskās pārvaldes projektos ir noteikt, vai sabiedrības ieguvumi, kas izteikti naudas izteiksmē, ir lielāki par projekta radītajām izmaksām projekta dzīves cikla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plānota pretplūdu infrastruktūra, tad ir jāpieņem, ka infrastruktūras projekta dzīves cikla laikā vismaz vienu reizi tiks novērsti plūdu izraisīti postījumi (pretējā gadījumā nav attaisnojama projekta īstenošana), līdz ar to jānovērtē potenciālie zaudējumi, kas varētu rasties sabiedrībai potenciālo plūdu apgabalā. Ja šie potenciālie zaudējumi projekta dzīves cikla laikā ir lielāki par infrastruktūras būvniecības un uzturēšanas izmaksām, tad arī projekta kopējie ieguvumi ir lielāki par kopējām projekta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MK noteikumu projektā noteikt, ka izmaksu un ieguvumu analīze tiek veikta vai nu "projekta vispārīgās ietekmes uz tautsaimniecību novērtējuma" ietvaros, vai arī tiek pievienota kā atsevišķs dokuments projekta iesniegumam. Bet abos gadījumos izmaksu un ieguvumu analīzi būtu jāveic atbilstoši iepriekš izstrādātai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2023. gada 13. jūlija noteikumu Nr.408 “Kārtība, kādā Eiropas Savienības fondu vadībā iesaistītās institūcijas nodrošina šo fondu ieviešanu 2021.–2027.gada plānošanas periodā” protokollēmums nosaka, ka atbildīgā iestāde var nepiemērot izmaksu un ieguvumu analīzes izstrādi, ja to objektīvi un izvērsti pamato Ministru kabineta noteikumu par specifisko atbalsta mērķa īstenošanu anotācijā. Ministrija jau ir norādījusi, ka pastāv objektīvi apstākļi, kas liedz visiem projektu iesniedzējiem izstrādāt vienotus aprēķina pieņēmumus. Analīzes izstrādi plūdu riska samazināšanas un krasta erozijas apdraudējuma samazināšanai ierobežo vairāki faktori, piemēram, datu trūkums. Lai izstrādātu analīzi, visiem projektu iesniedzējiem būtu jābūt uzkrātiem līdzīga veida datiem par pretplūdu infrastruktūru. Tomēr katrā no gadījumiem to ietekmē plūdu modeļa sarežģītība, neskaidrības plūdu postījumu prognozēšanā un analīzei pieejamie vēsturiskie dati. Tāpat ir grūtības kvantitatīvi noteikt nemateriālos ieguvumus. Plūdu kontroles infrastruktūra bieži sniedz nemateriālos ieguvumus, kurus ir grūti noteikt kvantitatīvi vai monetizēt. Piemēram, plūdu riska samazināšana uzlabo sabiedrības drošību, uzlabo dzīves kvalitāti, aizsargā biotopus. Šādus faktorus pārvērst monetārajās vienībās izmantojot standarta metodes ir praktiski neiespējami.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Tamdēļ ministrija uzskata, ka ietekmes uz tautsaimniecību novērtējums ir atbilstošākais dokumenta veids. Anotācijā veikts precizējums, norādot, ka šis novērtējums neaizstāj izmaksu un ieguvumu analīzi. Protokollēmumā noteiktais pienākums pamatots ar mērķi uzlabot projektu kvalitāti un nodrošinātu labākos projektu īstenošanas risinājumus. Skaidrojam, ka Ministrija nesaskata iespējas priekšatlasītos projektus īstenot ar citiem risinājumiem, un izmaksu un ieguvumu analīzes izstrāde nemainītu projekta būtību un nespētu uzlabot projekta kvalitāti. Tas nodrošināms ar citiem instrumentiem, piemēram, tehniskā projekta izstrādes laikā ņemot vērā ietekmes uz vidi novērtējuma procesā izteiktos norādījumus.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veic projekta vispārīgu ietekmes uz tautsaimniecību novērtējumu un noformē to apraksta veidā, pievienojot projekta iesniegumam. Novērtējuma pielikumā var pievienot izmaksu un ieguvumu analīzi par projekta īstenošanas finanšu un ekonomiskajiem ieguvumiem.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projektu,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pasākuma ietvaros plānotos sasniedzamos rādītājus, lūdzam papildināt noteikumu projekta 31.punktu ar jaunu apakšpunktu, kas nosaka pienākumu finansējuma saņēmējam uzkrāt datus arī par iznākumu un rezultātu rādītāju sasniegšanas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rādītāju metodoloģijas aprakstā norādīts, ka rādītāju var uzskatīt par sasniegtu, kad objekts nodots ekspluatācijā (tātad teorētiski arī pirms projekta visu darbību pabeigšanas), kā arī to, ka projektos var būt iekļautas dažādas darbības, ko katru pabeidz citā laikā, noteikumu projekts papildināts ar nosacījumu, ka projekta īstenošanas laikā tiek uzkrāta informācija par radītāju sasniegšanas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projektu,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nodrošina, ka nekustamais īpašums, kurā tiks veiktas projektā paredzētās darbības, ir projekta iesniedzēja īpašumā vai valdījumā visā projekta īstenošanas laikā, vienlaikus ievērojot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(ja attiecināms), un pēc noslēguma maksājuma veikšanas - termiņā, kas nav mazāks par šo noteikumu </w:t>
            </w:r>
            <w:r w:rsidR="00000000" w:rsidRPr="00000000" w:rsidDel="00000000">
              <w:rPr>
                <w:rtl w:val="0"/>
              </w:rPr>
              <w:t xml:space="preserve">27.1. </w:t>
            </w:r>
            <w:r w:rsidR="00000000" w:rsidRPr="00000000" w:rsidDel="00000000">
              <w:rPr>
                <w:rtl w:val="0"/>
              </w:rPr>
              <w:t xml:space="preserve">apakšpunktā</w:t>
            </w:r>
            <w:r w:rsidR="00000000" w:rsidRPr="00000000" w:rsidDel="00000000">
              <w:rPr>
                <w:rtl w:val="0"/>
              </w:rPr>
              <w:t xml:space="preserve"> minēto termiņu (ja attiecināms), tādējādi nodrošinot tam tiesības piekļūt zemesgabaliem, kur paredzēts īstenot projektu un veikt tajos infrastruktūras uzturēšanas darbus;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31.6. apakšpunktu, paredzot, ka finansējuma saņēmēja tiesībām uz konkrēto īpašumu jābūt nostiprinātām Zemesgrāmatā. Ja minētajam nosacījumam saskaņā ar nacionālo regulējumu ir izņēmums, tas attiecīgi aprakstāms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 Skaidrojam, ka var būt gadījumi, kad saskaņā ar tiesību aktos noteikto īpašumtiesības nav nostiprinātas zemesgrāmatā, piemēram, īpašuma tiesības uz jūras piekrastes joslu un iekšzemes publiskajiem ūdeņiem. Atbilstoši papildināta arī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nodrošina, ka nekustamais īpašums, kurā tiks veiktas projektā paredzētās darbības, ir projekta iesniedzēja īpašumā vai valdījumā visā projekta īstenošanas laikā un šīs īpašuma vai valdījuma tiesības attiecīgi ir nostiprinātas zemesgrāmatā (ja attiecināms), un pēc noslēguma maksājuma veikšanas - termiņā, kas nav mazāks par šo noteikumu </w:t>
            </w:r>
            <w:r w:rsidR="00000000" w:rsidRPr="00000000" w:rsidDel="00000000">
              <w:rPr>
                <w:rtl w:val="0"/>
              </w:rPr>
              <w:t xml:space="preserve">27.1. </w:t>
            </w:r>
            <w:r w:rsidR="00000000" w:rsidRPr="00000000" w:rsidDel="00000000">
              <w:rPr>
                <w:rtl w:val="0"/>
              </w:rPr>
              <w:t xml:space="preserve">apakšpunktā</w:t>
            </w:r>
            <w:r w:rsidR="00000000" w:rsidRPr="00000000" w:rsidDel="00000000">
              <w:rPr>
                <w:rtl w:val="0"/>
              </w:rPr>
              <w:t xml:space="preserve"> minēto termiņu (ja attiecināms), tādējādi nodrošinot tam tiesības piekļūt zemesgabaliem, kur paredzēts īstenot projektu un veikt tajos infrastruktūras uzturēšanas darbus;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teritorijas daļa, kas skaitās privātīpašnieku īpašums, neskatoties uz to, ka tas uz vienošanās pamata nonācis pašvaldības apsaimniekošanā, nav publiski pieejama. Tā ir pati lielākā iedzīvotāju baža, dēļ kuras, viņi nevēlas slēgt šādu vienošanos ar pašvaldību un, līdz ar to, varētu būtiski ietekmēt šī projekta ieviešanu un īstenošanu. Jāņem vērā, ka izbūvētās infrastruktūras galvenā funkcija – pasargāt teritoriju no plūdiem.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Risinājuma aprakstā precizēt 16.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“Pretplūdu un krasta erozijas mazinošu pasākumu īstenošanas rezultātā izbūvētās infrastruktūras izmantošanas mērķis nav komerciāls, infrastruktūra tiek izbūvēta visas sabiedrības interesēs. Pretplūdu infrastruktūra tiek izbūvēta, īstenojot valsts varu, kā arī minētā infrastruktūra, daļā, kas neapdraud iedzīvotāju drošību, ir publiski pieejama ikvienam (izņemot to teritorijas daļu, kas skaitās privātīpašnieku īpašums; šī teritorija var nebūt publiski pieejama). Tāpat Pašvaldību likumā noteikti pienākumi veikt pasākumus civilās aizsardzības un katastrofu pārvaldīšanā, kā arī veicināt klimata pārmaiņu ierobežošanu un pielāgošanos tām, kas saskan ar Pasākuma otrās atlases kārtas mērķi un plānotajām darbībām. Līdz ar to var secināt, ka publisko līdzekļu piešķīrums šīs projektu iesniegumu atlases kārtas ietvaros netiek piešķirts saimniecisku (ekonomiska rakstura) aktivitāšu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otrās atlases kārtas ietvarā var veikt ieguldījumus nekustamajā īpašumā, kas pieder projekta iesniedzējam vai ir tā valdījumā. Lietas valdījums ir īpašuma tiesībai atbilstoša faktiska vara par lietu. Un būtībā tiesiskajam valdītājam (tātad pašvaldībai) ir līdzīgas tiesības pār lietu, piemēram, nekustamo īpašumu, kā īpašniekam. Līdz ar to pašvaldībai kā nekustamā īpašuma, kurā tiks veiktas projektā paredzētās darbības, īpašniekam vai tiesiskajam valdītājam attiecībā uz projekta īstenošanā iesaistīto nekustamo īpašumu nepieciešams samērot publiskās pieejamības (tajā skaitā iedzīvotāju drošības) un piekļūstamības (veicot izbūvētās infrastruktūras uzturēšanas darbus) aspektus. Ar privātpersonām, kuru īpašumā tiek veiktas attiecīgās projekta darbības, minētie jautājumi atrunājami savstarpējos līgumos. Norādām, ka izbūvējamiem infrastruktūras objektiem nav obligāti jābūt publiski pieejamiem, ja to funkcionalitāte to neparedz vai arī šāda veida pieejamība var ietekmēt būves/objekta funkcionalitāti. Šāda norāde iekļauta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izprotamas privātīpašnieku bažas, tomēr lielākoties pašvaldības veidos infrastruktūru tām piederošos vai jau šobrīd valdījumā esošajos zemesgabalos. Sanāksmēs ar projektu iesniedzējiem aicināsim pašvaldības no jauna veidojamo infrastruktūru veidot tā, lai iespējami mazāk tiktu ierīkoti labiekārtošanas elementi tajos būves posmos, kas šķērso nekustamo īpašumu, kurā pašvaldībām piešķirtas valdījuma tiesības, kā arī aicināsim iespēju robežās ņemt vērā īpašnieku ierosinājumus.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1.3. sadaļas apakšsadaļā "Risinājuma apraksts", ka komunikācijas un vizuālās identitātes pasākumi tiks nodrošināti gan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pantu un 50. pantu un normatīvajiem aktiem, kas nosaka kārtību, kādā Eiropas Savienības fondu vadībā iesaistītās institūcijas nodrošina šo fondu ieviešanu 2021. – 2027. gada plānošanas periodā, gan arī tiks ievērotas Eiropas Savienības fondu 2021.-2027.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informācijas izsekojamībai lūdzam papildināt anotācijas 1.3.sadaļu ar informāciju par pasākuma 2.kārtas sinerģijas un demarkācijas nodrošināšanu ar citiem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iekļauti iespējamie sinerģijas un demarkācijas pasākumi un to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 2.1. un 2.3. apakšpunktā norādīto finansējumu 2027. gadam ailē “izmaiņas, salīdzinot ar vidēja termiņa budžeta ietvaru” atbilstoši 6.punktā sniegtajai informācijai, proti, 2.1.apakšpunktā norādot izdevumus no ERAF finansējuma un 2.3.apakšpunktā norādot izdevumus, kas veicami ar pašvaldību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precizēta, uzrādot korektus budžeta izdevumus un finansiālo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kārtējo gadu norādīt 2024.gadu, attiecīgi precizējot pārējos gadus un tajos norādīto finansējumu sadalījumā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- 6.punktā precizēt norādīto finansējuma sadalījumu pa gadiem, jo, saskaitot kopā šobrīd norādīto kopējo finansējumu un pašvaldību budžeta finansējumu, to kopsumma par 1 euro atšķiras no tās, kas norādīta noteikumu projekta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punktu “Cita informācija” papildināt ar informāciju, ka finansējums projektu īstenošanai attiecībā uz ERAF līdzfinansējuma nodrošināšanu tiks pieprasīts no valsts budžeta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precizējumi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23-TA-3271</w:t>
    </w:r>
    <w:r>
      <w:br/>
    </w:r>
    <w:r w:rsidR="00000000" w:rsidRPr="00000000" w:rsidDel="00000000">
      <w:rPr>
        <w:rtl w:val="0"/>
      </w:rPr>
      <w:t xml:space="preserve">02.04.2024. 13.12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23-TA-3271</w:t>
    </w:r>
    <w:r>
      <w:br/>
    </w:r>
    <w:r w:rsidR="00000000" w:rsidRPr="00000000" w:rsidDel="00000000">
      <w:rPr>
        <w:rtl w:val="0"/>
      </w:rPr>
      <w:t xml:space="preserve">02.04.2024. 13.12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Izziņa_23-TA-3271.docx</dc:title>
</cp:coreProperties>
</file>

<file path=docProps/custom.xml><?xml version="1.0" encoding="utf-8"?>
<Properties xmlns="http://schemas.openxmlformats.org/officeDocument/2006/custom-properties" xmlns:vt="http://schemas.openxmlformats.org/officeDocument/2006/docPropsVTypes"/>
</file>