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likumā "Par bīstamo iekārtu tehnisko uzraudzību""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bīstamo iekārtu tehnisko uzraudzību""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likumprojektā paredzēt grozījumus, kas nodrošina BIR atbilstību Valsts informācijas sistēmu likuma 5. panta pirmās prim daļas prasībām, tajā skaitā nosakot BIR pārzini.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precizēta informācija par PTAC lietu pārvaldības un bīstamo iekārtu reģistrācijas valsts informācijas sistēmu un  likumprojektā precizēta bīstamo iekārtu reģistra definīcija.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bīstamo iekārtu tehnisko uzraudzību""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ietvertā Likuma 16.</w:t>
            </w:r>
            <w:r w:rsidR="00000000" w:rsidRPr="00000000" w:rsidDel="00000000">
              <w:rPr>
                <w:vertAlign w:val="superscript"/>
                <w:rtl w:val="0"/>
              </w:rPr>
              <w:t xml:space="preserve">2</w:t>
            </w:r>
            <w:r w:rsidR="00000000" w:rsidRPr="00000000" w:rsidDel="00000000">
              <w:rPr>
                <w:rtl w:val="0"/>
              </w:rPr>
              <w:t xml:space="preserve"> panta pirmās daļas ievaddaļa nosaka Patērētāju tiesību aizsardzības centra amatpersonas tiesības gadījumos, kad </w:t>
            </w:r>
            <w:r w:rsidR="00000000" w:rsidRPr="00000000" w:rsidDel="00000000">
              <w:rPr>
                <w:u w:val="single"/>
                <w:rtl w:val="0"/>
              </w:rPr>
              <w:t xml:space="preserve">tiek konstatēts bīstamo iekārtu tehnisko uzraudzību regulējošo normatīvo aktu pārkāpums</w:t>
            </w:r>
            <w:r w:rsidR="00000000" w:rsidRPr="00000000" w:rsidDel="00000000">
              <w:rPr>
                <w:rtl w:val="0"/>
              </w:rPr>
              <w:t xml:space="preserve">. Minētās normas 2. un 3. punkts paredz, ka Patērētāju tiesību aizsardzības centra amatpersona ir tiesīga ierosināt, lai bīstamās iekārtas valdītājs amatpersonas noteiktajā termiņā un kārtībā nodrošina bīstamās iekārtas atbilstību normatīvo aktu bīstamo iekārtu jomā prasībām, novēršot konstatēto pārkāpumu, un ierosināt, lai bīstamās iekārtas valdītājs amatpersonas noteiktajā termiņā iesniedz korektīvo darbību (pasākumu) plānu konstatētā pārkāpuma novēršanai. Savukārt, ja persona minētās darbības neveic un pārkāpums ir atzīstams par būtisku, Patērētāju tiesību aizsardzības centrs būs tiesīgs pieņemt lēmumu apturēt bīstamās iekārtas lietošanu līdz neatbilstības novēršanai vai aizliegt tās lietošanu (minētās normas trešās daļas otrais teikums). No anotācijā ietvertās informācijas izriet, ka projekta 10. pantā ietvertais Likuma 16.</w:t>
            </w:r>
            <w:r w:rsidR="00000000" w:rsidRPr="00000000" w:rsidDel="00000000">
              <w:rPr>
                <w:vertAlign w:val="superscript"/>
                <w:rtl w:val="0"/>
              </w:rPr>
              <w:t xml:space="preserve">2</w:t>
            </w:r>
            <w:r w:rsidR="00000000" w:rsidRPr="00000000" w:rsidDel="00000000">
              <w:rPr>
                <w:rtl w:val="0"/>
              </w:rPr>
              <w:t xml:space="preserve"> panta pirmās daļas 2. un 3. punkts neparedz administratīvā akta izdošanu, jo gadījumā, ja persona izpilda tajos paredzētos ierosinājumus, tiek pieņemts lēmums par lietas izbeigšanu. Vēršam uzmanību uz to, ka, piemēram, Valsts ugunsdzēsības un glābšanas dienesta amatpersonas, veicot ugunsdrošības uzraudzību, var sastādīt vairākus tiesību aktus. Primāri tiesību akts, ar kuru personai tiek noteikts publiski tiesisks pienākums rīkoties, lai novērstu iestādes konstatētos pārkāpumus, ir pārbaudes akts. Šis lēmums pats par sevi, nepastarpināti rada šā akta adresātam tiesiskas sekas pienākuma veidā. Pārbaudes akts atbilst visām Administratīvā procesa likuma 1. panta trešajā daļā minētajām administratīvā akta pazīmēm, tādējādi tas ir administratīvais akts (</w:t>
            </w:r>
            <w:r w:rsidR="00000000" w:rsidRPr="00000000" w:rsidDel="00000000">
              <w:rPr>
                <w:i w:val="1"/>
                <w:rtl w:val="0"/>
              </w:rPr>
              <w:t xml:space="preserve">sk. Latvijas Republikas Augstākās tiesas Administratīvo lietu departamenta 2016. gada 2. jūnija lēmuma lietā Nr. SKA-1101/2016 10. punktu</w:t>
            </w:r>
            <w:r w:rsidR="00000000" w:rsidRPr="00000000" w:rsidDel="00000000">
              <w:rPr>
                <w:rtl w:val="0"/>
              </w:rPr>
              <w:t xml:space="preserve">). Tādējādi, Tieslietu ministrijas ieskatā, arī dokuments, ar kuru konstatēts normatīvo aktu pārkāpums un kuru sastāda Patērētāju tiesību aizsardzības centra amatpersona, veicot bīstamo iekārtu tehnisko uzraudzību, atbilst Administratīvā procesa likuma 1. panta trešajā daļā noteiktajām administratīvā akta pazīmēm un ir administratīvais akts. Ņemot vērā minēto, lūdzam pamatot, kurai no Administratīvā procesa likuma 1. panta trešajā daļā minētajām pazīmēm neatbilst projekta 10. pantā ietvertajā Likuma 16.</w:t>
            </w:r>
            <w:r w:rsidR="00000000" w:rsidRPr="00000000" w:rsidDel="00000000">
              <w:rPr>
                <w:vertAlign w:val="superscript"/>
                <w:rtl w:val="0"/>
              </w:rPr>
              <w:t xml:space="preserve">2</w:t>
            </w:r>
            <w:r w:rsidR="00000000" w:rsidRPr="00000000" w:rsidDel="00000000">
              <w:rPr>
                <w:rtl w:val="0"/>
              </w:rPr>
              <w:t xml:space="preserve"> panta pirmās daļas 2. un 3. punktā paredzētais Patērētāju tiesību aizsardzības centra amatpersonas uzliktais pienākums, vai precizēt anotācijā ietverto informāciju, ņemot vērā to, ka, ja persona izpildīs attiecīgos ierosinājumus (izpildīs administratīvo aktu), netiks pieņemts lēmums par lietas izbeigšanu.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Precizēta/papildināta likumprojekta anotācija ar nepieciešamo pamatojumu, kas balstīts uz Latvijas Republikas Senāta Administratīvo lietu departamenta 2022.gada 18.februāra lēmumā lieta Nr.A420306619, SKA-568/2022 tiesas paustiem argumentiem, ka uzraudzības iestādes darbības - aicinājums (ierosinājums) veikt noteiktus pasākumus pārkāpumu novēršanai - nav administratīvais akts un ka uzraudzības process ne vienmēr noslēdzas ar lēmumu (administratīvo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"Grozījumi likumā "Par bīstamo iekārtu tehnisko uzraudzību"" (turpmāk – projekts) 10. pantā ietvertajā likuma "Par bīstamo iekārtu tehnisko uzraudzību" (turpmāk – Likums) 16.</w:t>
            </w:r>
            <w:r w:rsidR="00000000" w:rsidRPr="00000000" w:rsidDel="00000000">
              <w:rPr>
                <w:vertAlign w:val="superscript"/>
                <w:rtl w:val="0"/>
              </w:rPr>
              <w:t xml:space="preserve">1</w:t>
            </w:r>
            <w:r w:rsidR="00000000" w:rsidRPr="00000000" w:rsidDel="00000000">
              <w:rPr>
                <w:rtl w:val="0"/>
              </w:rPr>
              <w:t xml:space="preserve"> panta ceturtajā daļā paredzēto, ka izdevumus par ekspertīzi Patērētāju tiesību aizsardzības centrs piedzen civilprocesuālā kārtībā. Projekta 10. pantā ietvertā Likuma 16.</w:t>
            </w:r>
            <w:r w:rsidR="00000000" w:rsidRPr="00000000" w:rsidDel="00000000">
              <w:rPr>
                <w:vertAlign w:val="superscript"/>
                <w:rtl w:val="0"/>
              </w:rPr>
              <w:t xml:space="preserve">1</w:t>
            </w:r>
            <w:r w:rsidR="00000000" w:rsidRPr="00000000" w:rsidDel="00000000">
              <w:rPr>
                <w:rtl w:val="0"/>
              </w:rPr>
              <w:t xml:space="preserve"> panta trešā daļa paredz, ka izdevumus par ekspertīzi sedz bīstamās iekārtas valdītājs, ja konstatēts, ka bīstamā iekārta neatbilst normatīvo aktu prasībām. Savukārt projekta 10. pantā ietvertais Likuma 16.</w:t>
            </w:r>
            <w:r w:rsidR="00000000" w:rsidRPr="00000000" w:rsidDel="00000000">
              <w:rPr>
                <w:vertAlign w:val="superscript"/>
                <w:rtl w:val="0"/>
              </w:rPr>
              <w:t xml:space="preserve">2</w:t>
            </w:r>
            <w:r w:rsidR="00000000" w:rsidRPr="00000000" w:rsidDel="00000000">
              <w:rPr>
                <w:rtl w:val="0"/>
              </w:rPr>
              <w:t xml:space="preserve"> pants paredz, kāda ir Patērētāju tiesību aizsardzības centra rīcība, ja tiek konstatēts, ka bīstamā iekārta neatbilst normatīvo aktu prasībām. Proti, secināms, ka ekspertīze tiks veikta administratīvā procesa ietvaros, kura noslēgumā varētu tikt pieņemts lēmums par bīstamās iekārtas lietošanas apturēšanu vai tās lietošanas aizliegumu. No minētā izriet, ka izdevumi par ekspertīzi būs radušies administratīvā procesa ietvaros, tādējādi to samaksas pienākums būtu jāuzliek ar administratīvā procesa ietvaros pieņemto lēmumu. Attiecīgi tos būtu jāpiedzen, nodrošinot lēmuma izpildi Administratīvā procesa likuma D daļā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informāciju, kāpēc PTAC izdevumus par ekspertīzi piedzen civilprocesuālā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ietvertā Likuma 16.</w:t>
            </w:r>
            <w:r w:rsidR="00000000" w:rsidRPr="00000000" w:rsidDel="00000000">
              <w:rPr>
                <w:vertAlign w:val="superscript"/>
                <w:rtl w:val="0"/>
              </w:rPr>
              <w:t xml:space="preserve">2</w:t>
            </w:r>
            <w:r w:rsidR="00000000" w:rsidRPr="00000000" w:rsidDel="00000000">
              <w:rPr>
                <w:rtl w:val="0"/>
              </w:rPr>
              <w:t xml:space="preserve"> panta pirmā daļa paredz Patērētāju tiesību aizsardzības centra amatpersonas rīcību gadījumos, kad konstatēti bīstamo iekārtu tehnisko uzraudzību regulējošo normatīvo aktu pārkāpumi. Ievērojot minētās normas 1. un 4. punktā noteikto, secināms, ka konkrētās darbības tiks veiktas administratīvā procesa ietvaros. Vienlaikus ne no minētās normas, ne no projekta sākotnējās ietekmes novērtējuma ziņojumā (turpmāk – anotācija) ietvertās informācijas nav secināms, vai projekta 10. pantā ietvertais Likuma 16.</w:t>
            </w:r>
            <w:r w:rsidR="00000000" w:rsidRPr="00000000" w:rsidDel="00000000">
              <w:rPr>
                <w:vertAlign w:val="superscript"/>
                <w:rtl w:val="0"/>
              </w:rPr>
              <w:t xml:space="preserve">2</w:t>
            </w:r>
            <w:r w:rsidR="00000000" w:rsidRPr="00000000" w:rsidDel="00000000">
              <w:rPr>
                <w:rtl w:val="0"/>
              </w:rPr>
              <w:t xml:space="preserve"> panta pirmās daļas 2. un 3. punkts līdzīgi kā minētās normas 1. un 4. punkts būs administratīvā procesa noslēgums. Vēršam uzmanību uz to, ka administratīvais process noslēdzas ar administratīvā akta izdošanu vai lēmumu par lietas izbeigšanu. Ievērojot minēto, lūdzam papildināt anotāciju ar informāciju par administratīvā procesa noslēgumu, ja tiks veiktas projekta 10. pantā ietvertajā Likuma 16.</w:t>
            </w:r>
            <w:r w:rsidR="00000000" w:rsidRPr="00000000" w:rsidDel="00000000">
              <w:rPr>
                <w:vertAlign w:val="superscript"/>
                <w:rtl w:val="0"/>
              </w:rPr>
              <w:t xml:space="preserve">2</w:t>
            </w:r>
            <w:r w:rsidR="00000000" w:rsidRPr="00000000" w:rsidDel="00000000">
              <w:rPr>
                <w:rtl w:val="0"/>
              </w:rPr>
              <w:t xml:space="preserve"> panta pirmās daļas 2. un 3. punktā paredzētās darbības, nepieciešamības gadījumā, precizējot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ietvertais Likuma 16.</w:t>
            </w:r>
            <w:r w:rsidR="00000000" w:rsidRPr="00000000" w:rsidDel="00000000">
              <w:rPr>
                <w:vertAlign w:val="superscript"/>
                <w:rtl w:val="0"/>
              </w:rPr>
              <w:t xml:space="preserve">2</w:t>
            </w:r>
            <w:r w:rsidR="00000000" w:rsidRPr="00000000" w:rsidDel="00000000">
              <w:rPr>
                <w:rtl w:val="0"/>
              </w:rPr>
              <w:t xml:space="preserve"> panta pirmās daļas 4. punkts noteic, ka lēmumā tiek paredzēts pienākums informēt Patērētāju tiesību aizsardzības centru </w:t>
            </w:r>
            <w:r w:rsidR="00000000" w:rsidRPr="00000000" w:rsidDel="00000000">
              <w:rPr>
                <w:u w:val="single"/>
                <w:rtl w:val="0"/>
              </w:rPr>
              <w:t xml:space="preserve">pēc bīstamās iekārtas ārpuskārtas tehniskās pārbaudes veikšanas</w:t>
            </w:r>
            <w:r w:rsidR="00000000" w:rsidRPr="00000000" w:rsidDel="00000000">
              <w:rPr>
                <w:rtl w:val="0"/>
              </w:rPr>
              <w:t xml:space="preserve">. Likuma 7. pants paredz, ka bīstamo iekārtu pārbaudi veic inspicēšanas institūcijas. No projekta 10. pantā ietvertā Likuma 16.</w:t>
            </w:r>
            <w:r w:rsidR="00000000" w:rsidRPr="00000000" w:rsidDel="00000000">
              <w:rPr>
                <w:vertAlign w:val="superscript"/>
                <w:rtl w:val="0"/>
              </w:rPr>
              <w:t xml:space="preserve">1</w:t>
            </w:r>
            <w:r w:rsidR="00000000" w:rsidRPr="00000000" w:rsidDel="00000000">
              <w:rPr>
                <w:rtl w:val="0"/>
              </w:rPr>
              <w:t xml:space="preserve"> panta izriet, ka Patērētāju tiesību aizsardzības centrs var veikt bīstamo iekārtu ekspertīzi. Savukārt, kādos gadījumos tiek veikta bīstamās iekārtas ārpuskārtas pārbaude, nav noteikts ne projektā, ne Likumā. Vienlaikus no projekta 10. pantā ietvertā Likuma 16.</w:t>
            </w:r>
            <w:r w:rsidR="00000000" w:rsidRPr="00000000" w:rsidDel="00000000">
              <w:rPr>
                <w:vertAlign w:val="superscript"/>
                <w:rtl w:val="0"/>
              </w:rPr>
              <w:t xml:space="preserve">2</w:t>
            </w:r>
            <w:r w:rsidR="00000000" w:rsidRPr="00000000" w:rsidDel="00000000">
              <w:rPr>
                <w:rtl w:val="0"/>
              </w:rPr>
              <w:t xml:space="preserve"> panta pirmās daļas 4. punkta nav izsecināms, vai bīstamās iekārtas ārpuskārtas tehniskā pārbaude būs jāveic pēc tam, kad būs pieņemts lēmums apturēt bīstamās iekārtas lietošanu, proti, vai ar šo lēmumu tiks uzlikts pienākums ne tikai informēt Patērētāju tiesību aizsardzības centru, bet arī veikt bīstamās iekārtas ārpuskārtas tehnisko pārbaudi. Ievērojot minēto, lūdzam precizēt projekta 10. pantā ietverto Likuma 16.</w:t>
            </w:r>
            <w:r w:rsidR="00000000" w:rsidRPr="00000000" w:rsidDel="00000000">
              <w:rPr>
                <w:vertAlign w:val="superscript"/>
                <w:rtl w:val="0"/>
              </w:rPr>
              <w:t xml:space="preserve">2</w:t>
            </w:r>
            <w:r w:rsidR="00000000" w:rsidRPr="00000000" w:rsidDel="00000000">
              <w:rPr>
                <w:rtl w:val="0"/>
              </w:rPr>
              <w:t xml:space="preserve"> panta pirmās daļas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16.</w:t>
            </w:r>
            <w:r w:rsidR="00000000" w:rsidRPr="00000000" w:rsidDel="00000000">
              <w:rPr>
                <w:vertAlign w:val="superscript"/>
                <w:rtl w:val="0"/>
              </w:rPr>
              <w:t xml:space="preserve">2</w:t>
            </w:r>
            <w:r w:rsidR="00000000" w:rsidRPr="00000000" w:rsidDel="00000000">
              <w:rPr>
                <w:rtl w:val="0"/>
              </w:rPr>
              <w:t xml:space="preserve"> panta pirmās daļas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10. pantā ietverto Likuma 16.</w:t>
            </w:r>
            <w:r w:rsidR="00000000" w:rsidRPr="00000000" w:rsidDel="00000000">
              <w:rPr>
                <w:vertAlign w:val="superscript"/>
                <w:rtl w:val="0"/>
              </w:rPr>
              <w:t xml:space="preserve">2</w:t>
            </w:r>
            <w:r w:rsidR="00000000" w:rsidRPr="00000000" w:rsidDel="00000000">
              <w:rPr>
                <w:rtl w:val="0"/>
              </w:rPr>
              <w:t xml:space="preserve"> panta otro daļu, ņemot vērā to, ka minētās normas ceturtā daļa paredz, ka,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Proti, no projekta 10. pantā ietvertās Likuma 16.</w:t>
            </w:r>
            <w:r w:rsidR="00000000" w:rsidRPr="00000000" w:rsidDel="00000000">
              <w:rPr>
                <w:vertAlign w:val="superscript"/>
                <w:rtl w:val="0"/>
              </w:rPr>
              <w:t xml:space="preserve">2</w:t>
            </w:r>
            <w:r w:rsidR="00000000" w:rsidRPr="00000000" w:rsidDel="00000000">
              <w:rPr>
                <w:rtl w:val="0"/>
              </w:rPr>
              <w:t xml:space="preserve"> panta ceturtās daļas izriet, ka vispirms ir jāveic projekta 10. pantā ietvertajā Likuma 16.</w:t>
            </w:r>
            <w:r w:rsidR="00000000" w:rsidRPr="00000000" w:rsidDel="00000000">
              <w:rPr>
                <w:vertAlign w:val="superscript"/>
                <w:rtl w:val="0"/>
              </w:rPr>
              <w:t xml:space="preserve">2</w:t>
            </w:r>
            <w:r w:rsidR="00000000" w:rsidRPr="00000000" w:rsidDel="00000000">
              <w:rPr>
                <w:rtl w:val="0"/>
              </w:rPr>
              <w:t xml:space="preserve"> panta pirmās daļas 2. un 3. punktā paredzētās darbības, lai varētu lemt par bīstamās iekārtas lietošanas apturēšanu vai aizliegumu to lietot.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16.</w:t>
            </w:r>
            <w:r w:rsidR="00000000" w:rsidRPr="00000000" w:rsidDel="00000000">
              <w:rPr>
                <w:vertAlign w:val="superscript"/>
                <w:rtl w:val="0"/>
              </w:rPr>
              <w:t xml:space="preserve">2</w:t>
            </w:r>
            <w:r w:rsidR="00000000" w:rsidRPr="00000000" w:rsidDel="00000000">
              <w:rPr>
                <w:rtl w:val="0"/>
              </w:rPr>
              <w:t xml:space="preserve"> 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projekta 10. pantā ietvertais Likuma 16.</w:t>
            </w:r>
            <w:r w:rsidR="00000000" w:rsidRPr="00000000" w:rsidDel="00000000">
              <w:rPr>
                <w:vertAlign w:val="superscript"/>
                <w:rtl w:val="0"/>
              </w:rPr>
              <w:t xml:space="preserve">2</w:t>
            </w:r>
            <w:r w:rsidR="00000000" w:rsidRPr="00000000" w:rsidDel="00000000">
              <w:rPr>
                <w:rtl w:val="0"/>
              </w:rPr>
              <w:t xml:space="preserve"> panta trešās daļas otrais teikums paredz, ka Patērētāju tiesību aizsardzības centrs izdod administratīvo aktu par korektīvo darbību (pasākumu) plāna apstiprināšanu. Vēršam uzmanību uz to, ka, ja plāns tiks apstiprināts, izdodot administratīvo aktu, projekta 10. pantā ietvertais Likuma 16.</w:t>
            </w:r>
            <w:r w:rsidR="00000000" w:rsidRPr="00000000" w:rsidDel="00000000">
              <w:rPr>
                <w:vertAlign w:val="superscript"/>
                <w:rtl w:val="0"/>
              </w:rPr>
              <w:t xml:space="preserve">2</w:t>
            </w:r>
            <w:r w:rsidR="00000000" w:rsidRPr="00000000" w:rsidDel="00000000">
              <w:rPr>
                <w:rtl w:val="0"/>
              </w:rPr>
              <w:t xml:space="preserve"> panta trešās daļas pēdējais teikums dublē Administratīvā procesa likuma 70. panta otrajā daļā noteikto un ir izslēdzams. Ja tiks izdots administratīvais akts par plāna apstiprināšanu, vai ir paredzēts, ka šis administratīvais akts stāsies spēkā tā pieņemšanas brīdī. Šādā gadījumā ir nepieciešams papildināt anotāciju ar pamatojumu šāda regulējuma noteikšanas nepieciešamībai, jo atbilstoši Administratīvā procesa likuma 70. panta pirmajai daļai, ja ārējā normatīvajā aktā vai pašā administratīvajā aktā nav noteikts citādi, administratīvais akts stājas spēkā ar brīdi, kad tas paziņots adresātam. Administratīvā akta spēkā stāšanās tā pieņemšanas brīdī ir izņēmuma gadījums, kas pieļaujams īpašos apstākļos, jo pamatā no adresāta nevar prasīt tāda administratīvā akta izpildi, kurš adresātam nav zināms.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ietvertā Likuma 16.</w:t>
            </w:r>
            <w:r w:rsidR="00000000" w:rsidRPr="00000000" w:rsidDel="00000000">
              <w:rPr>
                <w:vertAlign w:val="superscript"/>
                <w:rtl w:val="0"/>
              </w:rPr>
              <w:t xml:space="preserve">2</w:t>
            </w:r>
            <w:r w:rsidR="00000000" w:rsidRPr="00000000" w:rsidDel="00000000">
              <w:rPr>
                <w:rtl w:val="0"/>
              </w:rPr>
              <w:t xml:space="preserve"> panta ceturtā daļa paredz, ka Patērētāju tiesību aizsardzības centrs būs tiesīgs pieņemt lēmumu apturēt bīstamās iekārtas lietošanu vai aizliegt tās lietošanu, ja bīstamās iekārtas valdītājs nebūs izpildījis projekta 10. pantā ietvertajā Likuma 16.</w:t>
            </w:r>
            <w:r w:rsidR="00000000" w:rsidRPr="00000000" w:rsidDel="00000000">
              <w:rPr>
                <w:vertAlign w:val="superscript"/>
                <w:rtl w:val="0"/>
              </w:rPr>
              <w:t xml:space="preserve">2</w:t>
            </w:r>
            <w:r w:rsidR="00000000" w:rsidRPr="00000000" w:rsidDel="00000000">
              <w:rPr>
                <w:rtl w:val="0"/>
              </w:rPr>
              <w:t xml:space="preserve"> panta pirmās daļas 2. punktā Patērētāju tiesību aizsardzības centra amatpersonas sniegtos norādījumus vai neiesniegs korektīvo darbību (pasākumu) plānu. Vienlaikus projekta 10. pantā ietvertais Likuma 16.</w:t>
            </w:r>
            <w:r w:rsidR="00000000" w:rsidRPr="00000000" w:rsidDel="00000000">
              <w:rPr>
                <w:vertAlign w:val="superscript"/>
                <w:rtl w:val="0"/>
              </w:rPr>
              <w:t xml:space="preserve">2</w:t>
            </w:r>
            <w:r w:rsidR="00000000" w:rsidRPr="00000000" w:rsidDel="00000000">
              <w:rPr>
                <w:rtl w:val="0"/>
              </w:rPr>
              <w:t xml:space="preserve"> panta pirmās daļas 4. punkts paredz, ka Patērētāju tiesību aizsardzības centra amatpersona arī ir tiesīga pieņemt lēmumu par bīstamās iekārtas lietošanas apturēšanu. Tādējādi nav saprotams, kāda būs atšķirība starp abiem minētajiem lēmumiem, ja visticamāk tie varētu tikt pieņemti viena administratīvā procesa ietvaros. Ņemot vērā minēto, lūdzam izvērtēt projekta 10. pantā ietverto Likuma 16.</w:t>
            </w:r>
            <w:r w:rsidR="00000000" w:rsidRPr="00000000" w:rsidDel="00000000">
              <w:rPr>
                <w:vertAlign w:val="superscript"/>
                <w:rtl w:val="0"/>
              </w:rPr>
              <w:t xml:space="preserve">2</w:t>
            </w:r>
            <w:r w:rsidR="00000000" w:rsidRPr="00000000" w:rsidDel="00000000">
              <w:rPr>
                <w:rtl w:val="0"/>
              </w:rPr>
              <w:t xml:space="preserve"> panta pirmās daļas 4. punktu un ceturto daļu, nepieciešamības gadījumā precizējot projektu, kā arī ar attiecīgu pamatojumu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10. pantā ietverto Likuma 16.</w:t>
            </w:r>
            <w:r w:rsidR="00000000" w:rsidRPr="00000000" w:rsidDel="00000000">
              <w:rPr>
                <w:vertAlign w:val="superscript"/>
                <w:rtl w:val="0"/>
              </w:rPr>
              <w:t xml:space="preserve">2</w:t>
            </w:r>
            <w:r w:rsidR="00000000" w:rsidRPr="00000000" w:rsidDel="00000000">
              <w:rPr>
                <w:rtl w:val="0"/>
              </w:rPr>
              <w:t xml:space="preserve"> panta piekto daļu, ņemot vērā to, ka tā ir deklaratīva. Vēršam uzmanību uz to, ka Administratīvā procesa likuma piemērošana lēmumu piespiedu izpildes nodrošināšanai izriet no tā, ka attiecīgie lēmumi ir administratīvie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16.</w:t>
            </w:r>
            <w:r w:rsidR="00000000" w:rsidRPr="00000000" w:rsidDel="00000000">
              <w:rPr>
                <w:vertAlign w:val="superscript"/>
                <w:rtl w:val="0"/>
              </w:rPr>
              <w:t xml:space="preserve">2</w:t>
            </w:r>
            <w:r w:rsidR="00000000" w:rsidRPr="00000000" w:rsidDel="00000000">
              <w:rPr>
                <w:rtl w:val="0"/>
              </w:rPr>
              <w:t xml:space="preserve"> panta piektā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ietvertajā Likuma 16.</w:t>
            </w:r>
            <w:r w:rsidR="00000000" w:rsidRPr="00000000" w:rsidDel="00000000">
              <w:rPr>
                <w:vertAlign w:val="superscript"/>
                <w:rtl w:val="0"/>
              </w:rPr>
              <w:t xml:space="preserve">3</w:t>
            </w:r>
            <w:r w:rsidR="00000000" w:rsidRPr="00000000" w:rsidDel="00000000">
              <w:rPr>
                <w:rtl w:val="0"/>
              </w:rPr>
              <w:t xml:space="preserve"> panta pirmajā daļā ir paredzēts, ka lēmumi apturēt vai aizliegt bīstamās iekārtas lietošanu ir spēkā no to pieņemšanas brīža. Administratīvā procesa likuma 70. panta pirmajā daļā ir ietverts vispārīgais princips, ka administratīvais akts stājas spēkā paziņošanas brīdī, ja ārējā normatīvajā aktā vai pašā administratīvajā aktā nav noteikts citādi. Proti, tiesiskās sekas personai rodas ar lēmuma paziņošanas brīdi, nevis lēmuma pieņemšanas brīdi. Kamēr personai nebūs paziņots lēmums par bīstamās iekārtas lietošanas apturēšanu vai aizliegšanu, tai nebūs zināms, ka tai ir jāpārtrauc bīstamās iekārtas lietošana. Speciālajā likumā var noteikt no Administratīvā procesa likuma atšķirīgu regulējumu, ja tam ir pamatojums. Ievērojot minēto, lūdzam papildināt anotāciju ar pamatojumu šāda no Administratīvā procesa likuma atšķirīga regulējuma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ietvertajā Likuma 16.</w:t>
            </w:r>
            <w:r w:rsidR="00000000" w:rsidRPr="00000000" w:rsidDel="00000000">
              <w:rPr>
                <w:vertAlign w:val="superscript"/>
                <w:rtl w:val="0"/>
              </w:rPr>
              <w:t xml:space="preserve">3</w:t>
            </w:r>
            <w:r w:rsidR="00000000" w:rsidRPr="00000000" w:rsidDel="00000000">
              <w:rPr>
                <w:rtl w:val="0"/>
              </w:rPr>
              <w:t xml:space="preserve"> panta otrās daļas pirmajā teikumā ir paredzēts, ka Patērētāju tiesību aizsardzības centra amatpersonas lēmumu tā adresāts var apstrīdēt 10 darbdienu laikā no lēmuma spēkā stāšanās dienas. Administratīvā procesa likuma 79. panta pirmajā daļā ir paredzēts vispārīgais princips, ka administratīvo aktu var apstrīdēt viena mēneša laikā no tā spēkā stāšanās dienas. Speciālajā likumā var noteikt no Administratīvā procesa likuma atšķirīgu regulējumu, ja tam ir pamatojums. Ievērojot minēto, lūdzam papildināt anotāciju ar pamatojumu šāda no Administratīvā procesa likuma atšķirīga regulējuma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ka Administratīvā procesa likuma 76. panta pirmā daļa paredz, ka administratīvo aktu var apstrīdēt adresāts, trešā persona, Administratīvā procesa likuma 29. pantā minētais tiesību subjekts, kā arī privātpersona, kuras tiesības vai tiesiskās intereses attiecīgais administratīvais akts ierobežo un kura administratīvajā procesā nav bijusi pieaicināta kā trešā persona. Ievērojot minēto, citas personas Patērētāju tiesību aizsardzības centra amatpersonas lēmumu par bīstamās iekārtas lietošanas apturēšanu varēs apstrīdēt vispārīgajā kārtībā. Tāpat lūdzam ņemt vērā, ka apstrīdēt un pārsūdzēt varēs arī projekta 10. pantā ietvertajā Likuma 16.</w:t>
            </w:r>
            <w:r w:rsidR="00000000" w:rsidRPr="00000000" w:rsidDel="00000000">
              <w:rPr>
                <w:vertAlign w:val="superscript"/>
                <w:rtl w:val="0"/>
              </w:rPr>
              <w:t xml:space="preserve">2</w:t>
            </w:r>
            <w:r w:rsidR="00000000" w:rsidRPr="00000000" w:rsidDel="00000000">
              <w:rPr>
                <w:rtl w:val="0"/>
              </w:rPr>
              <w:t xml:space="preserve"> panta pirmās daļas 1. punktā minēto lēmumu, kā arī projekta 10. pantā ietverto Likuma 16.</w:t>
            </w:r>
            <w:r w:rsidR="00000000" w:rsidRPr="00000000" w:rsidDel="00000000">
              <w:rPr>
                <w:vertAlign w:val="superscript"/>
                <w:rtl w:val="0"/>
              </w:rPr>
              <w:t xml:space="preserve">2</w:t>
            </w:r>
            <w:r w:rsidR="00000000" w:rsidRPr="00000000" w:rsidDel="00000000">
              <w:rPr>
                <w:rtl w:val="0"/>
              </w:rPr>
              <w:t xml:space="preserve"> panta trešajā daļā minēto plāna apstiprināšanu, ja korektīvo darbību (pasākumu) plāns tiks apstiprināts ar administratīvo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ietvertajā Likuma 16.</w:t>
            </w:r>
            <w:r w:rsidR="00000000" w:rsidRPr="00000000" w:rsidDel="00000000">
              <w:rPr>
                <w:vertAlign w:val="superscript"/>
                <w:rtl w:val="0"/>
              </w:rPr>
              <w:t xml:space="preserve">3</w:t>
            </w:r>
            <w:r w:rsidR="00000000" w:rsidRPr="00000000" w:rsidDel="00000000">
              <w:rPr>
                <w:rtl w:val="0"/>
              </w:rPr>
              <w:t xml:space="preserve"> panta otrās daļas otrajā teikumā ir paredzēts, ka lēmuma apstrīdēšana neaptur tā darbību. Administratīvā procesa likuma 80. panta pirmajā daļā ir paredzēts vispārīgais princips, ka iesniegums par administratīvā akta apstrīdēšanu aptur tā darbību no dienas, kad iesniegums saņemts iestādē. Speciālajā likumā var noteikt no Administratīvā procesa likuma atšķirīgu regulējumu, ja tam ir pamatojums. Ievērojot minēto, lūdzam papildināt anotāciju ar pamatojumu šāda no Administratīvā procesa likuma atšķirīga regulējuma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ietvertajā Likuma 16.</w:t>
            </w:r>
            <w:r w:rsidR="00000000" w:rsidRPr="00000000" w:rsidDel="00000000">
              <w:rPr>
                <w:vertAlign w:val="superscript"/>
                <w:rtl w:val="0"/>
              </w:rPr>
              <w:t xml:space="preserve">3</w:t>
            </w:r>
            <w:r w:rsidR="00000000" w:rsidRPr="00000000" w:rsidDel="00000000">
              <w:rPr>
                <w:rtl w:val="0"/>
              </w:rPr>
              <w:t xml:space="preserve"> panta otrās daļas pēdējā teikumā ir paredzēts, ka lēmums par apstrīdēto lēmumu ir spēkā no tā pieņemšanas brīža. Administratīvā procesa likuma 70. panta pirmajā daļā ir ietverts vispārīgais princips, ka administratīvais akts stājas spēkā paziņošanas brīdī, ja ārējā normatīvajā aktā vai pašā administratīvajā aktā nav noteikts citādi. Proti, tiesiskās sekas personai rodas ar lēmuma paziņošanas brīdi, nevis lēmuma pieņemšanas brīdi. Kamēr personai nebūs paziņots lēmums par apstrīdēto lēmumu, tai nebūs zināms par tās tiesībām un pienākumiem, kas no šī lēmuma izriet. Speciālajā likumā var noteikt no Administratīvā procesa likuma atšķirīgu regulējumu, ja tam ir pamatojums. Ievērojot minēto, lūdzam papildināt anotāciju ar pamatojumu šāda no Administratīvā procesa likuma atšķirīga regulējuma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ietvertajā Likuma 16.</w:t>
            </w:r>
            <w:r w:rsidR="00000000" w:rsidRPr="00000000" w:rsidDel="00000000">
              <w:rPr>
                <w:vertAlign w:val="superscript"/>
                <w:rtl w:val="0"/>
              </w:rPr>
              <w:t xml:space="preserve">3</w:t>
            </w:r>
            <w:r w:rsidR="00000000" w:rsidRPr="00000000" w:rsidDel="00000000">
              <w:rPr>
                <w:rtl w:val="0"/>
              </w:rPr>
              <w:t xml:space="preserve"> panta trešās daļas pēdējā teikumā ir paredzēts, ka lēmuma pārsūdzēšana neaptur tā darbību. Administratīvā procesa likuma 185. panta pirmajā daļā ir paredzēts vispārīgais princips, ka pieteikuma iesniegšana tiesā aptur administratīvā akta darbību no dienas, kad pieteikums saņemts tiesā. Speciālajā likumā var noteikt no Administratīvā procesa likuma atšķirīgu regulējumu, ja tam ir pamatojums. Ievērojot minēto, lūdzam papildināt anotāciju ar pamatojumu šāda no Administratīvā procesa likuma atšķirīga regulējuma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16.</w:t>
            </w:r>
            <w:r w:rsidR="00000000" w:rsidRPr="00000000" w:rsidDel="00000000">
              <w:rPr>
                <w:vertAlign w:val="superscript"/>
                <w:rtl w:val="0"/>
              </w:rPr>
              <w:t xml:space="preserve">2</w:t>
            </w:r>
            <w:r w:rsidR="00000000" w:rsidRPr="00000000" w:rsidDel="00000000">
              <w:rPr>
                <w:rtl w:val="0"/>
              </w:rPr>
              <w:t xml:space="preserve"> panta pirmās daļas pirmā punkta redakciju ar norādi, kādā procesā tiek pieņemts lēmums par lietas izbeigšanu.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bīstamo iekārtu jomā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ierosināt, lai bīstamās iekārtas valdītājs amatpersonas noteiktajā termiņā un kārtībā nodrošina bīstamās iekārtas atbilstību normatīvo aktu bīstamo iekārtu jomā prasībām, novēršot konstatēto pārkāpumu;</w:t>
            </w:r>
            <w:r w:rsidR="00000000" w:rsidRPr="00000000" w:rsidDel="00000000">
              <w:rPr>
                <w:rtl w:val="0"/>
              </w:rPr>
              <w:t xml:space="preserve">         3) ierosināt, lai bīstamās iekārtas valdītājs amatpersonas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(3) Bīstamās iekārtas valdītājs nekavējoties, bet ne vēlāk kā piecu darbdienu laikā pēc šā panta pirmās daļas 2.punktā minētajā ierosinājumā noteiktā termiņa beigām vai pēc šā panta otrajā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trešajā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paziņošanas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trešajā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Norādītie administratīvie pārkāpumi ir jārindo no vieglākā uz smagāko.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19.panta piektā daļa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19.panta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nereģistrētas vai tādas bīstamās iekārtas lietošanu, kurai normatīvajos aktos noteiktajos termiņos un kārtībā nav veiktas pārbaudes vai pārbaudes rezultātā konstatēts, ka atbilstoši normatīvajos aktos noteiktajam iekārtas turpmāka lietošana nav pieļaujama, piemēro naudas sodu bīstamās iekārtas valdītājam fiziskajai personai no piecām līdz simt četrdesmit naudas soda vienībām, bet juridiskajai personai - no divdesmit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Konstatējama liekvārdība, nav vajadzīgas liekas atsauces uz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19.panta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Par bīstamo iekārtu tehnisko uzraudzību regulējošajos normatīvajos aktos noteiktās informācijas neievadīšanu, nepienācīgu ievadīšanu vai nepatiesas informācijas ievadīšanu bīstamo iekārtu reģistrā piemēro brīdinājumu vai naudas sodu inspicēšanas institūcijai no divdesmit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normatīvajos tiesību aktos noteiktās informācijas nesniegšanu, informācijas nepienācīgu sniegšanu vai nepatiesas informācijas sniegšanu iestādei ir paredzēta Administratīvo sodu likuma par pārkāpumiem pārvaldes, sabiedriskās kārtības un valsts valodas lietošanas jomā. Citos attiecīgo nozari regulējošajos likumos nav iekļaujami administratīvie pārkāpumi, kas izpaužas kā normatīvajos tiesību aktos noteiktas informācijas nesniegšana, informācijas nepienācīga sniegšana vai nepatiesas informācijas sniegšana iestādei. Projekta sankcijā ir paredzēts brīdinājums un naudas sods, šajā gadījumā naudas sodam minimālo apmēru nav jānosaka. Abstraktas atsauces uz bīstamo iekārtu tehnisko uzraudzību regulējošajiem normatīvajiem aktiem vietā jānorāda konkrētāka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19.panta piektā daļa dzēsta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un 1.2. apakšsadaļā ir norādīts, ka visa ar bīstamajām iekārtām saistītās dokumentācijas aprite notiks tikai elektroniski Bīstamo iekārtu reģistra sistēmā. Vēršam uzmanību uz to, ka projekts neparedz šādu regulējumu, taču uzlikt par pienākumu privātpersonām izmantot valsts informācijas sistēmu ar bīstamajām iekārtām saistītajos procesos var tikai ar likumu. Ievērojot minēto, lūdzam ar attiecīgu regulējumu papildināt projektu vai norādīt anotācijā, kurā likumā ir paredzēts, ka dokumentu aprite notiks tikai elektroniski Bīstamo iekārtu reģistra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14.pantā papildināts ar 11., 12. un 13.punktu.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apakšsadaļā ir ietverta informācija, ka "nacionālajai akreditācijas institūcijai būs jāpārakreditē visas akreditētās inspicēšanas institūcijas". Vēršam uzmanību uz to, ka no projektā ietvertā regulējuma šāds pienākums neizriet, kā arī šāda pienākuma veikšanai nav paredzēts pārejas regulējums. Proti, tas, ka projekts stāsies spēkā 2025. gada 1. janvārī, nenozīmē, ka inspicēšanas institūcijām ir dotas skaidras norādes par to, kā un kad jāveic pārakreditācija. Ievērojot minēto, lūdzam attiecīgi precizēt anotācijā ietverto informāciju un papildināt projektu ar regulējumu, kādā inspicēšanas institūcijām ir jāveic pārakreditācija.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projekta anotāciju, iekļaujot izvērstāku tiesību normas mērķa un līdzekļu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mērķis un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informācijas sistēmu likumā vairs nav termina "turētājs", līdz ar to nepieciešams veikt atbilstošas izmaiņas anotācijas tekstā, kā arī veikt izmaiņas MK noteikumos Nr.1320 "Noteikumi par bīstamo iekārtu reģistrāciju". Papildus norādām, ka šobrīd nekur nav norādīts Bīstamo iekārtu reģistra pārzinis, kurš atbilstoši Valsts informācijas sistēmu likuma terminoloģijai ir institūcija, kas normatīvajos aktos noteiktajā kārtībā organizē un vada valsts informācijas sistēmas darbību. Ņemot vērā, ka Bīstamo iekārtu reģistrs ir valsts informācijas sistēma, lūdzam ievērot Valsts informācijas sistēmu likuma 5.panta 1 prim daļā noteiktās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termins "turētājs" nomainīts uz terminu "valsts informācijas sistēmas pārzinis". Norādām, ka Ministru kabineta 2024. gada 23. aprīļa noteikumos Nr. 256 "Patērētāju tiesību aizsardzības centra lietu pārvaldības un bīstamo iekārtu reģistrācijas valsts informācijas sistēmas noteikumi" noteikts, ka PTAC ir lietu pārvaldības un bīstamo iekārtu reģistrācijas valsts informācijas sistēmas pārzinis atbilstoši Valsts informācijas sistēmas likumā noteiktajām normām. Kā arī MK noteikumos Nr.1320 "Noteikumi par bīstamo iekārtu reģistrāciju" tiks veikti grozījumi attiecībā uz terminu "turētājs".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pienācīgi izvērtēts, vai ir pieļaujama administratīvā atbildība. Atsevišķos gadījumos projekta anotācijā ir atrodami fragmentāri skaidrojumi par problēmsituācijas izplatību, bīstamību un kaitīgumu, tomēr nepieciešams pilnīgs un sistēmisks izvērtējums. Lai varētu izvērtēt administratīvās atbildības nepieciešamību un pieļaujamību projektā paredzētajos gadījumos, projekta anotācijā jāietver argumentēts administratīvās atbildības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 uzmanība pievēršama administratīvā akta (procesa) prioritātes principam, kā arī sabiedriskās kārtības mērķa sasniegšanas efektivitātei un problēmsituācijas bīstamībai un kaitīgumam.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pārkāpuma satura skaidrojuma, tostarp korespondējošo normu norādes, nav soda veida un apmēra pamatojuma, sodu sabalansētības skaidrojums starp fiziskām un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Prezicēta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atspoguļot Patērētāju tiesību aizsardzības centra (turpmāk - PTAC) pamatdarbības procesu informācijas sistēmas ietvaros paredzētā Bīstamo iekārtu reģistra (turpmāk – BIR) izstrādes izmaksas un to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ar informāciju, kur noteiktas BIR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pienācīgi izvērtēta tiesību akta projekta ietekme uz institūciju pārvaldes uzdevumu apjomu, kas jaunu administratīvo pārkāpumu gadījumā vienmēr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ir dzēsta administratīvā atbildība inspicēšanas institūcijai par nepienācīgu pildīšanu vai nepildīšanu, tad nav nepieciešamība aizpildīt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w:t>
            </w:r>
            <w:r w:rsidR="00000000" w:rsidRPr="00000000" w:rsidDel="00000000">
              <w:rPr>
                <w:rtl w:val="0"/>
              </w:rPr>
              <w:t xml:space="preserve"> Bīstamo iekārtu uzraudzību un kontroli veic, kā arī tehniskās uzraudzības normatīvo aktu prasību ievērošanu uzrauga Patērētāju tiesību aizsardzības centrs saskaņā ar šo likumu, likumu “Par atbilstības novērtēšanu”, Patērētāju tiesību aizsardzības centra nolikumu un citiem normatīvajiem aktiem un citas institūcijas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62. punkta pirmais teikums paredz, ka likumprojektā neietver atsauces uz zemāka juridiskā spēka normatīvo aktu. Vienlaikus minēto Ministru kabineta noteikumu 61. punkts nosaka paņēmienus, kādos veido atsauci uz citiem tāda paša vai augstāka juridiskā spēka normatīvajiem aktiem. Ievērojot minēto, lūdzam attiecīgi precizēt projekta 3. pantā ietverto Likuma 6. pantu un citas projekta normas (piemēram, projekta 5. pantā ietverto Likuma 11.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6. un 11.pants.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w:t>
            </w:r>
            <w:r w:rsidR="00000000" w:rsidRPr="00000000" w:rsidDel="00000000">
              <w:rPr>
                <w:rtl w:val="0"/>
              </w:rPr>
              <w:t xml:space="preserve"> Bīstamo iekārtu uzraudzību un kontroli veic, kā arī tehniskās uzraudzības normatīvo aktu prasību ievērošanu uzrauga Patērētāju tiesību aizsardzības centrs saskaņā ar šo likumu, likumu "Par atbilstības novērtēšanu" un citiem normatīvajiem aktiem bīstamo iekārtu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kabineta 2001.gada 23.augusta noteikumi Nr. 377 "Prasības tērauda velmēšanas iekārtām un iekārtu tehniskās uzraudzības kārtība", Ministru kabineta 2001.gada 27.februāra noteikumi Nr. 87 "Prasības tērauda kausēšanas iekārtām un iekārtu tehniskās uzraudzības kārtība" un Ministru kabineta 2000.gada 7.novembra noteikumi Nr.384 "Noteikumi par bīstamajām iekārtām" ir spēkā līdz 2025.gada 3.februārim. Pārējie Ministru kabineta noteikumi, kuri izdoti saskaņā ar šā likuma 3.pantu, paliek spēkā līdz jaunu Ministru kabineta noteikumu spēkā stāšanās brīdim, bet ne ilgāk kā līdz 2027.gada 30.septembrim."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12.pantā piedāvāto pārejas noteikumu 4.punkta regulējumu atbilstoši juridiskās tehnikas prasībām un nepieciešamības gadījumā precizēt. Vienlaikus vēršam uzmanību, ka pēc patreiz piedāvātā regulējuma 2025.gada 3.februārī būs spēkā vienlaikus gan šis likums, gan attiecīgi uzskaitītie Ministru kabineta noteikumi - Ministru kabineta 2001.gada 23.augusta noteikumi Nr.377 "Prasības tērauda velmēšanas iekārtām un iekārtu tehniskās uzraudzības kārtība", Ministru kabineta 2001.gada 27.februāra noteikumi Nr.87 "Prasības tērauda kausēšanas iekārtām un iekārtu tehniskās uzraudzības kārtība" un Ministru kabineta 2000.gada 7.novembra noteikumi Nr.384 "Noteikumi par bīstamajām iekārtām".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paredzēts, ka likums stāsies spēkā 2025.gada 3.februārī. Līdz ar to, 3 minētie MK noteikumi tajā dienā zaudēs spēku, kā arī netiks izdoti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informācija par šo jautājumu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kabineta 2001.gada 23.augusta noteikumi Nr. 377 "Prasības tērauda velmēšanas iekārtām un iekārtu tehniskās uzraudzības kārtība", Ministru kabineta 2001.gada 27.februāra noteikumi Nr. 87 "Prasības tērauda kausēšanas iekārtām un iekārtu tehniskās uzraudzības kārtība" un Ministru kabineta 2000.gada 7.novembra noteikumi Nr.384 "Noteikumi par bīstamajām iekārtām" ir spēkā līdz 2025.gada 3.februārim. Pārējie Ministru kabineta noteikumi, kuri izdoti saskaņā ar šā likuma 3.pantu, paliek spēkā līdz jaunu Ministru kabineta noteikumu spēkā stāšanās brīdim, bet ne ilgāk kā līdz 2027.gada 30.septembrim."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2023. gada 4. jūlija noteikumu Nr. 368 "Informācijas sistēmu un to darbībai nepieciešamo informācijas un komunikācijas tehnoloģiju resursu un pakalpojumu attīstības aktivitāšu un likvidēšanas uzraudzības kārtība" 2. un 5.1. punktu valsts informācijas sistēmas būtiskas attīstības aktivitātes saskaņojamas ar Vides aizsardzības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BIR ir informācijas sistēmas Uzraugs 2.0 sadaļa un IS Uzraugs 2.0 tuvojas nodošanai produkcijas vidē un nav vērtējama kā sākotnējās izstrādes procesā, nav nepieciešams saskaņojums ar VARAM atbilstoši Ministru kabineta 2023.gada 4.jūlija noteikumiem Nr. 368 4.1., 4.2.apakšpunktam.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uzticot PTAC jaunu pienākumu, ir jāizstrādā jauns PTAC pakalpojums MK 04.07.2017. noteikumu Nr.399 5.punkta izpratnē. Ja jā, lūgums anotācijas 1.6.punktā norādīt, kas un kādā termiņā veikts jaunā pakalpojuma aprakstīšanu informācijas sistēmā VIRSIS.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PTAC tiesībām pieņemt valdītājiem saistošus lēmumus, nodrošinot tehnisko uzraudzību regulējošo normatīvo aktu ievērošanu, vēršam uzmanību, ka PTAC valsts uzraudzību un lēmuma pieņemšanu nedefinē kā publisko pakalpojumu un šādu pakalpojumu nav nepieciešamība apstiprināt Publisko pakalpojumu sarakstā.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mehānismu, kā atbilstoši 16.</w:t>
            </w:r>
            <w:r w:rsidR="00000000" w:rsidRPr="00000000" w:rsidDel="00000000">
              <w:rPr>
                <w:vertAlign w:val="superscript"/>
                <w:rtl w:val="0"/>
              </w:rPr>
              <w:t xml:space="preserve">1</w:t>
            </w:r>
            <w:r w:rsidR="00000000" w:rsidRPr="00000000" w:rsidDel="00000000">
              <w:rPr>
                <w:rtl w:val="0"/>
              </w:rPr>
              <w:t xml:space="preserve"> pantā paredzētajam bīstamās iekārtas valdītājs nodrošinās ar ekspertīzi saistīto izdevumu atlīdzināšanu, ja tiks konstatēts, ka bīstamā iekārta neatbilst normatīvo aktu prasībām, un kur attiecīgie līdzekļi tiks ieskaitīti. Vienlaikus minētajā sadaļā lūdzam arī skaidrot, kur tiks ieskaitīt likumprojekta 19.pantā paredzētie naudas sodi par konkrētajiem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2024. gada 6. februāra noteikumu Nr. 89 "Valsts informācijas resursu, sistēmu un sadarbspējas informācijas sistēmas noteikumi" 29. punktu valsts IKT resursi jāreģistrē Valsts informācijas resursu, sistēmu un sadarbspējas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informācija par valsts IKT resursu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likumprojekta izpilde tiks nodrošināta Ekonomikas ministrijas budžeta apakšprogrammā 26.01.00 “Iekšējais tirgus un patērētāju tiesību aizsardzība”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4.1.16. un 4.1.18. apakšpunktu, ņemot vērā to, ka tiesību akta projekta anotācijas 4. sadaļā iekļauj informāciju tikai par tiem normatīvo aktu projektiem, kurus būs nepieciešams izstrādāt. Savukārt anotācijas 4.1.16. un 4.1.18. apakšpunktā minētie Ministru kabineta noteikumi zaudēs spēku brīdī, kad zaudēs spēku (stāsies spēkā izteikšana jaunā redakcijā) Likuma norma, uz kuras pamata tie izdoti. Vienlaikus aicinām papildināt anotācijas 1.3. apakšsadaļu ar informāciju par to, ka anotācijas 4.1.16. apakšpunktā minētie Ministru kabineta noteikumi vairs nav aktuāli, jo lietošanā nav sastopamas attiecīgās 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attiecīgā Anotācijas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17. novembra noteikumi Nr. 1320 "Noteikumi par bīstamo iekārtu reģistrāciju" ir izdoti saskaņā ar Likuma 8. panta pirmās daļas 2. punktu. Ņemot vērā to, ka Likuma 8. panta pirmās daļas 2. punktā, ievērojot Ministru kabineta 2009. gada 3. februāra noteikumu Nr. 108 "Normatīvo aktu projektu sagatavošanas noteikumi" 47. punktā noteikto, ir nekorekti noformulēts pilnvarojums Ministru kabinetam izdot ārēju normatīvo aktu, aicinām papildināt projektu ar grozījumu Likuma 8. panta pirmās daļas 2. punktā, korekti noformulējot pilnvarojumu Ministru kabinetam izdot ārēju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papildināts ar 8.panta pirmās daļas 2.punktu un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 panta piektā daļa paredz, ka, ja spēku zaudē normatīvā akta izdošanas tiesiskais pamats (augstāka juridiska spēka tiesību norma, uz kuras pamata izdots cits normatīvais akts), tad spēku zaudē arī uz šā pamata izdotais normatīvais akts vai tā daļa. Ņemot vērā to, ka ar projekta 2. pantu ir paredzēts izteikt jaunā redakcijā Likuma 3. panta otro daļu, visi Ministru kabineta noteikumi, kas izdoti tikai uz šīs normas pamata zaudēs spēku projekta 2. panta spēkā stāšanās brīdī, proti, 2025. gada 1. janvārī. Ievērojot minēto, visi attiecīgie Ministru kabineta noteikumi ir jāizdod no jauna, nevis jāizdara tajos grozījumi. Vienlaikus norādām, ka projektā nav paredzēts, kādā termiņā izdodami projekta 2. pantā ietvertajā Likuma 3. pantā paredzētie Ministru kabineta noteikumi, tātad tie būs izdodami līdz 2025. gada 1. janvārim. Ņemot vērā minēto, lūdzam precizēt anotācijas 4.1.3., 4.1.4., 4.1.5., 4.1.7., 4.1.8., 4.1.9., 4.1.10., 4.1.11., 4.1.12., 4.1.13., 4.1.14., 4.1.15. un 4.1.16. apakšsadaļā ietverto informāciju, kā arī aicinām izvērtēt nepieciešamību papildināt projektu ar termiņu (kas varētu būt ilgāks kā 2025. gada 1. janvāris), kādā izdodami attiecīgie Ministru kabineta noteikumi, vienlaikus nosakot, ka līdz to izdošanai, bet ne ilgāk kā līdz noteiktajam termiņam, ir spēkā šobrīd spēkā esošie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24-TA-154</w:t>
    </w:r>
    <w:r>
      <w:br/>
    </w:r>
    <w:r w:rsidR="00000000" w:rsidRPr="00000000" w:rsidDel="00000000">
      <w:rPr>
        <w:rtl w:val="0"/>
      </w:rPr>
      <w:t xml:space="preserve">03.07.2024. 16.42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24-TA-154</w:t>
    </w:r>
    <w:r>
      <w:br/>
    </w:r>
    <w:r w:rsidR="00000000" w:rsidRPr="00000000" w:rsidDel="00000000">
      <w:rPr>
        <w:rtl w:val="0"/>
      </w:rPr>
      <w:t xml:space="preserve">03.07.2024. 16.42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Izziņa_24-TA-154.docx</dc:title>
</cp:coreProperties>
</file>

<file path=docProps/custom.xml><?xml version="1.0" encoding="utf-8"?>
<Properties xmlns="http://schemas.openxmlformats.org/officeDocument/2006/custom-properties" xmlns:vt="http://schemas.openxmlformats.org/officeDocument/2006/docPropsVTypes"/>
</file>