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novembra noteikumos Nr. 624 "Kvalitātes, klasifikācijas un papildu marķējuma prasības augļu džemam, ievārījumam, želejai, marmelādei un saldinātam kastaņu biezenim"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(07.07.2017.)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un precizēt projekta anotācijas 5. sadaļu (sadaļas aizpildīšanā aicinām ievērot "Vadlīnijas tiesību akta projekta sākotnējās ietekmes novērtēšanai un novērtējuma ziņojuma sagatavošanai Vienotajā tiesību aktu izstrādes un saskaņošanas portālā").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pilnībā skaidrots tas, kā ir izmantotas visa Eiropas Savienības tiesību aktos paredzētā rīcības brīvība, piemēram, Eiropas Parlamenta un Padomes 2024. gada 14. maija Direktīvas (ES) 2024/1438, ar ko groza Padomes Direktīvu 2001/110/EK, kas attiecas uz medu, Padomes  Direktīvu 2001/112/EK, kas attiecas uz pārtikai paredzētām augļu sulām un dažiem līdzīgiem produktiem, Padomes Direktīvu 2001/113/EK, kas attiecas uz cilvēku uzturam paredzētiem augļu džemiem, želejām un marmelādēm un saldinātu kastaņu biezeni, un Padomes Direktīvu 2001/114/EK, kas attiecas uz dažu veidu daļēji vai pilnīgi dehidrētu konservētu pienu, kurš paredzēts lietošanai pārtikā (turpmāk – direktīva 2024/1438) II pielikuma 1. punkta "b" apakšpunkts paredz "Produkta nosaukumā “citrusaugļu marmelāde” apzīmējumu “citrusaugļu” var aizstāt ar izmantotā citrusaugļa nosaukumu.".Tāpat, ņemot vērā, ka tiek ieviesta visa Eiropas Parlamenta un Padomes 2008. gada 16. decembra Regula (EK) Nr. 1333/2008 par pārtikas piedevām un Eiropas Parlamenta un Padomes 2006. gada 20. decembra Regula (EK) Nr. 1924/2006 par uzturvērtības un veselīguma norādēm uz pārtikas produktiem, aicinām skaidrot visu no tām izrietošo rīcības brīvību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skaidrojot, kā tiks nodrošināta Direktīvas 2024/1438 pilnīga pārņemšana, nav ietverta informācija par tās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Direktīvas 2024/1438 II pielikuma redakcijai tas groza tikai daļu no Padomes 2001. gada 20. decembra direktīvas 2001/113/EK, kas attiecas uz cilvēku uzturam paredzētiem augļu džemiem, želejām un marmelādēm un saldinātu kastaņu biezeni (turpmāk - direktīva 2001/113) I pielikuma un grozījumi neskar nosacījumus attiecībā uz "želeju" un "augstākā labuma želeju". Attiecīgi, anotācijas 5.4. apakšsadaļas 1. tabulas rindā "Direktīvas 2024/1438 3. panta 4. punkts (Groza direktīvas 2001/113 I pielikumu)" neatbilstoši ietverta atsauce, piemēram, uz Ministru kabineta 2015. gada 3. novembra noteikumu Nr. 624 "Kvalitātes, klasifikācijas un papildu marķējuma prasības augļu džemam, ievārījumam, želejai, marmelādei un saldinātam kastaņu biezenim" (turpmāk - Noteikumi) 18., 20., 22. punktu. Tāpat, atbilstoši Direktīvas 2024/1438 3. panta otrajam punktam tas saistīts ar Direktīvas 2001/113 III pielikuma B daļu, tātad arī ar Noteikumu 29. punktu. Savukārt, ņemot vērā skaidrojumus un Direktīvas 2024/1438 3. panta 4. punkta saistību ar II pielikumu, secināms, ka 3. panta 4. punkts pārņemšanas skaidrojums nav 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2024/1438 II pielikumam ir vairākas vienības no kurām katra attiecas uz citu projekta vai Noteikumu vienību, attiecīgi, iesakām konkretizēt II pielikuma pārņemšanu savstarpēji nodalot tā vienību pārņemšanu, jo, piemēram, uz projekta 1.6. apakšpunktu attiecas tikai II pielikuma 1. punkta "a" apakšpunkts (grozīta Direktīvas 2001/113 I pielikuma I daļas 2. ievilkuma 4. daļa). Līdzīgi, iesakām pārskatīt arī tabulas "Direktīvas 2024/1438 3. panta 5. punkta "a" apakšpunkts" rindu, ņemot vērā, ka, piemēram, Direktīvas 2024/1438 3. panta 5. punkta "a" apakšpunkts (Direktīvas 2001/113 II pielikuma 6 ievilkums) attiecas tikai uz Noteikumu 29.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1.27. apakšpunkts un 2. punkts pārņem tikai Direktīvas 2024/1438 5. panta pirmo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izvērtēt, kā tieši Noteikumu 32. punkts pārņem Direktīvas 2024/1438 3. panta 4. punktu, ja tas paredz grozīt atsevišķas Direktīvas 2001/113 I pielikuma vienības, bet ne vienību, kuru atbilstoši tā būtībai un Noteikumu sākotnējai anotācijai tas pārņēmis (Direktīvas 2001/113 I pielikuma III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ar skaidrojumu, kā ir izmantota Eiropas Savienības tiesību aktos paredzētā rīcības brīvība attiecībā uz II pielikuma 1. punkta "b" apakšpunktu. Tāpat anotācija papildināta ar informāciju, kā ir ieviesta visa Eiropas Parlamenta un Padomes 2008. gada 16. decembra Regula (EK) Nr. 1333/2008 par pārtikas piedevām un Eiropas Parlamenta un Padomes 2006. gada 20. decembra Regula (EK) Nr. 1924/2006 par uzturvērtības un veselīguma norādēm uz pārtikas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informācija par direktīvas 2024/1438 I pielikuma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svītrotas atsauces uz noteikumu Nr. 624 18., 20., 22., bet papildināts ar 6. un 29. punktu, kā arī precizēts 3. panta 4. punkta pārņemšanas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2024/1438 II pielikuma 1. punkta "a" apakšpunkts 3. panta 5. punkta "a" apakšpunkts sadalīts pa pārņemšanas tiesību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precizēta direktīvas 2024/1438 5. panta pārņemšana, 5. pantu sadalot pa punktiem. Svītrota atsauce uz noteikumu Nr. 624 32.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ietekmi uz ievārījuma ražotājiem, jo plānotie grozījumi attiecas arī uz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apakšpunkts papildināts ar ietekmi uz ievārījuma ražotājiem, skaidrojot, kādas prasības noteikumu projekts paredz/neparedz.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sadaļā par ietekmi uz fiziskām personām (patērētājiem) minēts, ka  būs pieejami produkti ar samazinātu pievienotā cukura daudzumu, lūdzam anotāciju papildināt, izvērtējot iespējamu situāciju, kad, palielinot augļu saturu produktos, kas ražoti no izejvielām ar dabīgi skābu garšu (sarkanās jāņogas, smiltsērkšķi, skābie ķirši u.c), ražošanas procesā produktam ir nepieciešams pievienot  vairāk saldinātājvielu (t.sk. cukuru), lai nodrošinātu galaprodukta ierasto garšu.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apakšpunkts papildināts ar informāciju par iespējamo ietekmi uz ražotājiem un patērētājiem, gadījumos, kad produkti būs ražoti no izejvielām ar dabīgi skābu garšu.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teikumu, ka projektā paredzēto Pārtikas un veterinārais dienests nodrošinās tam piešķirtā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 ar teikumu, ka projektā paredzēto Pārtikas un veterinārais dienests nodrošinās tam piešķirtā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cidonijas (</w:t>
            </w:r>
            <w:r w:rsidR="00000000" w:rsidRPr="00000000" w:rsidDel="00000000">
              <w:rPr>
                <w:i w:val="1"/>
                <w:rtl w:val="0"/>
              </w:rPr>
              <w:t xml:space="preserve">Cydonia oblonga</w:t>
            </w:r>
            <w:r w:rsidR="00000000" w:rsidRPr="00000000" w:rsidDel="00000000">
              <w:rPr>
                <w:rtl w:val="0"/>
              </w:rPr>
              <w:t xml:space="preserve"> L.) (turpmāk – cidonijas) vai krūmcidonijas (</w:t>
            </w:r>
            <w:r w:rsidR="00000000" w:rsidRPr="00000000" w:rsidDel="00000000">
              <w:rPr>
                <w:i w:val="1"/>
                <w:rtl w:val="0"/>
              </w:rPr>
              <w:t xml:space="preserve">Chaenomeles japonica</w:t>
            </w:r>
            <w:r w:rsidR="00000000" w:rsidRPr="00000000" w:rsidDel="00000000">
              <w:rPr>
                <w:rtl w:val="0"/>
              </w:rPr>
              <w:t xml:space="preserve">), kuru ievārījuma iegūšanai izmanto ne mazāk kā 250 gramu minēto izejvielu;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līdzīgi kā tiek papildināts Noteikumu 10.1. apakšpunkts, nav precizējamas arī citas Noteikumu vienības, kur minētas cidonijas, ņemot vērā, ka ar saīsinājumu "cidonijas" Noteikumos saprotamas tikai cidonijas (Cydonia oblonga L.), bet ne krūmcidonijas (Chaenomeles japonica). Proti, vai krūmcidonijas (Chaenomeles japonica) attiecināmas tikai uz ievārījumu izgatavošanu, bet ne, piemēram, džemu. Ja krūmcidonijas attiecināmas tikai uz ievārījumu, iesakām izvērst attiecīgā grozījuma izpratni anotācijas 1.3.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ar informāciju par cidoniju un krūmcidoniju atšķirībām un 10.1. apakšpunktā veikto grozījuma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apakšsadaļas problēmas izklāsts papildināts ar skaidrojumu, ka direktīvā 2024/1438 noteiktās prasības attiecībā uz minimālo augļu saturu 1000 gramu džema iegūšanai attiecināmas uz cidonijām, bet ne uz krūmcidonijām un Latvijas nacionālo produktu "ievārījums". Tas nozīmē, ja džemu ražos no krūmcidonijām, to minimālajam  daudzumam, kas izmantoti 1000 gramu produkta ražošanai, jāatbilst vispārīgajām prasībām, proti, 450 gramiem. Savukārt, ja no krūmcidonijām ražos ievārījumu, to minimālajam daudzumam produktā būs jābūt 250 gramiem.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cidonijas (</w:t>
            </w:r>
            <w:r w:rsidR="00000000" w:rsidRPr="00000000" w:rsidDel="00000000">
              <w:rPr>
                <w:i w:val="1"/>
                <w:rtl w:val="0"/>
              </w:rPr>
              <w:t xml:space="preserve">Cydonia oblonga</w:t>
            </w:r>
            <w:r w:rsidR="00000000" w:rsidRPr="00000000" w:rsidDel="00000000">
              <w:rPr>
                <w:rtl w:val="0"/>
              </w:rPr>
              <w:t xml:space="preserve"> L.) (turpmāk – cidonijas) vai krūmcidonijas (</w:t>
            </w:r>
            <w:r w:rsidR="00000000" w:rsidRPr="00000000" w:rsidDel="00000000">
              <w:rPr>
                <w:i w:val="1"/>
                <w:rtl w:val="0"/>
              </w:rPr>
              <w:t xml:space="preserve">Chaenomeles japonica</w:t>
            </w:r>
            <w:r w:rsidR="00000000" w:rsidRPr="00000000" w:rsidDel="00000000">
              <w:rPr>
                <w:rtl w:val="0"/>
              </w:rPr>
              <w:t xml:space="preserve">), kuru ievārījuma iegūšanai izmanto ne mazāk kā 250 gramu minēto izejvielu;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Augstākā labuma džemu var pilnībā vai daļēji iegūt no nekoncentrēta mežrožu augļu, bezsēklu aveņu, kazeņu, upeņu, melleņu vai sarkano jāņogu biezeņa.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Direktīvas 2024/1438 pārņemšana ir nodrošināta pilnīgi un precīzi. Vēršam uzmanību, ka, piemēram, no grozījumiem direktīvas 2001/113 I pielikuma I daļas otrajā ievilkumā (1. daļā) izriet termini "augstākā labuma džems" un "augstākā labuma </w:t>
            </w:r>
            <w:r w:rsidR="00000000" w:rsidRPr="00000000" w:rsidDel="00000000">
              <w:rPr>
                <w:u w:val="single"/>
                <w:rtl w:val="0"/>
              </w:rPr>
              <w:t xml:space="preserve">bezsēklu</w:t>
            </w:r>
            <w:r w:rsidR="00000000" w:rsidRPr="00000000" w:rsidDel="00000000">
              <w:rPr>
                <w:rtl w:val="0"/>
              </w:rPr>
              <w:t xml:space="preserve"> džems", savukārt Noteikumu 13. punktā, kur jau iepriekš pārņemta konkrētā vienība, saglabāts formulējums no kura izriet, ka ir vienkārši a</w:t>
            </w:r>
            <w:r w:rsidR="00000000" w:rsidRPr="00000000" w:rsidDel="00000000">
              <w:rPr>
                <w:u w:val="single"/>
                <w:rtl w:val="0"/>
              </w:rPr>
              <w:t xml:space="preserve">ugstākā labuma džems, kas iegūts, piemēram, no bezsēklu upenēm</w:t>
            </w:r>
            <w:r w:rsidR="00000000" w:rsidRPr="00000000" w:rsidDel="00000000">
              <w:rPr>
                <w:rtl w:val="0"/>
              </w:rPr>
              <w:t xml:space="preserve">. Nepieciešamības gadījumā lūdzam precizēt projektu vai sniegt papildus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un secināts, ka direktīvas 2024/1438 II pielikuma 1. punkta otrā ievilkuma otrā teikuma formulējums, salīdzinot ar direktīvas 2001/113 tekstu, direktīvā 2024/1438 latviešu valodā ir formulēts savādāk, tomēr nemaina tiesību normas būtību. Noteikumu Nr. 624 izpratnē 13. punkta formulējums atbilst direktīvas 2024/1438 II pielikuma 1. punkta "a" apakšpunkta otrā ievilkuma pirmās rindkopas otā teikuma formulējumam. Līdz ar to attiecīgā tiesību norma noteikumu Nr. 624 13. punktā ir pārņemta pilnīgi un precīzi un nav nepieciešams veikt grozījumus noteikumu Nr. 624 13. punktā. Skaidrojums sniegts anotācijas 5.4.1. tabulas "Tiesību akta projekta atbilstība ES tiesību aktiem" 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Augstākā labuma džemu var pilnībā vai daļēji iegūt no nekoncentrēta mežrožu augļu, bezsēklu aveņu, kazeņu, upeņu, melleņu vai sarkano jāņogu biezeņa.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Citrusaugļu marmelādes un želejas marmelādes ražošanā papildus šo noteikumu </w:t>
            </w:r>
            <w:r w:rsidR="00000000" w:rsidRPr="00000000" w:rsidDel="00000000">
              <w:rPr>
                <w:rtl w:val="0"/>
              </w:rPr>
              <w:t xml:space="preserve">5.</w:t>
            </w:r>
            <w:r w:rsidR="00000000" w:rsidRPr="00000000" w:rsidDel="00000000">
              <w:rPr>
                <w:rtl w:val="0"/>
              </w:rPr>
              <w:t xml:space="preserve"> punktā minētajām sastāvdaļām atļauts lietot citrusaugļu ēteriskās eļļas.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27.punktam, kur skaidrots termins "citrusaugļu marmelāde", lūdzam skaidrot terminu "želejas marmelāde".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2001/113 nenosaka produkta "želejas marmelāde" terminu, tomēr tā nosaka minētā produkta nosaukuma lietošanas nosacījumus, proti, produkta nosaukumu "želejas marmelāde" var lietot tādas gadījumos, ja produkts kā nešķīstošu vielu satur nedaudz smalki sagrieztas citrusaugļu mizas. Tas nozīmē, ja citrusaugļu marmelāde nedaudz saturēs smalki sagrieztas citrusaugļu mizas, produktu varēs saukt par želejas marmelādi. Minētā tiesību norma ir ietverta noteikumu Nr. 624 37. punktā, un nav nepieciešams noteikumos Nr. 624 iestrādāt jaunu terminu "želejas marmelāde".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ietverts anotācijas 5.4.1. tabulas "Tiesību akta projekta atbilstība ES tiesību aktiem"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Citrusaugļu marmelādes un želejas marmelādes ražošanā papildus šo noteikumu </w:t>
            </w:r>
            <w:r w:rsidR="00000000" w:rsidRPr="00000000" w:rsidDel="00000000">
              <w:rPr>
                <w:rtl w:val="0"/>
              </w:rPr>
              <w:t xml:space="preserve">5.</w:t>
            </w:r>
            <w:r w:rsidR="00000000" w:rsidRPr="00000000" w:rsidDel="00000000">
              <w:rPr>
                <w:rtl w:val="0"/>
              </w:rPr>
              <w:t xml:space="preserve"> punktā minētajām sastāvdaļām atļauts lietot citrusaugļu ēteriskās eļļas.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25-TA-86</w:t>
    </w:r>
    <w:r>
      <w:br/>
    </w:r>
    <w:r w:rsidR="00000000" w:rsidRPr="00000000" w:rsidDel="00000000">
      <w:rPr>
        <w:rtl w:val="0"/>
      </w:rPr>
      <w:t xml:space="preserve">02.09.2025. 15.37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25-TA-86</w:t>
    </w:r>
    <w:r>
      <w:br/>
    </w:r>
    <w:r w:rsidR="00000000" w:rsidRPr="00000000" w:rsidDel="00000000">
      <w:rPr>
        <w:rtl w:val="0"/>
      </w:rPr>
      <w:t xml:space="preserve">02.09.2025. 15.37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Izziņa_25-TA-86.docx</dc:title>
</cp:coreProperties>
</file>

<file path=docProps/custom.xml><?xml version="1.0" encoding="utf-8"?>
<Properties xmlns="http://schemas.openxmlformats.org/officeDocument/2006/custom-properties" xmlns:vt="http://schemas.openxmlformats.org/officeDocument/2006/docPropsVTypes"/>
</file>