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26-TA-1902: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2026. gada 14. aprīļa noteikumos Nr. 204 "Kritēriji un kārtība, kādā valsts piedalās pedagogu darba samaksas finansēšanā vispārējās pamatizglītības un vispārējās vidējās izglītības pakāpē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(01.01.2027.)</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10.08.2026. 18:18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aprēķiniem par nepieciešamo papildus finansējumu, nosakot zemākus kvantitatīvos kritērijus 16. grupai (tālmācība).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grupas kritēriju samazināšana gadā valsts budžetā izmaksā papildu 272 tkst eur, vairāk kā puse (143 tkst) tiek pašvaldību dibinātām skolām.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piedāvātie grozījumi Ministru kabineta noteikumos ievērojami atvieglo vai samazina vairākus kritērijus, kuriem jāizpildās, lai izglītības iestādes varētu saņemt valsts budžeta finansējumu pedagogu darba samaksai  vispārējās pamatizglītības, vai vispārējās vidējās izglītības pakāpē, ir secināms, ka noteikumu projekta īstenošanai ir prognozējama ietekme uz valsts budžeta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anotācijai nav pievienoti aprēķini par šo grozījumu īstenošanai nepieciešamā finansējuma apmēru un nav sniegta skaidra un nepārprotama informācija, ka tos būs iespējams īstenot Izglītības un zinātnes ministrijai piešķirto valsts budžeta līdzekļu ietvaros, bet ir sniegta tieši pretēja informācija, ka "... Tā kā faktiskie dati par izglītojamo skaitu 2026./2027. mācību gadā būs pieejami tikai pēc 2026. gada 1. septembra, pēc to precizēšanas tiks veikts finansējuma pārrēķins. Pēc pārrēķina veikšanas tiks izvērtēta normatīvā regulējuma īstenošanai nepieciešamā finansējuma atbilstība faktiskajai situācijai un, ja nepieciešams, papildu finansējuma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bez detalizētu aprēķinu izvērtēšanas, šobrīd nevaram atbalstīt tāda noteikumu projekta tālāku virzību, kura īstenošanai var būt nepieciešams papildu finansējums neprognozējamā apmērā bez norādīta finansiālā seguma gan 2026.gadā, gan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Finanšu ministrija 2026. gada 30. jūnijā ir publicējusi aktualizēto informāciju par makroekonomisko un fiskālo rādītāju prognozēm un indikatīvo fiskālo telpu un atbilstoši definētajiem fiskālajiem nosacījumiem novērtētā indikatīvā 2027.-2030. gada budžeta ietvara sagatavošanai pieejamā fiskālā telpa ir negatīva, kas nozīmē, ka papildu finansējums turpmākajiem gadiem bez kompensējošiem pasākumiem, kas, lai nodrošinātu atbilstību fiskālajiem nosacījumiem, primāri sedz negatīvo fiskālo telpu, nebūs pieejams. Ņemot vērā ģeopolitisko situāciju pasaulē, nav arī pamata sagaidīt, ka fiskālās telpas apmērs tuvāko valsts budžeta likumprojektu sagatavošanai ievērojami uzlabosies. Līdz ar to papildu nepieciešamais finansējums ir nodrošināms ministriju esošo līdzekļu ietvaros, pārskatot nozares prioritātes.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aprēķini nosūtīti Finanšu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1.–7. grupa – izglītības iestādēm atkarībā no tās pašvaldību administratīvi teritoriālās vienības urbanizācijas līmeņa, kurā atrodas izglītības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savienības (LPS) un Izglītības un zinātnes ministrijas (IZM) sarunu Vienošanās un domstarpību parakstītā  protokola (2026. gada 29. jūnijā) 8.punkts "Par pašvaldību grupas (DEGURBA) noteikšanas metodiku"  tika panākta vienošanās: </w:t>
            </w:r>
            <w:r w:rsidR="00000000" w:rsidRPr="00000000" w:rsidDel="00000000">
              <w:rPr>
                <w:b w:val="1"/>
                <w:rtl w:val="0"/>
              </w:rPr>
              <w:t xml:space="preserve">Puses vienojas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izvērtēt iespējamos risinājumus un veikt atbilstošus fiskālās ietekmes aprēķinus, ja papildus kvantitatīvajiem kritērijiem, kas tiek noteikti pēc pašvaldību iedalījuma DEGURBA grupās un jau noteiktiem izņēmuma gadījumiem atbilstoši 2026. gada 14. aprīļa noteikumos Nr. 204 “Kritēriji un kārtība, kādā valsts piedalās pedagogu darba samaksas finansēšanā vispārējās pamatizglītības un vispārējās vidējās izglītības pakāpē” </w:t>
            </w:r>
            <w:r w:rsidR="00000000" w:rsidRPr="00000000" w:rsidDel="00000000">
              <w:rPr>
                <w:b w:val="1"/>
                <w:rtl w:val="0"/>
              </w:rPr>
              <w:t xml:space="preserve">noteiktajam, lēmumu pieņemšanā par pedagogu darba samaksas finansēšanu vispārējā pamatizglītības un vispārējās vidējās izglītības pakāpē tiktu izmantoti kombinēti kritēriji: demogrāfiskās tendences, izglītības kvalitāte, izglītības pieejamība, pašvaldības teritorijas attīstības vajadzības un perspektīvas.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nepilda parakstīto vienošanos un nav pārskatījusi pašvaldījumu iedalījumu grupās. N</w:t>
            </w:r>
            <w:r w:rsidR="00000000" w:rsidRPr="00000000" w:rsidDel="00000000">
              <w:rPr>
                <w:b w:val="1"/>
                <w:rtl w:val="0"/>
              </w:rPr>
              <w:t xml:space="preserve">eatbilstība ir aprakstīta pie 1.pielikuma.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nepiekrīt apgalvojumam, ka netiek pildīta Latvijas Pašvaldību savienības un Izglītības un zinātnes ministrijas 2026. gada 29. jūnija sarunu protokola 8. punktā ietvertā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protokolā puses nav vienojušās par tūlītēju pašvaldību administratīvi teritoriālo vienību iedalījuma DEGURBA grupās pārskatīšanu. Vienošanās paredz ministrijai izvērtēt iespējamos risinājumus un veikt atbilstošus fiskālās ietekmes aprēķinus, vērtējot iespēju turpmāk lēmumu pieņemšanā papildus spēkā esošajiem kvantitatīvajiem kritērijiem un izņēmuma gadījumiem izmantot arī kombinētus kritērijus - demogrāfiskās tendences, izglītības kvalitāti un pieejamību, kā arī pašvaldības teritorijas attīstības vajadzības un perspektīvas. Tādējādi protokolā ietvertā vienošanās pati par sevi neparedz pienākumu pirms jaunā finansēšanas modeļa ieviešanas mainīt pašreizējo pašvaldību iedalījumu DEGURBA grupās.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ministrija ņem vērā LPS paustos argumentus un tos izvērtēs atbilstoši sarunu protokolā panāktajai vienošanās. Ministrijas ieskatā šobrīd nav pamatoti tieši pirms jaunās finansēšanas kārtības ieviešanas būtiski mainīt vienu no tās pamatā esošajiem kritērijiem. Ministru kabineta noteikumi Nr. 204 ir pieņemti pēc ilgstoša saskaņošanas procesa, kura laikā tika vērtēti arī iebildumi par DEGURBA klasifikācijas piemērošanu un konkrētu administratīvi teritoriālo vienību iedalījumu grupās. Turklāt pašvaldības, balstoties uz pieņemto regulējumu un tajā noteiktajiem kvantitatīvajiem kritērijiem, jau ir pieņēmušas lēmumus par izglītības iestāžu tīkla turpmāko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pašvaldību viedokļi par DEGURBA klasifikācijas izmantošanu un tās piemērošanu nav vienveidīgi, tādēļ būtiski vispirms iegūt datus par jaunā finansēšanas modeļa faktisko darbību un ietekmi, lai turpmāks izvērtējums būtu balstīts ne tikai teorētiskos pieņēmumos vai atsevišķu teritoriju piemēros, bet arī regulējuma piemērošanas praksē.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1.–7. grupa – izglītības iestādēm atkarībā no tās pašvaldību administratīvi teritoriālās vienības urbanizācijas līmeņa, kurā atrodas izglītības iestāde;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iestādes atbilstību kvantitatīvajiem rādītājiem un pieļaujamai svārstībai nosaka saskaņā ar informācijas sistēmā ievadīto un apstiprināto informāciju par izglītojamo skaitu izglītības iestādē (pa klasēm un izglītības programmām) attiecīgā gada 1. septembrī. Nosakot atbilstību kvantitatīvajiem rādītājiem izglītības iestādē, kurā vienlaikus tiek īstenotas vairākas vispārējās izglītības programmas, izglītojamo skaitu klātienē un nepilna laika klātienē skaita kopā, bet tālmācībā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17.punkts nosaka, ka IZM informāciju par izglītojamo skaitu no pašvaldībām saņem līdz 30.jūnijam, lūdzam noteikt, ka IZM līdz 30.jūlijam VIISā nosaka izglītības iestādes atbilstību kvantitatīvajiem rādītājiem un to precizē uz 1.septembri;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iestādes atbilstību kvantitatīvajiem rādītājiem un pieļaujamai svārstībai ministrija nosaka līdz 30.jūlijam, saskaņā ar saņemto, informācijas sistēmā ievadīto un apstiprināto informāciju par izglītojamo skaitu izglītības iestādē (pa klasēm un izglītības programmām) un to precizē 1. septembrī. Nosakot atbilstību kvantitatīvajiem rādītājiem izglītības iestādē, kurā vienlaikus tiek īstenotas vairākas vispārējās izglītības programmas, izglītojamo skaitu klātienē un nepilna laika klātienē skaita kopā, bet tālmācībā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 punktā noteiktais termiņš informācijas par izglītojamo skaitu saņemšanai no pašvaldībām līdz 30. jūnijam pats par sevi nenozīmē, ka līdz 30. jūlijam VIIS iespējams pilnībā un objektīvi noteikt izglītības iestāžu atbilstību kvantitatīvajiem rādītājiem. Izglītojamo skaits un citi atbilstības novērtēšanai nepieciešamie dati var tikt precizēti arī pēc 30. jūnija, ņemot vērā izmaiņas pirms jaunā mācību gada sākuma. Līdz ar to nav lietderīgi noteikt atsevišķu termiņu - 30. jūliju - izglītības iestāžu atbilstības noteikšanai, paredzot, ka tā tiek precizēta uz 1. septembri.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iestādes atbilstību kvantitatīvajiem rādītājiem un pieļaujamai svārstībai nosaka saskaņā ar informācijas sistēmā ievadīto un apstiprināto informāciju par izglītojamo skaitu izglītības iestādē (pa klasēm un izglītības programmām) attiecīgā gada 1. septembrī. Nosakot atbilstību kvantitatīvajiem rādītājiem izglītības iestādē, kurā vienlaikus tiek īstenotas vairākas vispārējās izglītības programmas, izglītojamo skaitu klātienē un nepilna laika klātienē skaita kopā, bet tālmācībā atsevišķi.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piedalās izglītības iestādē nodarbināto 1.–3., 4.–6. un 7.–9. klašu grupas pedagogu darba samaksas finansēšanā atbilstoši finansēšanas noteikumiem, ja katrā attiecīgajā klašu grupā ir vismaz 15 izglītojamie, ievērojot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norādīto pieļaujamo svārstību un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Prasība par šajā punktā minēto izglītojamo skaitu attiecas uz katru izglītības iestādē īstenoto vispārējās izglītības programmu klātienē un tālmācībā, kā arī uz gadījumu, ja 7.–9. klašu grupā vispārējās izglītības programma tiek īstenota tikai nepilna laika klātienē.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3.pielikumā ir plānots turpmāk vairs nenoteikt izglītības iestāžu grupas, uz kurām nav attiecināma kvantitatīvo rādītāju svārstību pieļaujamība un kuru minimālajam skolēnu skaitam klašu grupā jau līdz šim ir ticis noteikts ļoti zems minimālais skolēnu skaits, ir secināms, ka grozījumi šajā punktā var ietekmēt budžeta izdevumus. Lūdzam papildināt anotāciju ar detalizētiem aprēķiniem par šīs normas īstenošanai nepieciešamo finansējumu un sniegt skaidrojumu par finansējuma avotu, no kura attiecīgie izdevumi tiks segti.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aprēķini nosūtīti Finanšu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piedalās izglītības iestādē nodarbināto 1.–3., 4.–6. un 7.–9. klašu grupas pedagogu darba samaksas finansēšanā atbilstoši finansēšanas noteikumiem, ja katrā attiecīgajā klašu grupā ir vismaz 15 izglītojamie, ievērojot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norādīto pieļaujamo svārstību un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Prasība par šajā punktā minēto izglītojamo skaitu attiecas uz katru izglītības iestādē īstenoto vispārējās izglītības programmu klātienē un tālmācībā, kā arī uz gadījumu, ja 7.–9. klašu grupā vispārējās izglītības programma tiek īstenota tikai nepilna laika klātienē.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izglītojamo skaits neatbilst šo noteikumu </w:t>
            </w:r>
            <w:r w:rsidR="00000000" w:rsidRPr="00000000" w:rsidDel="00000000">
              <w:rPr>
                <w:rtl w:val="0"/>
              </w:rPr>
              <w:t xml:space="preserve">3.</w:t>
            </w:r>
            <w:r w:rsidR="00000000" w:rsidRPr="00000000" w:rsidDel="00000000">
              <w:rPr>
                <w:rtl w:val="0"/>
              </w:rPr>
              <w:t xml:space="preserve"> pielikumā</w:t>
            </w:r>
            <w:r w:rsidR="00000000" w:rsidRPr="00000000" w:rsidDel="00000000">
              <w:rPr>
                <w:rtl w:val="0"/>
              </w:rPr>
              <w:t xml:space="preserve"> norādītajiem kvantitatīvajiem rādītājiem un pieļaujamai svārstībai, ievērojot šo noteikumu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punktu</w:t>
            </w:r>
            <w:r w:rsidR="00000000" w:rsidRPr="00000000" w:rsidDel="00000000">
              <w:rPr>
                <w:rtl w:val="0"/>
              </w:rPr>
              <w:t xml:space="preserve">, tad valsts piedalās izglītības iestādē nodarbināto attiecīgās klašu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klātienes un nepilna laika klātienes pedagogu (izņemot atbalsta personālu) darba samaksas finansēšanā atbilstoši finansēšanas noteikumiem proporcionāli faktiskajam izglītojamo skaitam pret noteikto kvantitatīvo rādītāju attiecīgajā klašu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tālmācības pedagogu un atbalsta personāla darba samaksas finansēšanā klātienē, nepilna laika klātienē un tālmācībā 100 procentu apmērā no finansējuma, kas aprēķināms atbilstoši finansēšanas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situācijā, kad izglītojamo skaits neatbilst šo noteikumu 3. pielikumā norādītajiem kvantitatīvajiem rādītājiem un pieļaujamai svārstībai, noteikumos plānotā 11.2.apakšpunktā minētajos gadījumos ir piešķirams finansējums 100 procentu apmērā no finansējuma, kas aprēķināms atbilstoši finansēšanas noteikumiem, nevis proporcionāli faktiskajam izglītojamo skaitam pret noteikto kvantitatīvo rādītāju attiecīgajā klašu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finansēšanas noteikumiem (MKN 205) jau tiek aprēķināts proporcionāls finansējums, otreizēja proporcijas piemērošana, šo noteikumu ietvaros, būtu nekorekta. Tiek papildināts MKN 205 6.1.4.1. punkts, precīzāk skaidrojot, ka šajā solī tiek piemērota proporcija.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izglītojamo skaits neatbilst šo noteikumu </w:t>
            </w:r>
            <w:r w:rsidR="00000000" w:rsidRPr="00000000" w:rsidDel="00000000">
              <w:rPr>
                <w:rtl w:val="0"/>
              </w:rPr>
              <w:t xml:space="preserve">3.</w:t>
            </w:r>
            <w:r w:rsidR="00000000" w:rsidRPr="00000000" w:rsidDel="00000000">
              <w:rPr>
                <w:rtl w:val="0"/>
              </w:rPr>
              <w:t xml:space="preserve"> pielikumā</w:t>
            </w:r>
            <w:r w:rsidR="00000000" w:rsidRPr="00000000" w:rsidDel="00000000">
              <w:rPr>
                <w:rtl w:val="0"/>
              </w:rPr>
              <w:t xml:space="preserve"> norādītajiem kvantitatīvajiem rādītājiem un pieļaujamai svārstībai, ievērojot šo noteikumu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punktu</w:t>
            </w:r>
            <w:r w:rsidR="00000000" w:rsidRPr="00000000" w:rsidDel="00000000">
              <w:rPr>
                <w:rtl w:val="0"/>
              </w:rPr>
              <w:t xml:space="preserve">, tad valsts piedalās izglītības iestādē nodarbināto attiecīgās klašu grupas: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12.</w:t>
            </w:r>
            <w:r w:rsidR="00000000" w:rsidRPr="00000000" w:rsidDel="00000000">
              <w:rPr>
                <w:rtl w:val="0"/>
              </w:rPr>
              <w:t xml:space="preserve"> punktu</w:t>
            </w:r>
            <w:r w:rsidR="00000000" w:rsidRPr="00000000" w:rsidDel="00000000">
              <w:rPr>
                <w:rtl w:val="0"/>
              </w:rPr>
              <w:t xml:space="preserve"> attiecībā uz pašvaldību un valsts augstskolu izglītības iestādēm piemēro ar 2027. gada 1. septembri, bet attiecībā uz privātajām izglītības iestādēm – ar 2029. gada 1. septembri. Līdz minētajiem datumiem piemēro šādu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normatīvā regulējuma ieviešanā nodrošināt vienlīdzīgu attieksmi pret visām izglītības iestādēm, neizdalot pakāpenisku regulējuma ieviešanu tikai privātajām izglītības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Atšķirīgs pārejas periods ir pamatots ar objektīvi atšķirīgām pašvaldību un privāto izglītības iestāžu iespējām pielāgoties jaunajam regulējumam. Pašvaldībām ir izglītības iestāžu tīkls, kas ļauj plānot skolēnu plūsmu un sabalansēt izglītības piedāvājumu administratīvajā teritorijā, savukārt privātajām izglītības iestādēm šādas iespējas parasti nav, tādēļ tām nepieciešams ilgāks pielāgošanās periods.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12.</w:t>
            </w:r>
            <w:r w:rsidR="00000000" w:rsidRPr="00000000" w:rsidDel="00000000">
              <w:rPr>
                <w:rtl w:val="0"/>
              </w:rPr>
              <w:t xml:space="preserve"> punktu</w:t>
            </w:r>
            <w:r w:rsidR="00000000" w:rsidRPr="00000000" w:rsidDel="00000000">
              <w:rPr>
                <w:rtl w:val="0"/>
              </w:rPr>
              <w:t xml:space="preserve"> attiecībā uz pašvaldību un valsts augstskolu izglītības iestādēm piemēro ar 2027. gada 1. septembri, bet attiecībā uz privātajām izglītības iestādēm – ar 2029. gada 1. septembri. Līdz minētajiem datumiem piemēro šādu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ja izglītojamo skaits ir mazāks nekā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norādītais kvantitatīvais rādītājs, bet izglītības iestāde 10.–12. klašu grupā  nodrošina vismaz 15 izglītojamos, tad 2026./2027. mācību gadā valsts, ievērojot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piedalās pašvaldības, valsts augstskolas un privātās izglītības iestādes nodarbināto: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punktā ir plānots samazināt minimālo izglītojamo skaitu klašu grupā no 30 uz 15 izglītojamiem, ir secināms, ka grozījumi šajā punktā var ietekmēt budžeta izdevumus. Lūdzam papildināt anotāciju ar detalizētiem aprēķiniem par šīs normas īstenošanai nepieciešamo finansējumu un sniegt skaidrojumu par finansējuma avotu, no kura attiecīgie izdevumi tiks segti.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aprēķini nosūtīti Finanšu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ja izglītojamo skaits ir mazāks nekā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norādītais kvantitatīvais rādītājs, bet izglītības iestāde 10.–12. klašu grupā  nodrošina vismaz 15 izglītojamos, tad 2026./2027. mācību gadā valsts, ievērojot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piedalās pašvaldības, valsts augstskolas un privātās izglītības iestādes nodarbināto: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ja izglītojamo skaits ir mazāks nekā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norādītais kvantitatīvais rādītājs, bet izglītības iestāde 10.–12. klašu grupā  nodrošina vismaz 15 izglītojamos, tad 2026./2027. mācību gadā valsts, ievērojot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piedalās pašvaldības, valsts augstskolas un privātās izglītības iestādes nodarbināto: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Pašvaldību savienība ierosina noteikumu projekta 3. pielikumā veikt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3..DEGURBA  pašvaldībām vidusskolas posmā (10.-12.klases), </w:t>
            </w:r>
            <w:r w:rsidR="00000000" w:rsidRPr="00000000" w:rsidDel="00000000">
              <w:rPr>
                <w:b w:val="1"/>
                <w:rtl w:val="0"/>
              </w:rPr>
              <w:t xml:space="preserve">kā pamata normu  pieļaujamo skolēnu skaitu noteikt 90.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ilgtspējīgas atalgojuma sistēmas priekšnosacījumiem ir prognozējams skolēnu skaits, kas ļauj plānot nepieciešamo pedagogu slodzi, mācību priekšmetu piedāvājumu un finansējumu vairākiem gadiem uz priekšu. Jāņem vērā, ka iedzīvotāju mobilitāte līdz ar to arī skolēnu notiek lielo pilsētu virzienā. Demogrāfijas prognozes liecina, ka iedzīvotāju skaits tai skaitā arī skolēnu skaits saruks arī novadu centros. Ir jānodrošina pietiekama un ilgtspējīga vidusskolas programmu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šobrīd Saldus vidusskola nesasniedz noteikto skolēnu skaitu vidusskolas posmā 120, faktiskais skolēnu skaits ir 112 skolēni. Kritiska situācija ir arī citos novadu centros.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2.Atbalstāmm pārejas periodu, nosakot </w:t>
            </w:r>
            <w:r w:rsidR="00000000" w:rsidRPr="00000000" w:rsidDel="00000000">
              <w:rPr>
                <w:rtl w:val="0"/>
              </w:rPr>
              <w:t xml:space="preserve">10.–12. klašu grupā  nodrošina vismaz 15 izglītojamos, tad 2026./2027. mācību gadā valsts, ievērojot šo noteikumu 9. punktu, piedalās pašvaldības, valsts augstskolas un privātās izglītības iestādes nodarbināto: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Kvantitatīvie kritēriji jau ir diferencēti atbilstoši teritoriju urbanizācijas pakāpei, tādējādi ņemot vērā arī izglītības pieejamības un demogrāfiskos apstākļus. Atsevišķu izglītības iestāžu neatbilstība noteiktajam kritērijam nav pietiekams pamats tā samazināšanai visai DEGURBA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ja izglītojamo skaits ir mazāks nekā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norādītais kvantitatīvais rādītājs, bet izglītības iestāde 10.–12. klašu grupā  nodrošina vismaz 15 izglītojamos, tad 2026./2027. mācību gadā valsts, ievērojot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piedalās pašvaldības, valsts augstskolas un privātās izglītības iestādes nodarbināto: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23.2.2. tālmācības pedagogu un atbalsta personāla darba samaksas finansēšanā klātienē, nepilna laika klātienē un tālmācībā 100 procentu apmērā no finansējuma, kas aprēķināms atbilstoši finansēšanas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situācijā, kad izglītojamo skaits neatbilst šo noteikumu 3. pielikumā norādītajiem kvantitatīvajiem rādītājiem un pieļaujamai svārstībai, noteikumos plānotā 23.2.2. apakšpunktā minētajos gadījumos ir piešķirams finansējums 100 procentu apmērā no finansējuma, kas aprēķināms atbilstoši finansēšanas noteikumiem, nevis proporcionāli faktiskajam izglītojamo skaitam pret noteikto kvantitatīvo rādītāju attiecīgajā klašu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atbilstoši faktiskajam izglītojamo skaitam jau tiek aprēķināts saskaņā ar Ministru kabineta noteikumos Nr. 205 noteikto finansējuma aprēķina kārtību, kurā attiecīgajā posmā ir paredzēta proporcionalitātes piemērošana, ja netiek sasniegts aprēķinā noteiktais 40 izglītojamo klases lielums. Savukārt noteikumu Nr. 204 23.2.2. apakšpunkts nosaka valsts līdzdalības apmēru no šādi aprēķinātā finansējuma. Papildu proporcionalitātes piemērošana arī noteikumu Nr. 204 ietvaros nozīmētu atkārtotu finansējuma samazinājumu viena un tā paša apstākļa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23.2.2. tālmācības pedagogu darba samaksas finansēšanā atbilstoši finansēšanas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23.3.2. tālmācības pedagogu un atbalsta personāla darba samaksas finansēšanā klātienē, nepilna laika klātienē un tālmācībā 100 procentu apmērā no finansējuma, kas aprēķināms atbilstoši finansēšanas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situācijā, kad izglītojamo skaits neatbilst šo noteikumu 3. pielikumā norādītajiem kvantitatīvajiem rādītājiem un pieļaujamai svārstībai, noteikumos plānotā 23.3.2. apakšpunktā minētajos gadījumos ir piešķirams finansējums 100 procentu apmērā no finansējuma, kas aprēķināms atbilstoši finansēšanas noteikumiem, nevis proporcionāli faktiskajam izglītojamo skaitam pret noteikto kvantitatīvo rādītāju attiecīgajā klašu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atbilstoši faktiskajam izglītojamo skaitam jau tiek aprēķināts saskaņā ar Ministru kabineta noteikumos Nr. 205 noteikto finansējuma aprēķina kārtību, kurā attiecīgajā posmā ir paredzēta proporcionalitātes piemērošana, ja netiek sasniegts aprēķinā noteiktais 40 izglītojamo klases lielums. Savukārt noteikumu Nr. 204 23.2.2. apakšpunkts nosaka valsts līdzdalības apmēru no šādi aprēķinātā finansējuma. Papildu proporcionalitātes piemērošana arī noteikumu Nr. 204 ietvaros nozīmētu atkārtotu finansējuma samazinājumu viena un tā paša apstākļa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23.3.2. tālmācības pedagogu darba samaksas finansēšanā atbilstoši finansēšanas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administratīvi teritoriālo vienību iedalījuma grupas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iebilst pret atsevišķu pašvaldību pilsētu un apdzīvoto vietu grupu noteikšanu, neņemot demogrāfijas tendences.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Nepamatoti Saldus pilsētai ir noteikta 2.grupa, pielīdzinot valstspilsētām.</w:t>
            </w:r>
            <w:r w:rsidR="00000000" w:rsidRPr="00000000" w:rsidDel="00000000">
              <w:rPr>
                <w:rtl w:val="0"/>
              </w:rPr>
              <w:t xml:space="preserve"> Sākotnēji tika noteikta 3.grupa. Bez pamatojuma Saldus pilsētai ir piešķirta 2. grupa.</w:t>
            </w:r>
            <w:r w:rsidR="00000000" w:rsidRPr="00000000" w:rsidDel="00000000">
              <w:rPr>
                <w:b w:val="1"/>
                <w:rtl w:val="0"/>
              </w:rPr>
              <w:t xml:space="preserve"> Lūdzu noteikt 3.grupu.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pilsētas Iedzīvotāju skaita izmaiņas pēdējos trīs gados:  </w:t>
            </w:r>
            <w:r w:rsidR="00000000" w:rsidRPr="00000000" w:rsidDel="00000000">
              <w:rPr>
                <w:b w:val="1"/>
                <w:rtl w:val="0"/>
              </w:rPr>
              <w:t xml:space="preserve">2025.g.- 9686;</w:t>
            </w:r>
            <w:r w:rsidR="00000000" w:rsidRPr="00000000" w:rsidDel="00000000">
              <w:rPr>
                <w:rtl w:val="0"/>
              </w:rPr>
              <w:t xml:space="preserve"> </w:t>
            </w:r>
            <w:r w:rsidR="00000000" w:rsidRPr="00000000" w:rsidDel="00000000">
              <w:rPr>
                <w:b w:val="1"/>
                <w:rtl w:val="0"/>
              </w:rPr>
              <w:t xml:space="preserve">Iedzīvotāju blīvums  980,6 iedz./km</w:t>
            </w:r>
            <w:r w:rsidR="00000000" w:rsidRPr="00000000" w:rsidDel="00000000">
              <w:rPr>
                <w:b w:val="1"/>
                <w:vertAlign w:val="superscript"/>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Nepamatoti Aizkraukles pilsētai ir noteikta 2.grupa, pielīdzinot valstspilsētām. Lūdzu noteikt 3.grupu.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Aizkrauklē ir daudzstāvu apbūve līdz ar to, nekritiski piemērojot  DEGURBA  statistikas rīku, Aizkraukle nonāk 2.DEGURBA grupā. Aizkraukles pilsētas Iedzīvotāju skaits</w:t>
            </w:r>
            <w:r w:rsidR="00000000" w:rsidRPr="00000000" w:rsidDel="00000000">
              <w:rPr>
                <w:b w:val="1"/>
                <w:rtl w:val="0"/>
              </w:rPr>
              <w:t xml:space="preserve"> ir 6 689 (2025.gada dati), iedzīvotāju blīvums  blīvums 832,0 iedz./km</w:t>
            </w:r>
            <w:r w:rsidR="00000000" w:rsidRPr="00000000" w:rsidDel="00000000">
              <w:rPr>
                <w:b w:val="1"/>
                <w:vertAlign w:val="superscript"/>
                <w:rtl w:val="0"/>
              </w:rPr>
              <w:t xml:space="preserve">2 </w:t>
            </w:r>
            <w:r w:rsidR="00000000" w:rsidRPr="00000000" w:rsidDel="00000000">
              <w:rPr>
                <w:rtl w:val="0"/>
              </w:rPr>
              <w:t xml:space="preserve"> Maksimālais iedzīvotāju skaits pilsētā bija 1992. gadā — 10 521 cilvēks.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Nepamatoti Tukuma pilsētai noteikta 4.grupa. Tai ir jābūt 3.grupā.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pilsētā ir </w:t>
            </w:r>
            <w:r w:rsidR="00000000" w:rsidRPr="00000000" w:rsidDel="00000000">
              <w:rPr>
                <w:b w:val="1"/>
                <w:rtl w:val="0"/>
              </w:rPr>
              <w:t xml:space="preserve">16 182 Iedzīvotāji (2025.gada dati), iedzīvotāju blīvums ir  1199,6 iedz./km</w:t>
            </w:r>
            <w:r w:rsidR="00000000" w:rsidRPr="00000000" w:rsidDel="00000000">
              <w:rPr>
                <w:b w:val="1"/>
                <w:vertAlign w:val="superscript"/>
                <w:rtl w:val="0"/>
              </w:rPr>
              <w:t xml:space="preserve">2</w:t>
            </w:r>
            <w:r w:rsidR="00000000" w:rsidRPr="00000000" w:rsidDel="00000000">
              <w:rPr>
                <w:vertAlign w:val="superscript"/>
                <w:rtl w:val="0"/>
              </w:rPr>
              <w:t xml:space="preserve">.</w:t>
            </w:r>
            <w:r w:rsidR="00000000" w:rsidRPr="00000000" w:rsidDel="00000000">
              <w:rPr>
                <w:rtl w:val="0"/>
              </w:rPr>
              <w:t xml:space="preserve">  Tukuma pilsētā ir stabili demogrāfiskie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Nepamatoti Bauskas pilsētai ir noteikta 2.grupa, pielīdzinot valstspilsētām. Ir jānosaka 3.grupa.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pilsētā ir </w:t>
            </w:r>
            <w:r w:rsidR="00000000" w:rsidRPr="00000000" w:rsidDel="00000000">
              <w:rPr>
                <w:b w:val="1"/>
                <w:rtl w:val="0"/>
              </w:rPr>
              <w:t xml:space="preserve">9709 iedzīvotāji (2025. gada dati). Iedzīvotāju blīvums ir 972,2 iedz./km2.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Salīdzinājumam:</w:t>
            </w:r>
            <w:r w:rsidR="00000000" w:rsidRPr="00000000" w:rsidDel="00000000">
              <w:rPr>
                <w:rtl w:val="0"/>
              </w:rPr>
              <w:t xml:space="preserve"> </w:t>
            </w:r>
            <w:r w:rsidR="00000000" w:rsidRPr="00000000" w:rsidDel="00000000">
              <w:rPr>
                <w:b w:val="1"/>
                <w:rtl w:val="0"/>
              </w:rPr>
              <w:t xml:space="preserve">Kuldīgas pilsētai ir noteikta 3.grupa</w:t>
            </w:r>
            <w:r w:rsidR="00000000" w:rsidRPr="00000000" w:rsidDel="00000000">
              <w:rPr>
                <w:rtl w:val="0"/>
              </w:rPr>
              <w:t xml:space="preserve"> ar iedzīvotāju skaitu </w:t>
            </w:r>
            <w:r w:rsidR="00000000" w:rsidRPr="00000000" w:rsidDel="00000000">
              <w:rPr>
                <w:b w:val="1"/>
                <w:rtl w:val="0"/>
              </w:rPr>
              <w:t xml:space="preserve">9863 (2025.gada dati), iedzīvotāju blīvums blīvums 789,0 iedz./km</w:t>
            </w:r>
            <w:r w:rsidR="00000000" w:rsidRPr="00000000" w:rsidDel="00000000">
              <w:rPr>
                <w:b w:val="1"/>
                <w:vertAlign w:val="superscript"/>
                <w:rtl w:val="0"/>
              </w:rPr>
              <w:t xml:space="preserve">2, </w:t>
            </w:r>
            <w:r w:rsidR="00000000" w:rsidRPr="00000000" w:rsidDel="00000000">
              <w:rPr>
                <w:b w:val="1"/>
                <w:rtl w:val="0"/>
              </w:rPr>
              <w:t xml:space="preserve">kas ir atbilstoši noteikts. </w:t>
            </w:r>
            <w:r w:rsidR="00000000" w:rsidRPr="00000000" w:rsidDel="00000000">
              <w:rPr>
                <w:rtl w:val="0"/>
              </w:rPr>
              <w:t xml:space="preserve">Ar ko atšķiras Aizkraukle, Saldus un Bauska?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norādītais iedzīvotāju skaits un blīvums nav pietiekams pamats atsevišķu pilsētu pārklasificēšanai, jo DEGURBA iedalījums netiek noteikts tikai pēc šiem rādītājiem, bet ņem vērā arī </w:t>
            </w:r>
            <w:r w:rsidR="00000000" w:rsidRPr="00000000" w:rsidDel="00000000">
              <w:rPr>
                <w:b w:val="1"/>
                <w:rtl w:val="0"/>
              </w:rPr>
              <w:t xml:space="preserve">apbūves nepārtrauktību, funkcionālo pilsētvides struktūru un telpisko iedzīvotāju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iedzīvotāju blīvums pats par sevi nepilnīgi raksturo teritorijas faktisko apdzīvotību. OECD Latvijas skolu tīkla ģeotelpiskajā analīzē ir vērtējusi un salīdzinājusi pieejas, kas balstītas uz urbanizācijas pakāpi un iedzīvotāju/skolēnu blīvumu. Analīzē secināts, ka DEGURBA pieeja skaidrāk atspoguļo skolu tīkla faktiskās atšķirības, nekā skolēnu/iedzīvotāju blīvuma rādītājs: </w:t>
            </w:r>
            <w:r w:rsidR="00000000" w:rsidRPr="00000000" w:rsidDel="00000000">
              <w:rPr>
                <w:b w:val="1"/>
                <w:rtl w:val="0"/>
              </w:rPr>
              <w:t xml:space="preserve">palielinoties urbanizācijas pakāpei, konsekventi pieaug skolu un klašu vidējais lielums, savukārt blīvuma grupās vērojama būtiska pārklāšanās un nav tik skaidras sakarības arī ar izmaksām uz vienu skolēnu.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administratīvi teritoriālo vienību iedalījuma grupas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Kvantitatīvie rādītāji izglītības iestādes klašu grupām un pieļaujamā izglītojamo skaita svārstība no noteiktā kvantitatīvā rādītāja klašu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Pašvaldību savienība ierosina noteikumu projekta 3. pielikumā veikt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3..DEGURBA  pašvaldībām vidusskolas posmā (10.-12.klases), kā pamata normu  pieļaujamo skolēnu skaitu noteikt 90.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ilgtspējīgas atalgojuma sistēmas priekšnosacījumiem ir prognozējams skolēnu skaits, kas ļauj plānot nepieciešamo pedagogu slodzi, mācību priekšmetu piedāvājumu un finansējumu vairākiem gadiem uz priekšu. Jāņem vērā, ka iedzīvotāju mobilitāte līdz ar to arī skolēnu notiek lielo pilsētu virzienā. Demogrāfijas prognozes liecina, ka iedzīvotāju skaits tai skaitā arī skolēnu skaits saruks arī novadu centros. Ir jānodrošina pietiekama un ilgtspējīga vidusskolas programmu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šobrīd Saldus vidusskola nesasniedz noteikto skolēnu skaitu vidusskolas posmā 120, faktiskais skolēnu skaits ir 112 skolēni. Kritiska situācija ir arī citos novadu centros.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2.Atbalstāmm pārejas periodu,</w:t>
            </w:r>
            <w:r w:rsidR="00000000" w:rsidRPr="00000000" w:rsidDel="00000000">
              <w:rPr>
                <w:rtl w:val="0"/>
              </w:rPr>
              <w:t xml:space="preserve"> nosakot mazāku skolēnu skaitu 10.–12. klašu grupā -  nodrošina vismaz 15 izglītojamos, tad 2026./2027. mācību gadā valsts, ievērojot šo noteikumu 9. punktu, piedalās pašvaldības, valsts augstskolas un privātās izglītības iestādes nodarbināto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Kvantitatīvie kritēriji jau ir diferencēti atbilstoši teritoriju urbanizācijas pakāpei, tādējādi ņemot vērā arī izglītības pieejamības un demogrāfiskos apstākļus. Atsevišķu izglītības iestāžu neatbilstība noteiktajam kritērijam nav pietiekams pamats tā samazināšanai visai DEGURBA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Kvantitatīvie rādītāji izglītības iestādes klašu grupām un pieļaujamā izglītojamo skaita svārstība no noteiktā kvantitatīvā rādītāja klašu grupā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pielikumā ir plānots turpmāk vairs nenoteikt izglītības iestāžu grupas, uz kurām nav attiecināma kvantitatīvo rādītāju svārstību pieļaujamība un kuru minimālajam skolēnu skaitam klašu grupā jau līdz šim ir ticis noteikts ļoti zems minimālais skolēnu skaits, ir secināms, ka grozījumi šajā pielikumā var ietekmēt budžeta izdevumus. Lūdzam papildināt anotāciju ar detalizētiem aprēķiniem par šo grozījumu īstenošanai nepieciešamo finansējumu un sniegt skaidrojumu par finansējuma avotu, no kura attiecīgie izdevumi tiks segti.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aprēķini nosūtīti Finanšu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 Kvantitatīvie rādītāji un pieļaujamā svārstība izglītības iestādes klašu grupām: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222"/>
              <w:gridCol w:w="1273"/>
              <w:gridCol w:w="1273"/>
              <w:gridCol w:w="1273"/>
              <w:gridCol w:w="1273"/>
              <w:tblGridChange w:id="0">
                <w:tblGrid>
                  <w:gridCol w:w="2222"/>
                  <w:gridCol w:w="1273"/>
                  <w:gridCol w:w="1273"/>
                  <w:gridCol w:w="127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klašu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4.–6.</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klašu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7.–9.</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klašu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10.–12</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klašu grupa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 Atkarībā no izglītības iestādes atrašanās vietas atbilstoši pašvaldību administratīvi teritoriālajam iedalījumam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II. Atkarībā no izglītības apguves formas, mācību procesa organizācijas vai citiem apstākļiem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sz w:val="24"/>
                <w:rtl w:val="0"/>
              </w:rPr>
              <w:t xml:space="preserve">Piezīmes.</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sz w:val="24"/>
                <w:vertAlign w:val="superscript"/>
                <w:rtl w:val="0"/>
              </w:rPr>
              <w:t xml:space="preserve">1</w:t>
            </w:r>
            <w:r w:rsidR="00000000" w:rsidRPr="00000000" w:rsidDel="00000000">
              <w:rPr>
                <w:sz w:val="24"/>
                <w:rtl w:val="0"/>
              </w:rPr>
              <w:t xml:space="preserve"> Attiecīgajā klašu grupā izglītības iestādei piemēro šajā tabulā minētās 1.–9. grupas kvantitatīvos rādītājus un pieļaujamo svārstību atbilstoši izglītības iestādes atrašanās vietai pašvaldību administratīvi teritoriālo vienību iedalījuma grupā.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2. Pieļaujamo izglītojamo skaita svārstību no noteiktā kvantitatīvā rādītāja klašu grupā atbilstoši šā pielikuma 1. punktam nosaka šādi:</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2.1. 1.–3. un 4.–6. klašu grupā pieļaujama izglītojamo skaita svārstība 25 procentu apmērā no noteiktā kvantitatīvā rādītāja klašu grupā (noapaļojot uz leju);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2.2. 7.–9. un 10.–12. klašu grupā pieļaujama izglītojamo skaita svārstība 10 procentu apmērā no noteiktā kvantitatīvā rādītāja klašu grupā (noapaļojot uz leju).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3. Šā pielikuma 1. punktā minētās 1. un 2. grupas 1.–3., 4.–6. un 7.–9. klašu grupās kvantitatīvais rādītājs tiek samazināts par 50 procentiem tam klašu grupas attiecīgajam klases posmam, kur paralēli vispārizglītojošai klasei izglītojamiem ar garīgās attīstības traucējumiem, smagiem garīgās attīstības traucējumiem vai vairākiem smagiem attīstības traucējumiem mācību process tiek nodrošināts arī speciālās izglītības klasē, ja speciālās izglītības klasē ir vismaz divi izglītojamie (izglītības programmas kodi – 11015811; 23015811, 21015811; 11015911; 23015911; 21015911).</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4. Šā pielikuma 1. punktā minētās 1., 2. un 3. grupas 10.–12. klašu grupā kvantitatīvais rādītājs tiek samazināts par 50 procentiem: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4.1. ja izglītības iestāde vienlaikus ar vispārējās izglītības programmām īsteno arī vidējās profesionālās izglītības programmas;</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4.2. privātās izglītības iestādei, kura īsteno vispārējās vidējās izglītības programmas klātienē un kura kā būtiska pašvaldības izglītības ekosistēmas daļa ir iekļauta pašvaldības apstiprinātā izglītības ekosistēmas attīstības stratēģijā, un par kuru ministrija saņēmusi apliecinājumu atbilstoši Ministru kabineta 2026. gada 14. aprīļa noteikumu Nr. 204 "Kritēriji un kārtība, kādā valsts piedalās pedagogu darba samaksas finansēšanā vispārējās pamatizglītības un vispārējās vidējās izglītības pakāpē" </w:t>
            </w:r>
            <w:r w:rsidR="00000000" w:rsidRPr="00000000" w:rsidDel="00000000">
              <w:rPr>
                <w:rtl w:val="0"/>
              </w:rPr>
              <w:t xml:space="preserve">18.</w:t>
            </w:r>
            <w:r w:rsidR="00000000" w:rsidRPr="00000000" w:rsidDel="00000000">
              <w:rPr>
                <w:rtl w:val="0"/>
              </w:rPr>
              <w:t xml:space="preserve"> punktam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atbalstāmi veiktie grozījumi šī pielikuma tabulā iekļautās 16.grupas (izglītības iestādes vai to īstenotās izglītības programmas, kurās mācību process tiek organizēts tālmācībā) izglītojamo skaitā pa klašu grupām. No piedāvātās redakcijas izriet, ka minimālais skolēnu skaits 1.-9.klasē vienā tālmācības programmā vienā klasē ir 5 izglītojamie, bet 10.-12.klasē - 10 izglītojamiem, kas ir nesamērīgi mazs izglītojamo skaits. Vienlaikus šie grozījumi veido pretrunu ar 2026. gada 14. aprīļa noteikumos Nr. 205 "Kārtība, kādā aprēķina un sadala valsts budžeta mērķdotāciju pedagogu darba samaksai pašvaldību vispārējās izglītības iestādēs un valsts augstskolu vispārējās vidējās izglītības iestādēs" paredzēto, kas nosaka, ka Izglītības un zinātnes ministrija aprēķina mērķdotāciju izglītības iestādēm vienam mēnesim darba samaksai pedagogiem, kuri īsteno tālmācības un nepilna laika klātienes vispārējās izglītības programmas ņemot vērā klašu komplektu skaitu, pieņemot, ka viena klase (1. klase, 2. klase, 3. klase utt.) ir uz katriem 40 izglītojamiem tālmācības un nepilna laika klātienes izglītības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pielikuma 16. grupā noteiktais minimālais izglītojamo skaits nav interpretējams kā izglītojamo skaits atbilstoši kuram tiek aprēķināts finansējums pilna klašu komplekta apmērā. Minimālais izglītojamo skaits nosaka slieksni, pie kura izglītības iestāde vai tās īstenotā tālmācības izglītības programma atbilst nosacījumiem valsts budžeta finansējuma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budžeta finansējuma apjoms tiek aprēķināts, atbilstoši normēto klašu komplektu skaitam, piemērojot noteikto attiecību - viens klašu komplekts uz katriem 40 izglītojamajiem tālmācības un nepilna laika klātienes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minimālā izglītojamo skaita noteikšana 1.–9. klasē un 10.–12. klasē pati par sevi nerada situāciju, ka attiecīgais izglītojamo skaits tiktu finansēts kā pilna klase. Piemēram, ja tālmācības izglītības programmā ir 50 izglītojamie, finansējuma aprēķinam tiek piemērota attiecība 50/40, proti, 1,25 normētais klašu komplekts, nevis viena pilna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minimālais izglītojamo skaits un normēto klašu komplektu aprēķins regulē atšķirīgus jautājumus un savstarpēji nav pretrunā. Minimālā izglītojamo skaita samazināšana pati par sevi neietekmē finansējuma aprēķina principu un nerada pamatu finansējuma piešķiršanai nesamērīgā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 Kvantitatīvie rādītāji un pieļaujamā svārstība izglītības iestādes klašu grupām: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222"/>
              <w:gridCol w:w="1273"/>
              <w:gridCol w:w="1273"/>
              <w:gridCol w:w="1273"/>
              <w:gridCol w:w="1273"/>
              <w:tblGridChange w:id="0">
                <w:tblGrid>
                  <w:gridCol w:w="2222"/>
                  <w:gridCol w:w="1273"/>
                  <w:gridCol w:w="1273"/>
                  <w:gridCol w:w="127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klašu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4.–6.</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klašu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7.–9.</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klašu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10.–12</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klašu grupa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 Atkarībā no izglītības iestādes atrašanās vietas atbilstoši pašvaldību administratīvi teritoriālajam iedalījumam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II. Atkarībā no izglītības apguves formas, mācību procesa organizācijas vai citiem apstākļiem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sz w:val="24"/>
                <w:rtl w:val="0"/>
              </w:rPr>
              <w:t xml:space="preserve">Piezīmes.</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sz w:val="24"/>
                <w:vertAlign w:val="superscript"/>
                <w:rtl w:val="0"/>
              </w:rPr>
              <w:t xml:space="preserve">1</w:t>
            </w:r>
            <w:r w:rsidR="00000000" w:rsidRPr="00000000" w:rsidDel="00000000">
              <w:rPr>
                <w:sz w:val="24"/>
                <w:rtl w:val="0"/>
              </w:rPr>
              <w:t xml:space="preserve"> Attiecīgajā klašu grupā izglītības iestādei piemēro šajā tabulā minētās 1.–9. grupas kvantitatīvos rādītājus un pieļaujamo svārstību atbilstoši izglītības iestādes atrašanās vietai pašvaldību administratīvi teritoriālo vienību iedalījuma grupā.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2. Pieļaujamo izglītojamo skaita svārstību no noteiktā kvantitatīvā rādītāja klašu grupā atbilstoši šā pielikuma 1. punktam nosaka šādi:</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2.1. 1.–3. un 4.–6. klašu grupā pieļaujama izglītojamo skaita svārstība 25 procentu apmērā no noteiktā kvantitatīvā rādītāja klašu grupā (noapaļojot uz leju);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2.2. 7.–9. un 10.–12. klašu grupā pieļaujama izglītojamo skaita svārstība 10 procentu apmērā no noteiktā kvantitatīvā rādītāja klašu grupā (noapaļojot uz leju).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3. Šā pielikuma 1. punktā minētās 1. un 2. grupas 1.–3., 4.–6. un 7.–9. klašu grupās kvantitatīvais rādītājs tiek samazināts par 50 procentiem tam klašu grupas attiecīgajam klases posmam, kur paralēli vispārizglītojošai klasei izglītojamiem ar garīgās attīstības traucējumiem, smagiem garīgās attīstības traucējumiem vai vairākiem smagiem attīstības traucējumiem mācību process tiek nodrošināts arī speciālās izglītības klasē, ja speciālās izglītības klasē ir vismaz divi izglītojamie (izglītības programmas kodi – 11015811; 23015811, 21015811; 11015911; 23015911; 21015911).</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4. Šā pielikuma 1. punktā minētās 1., 2. un 3. grupas 10.–12. klašu grupā kvantitatīvais rādītājs tiek samazināts par 50 procentiem: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4.1. ja izglītības iestāde vienlaikus ar vispārējās izglītības programmām īsteno arī vidējās profesionālās izglītības programmas;</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4.2. privātās izglītības iestādei, kura īsteno vispārējās vidējās izglītības programmas klātienē un kura kā būtiska pašvaldības izglītības ekosistēmas daļa ir iekļauta pašvaldības apstiprinātā izglītības ekosistēmas attīstības stratēģijā, un par kuru ministrija saņēmusi apliecinājumu atbilstoši Ministru kabineta 2026. gada 14. aprīļa noteikumu Nr. 204 "Kritēriji un kārtība, kādā valsts piedalās pedagogu darba samaksas finansēšanā vispārējās pamatizglītības un vispārējās vidējās izglītības pakāpē" </w:t>
            </w:r>
            <w:r w:rsidR="00000000" w:rsidRPr="00000000" w:rsidDel="00000000">
              <w:rPr>
                <w:rtl w:val="0"/>
              </w:rPr>
              <w:t xml:space="preserve">18.</w:t>
            </w:r>
            <w:r w:rsidR="00000000" w:rsidRPr="00000000" w:rsidDel="00000000">
              <w:rPr>
                <w:rtl w:val="0"/>
              </w:rPr>
              <w:t xml:space="preserve"> punktam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3.grupā 10.-12.kl. posmā noteikt izglītojamo skaitu 90. Uzskatām, ka 3.grupā iekļauto pašvaldību (Balvi, Krāslava, Ludza, Limbaži, Līvāni, Lielvārde, Ikšķile, Preiļi, Gulbene, Madona, Dobele, Talsi, Kuldīga) izglītības iestādēm nav samērīgi noteikt tādu pašu kvantitatīvo rādītāju kā Rīgas, Pierīgas un valstspilsētu pašvaldību izglītības iestādēm, kas ir 1.un 2.grupā.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Pilsētās ar pietiekamu izglītojamo skaitu ir jāspēj nodrošināt vismaz 120 izglītojamos vidusskolas posmā. Ja šo kritēriju nav iespējams sasniegt, vienlaikus uzturot vairākas vidusskolas, pašvaldībai ir jāvērtē sava vidusskolu tīkla ilgtspēja, īpaši ņemot vērā prognozējamo skolēnu skaita būtisko samazinājumu turpmākajos piecos gados demogrāfijas dēļ. Skolēnu koncentrēšana ilgtspējīgās vidusskolās ļauj veidot resursiem ietilpīgākas izglītības iestādes ar plašāku mācību priekšmetu piedāvājumu, pilnvērtīgākām pedagogu slodzēm un lielākām iespējām nodrošināt kvalitatīvu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 Kvantitatīvie rādītāji un pieļaujamā svārstība izglītības iestādes klašu grupām: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222"/>
              <w:gridCol w:w="1273"/>
              <w:gridCol w:w="1273"/>
              <w:gridCol w:w="1273"/>
              <w:gridCol w:w="1273"/>
              <w:tblGridChange w:id="0">
                <w:tblGrid>
                  <w:gridCol w:w="2222"/>
                  <w:gridCol w:w="1273"/>
                  <w:gridCol w:w="1273"/>
                  <w:gridCol w:w="127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klašu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4.–6.</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klašu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7.–9.</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klašu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10.–12</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klašu grupa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 Atkarībā no izglītības iestādes atrašanās vietas atbilstoši pašvaldību administratīvi teritoriālajam iedalījumam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II. Atkarībā no izglītības apguves formas, mācību procesa organizācijas vai citiem apstākļiem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sz w:val="24"/>
                <w:rtl w:val="0"/>
              </w:rPr>
              <w:t xml:space="preserve">Piezīmes.</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sz w:val="24"/>
                <w:vertAlign w:val="superscript"/>
                <w:rtl w:val="0"/>
              </w:rPr>
              <w:t xml:space="preserve">1</w:t>
            </w:r>
            <w:r w:rsidR="00000000" w:rsidRPr="00000000" w:rsidDel="00000000">
              <w:rPr>
                <w:sz w:val="24"/>
                <w:rtl w:val="0"/>
              </w:rPr>
              <w:t xml:space="preserve"> Attiecīgajā klašu grupā izglītības iestādei piemēro šajā tabulā minētās 1.–9. grupas kvantitatīvos rādītājus un pieļaujamo svārstību atbilstoši izglītības iestādes atrašanās vietai pašvaldību administratīvi teritoriālo vienību iedalījuma grupā.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2. Pieļaujamo izglītojamo skaita svārstību no noteiktā kvantitatīvā rādītāja klašu grupā atbilstoši šā pielikuma 1. punktam nosaka šādi:</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2.1. 1.–3. un 4.–6. klašu grupā pieļaujama izglītojamo skaita svārstība 25 procentu apmērā no noteiktā kvantitatīvā rādītāja klašu grupā (noapaļojot uz leju);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2.2. 7.–9. un 10.–12. klašu grupā pieļaujama izglītojamo skaita svārstība 10 procentu apmērā no noteiktā kvantitatīvā rādītāja klašu grupā (noapaļojot uz leju).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3. Šā pielikuma 1. punktā minētās 1. un 2. grupas 1.–3., 4.–6. un 7.–9. klašu grupās kvantitatīvais rādītājs tiek samazināts par 50 procentiem tam klašu grupas attiecīgajam klases posmam, kur paralēli vispārizglītojošai klasei izglītojamiem ar garīgās attīstības traucējumiem, smagiem garīgās attīstības traucējumiem vai vairākiem smagiem attīstības traucējumiem mācību process tiek nodrošināts arī speciālās izglītības klasē, ja speciālās izglītības klasē ir vismaz divi izglītojamie (izglītības programmas kodi – 11015811; 23015811, 21015811; 11015911; 23015911; 21015911).</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4. Šā pielikuma 1. punktā minētās 1., 2. un 3. grupas 10.–12. klašu grupā kvantitatīvais rādītājs tiek samazināts par 50 procentiem: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4.1. ja izglītības iestāde vienlaikus ar vispārējās izglītības programmām īsteno arī vidējās profesionālās izglītības programmas;</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4.2. privātās izglītības iestādei, kura īsteno vispārējās vidējās izglītības programmas klātienē un kura kā būtiska pašvaldības izglītības ekosistēmas daļa ir iekļauta pašvaldības apstiprinātā izglītības ekosistēmas attīstības stratēģijā, un par kuru ministrija saņēmusi apliecinājumu atbilstoši Ministru kabineta 2026. gada 14. aprīļa noteikumu Nr. 204 "Kritēriji un kārtība, kādā valsts piedalās pedagogu darba samaksas finansēšanā vispārējās pamatizglītības un vispārējās vidējās izglītības pakāpē" </w:t>
            </w:r>
            <w:r w:rsidR="00000000" w:rsidRPr="00000000" w:rsidDel="00000000">
              <w:rPr>
                <w:rtl w:val="0"/>
              </w:rPr>
              <w:t xml:space="preserve">18.</w:t>
            </w:r>
            <w:r w:rsidR="00000000" w:rsidRPr="00000000" w:rsidDel="00000000">
              <w:rPr>
                <w:rtl w:val="0"/>
              </w:rPr>
              <w:t xml:space="preserve"> punktam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par veiktajiem precizējumiem, kas sniedz pašvaldībām lielāku elastību un laiku kvalitatīvi pielāgoties jaunajam pedagogu darba samaksas finansēšanas modelim.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noteikumi ir atvērti, joprojām saskatām atsevišķus riskus attiecībā uz Degurba iedalījumu un lūdzam labot atsevišķas nianses.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b w:val="1"/>
                <w:rtl w:val="0"/>
              </w:rPr>
              <w:t xml:space="preserve"> </w:t>
            </w:r>
            <w:r w:rsidR="00000000" w:rsidRPr="00000000" w:rsidDel="00000000">
              <w:rPr>
                <w:rtl w:val="0"/>
              </w:rPr>
              <w:t xml:space="preserve">3. Degurba grupā 10.–12. klašu posmā samazināt minimālo izglītojamo skaitu no 120 uz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Aptaujājot 3. grupā iekļautās Latgales pašvaldības, saņēmām atbildi, ka jau šobrīd 10.–12. klašu posmā noteikto minimālo izglītojamo skaitu novadu centros izdodas sasniegt tikai ar grūtībām. Ņemot vērā demogrāfiskās tendences un prognozējamo skolēnu skaita samazināšanos, tuvākajā perspektīvā 90 izglītojamie būtu optimāls, reālajai situācijai atbilstošs un sasniedzams slieksnis.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pārējās 3. Degurba grupā iekļautās RACA pašvaldības, kurās atrodas attiecīgās izglītības iestādes (ne tikai Latgales pašvaldības) norāda uz līdzīgu risku 10.–12. klašu posmā. Tāpēc aicinām pārvērtēt, cik samērīgi ir 3. grupā iekļautajām RACA pašvaldībām 10.–12. klašu posmā noteikt tādu pašu kvantitatīvo rādītāju kā Rīgas, Pierīgas un valstspilsētu pašvaldību izglītības iestādēm, ņemot vērā būtiski atšķirīgos demogrāfiskos, ģeogrāfiskos un sociālekonomiskos apstākļus, kuros darbojas šo pašvaldību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minētos argumentus un rast samērīgāku risinājumu, 3. Degurba grupā 10.–12. klašu posmā nosakot minimālo izglītojamo skaitu - 90.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atkārtoti izvērtēt pašvaldību administratīvi teritoriālo vienību iedalījumu grupās atsevišķām apdzīvotām vietām, par kuru atbilstību citai grupai norādīts jau arī iepriekš (Aizkraukle, Tukums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ņem vērā paustos apsvērumus par demogrāfiskajām tendencēm un atsevišķu pašvaldību situāciju, tomēr šobrīd neatbalsta ne 10.–12. klašu kvantitatīvā kritērija samazināšanu 3. DEGURBA grupā no 120 uz 90 izglītojamiem, ne atsevišķu administratīvi teritoriālo vienību pārklasificēšanu.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Kvantitatīvie kritēriji jau ir diferencēti atbilstoši teritoriju urbanizācijas pakāpei, savukārt atsevišķu pašvaldību grūtības sasniegt noteikto izglītojamo skaitu nav pietiekams pamats kritērija maiņai visai grupai. Arī DEGURBA klasifikācija nav balstīta tikai iedzīvotāju skaitā vai blīvumā, bet raksturo apdzīvojuma struktūru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pēc jaunās finansēšanas kārtības ieviešanas izvērtēs tās faktisko ietekmi un, balstoties datos un identificētajās problēmsituācijās, vērtēs nepieciešamību pilnveidot gan kvantitatīvos kritērijus, gan to piemērošanas pieeju.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 Kvantitatīvie rādītāji un pieļaujamā svārstība izglītības iestādes klašu grupām: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222"/>
              <w:gridCol w:w="1273"/>
              <w:gridCol w:w="1273"/>
              <w:gridCol w:w="1273"/>
              <w:gridCol w:w="1273"/>
              <w:tblGridChange w:id="0">
                <w:tblGrid>
                  <w:gridCol w:w="2222"/>
                  <w:gridCol w:w="1273"/>
                  <w:gridCol w:w="1273"/>
                  <w:gridCol w:w="1273"/>
                  <w:gridCol w:w="12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klašu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4.–6.</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klašu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7.–9.</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klašu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10.–12</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klašu grupa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 Atkarībā no izglītības iestādes atrašanās vietas atbilstoši pašvaldību administratīvi teritoriālajam iedalījumam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II. Atkarībā no izglītības apguves formas, mācību procesa organizācijas vai citiem apstākļiem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sz w:val="24"/>
                <w:rtl w:val="0"/>
              </w:rPr>
              <w:t xml:space="preserve">Piezīmes.</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sz w:val="24"/>
                <w:vertAlign w:val="superscript"/>
                <w:rtl w:val="0"/>
              </w:rPr>
              <w:t xml:space="preserve">1</w:t>
            </w:r>
            <w:r w:rsidR="00000000" w:rsidRPr="00000000" w:rsidDel="00000000">
              <w:rPr>
                <w:sz w:val="24"/>
                <w:rtl w:val="0"/>
              </w:rPr>
              <w:t xml:space="preserve"> Attiecīgajā klašu grupā izglītības iestādei piemēro šajā tabulā minētās 1.–9. grupas kvantitatīvos rādītājus un pieļaujamo svārstību atbilstoši izglītības iestādes atrašanās vietai pašvaldību administratīvi teritoriālo vienību iedalījuma grupā.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2. Pieļaujamo izglītojamo skaita svārstību no noteiktā kvantitatīvā rādītāja klašu grupā atbilstoši šā pielikuma 1. punktam nosaka šādi:</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2.1. 1.–3. un 4.–6. klašu grupā pieļaujama izglītojamo skaita svārstība 25 procentu apmērā no noteiktā kvantitatīvā rādītāja klašu grupā (noapaļojot uz leju);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2.2. 7.–9. un 10.–12. klašu grupā pieļaujama izglītojamo skaita svārstība 10 procentu apmērā no noteiktā kvantitatīvā rādītāja klašu grupā (noapaļojot uz leju).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3. Šā pielikuma 1. punktā minētās 1. un 2. grupas 1.–3., 4.–6. un 7.–9. klašu grupās kvantitatīvais rādītājs tiek samazināts par 50 procentiem tam klašu grupas attiecīgajam klases posmam, kur paralēli vispārizglītojošai klasei izglītojamiem ar garīgās attīstības traucējumiem, smagiem garīgās attīstības traucējumiem vai vairākiem smagiem attīstības traucējumiem mācību process tiek nodrošināts arī speciālās izglītības klasē, ja speciālās izglītības klasē ir vismaz divi izglītojamie (izglītības programmas kodi – 11015811; 23015811, 21015811; 11015911; 23015911; 21015911).</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4. Šā pielikuma 1. punktā minētās 1., 2. un 3. grupas 10.–12. klašu grupā kvantitatīvais rādītājs tiek samazināts par 50 procentiem: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4.1. ja izglītības iestāde vienlaikus ar vispārējās izglītības programmām īsteno arī vidējās profesionālās izglītības programmas;</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4.2. privātās izglītības iestādei, kura īsteno vispārējās vidējās izglītības programmas klātienē un kura kā būtiska pašvaldības izglītības ekosistēmas daļa ir iekļauta pašvaldības apstiprinātā izglītības ekosistēmas attīstības stratēģijā, un par kuru ministrija saņēmusi apliecinājumu atbilstoši Ministru kabineta 2026. gada 14. aprīļa noteikumu Nr. 204 "Kritēriji un kārtība, kādā valsts piedalās pedagogu darba samaksas finansēšanā vispārējās pamatizglītības un vispārējās vidējās izglītības pakāpē" </w:t>
            </w:r>
            <w:r w:rsidR="00000000" w:rsidRPr="00000000" w:rsidDel="00000000">
              <w:rPr>
                <w:rtl w:val="0"/>
              </w:rPr>
              <w:t xml:space="preserve">18.</w:t>
            </w:r>
            <w:r w:rsidR="00000000" w:rsidRPr="00000000" w:rsidDel="00000000">
              <w:rPr>
                <w:rtl w:val="0"/>
              </w:rPr>
              <w:t xml:space="preserve"> punktam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tiesību akta projektā nav ietverti nosacījumi, kādā veidā valsts nepiedalās tādu izglītības iestāžu finansēšanā, kas nevar nodrošināt nepieciešamo speciālistu (pedagogu) nodrošinājumu savās izglītības iestādēs un tādējādi kvalitatīvu mācību procesa organizāciju. Aicinām izvērtēt iespēju noteikt anotācijā vai MK protokollēmumā turpmāku nepieciešamību izstrādāt noteikumus par izglītības kvalitāti un noteikumu izstrādes termiņu, tādējādi nodrošinot arī atbildīgu reformas ieviešanu atbilstoši valsts noteiktajiem kritērijiem.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tiek īstenota vispārējās izglītības iestāžu tīkla sakārtošana, kuras mērķis ir veidot ilgtspējīgu un efektīvu izglītības iestāžu tīklu, vienlaikus sekmējot izglītības iestāžu iespējas nodrošināt kvalitatīvu izglītības procesu. Izglītības iestāžu tīkla sakārtošana ir vērsta arī uz pedagogu resursu efektīvāku izmantošanu un izglītības iestāžu iespēju piesaistīt izglītības procesa nodrošināšanai nepieciešamos pedagogus.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 izvērtējot izglītības iestāžu tīkla sakārtošanas rezultātus un jaunā pedagogu darba samaksas finansēšanas modeļa ieviešanu, turpinās vērtēt jautājumus, kas saistīti ar izglītības kvalitāti un izglītības iestāžu nodrošinājumu ar nepieciešamajiem pedagogu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apakšpunktu, identificējot visas juridisko personu grupas, kuras noteikumu projekts ietekmē, un raksturojot projekta ietekmi uz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izmaiņas nosacījumos, atbilstoši kuriem valsts piedalās pedagogu darba samaksas finansēšanā pašvaldību, valsts augstskolu un privātajās izglītības iestādēs, tostarp precizē kvantitatīvo rādītāju un pieļaujamās izglītojamo skaita svārstības piemērošanu, finansēšanas nosacījumus tālmācības izglītības programmām un pārejas perioda nosacījumus 10.–12. klašu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2.1. apakšpunktā konkrēti identificēt attiecīgās mērķgrupas un raksturot projekta radīto ietekmi uz 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apakšpunkts ir precizēts, identificējot noteikumu projekta ietekmētās juridisko personu grupas – pašvaldības, privātās izglītības iestādes un valsts augstskolas, kas īsteno vispārējās izglītības programmas, kā arī raksturojot noteikumu projekta ietekmi uz minētajām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atbilstoši pilnveidot anotācijas 7. sadaļu, identificējot noteikumu projekta izpildē iesaistītās institūcijas un izvērtējot projekta ietekmi uz to funkciju izpildi un darba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izmaiņas kvantitatīvo rādītāju un pieļaujamās izglītojamo skaita svārstības piemērošanā, kā arī nosacījumos, atbilstoši kuriem valsts piedalās pedagogu darba samaksas finansēšanā. Vienlaikus anotācijas 1.3. apakšpunktā norādīts uz pašvaldību sniegtās informācijas un Izglītības un zinātnes ministrijas veiktā izvērtējuma izmantošanu regulējuma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7. sadaļā identificēt projekta izpildē iesaistītās institūcijas un raksturot projekta ietekmi uz to darbību, tostarp norādot, vai projekta īstenošana rada izmaiņas institūciju veicamajās darbībās, informācijas apritē vai administratīvajos procesos.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apakšpunkts ir precizēts, identificējot noteikumu projekta izpildē iesaistītās institūcijas, Izglītības un zinātnes ministriju un pašvaldības, kā arī raksturojot noteikumu projekta ietekmi uz to funkciju izpildi, darba procesiem, informācijas apriti un administratīvajiem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noteikumu projekta īstenošana nemaina iesaistīto institūciju funkcijas un nerada būtiskas izmaiņas to darba procesos, informācijas apritē vai administratīvajos procesos, un projekta īstenošana tiek nodrošināta esošo funkciju un administratīvo procesu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kādā valsts piedalās pedagogu darba samaksas finansēšanā vispārējās pamatizglītības un vispārējās vidējās izglītības pakāpē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no Tukuma novada Izglītības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grozījumus Ministru kabineta noteikumos Nr. 204 attiecībā uz tālmācības iespējām 10.–12. klašu posmā, kā arī nepieciešamību pārskatīt izglītības iestāžu pieejamību un skaitu jaunajā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tuvākajā nākotnē pārskatīt Degurbu jeb skolu tīkla izvērtēšanas kritērijus, lai pieņemtie lēmumi nesamērīgi neietekmētu priekšpilsētu skolas. Šo skolu situācija un nozīme vietējām kopienām ir jāvērtē atsevišķi, ņemot vērā to specifisko ģeogrāfisko novietojumu, skolēnu plūsmu un pieejamības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priekšpilsētu skolu dzīvotspēju un kvalitatīvas izglītības pieejamību, 7.–9. klašu posmā būtu nosakāms minimālais skolēnu skaits — 30 izglītojamie. Šāds risinājums palīdzētu saglabāt izglītības pieejamību tuvāk skolēnu dzīvesvietai un novērstu situāciju, kurā reorganizācijas vai optimizācijas rezultātā nepamatoti ciestu priekšpilsētu skolas.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ņem vērā Tukuma novada Izglītības pārvaldes paustos apsvērumus par priekšpilsētu skolu specifiku. DEGURBA pieejas un kvantitatīvo kritēriju piemērošana tiks izvērtēta pēc jaunās finansēšanas kārtības ieviešanas, balstoties uz tās faktiskās ietekmes datiem, tostarp vērtējot izglītības pieejamību, skolēnu plūsmu un identificētās problēmsituācijas.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26-TA-1902</w:t>
    </w:r>
    <w:r>
      <w:br/>
    </w:r>
    <w:r w:rsidR="00000000" w:rsidRPr="00000000" w:rsidDel="00000000">
      <w:rPr>
        <w:rtl w:val="0"/>
      </w:rPr>
      <w:t xml:space="preserve">31.08.2026. 19.54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26-TA-1902</w:t>
    </w:r>
    <w:r>
      <w:br/>
    </w:r>
    <w:r w:rsidR="00000000" w:rsidRPr="00000000" w:rsidDel="00000000">
      <w:rPr>
        <w:rtl w:val="0"/>
      </w:rPr>
      <w:t xml:space="preserve">31.08.2026. 19.54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Izziņa_26-TA-1902.docx</dc:title>
</cp:coreProperties>
</file>

<file path=docProps/custom.xml><?xml version="1.0" encoding="utf-8"?>
<Properties xmlns="http://schemas.openxmlformats.org/officeDocument/2006/custom-properties" xmlns:vt="http://schemas.openxmlformats.org/officeDocument/2006/docPropsVTypes"/>
</file>