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25-TA-3093: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 marta noteikumos Nr. 150 "Emisijas kvotu izsolīšanas instrumenta finansēto projektu atklāta konkursa "Siltumnīcefekta gāzu emisiju samazināšana mājsaimniecībās – atbalsts atjaunojamo energoresursu izmantošanai"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(13.12.2024.)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10.07.2026. 07:40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1)Anotācijā norādīts: 22) precizēts MK noteikumu Nr. 150 52.1. apakšpunkts, papildinot to ar tiesību normu, kas paredz, ka šajā apakšpunktā minētās prasības pārbaudei Tiesu administrācija pēc Vides investīciju fonda pieprasījuma sniedz informāciju par zemesgrāmatā nostiprinātajām projekta iesniedzēja īpašuma tiesībām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lūgums skatīties komentāru noteikumu konsolidētajā versijā pie 52.1.apakšpunkta un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2)Lūgums svītrot: Uz doto brīdi ir saņemti 15 706 pieteikumi atbalstam, kuriem visiem ir veikta zemesgrāmatas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3)Anotācijā norādīts: 22) [..] Minētā informācija nepieciešama, lai Vides investīciju fonds varētu pārliecināties, ka atbalsta pieprasīšana un saņemšana ir nodrošināma atbilstoši MK noteikumos Nr.150 ietvertā regulējuma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precīzāk norādīt informācijas apjomu un tiesisko pamatu datu iegūšanai no VVDZ. Piem., zemesgrāmatas nodalījumā esošie </w:t>
            </w:r>
            <w:r w:rsidR="00000000" w:rsidRPr="00000000" w:rsidDel="00000000">
              <w:rPr>
                <w:rtl w:val="0"/>
              </w:rPr>
              <w:t xml:space="preserve">dati par īpašuma sastāvu un īpašnieku (Zemesgrāmatu likuma 15., 16.p.) nepieciešami, lai Vides investīciju fonds varētu pārliecināties, ka atbalsta pieprasīšana un saņemšana tiek nodrošināta atbilstoši MK noteikumu Nr.150 </w:t>
            </w:r>
            <w:r w:rsidR="00000000" w:rsidRPr="00000000" w:rsidDel="00000000">
              <w:rPr>
                <w:rtl w:val="0"/>
              </w:rPr>
              <w:t xml:space="preserve">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11, 52.1., 3.pielikuma 1.3., 1.4., 1.9. pkt.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 atbilstoši sniegtajiem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Datu subjekta personas dati ierobežotā apjomā (vārds, uzvārds,nekustamā īpašuma adrese un tā kadastra numurs) tiks nodoti: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Tiesu administrācijai (reģ. nr. 90001672316), lai nodrošinātu projekta līgumā iekļauto iekārtu ekspluatāciju un sasaisti ar īpašumu kā tā neatņemamu sastāvdaļu. Šā nosacījuma pārbaudei pēc Vides investīciju fonda pieprasījuma sniedz informāciju no Valsts vienotās datorizētās zemesgrāmatas reģistra par zemesgrāmatā nostiprinātajām projekta iesniedzēja (fiziskās personas) īpašuma tiesībām uz nekustamo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līdz galam saprotams, kādus datus un kādēļ Vides investīciju fonds nodos Tiesu administrācijai. Vides investīciju fonds datus no VVDZ saņems. Lūdzam šo punktu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8.1.13. sadaļa attiecībā uz datu apstrādi.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emisiju samazināšana mājsaimniecībās – atbalsts atjaunojamo energoresursu izmantošanai" (turpmāk – konkurss) nolikumu,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finanšu instrumenta līdzekļu atgūšanas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iepriekš izteikto lūgumu svītrot norādi uz likuma "Par piesārņojumu" 32.</w:t>
            </w:r>
            <w:r w:rsidR="00000000" w:rsidRPr="00000000" w:rsidDel="00000000">
              <w:rPr>
                <w:vertAlign w:val="superscript"/>
                <w:rtl w:val="0"/>
              </w:rPr>
              <w:t xml:space="preserve">2</w:t>
            </w:r>
            <w:r w:rsidR="00000000" w:rsidRPr="00000000" w:rsidDel="00000000">
              <w:rPr>
                <w:rtl w:val="0"/>
              </w:rPr>
              <w:t xml:space="preserve"> pantu, jo tas ir zaudējis spēku. Ņemot vērā izziņā sniegtos skaidrojumus par šādas redakcijas saglabāšanu balstoties uz konsultāciju ar Valsts kancelejas pārstāvjiem u.tml., lūdzam atsauces saglabāšanas nepieciešamību, ar to saistītos praktiskos apsvērumus u.c. saistīto informāciju izvērsti skaidrot arī anotācijas risinājuma apraksta pirmajā apakšpunktā, tiesību normu adresātiem nodrošinot pilnīgu izpratni par plānotā regulējuma pamatotību, atbilstību un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attiecīgo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emisiju samazināšana mājsaimniecībās – atbalsts atjaunojamo energoresursu izmantošanai" (turpmāk – konkurss) nolikumu,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finanšu instrumenta līdzekļu atgūšanas nosacījumus un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projekta līgumā iekļauto iekārtu ekspluatācija un sasaiste ar īpašumu kā neatņemamu tā sastāvdaļu. Šā nosacījuma pārbaudei Tiesu administrācija pēc Vides investīciju fonda pieprasījuma sniedz informāciju par zemesgrāmatā nostiprinātajām projekta iesniedzēja īpašuma tiesībām uz šo noteikumu </w:t>
            </w:r>
            <w:r w:rsidR="00000000" w:rsidRPr="00000000" w:rsidDel="00000000">
              <w:rPr>
                <w:rtl w:val="0"/>
              </w:rPr>
              <w:t xml:space="preserve">9.1.1.</w:t>
            </w:r>
            <w:r w:rsidR="00000000" w:rsidRPr="00000000" w:rsidDel="00000000">
              <w:rPr>
                <w:rtl w:val="0"/>
              </w:rPr>
              <w:t xml:space="preserve">, </w:t>
            </w:r>
            <w:r w:rsidR="00000000" w:rsidRPr="00000000" w:rsidDel="00000000">
              <w:rPr>
                <w:rtl w:val="0"/>
              </w:rPr>
              <w:t xml:space="preserve">9.1.2.</w:t>
            </w:r>
            <w:r w:rsidR="00000000" w:rsidRPr="00000000" w:rsidDel="00000000">
              <w:rPr>
                <w:rtl w:val="0"/>
              </w:rPr>
              <w:t xml:space="preserve">, </w:t>
            </w:r>
            <w:r w:rsidR="00000000" w:rsidRPr="00000000" w:rsidDel="00000000">
              <w:rPr>
                <w:rtl w:val="0"/>
              </w:rPr>
              <w:t xml:space="preserve">9.1.3.</w:t>
            </w:r>
            <w:r w:rsidR="00000000" w:rsidRPr="00000000" w:rsidDel="00000000">
              <w:rPr>
                <w:rtl w:val="0"/>
              </w:rPr>
              <w:t xml:space="preserve">, </w:t>
            </w:r>
            <w:r w:rsidR="00000000" w:rsidRPr="00000000" w:rsidDel="00000000">
              <w:rPr>
                <w:rtl w:val="0"/>
              </w:rPr>
              <w:t xml:space="preserve">9.1.4.</w:t>
            </w:r>
            <w:r w:rsidR="00000000" w:rsidRPr="00000000" w:rsidDel="00000000">
              <w:rPr>
                <w:rtl w:val="0"/>
              </w:rPr>
              <w:t xml:space="preserve">, </w:t>
            </w:r>
            <w:r w:rsidR="00000000" w:rsidRPr="00000000" w:rsidDel="00000000">
              <w:rPr>
                <w:rtl w:val="0"/>
              </w:rPr>
              <w:t xml:space="preserve">9.1.5.</w:t>
            </w:r>
            <w:r w:rsidR="00000000" w:rsidRPr="00000000" w:rsidDel="00000000">
              <w:rPr>
                <w:rtl w:val="0"/>
              </w:rPr>
              <w:t xml:space="preserve"> dzīvojamo māju, </w:t>
            </w:r>
            <w:r w:rsidR="00000000" w:rsidRPr="00000000" w:rsidDel="00000000">
              <w:rPr>
                <w:rtl w:val="0"/>
              </w:rPr>
              <w:t xml:space="preserve">9.1.16.</w:t>
            </w:r>
            <w:r w:rsidR="00000000" w:rsidRPr="00000000" w:rsidDel="00000000">
              <w:rPr>
                <w:rtl w:val="0"/>
              </w:rPr>
              <w:t xml:space="preserve"> apakšpunktā minēto būvi vai uz šo noteikumu  </w:t>
            </w:r>
            <w:r w:rsidR="00000000" w:rsidRPr="00000000" w:rsidDel="00000000">
              <w:rPr>
                <w:rtl w:val="0"/>
              </w:rPr>
              <w:t xml:space="preserve">9.1.6.</w:t>
            </w:r>
            <w:r w:rsidR="00000000" w:rsidRPr="00000000" w:rsidDel="00000000">
              <w:rPr>
                <w:rtl w:val="0"/>
              </w:rPr>
              <w:t xml:space="preserve">, </w:t>
            </w:r>
            <w:r w:rsidR="00000000" w:rsidRPr="00000000" w:rsidDel="00000000">
              <w:rPr>
                <w:rtl w:val="0"/>
              </w:rPr>
              <w:t xml:space="preserve">9.1.7.</w:t>
            </w:r>
            <w:r w:rsidR="00000000" w:rsidRPr="00000000" w:rsidDel="00000000">
              <w:rPr>
                <w:rtl w:val="0"/>
              </w:rPr>
              <w:t xml:space="preserve">, </w:t>
            </w:r>
            <w:r w:rsidR="00000000" w:rsidRPr="00000000" w:rsidDel="00000000">
              <w:rPr>
                <w:rtl w:val="0"/>
              </w:rPr>
              <w:t xml:space="preserve">9.1.8.</w:t>
            </w:r>
            <w:r w:rsidR="00000000" w:rsidRPr="00000000" w:rsidDel="00000000">
              <w:rPr>
                <w:rtl w:val="0"/>
              </w:rPr>
              <w:t xml:space="preserve">, </w:t>
            </w:r>
            <w:r w:rsidR="00000000" w:rsidRPr="00000000" w:rsidDel="00000000">
              <w:rPr>
                <w:rtl w:val="0"/>
              </w:rPr>
              <w:t xml:space="preserve">9.1.9.</w:t>
            </w:r>
            <w:r w:rsidR="00000000" w:rsidRPr="00000000" w:rsidDel="00000000">
              <w:rPr>
                <w:rtl w:val="0"/>
              </w:rPr>
              <w:t xml:space="preserve"> un </w:t>
            </w:r>
            <w:r w:rsidR="00000000" w:rsidRPr="00000000" w:rsidDel="00000000">
              <w:rPr>
                <w:rtl w:val="0"/>
              </w:rPr>
              <w:t xml:space="preserve">9.1.10.</w:t>
            </w:r>
            <w:r w:rsidR="00000000" w:rsidRPr="00000000" w:rsidDel="00000000">
              <w:rPr>
                <w:rtl w:val="0"/>
              </w:rPr>
              <w:t xml:space="preserve"> apakšpunktā minētās dzīvojamās mājas sastāvā esošo dzīvokļa īpašumu, par kuru šī fiziskā persona iesniedz projekta iesniegumu. Informācija tiek iegūta no Valsts vienotās datorizētās zemesgrāmatas;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apakšpunkta redakcijas izriet, ka Vides investīciju fonds sūtīs Tiesu administrācijai pieprasījumus, uz kuriem Tiesu administrācijas darbinieki sagatavos un sniegs atbildes no VVDZ, kas neatbilst faktiskajai situācijai, jo Vides investīciju fonds iegūs datus no VVDZ tiešsaistē. Piedāvājam formulējumu izteikt līdzīgi kā šo noteikumu 13.punktā par datu iegūšanu no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52.1.apakšpunkts atrodas noteikumu X nodaļā Atbalsta saņēmēja pienākumi un atbildība, kur 52.1.apakšpunkts attiecas uz īpašumtiesībām pēc projekta līguma parakstīšanas. Līdz ar to Vides investīciju fondam, pamatojoties uz šo normu, būs tiesības iegūt datus no VVDZ tikai laikā pēc projekta līguma parakstīšanas. Bet Vides investīciju fondam nepieciešami dati no VVDZ arī pieteikuma izskatīšanas laikā, bet par to noteikumos nav. Līdz ar to par datu iegūšanu no VVDZ būtu jāveido atsevišķs punkts citā nodaļā, lai tas attiektos gan uz pieteikuma izvērtēšanu, lēmuma pieņemšanu, gan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investīciju fonds tiešsaistē no valsts vienotās datorizētās zemesgrāmatas iegūst datus par zemesgrāmatā nostiprinātajām projekta iesniedzēja īpašuma tiesībām uz šo noteikumu 9.1.1., 9.1.2., 9.1.3., 9.1.4., 9.1.5. dzīvojamo māju, 9.1.16. apakšpunktā minēto būvi vai uz šo noteikumu  9.1.6., 9.1.7., 9.1.8., 9.1.9. un 9.1.10. apakšpunktā minētās dzīvojamās mājas sastāvā esošo dzīvokļa īpašumu, par kuru šī fiziskā persona iesniedz projekta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03.06.2026. 17:26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projekta saturu ar anotācijā ietverto skaidrojumu. Vēršam uzmanību, ka no anotācijā ietvertā apraksta ir saprotams, ka projekts paredz dažādu kategoriju datu apstrādi, tajā skaitā arī sodāmības datu un informāciju par uzturlīdzekļu parādu apstrādi, lai gan no projekta redakcijas tas neizriet. Turklāt anotācijā norādīts, ka personas datu apstrāde tiek veikta, pamatojoties uz datu subjekta piekrišanu. Norādām, lai personas piekrišana būtu atzīstama par tiesisku, tai ir jāatbilst Vispārīgās datu aizsardzības regulas 7.panta nosacījumiem. Ņemot vērā minēto, lūdzam izvērtēt anotācijas atbilstību projekta saturam un, ja nepieciešams, precizēt 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noteikumu projekta anotācijā, lai salāgotu to ar grozījumu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projekta ietekmes izvērtējumu uz datu aizsardzību un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noteikumu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 Ietekmes novērtējuma veikšanā un anotācijas aizpildīšanā aicinām izmantot Valsts kancelejas 2021. gada vadlīnijas sākotnējās ietekmes novērtēšanai un novērtējuma ziņojuma sagatavošanai vienotajā tiesību aktu izstrādes un saskaņošanas portālā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8. sadaļas 8.1.13.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6</w:t>
            </w:r>
            <w:r w:rsidR="00000000" w:rsidRPr="00000000" w:rsidDel="00000000">
              <w:rPr>
                <w:rtl w:val="0"/>
              </w:rPr>
              <w:t xml:space="preserve"> daļu un </w:t>
            </w:r>
            <w:r w:rsidR="00000000" w:rsidRPr="00000000" w:rsidDel="00000000">
              <w:rPr>
                <w:rtl w:val="0"/>
              </w:rPr>
              <w:t xml:space="preserve">Klimatnoturības un ekonomiskās ilgtspējas likuma</w:t>
            </w:r>
            <w:r w:rsidR="00000000" w:rsidRPr="00000000" w:rsidDel="00000000">
              <w:rPr>
                <w:rtl w:val="0"/>
              </w:rPr>
              <w:t xml:space="preserve"> 15. panta astotās daļas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ietverto skaidrojumu, kā arī to, ka likuma "Par piesārņojumu" 32.</w:t>
            </w:r>
            <w:r w:rsidR="00000000" w:rsidRPr="00000000" w:rsidDel="00000000">
              <w:rPr>
                <w:vertAlign w:val="superscript"/>
                <w:rtl w:val="0"/>
              </w:rPr>
              <w:t xml:space="preserve">2 </w:t>
            </w:r>
            <w:r w:rsidR="00000000" w:rsidRPr="00000000" w:rsidDel="00000000">
              <w:rPr>
                <w:rtl w:val="0"/>
              </w:rPr>
              <w:t xml:space="preserve">pants ir zaudējis spēku, lūdzam precizēt noteikumu izdošanas tiesiskā pamatojuma norādi, svītrojot norādi uz minēto, no likuma izslēgto pilnvarojumu, un attiecīgi - arī noteikumu 1. punktu. Ministru kabineta 2009. gada 3. februāra noteikumu Nr. 108 "Normatīvo aktu projektu sagatavošanas noteikumi" 100. punkts noteic, ka noteikumu projekta pirmajā punktā secīgi raksta vārdus "noteikumi nosaka" un likumā noteikto pilnvarojumu Ministru kabinetam. Ievērojot minēto, nepieciešams atbilstoši precizēt noteikumu 1. punktu. Ja nepieciešams, lūdzam arī precizēt vai papildināt projektu, nodrošinot pilnīgu pilnvarojuma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atsauces saglabāšana uz likuma "Par piesārņojumu" deleģējumu noteikumu grozījumu projekta tiesiskajā pamatojumā ir veikta, balstoties uz konsultāciju ar Valsts kancelejas pārstāvjiem citu atbalsta programmu grozījumu izstrādes ietvaros. Atsauces saglabāšana ir nepieciešama, lai nodrošinātu tiesisko pēctecību, jo šis tiesību akts (MK noteikumi Nr. 150) ir pieņemts laikā, kad minētais likums vēl bija spēkā. Tā kā sagatavotais noteikumu grozījumu projekts paredz tikai atsevišķus grozījumus esošajos noteikumos, nevis pilnīgi jauna regulējuma izdošanu, noteikumu vēsturiskais un sākotnējais tiesiskais pamatojums netiek mainīts. Šo noteikumu juridisko spēku un nepārtrauktību pēc pamatlikuma spēka zaudēšanas uztur jaunā Klimatnoturības un ekonomiskās ilgtspējas likuma pārejas noteikumi. Tiesiskais pamatojums atsauces saglabāšanai uz likumu "Par piesārņojumu" izriet no Klimatnoturības un ekonomiskās ilgtspējas likuma pārejas noteikumu 13. punkta 6. apakšpunkta. Minētā norma skaidri nosaka, ka līdz 2035. gada 31. decembrim ir piemērojami Ministru kabineta 2022. gada 1. marta noteikumi Nr. 150 "Emisijas kvotu izsolīšanas instrumenta finansēto projektu atklāta konkursa "Siltumnīcefekta gāzu emisiju samazināšana mājsaimniecībās — atbalsts atjaunojamo energoresursu izmantošanai" nolikums", ciktāl tie nav pretrunā ar jauno likumu. Tā kā šī pārejas norma juridiski uztur minēto noteikumu spēku un nepārtrauktību, to tiesiskajā pamatojumā ir jāsaglabā sākotnējais deleģējums, uz kura pamata noteikumi savulaik tikuši izdoti.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Nr. 150 1. punkts atbilstoši likumā noteiktajam pilnvarojumam Ministru kabinetam.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6</w:t>
            </w:r>
            <w:r w:rsidR="00000000" w:rsidRPr="00000000" w:rsidDel="00000000">
              <w:rPr>
                <w:rtl w:val="0"/>
              </w:rPr>
              <w:t xml:space="preserve"> daļu un </w:t>
            </w:r>
            <w:r w:rsidR="00000000" w:rsidRPr="00000000" w:rsidDel="00000000">
              <w:rPr>
                <w:rtl w:val="0"/>
              </w:rPr>
              <w:t xml:space="preserve">Klimatnoturības un ekonomiskās ilgtspējas likuma</w:t>
            </w:r>
            <w:r w:rsidR="00000000" w:rsidRPr="00000000" w:rsidDel="00000000">
              <w:rPr>
                <w:rtl w:val="0"/>
              </w:rPr>
              <w:t xml:space="preserve"> 15. panta astotās daļas 2.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koksnes biomasas katls, kas piemērots granulu kurināmajam, vai centrālapkures granulu kamīns;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Iesniedzam atkārtoti iebildumus ar papildinātu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Emisiju tirdzniecības un izsolīšanas instrumenta ienākumi jāizlieto veidā, kas sniegs pēc iespējas lielāku atdevi SEG emisiju samazināšanā un klimata mērķu sasniegšanā. Publiskās investīcijas jāuztver kā sevišķu atbalstu tādam attīstības virzienam, kas ilgtermiņā sabiedrībai ir visvēlamākais un ievērojot sabiedrības nevienlīdzības mazināšanas principus. Investīcijas biomasas katlu iegādei individuālajā siltumapgādē nevar uzskatīt par efektīvāko šo ierobežoto līdzekļu izlietošanu.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līdzekļu izlietošana, atbalstot koksnes biomasas katlu iegādi, nav atbalstāma (16.1.1.), ņemot vērā nepieciešamību ilgtermiņā mazināt meža biomasas lomu siltumenerģijas ražošanā Latvijā, jo ZIZIMM sektora oglekļa emisiju/piesaistes izaicinājums nākotnē rada iespējamību meža biomasai vairs netikt atzītai par atjaunīgo energoresursu, kā arī saistībā ar Latvijā esošo augsto mežistrādes intensitāti un bioloģiskajai daudzveidībai nelabvēlīgas mežsaimnieciskas prakses (kailciršu) augsto izplatību. Bioloģiskajai daudzveidībai nelabvēlīgas mežistrādes saistība ar granulu/ šķeldas ražošanu ir pierādīta, jo tas, kas mežistrādē tiek uzskatīts par "atkritumiem" vai "atlikumiem", bieži ir primārā koksne jeb koki, kas nav piemēroti augstvērtīgu kokmateriālu ražošanai (dobumaini, krituši u.c.), kas savukārt ir būtiskas sugu dzīvotnes, kurām būtu jāpaliek mežā. Turklāt pilsētās nav vēlama granulu katlu sevišķa atbalstīšana ar publiskajiem līdzekļiem, ņemot vērā gaisa kvalitātes izaicinājumus, vairākām lielajām pilsētām jau pārsniedzot sabiedrības veselībai pieļaujamo līmeni. Tā vietā ir atbalstāmi bezemisiju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Granulu katlu iegādes izmaksas ir zemākas nekā siltumsūkņiem, iedzīvotājiem ir iespējas izmantot privātos līdzekļus, ja ir vēlme izvēlēties tieši šo siltumapgādes veidu. Publiskajiem līdzekļiem ir jākalpo, lai tālredzīgi virzītu attīstību sabiedrībā uz to tehnoloģisko risinājumu, kas sakrīt ar Enerģētikas stratēģijā iecerēto, kas ir enerģētikas un citu sektoru elektrifikācija.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Individuālajā siltumapgādē publiskā finansējuma atbalsts jauniem biomasas katliem sniedzams būtu tikai hibrīdsistēmās ar bezizmešu risinājumiem, siltumsūkni vai saules kolektoru (noteiktos gadījumos, ārpus pilsētu, ciemu teritorijām, kur ir augstāks risks elektroenerģijas padeves traucējumiem).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esoša fosilos energoresursus vai koksnes biomasas, kas piemērots malkas vai granulu kurināmajam, izmantojoša apkures katla nomaiņa pret jaunu siltumenerģijas ražošanas iekārtu un šādas siltumenerģiju ražojošas iekārtas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saules kolektoru sistēma ar akumulācijas tvertni;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 siltumsūknis (gaiss, ūdens,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16.1.3. koksnes biomasas katls, kas piemērots granulu kurināmajam, vai centrālapkures granulu kamīns, hibrīdsistēmā ar 16.1.1. vai 16.1.2. punktā minētajām iekārtām, ja mājsaimniecība atrodas ārpus pilsētas.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uztur publiskajā apspriešanā sniegto viedokli par iebildumā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siltumapgādes pilnīga elektrifikācija un pāreja uz bezemisiju risinājumiem, piemēram, siltumsūkņu ierīkošanu un izmantošanu, ir viennozīmīgs stratēģiskais mērķis, tūlītēja atteikšanās no atbalsta moderniem koksnes biomasas katliem mājsaimniecībās šobrīd radītu pretēju efektu vēlamajam.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procesu uz bezemsiju siltumenerģijas ražošanas iekārtu ieviešanu nav iespējams atraut no sabiedrības maksātspējas, jo pretējā gadījumā tiktu būtiski palielināts enerģētiskās nabadzības risks. Siltumsūkņa uzstādīšana nav tikai pašas iekārtas iegāde, tā bieži pieprasa apjomīgus papildu ieguldījumus mājokļa siltināšanā, radiatoru sistēmas nomaiņā un elektrotīkla jaudas palielināšanā, kas mazāk nodrošinātām mājsaimniecībām varētu radīt papilus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finansējums tiktu novirzīts tikai dārgākajām bezemisiju tehnoloģijām, publiskais atbalsts kļūtu par privilēģiju maksātspējīgākiem iedzīvotājiem. Šī konkursa mērķis turpretī ir nodrošināt sociāli līdzsvarotu un iekļaujošu pāreju, padarot modernizāciju sasniedzamu visai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jaunākās paaudzes koksnes biomasas katlu, kas atbilst ekodizaina prasībām, investīciju izmaksas ir zemākas, valsts par to pašu ierobežoto publisko līdzekļu apjomu spēj sniegt finansiālu atspaidu ievērojami lielākam mājsaimniecību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masveidā aizstājot vēsturiskās un visvairāk piesārņojošās fosilā kurināmā iekārtas (akmeņogles, dīzeļdegvielu) vai nolietotās malkas krāsnis ar efektīviem koksnes biomasas katliem, tiek sasniegts tūlītējs, plašs un būtisks SEG emisiju samazinājums par katru ieguldīto publisko līdzekļu eiro. Tas ļauj valstij sasniegt tās tūlītējos klimata mērķus daudz straujāk, negaidot, kamēr katra mājsaimniecība spēs veikt pilnu ēkas renovāciju.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meža biomasu, atbalsts konkursa ietvaros tiek piešķirts, stingri ievērojot Eiropas Savienības Atjaunojamo energoresursu direktīvas Nr. 2023/2413 (RED III) ilgtspējas un SEG emisiju ietaupījuma kritērijus. Granulu ražošanā primāri izmanto kokapstrādes atlikumus (skaidas, mizu) un mazvērtīgu koksni, kas citādi netiktu izmantota augstākas pievienotās vērtības produktos. Līdz ar to šis atbalsts neveicina kailcirtes, bet gan sekmē efektīvu vietējo resursu aprites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atbalstu tikai un vienīgi jaunākās paaudzes koksnes biomasas katliem/kamīniem, kas atbilst ekodizaina prasībām. Šīm iekārtām ir automatizēta degšanas kontrole, kas nodrošina minimālas daļiņu (PM2.5 un PM10) un slāpekļa oksīdu (NOx) emisijas. Vēsturisko malkas krāšņu aizstāšana ar šādām iekārtām gaisa kvalitāti pilsētās uzlabos, nevis pasliktinās.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Biomasas kā vietējā resursa izmantošana nodrošina enerģētisko neatkarību un diversifikāciju, mazinot riskus, kas saistīti ar elektroapgādes traucējumiem vai biržas cenu svārstībām.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koksnes biomasas katls, kas piemērots granulu kurināmajam, vai centrālapkures granulu kamīns;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r w:rsidR="00000000" w:rsidRPr="00000000" w:rsidDel="00000000">
              <w:rPr>
                <w:vertAlign w:val="superscript"/>
                <w:rtl w:val="0"/>
              </w:rPr>
              <w:t xml:space="preserve">2</w:t>
            </w:r>
            <w:r w:rsidR="00000000" w:rsidRPr="00000000" w:rsidDel="00000000">
              <w:rPr>
                <w:rtl w:val="0"/>
              </w:rPr>
              <w:t xml:space="preserve"> esoša fosilos energoresursus vai koksnes biomasas, kas piemērots malkas vai granulu kurināmajam, izmantojoša apkures katla papildināšana ar jaunu siltumenerģijas ražošanas iekārtu (hibrīdsistēmas izmantošana) un šādas siltumenerģiju ražojošas iekārtas iegāde: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Iesniedzam atkārtoti iebildumus ar papildinātu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esoša fosilo energoresursus patērējošas iekārtas papildināšana hibrīdsistēmā ar jebkura veida atjaunīgo risinājumu, jo kaut arī esošajā situācijā, kad elektroenerģijas cena ziemā var būt augsta, un vienlaikus ļoti aukstā laikā siltumsūkņa efektivitāte krītās un attiecīgi elektroenerģijas izmaksas var kļūt pārlieku augstas, reģionā ir paredzams saražotās atjaunīgās elektroenerģijas pieaugums, tai skaitā ziemā, kas pēc dažiem gadiem šādus nevēlamus brīžus mazinās. Ieguldījumi tehnoloģiskajos risinājumos ir jāvērtē ilgtermiņā (vismaz 15 gadi), tādēļ hibrīdsistēmas ar esošām fosilos energoresursus patērējošām iekārtām nav atbalstāmas. Lai mazinātu riskus, kas saistīti ar dažām nedēļām vai mēnesi gadā, kad liela aukstuma dēļ elektroenerģijas izmaksas var kļūt pārlieku augstas, izmantojot siltumsūkni, ir rodami citi atbalsta mehānismi šajos periodos (EIKIS atbalsts, PVN likmes samazināšana elektroenerģijai siltumapgādē, izlīdzinātais elektroenerģijas maksājums vai citi), nevis fosilo energoresursu izmantošanas paildzināšana un "lock-in" efekta radīšana.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esošajā noteikumu redakcijā nav noteiktas prasības šādas sistēmas ekspluatācijai (piemēram, ja gāzes cena kļūst zemāka, kā nodrošināt to, ka atbalstu saņēmusī mājsaimniecība siltumsūkni izmanto pietiekamā noslodzē, lai ieguldītie publiskie līdzekļu būtu atzīstami par lietderīgiem?). Arī anotācijā tam nav sniegs skaidrojums. Attiecīgi šādas investīcijas var netieši paildzināt fosilos energoresursus patērējošu katlu ekspluatāciju. Turklāt par dabasgāzes pieslēgumu ir jāmaksā fiksētais ikmēneša maksājums, arī fosilajam katlam būs nepieciešama regulāra apkope (un arī jaunajai, atjaunīgajai komponentei). Nav vērtēts, vai situācijās, ja mājsaimniecība visu gadu gāzes katlu neizmanto, bet ieslēdz to tikai ziemā, aukstajā periodā, tas neradīs risku, ka katls nav darba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vēl - ja esošajiem fosilajiem katliem netiek noteiktas prasības (piemēram, ka tas nav vecāks par 5 gadiem, kā arī efektivitātes standarti), tad, ja fosilais katls ir vecāks un sasniedz ekspluatācijas laika beigas ātrāk nekā jaunākā atjaunīgā komponente, nav skaidrs, ko mājsaimniecība izvēlētos darīt, ja atjaunīgās komponentes uzstādītā jauda nebūtu pietiekama, lai segtu visas apkures vajadzības.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atbalstāma tikai esoša koksnes biomasas (malka, granulas) izmantojoša apkures katla papildināšana (hibrīdsistēmā) ar jaunu bezizmešu siltumenerģijas ražošanas iekārtu.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r w:rsidR="00000000" w:rsidRPr="00000000" w:rsidDel="00000000">
              <w:rPr>
                <w:vertAlign w:val="superscript"/>
                <w:rtl w:val="0"/>
              </w:rPr>
              <w:t xml:space="preserve">2</w:t>
            </w:r>
            <w:r w:rsidR="00000000" w:rsidRPr="00000000" w:rsidDel="00000000">
              <w:rPr>
                <w:rtl w:val="0"/>
              </w:rPr>
              <w:t xml:space="preserve"> esoša koksnes biomasas, kas piemērots malkas vai granulu kurināmajam, izmantojoša apkures katla papildināšana ar jaunu siltumenerģijas ražošanas iekārtu (hibrīdsistēmas izmantošana) un šādas siltumenerģiju ražojošas iekārtas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r w:rsidR="00000000" w:rsidRPr="00000000" w:rsidDel="00000000">
              <w:rPr>
                <w:vertAlign w:val="superscript"/>
                <w:rtl w:val="0"/>
              </w:rPr>
              <w:t xml:space="preserve">2</w:t>
            </w:r>
            <w:r w:rsidR="00000000" w:rsidRPr="00000000" w:rsidDel="00000000">
              <w:rPr>
                <w:rtl w:val="0"/>
              </w:rPr>
              <w:t xml:space="preserve">1. saules kolektoru sistēma ar akumulācijas tvertni;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r w:rsidR="00000000" w:rsidRPr="00000000" w:rsidDel="00000000">
              <w:rPr>
                <w:vertAlign w:val="superscript"/>
                <w:rtl w:val="0"/>
              </w:rPr>
              <w:t xml:space="preserve">2</w:t>
            </w:r>
            <w:r w:rsidR="00000000" w:rsidRPr="00000000" w:rsidDel="00000000">
              <w:rPr>
                <w:rtl w:val="0"/>
              </w:rPr>
              <w:t xml:space="preserve">2. siltumsūknis (gaiss, ūdens, zeme);"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uztur publiskajā apspriešanā sniegto viedokli par iebildumā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uzskatāmi parādīja šīs ziemas klimatiskie  apstākļi un ekstremālās pīķa stundas elektroenerģijas tirgū, pilnīga pāreja tikai uz siltumsūkņiem esošajā ēku fondā rada būtiskus riskus. Ļoti aukstā laikā siltumsūkņu efektivitāte neizbēgami krītas, kā rezultātā strauji pieaug elektroenerģijas patēriņš un mājsaimniecību izmaksas. Hibrīdsistēmā esošais apkures katls kalpo tieši kā nepieciešamā pīķa slodzes vai rezerves jauda šādos ekstremālos brīžos, garantējot nepārtrauktu siltumapgādi un pasargājot iedzīvotājus no finansiāliem triecieniem. Turklāt, Latvijas nesenā pieredze ar koksnes biomasas un granulu tirgus krīzi (straujš cenu lēciens un resursu deficīts) skaidri apliecina, ka pilnīga paļaušanās tikai uz vienu kurināmā veidu ir ar augstu risku. Hibrīdsistēmas sniedz mājsaimniecībām kritiski svarīgu energoresursu diversifikāciju. Enerģētiskā elastība ļauj elastīgi reaģēt uz tirgus svārstībām un garantē drošību krīzes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Hibrīdsistēmu atbalstīšana ir pārbaudīta un plaši izmantota prakse daudzās Eiropas valstīs. Saskaņā ar Eiropas siltumsūkņu asociācijas datiem, līdzīgi atbalsta instrumenti hibrīdsistēmām tiek sekmīgi piemēroti tādās valstīs kā Vācija (kur tiek spēcīgi subsidēta siltumsūkņu integrācija ar esošiem gāzes katliem kā pīķa jaudu), Igaunija (kur esošais gāzes katls drīkst palikt un veidot hibrīdu ar jaunu siltumsūkni gaisa kvalitātes uzlabošanai), kā arī Lietuvā, Beļģijā, Čehijā, Francijā, Itālijā, Nīderlandē, Polijā, Slovākijā un Zviedrijā.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elektroenerģijas ražošanas jaudas reģionā (vēja un saules parki) tuvākajos gados strauji pieaugs, tas pilnībā neatrisina sistēmas fiziskos ierobežojumus ekstremāla sala periodos. Ļoti aukstā laikā siltumsūkņu efektivitātes koeficients krītas, un to elektroenerģijas patēriņš strauji pieaug. Ja tūkstošiem mājsaimniecību vienlaikus pārslēgtos tikai uz elektroapgādi, tas radītu milzīgu pīķa slodzi uz sadales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Hibrīdsistēma šajos kritiskajos momentos (dažas nedēļas gadā) kalpo kā drošības buferis – tā ļauj automātiski pieslēgt esošo katlu, mazinot slodzi uz elektrotīklu un pasargājot patērētāju no milzīgiem biržas cenu lēcieniem.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ekstremāla aukstuma periodos un pīķa stundās izmantot tādus fiskālos mehānismus kā PVN likmes samazināšana elektroenerģijai siltumapgādē, jānorāda, ka šāda pieeja nav uzskatāma par piemērotu vai efektīvu risinājumu, jo jebkuru izmaiņu veikšana nodokļu piemērošanā prasa laika ietilpīgu tiesiskā regulējuma izstrādes procesu. Specifisku valsts atbalsta noteikumu saskaņošana tiesību aktu līmenī aizņem ievērojamu laiku, tādēļ tas nespētu kalpot kā tūlītējs risinājums krīzes situācijā – kamēr tiktu izstrādāti, starpinstitucionāli saskaņoti un apstiprināti nepieciešamie Ministru kabineta noteikumi vai likumu grozījumi, dažu nedēļu ilgais aukstuma vilnis jau būtu noslēdzies, padarot šo instrumentu novēlotu tam paredzētajā brīdī. Tāpat ir jāņem vērā tehniskā un operatīvā neiespējamība reāllaikā, jo nodokļu likmes operatīva un īslaicīga "ieslēgšana" un "izslēgšana" atkarībā no pēkšņām gaisa temperatūras svārstībām vai konkrētām diennakts pīķa stundām praktiski nav realizējama. Turklāt tas radītu nesamērīgu administratīvo slogu norēķinos, jo diferencēta PVN piemērošana, mēģinot sistēmiski nodalīt tieši siltumapgādei jeb siltumsūknim patērēto elektroenerģiju no pārējā mājsaimniecības ikdienas patēriņa, uzliktu milzīgu tehnisko slogu elektroenerģijas tirgotājiem un sadales tīkla operatoram norēķinu un uzskaites sistēmu pielāgošanā. Līdz ar to, atšķirībā no šādiem lēni reaģējošiem un administratīvi smagnējiem fiskālajiem instrumentiem, hibrīdsistēmas izmantošana nodrošina tūlītēju, autonomu un tehniski elastīgu risinājumu pašā mājsaimniecībā, kas reaģē acumirklī, tiklīdz āra temperatūra nokrītas zem kritiskās robežas, sniedzot tūlītēju ekonomisko aizsardzību iedzīvotājiem bez nepieciešamības gaidīt jaunus valdības lēmumus vai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r w:rsidR="00000000" w:rsidRPr="00000000" w:rsidDel="00000000">
              <w:rPr>
                <w:vertAlign w:val="superscript"/>
                <w:rtl w:val="0"/>
              </w:rPr>
              <w:t xml:space="preserve">2</w:t>
            </w:r>
            <w:r w:rsidR="00000000" w:rsidRPr="00000000" w:rsidDel="00000000">
              <w:rPr>
                <w:rtl w:val="0"/>
              </w:rPr>
              <w:t xml:space="preserve"> esoša fosilos energoresursus vai koksnes biomasas, kas piemērots malkas vai granulu kurināmajam, izmantojoša apkures katla papildināšana ar jaunu siltumenerģijas ražošanas iekārtu (hibrīdsistēmas izmantošana) un šādas siltumenerģiju ražojošas iekārtas iegāde: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6</w:t>
            </w:r>
            <w:r w:rsidR="00000000" w:rsidRPr="00000000" w:rsidDel="00000000">
              <w:rPr>
                <w:rtl w:val="0"/>
              </w:rPr>
              <w:t xml:space="preserve"> daļu un </w:t>
            </w:r>
            <w:r w:rsidR="00000000" w:rsidRPr="00000000" w:rsidDel="00000000">
              <w:rPr>
                <w:rtl w:val="0"/>
              </w:rPr>
              <w:t xml:space="preserve">Klimatnoturības un ekonomiskās ilgtspējas likuma</w:t>
            </w:r>
            <w:r w:rsidR="00000000" w:rsidRPr="00000000" w:rsidDel="00000000">
              <w:rPr>
                <w:rtl w:val="0"/>
              </w:rPr>
              <w:t xml:space="preserve"> 15. panta astotās daļas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vai tiesību akta izdošanas pamatojumā būtu jāsvītro likuma "Par piesārņojumu" 32.</w:t>
            </w:r>
            <w:r w:rsidR="00000000" w:rsidRPr="00000000" w:rsidDel="00000000">
              <w:rPr>
                <w:vertAlign w:val="superscript"/>
                <w:rtl w:val="0"/>
              </w:rPr>
              <w:t xml:space="preserve">2 </w:t>
            </w:r>
            <w:r w:rsidR="00000000" w:rsidRPr="00000000" w:rsidDel="00000000">
              <w:rPr>
                <w:rtl w:val="0"/>
              </w:rPr>
              <w:t xml:space="preserve">pants, ievērojot, ka tas ir zaudējis spēku ar 12.12.2025.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atsauces saglabāšana uz likuma "Par piesārņojumu" deleģējumu noteikumu grozījumu projekta tiesiskajā pamatojumā ir veikta, balstoties uz konsultāciju ar Valsts kancelejas pārstāvjiem citu atbalsta programmu grozījumu izstrādes ietvaros. Atsauces saglabāšana ir nepieciešama, lai nodrošinātu tiesisko pēctecību, jo šis tiesību akts (MK noteikumi Nr. 150) ir pieņemts laikā, kad minētais likums vēl bija spēkā. Tā kā sagatavotais noteikumu grozījumu projekts paredz tikai atsevišķus grozījumus esošajos noteikumos, nevis pilnīgi jauna regulējuma izdošanu, noteikumu vēsturiskais un sākotnējais tiesiskais pamatojums netiek mainīts. Šo noteikumu juridisko spēku un nepārtrauktību pēc pamatlikuma spēka zaudēšanas uztur jaunā Klimatnoturības un ekonomiskās ilgtspējas likuma pārejas noteikumi. Tiesiskais pamatojums atsauces saglabāšanai uz likumu "Par piesārņojumu" izriet no Klimatnoturības un ekonomiskās ilgtspējas likuma pārejas noteikumu 13. punkta 6. apakšpunkta. Minētā norma skaidri nosaka, ka līdz 2035. gada 31. decembrim ir piemērojami Ministru kabineta 2022. gada 1. marta noteikumi Nr. 150 "Emisijas kvotu izsolīšanas instrumenta finansēto projektu atklāta konkursa "Siltumnīcefekta gāzu emisiju samazināšana mājsaimniecībās — atbalsts atjaunojamo energoresursu izmantošanai" nolikums", ciktāl tie nav pretrunā ar jauno likumu. Tā kā šī pārejas norma juridiski uztur minēto noteikumu spēku un nepārtrauktību, to tiesiskajā pamatojumā ir jāsaglabā sākotnējais deleģējums, uz kura pamata noteikumi savulaik tikuši izdoti.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informācija, kā tiks nodrošināta demarkācija ar Ministru kabineta 2023.gada 4.aprīļa noteikumiem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skaidrojumu par demarkāciju starp atsevišķām atbalsta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vairākas potenciālās izmaiņas var negatīvi ietekmēt EKII finansējuma izlietošanas efektivitāti. Piemēram, atbalsta intensitātes palielināšana. Savukārt Fizikālā Enerģētikas institūta aprēķini, kas veikti "PROJEKTS NR. LV-CLIMATE-0001 “KLIMATA PĀRMAIŅU POLITIKAS INTEGRĀCIJA NOZARU UN REĢIONĀLAJĀ POLITIKĀ”" ietvaros, norāda, ka pasākumi "Biomasas apkures katla nomaiņa ēkā, uzstādot jaunu energoefektīvu biomasas katlu" un "Siltumsūkņu uzstādīšana ēku siltumapgādei, aizvietojot biomasas kurināmo izmantojošu apkures tehnoloģiju" ir ar salīdzinoši ļoti zemu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vai piedāvātie grozījumi esošajā redakcijā potenciāli nesamazinās izlietotā EKII finansējuma potenciālo 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iepazinusies ar pētījuma datiem attiecībā uz atsevišķu pasākumu tiešo siltumnīcefekta gāzu emisiju samazināšanas efektivitāti, taču, vērtējot programmu mājsaimniecību sektorā, ir nepieciešams piemērot kompleksu pieeju. Nolietotu un mazefektīvu biomasas iekārtu nomaiņa pret moderniem katliem vai siltumsūkņiem būtiski paaugstina apkures sistēmu lietderības koeficientu, tādējādi tieši samazinot primārās enerģijas patēriņu un vienlaikus risinot kritisko smalko putekļu daļiņu (PM2.5) radīto gaisa piesārņojumu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ir būtiski nodrošināt papildus finansiālu atbalstu dažādu pasākumu īstenošanai Latvijas Goda ģimenes apliecības turētājiem, tādējādi atbalsta intensitātes palielināšana ir sociālekonomiski pamatota, jo sniedz paaugstinātu līdzfinansējumu mērķgrupai, kurai sākotnējās investīcijas atjaunojamo energoresursu tehnoloģiju uzstādīšanā bieži vien ir apgrūtinātas. Līdz ar to noteikumu grozījumu projektā iestrādātie nosacījumi šobrīd ir optimāli sabalansēti un nodrošina racionālu finansējuma izlietojumu.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anotācijā ietvertās informācijas aktualitāti un atbilstību projektā paredzētajam regulējumam (piemēram, par noteikumu 12. punktā ietverto regulējumu (kurš citstarp ar projektu </w:t>
            </w:r>
            <w:r w:rsidR="00000000" w:rsidRPr="00000000" w:rsidDel="00000000">
              <w:rPr>
                <w:u w:val="single"/>
                <w:rtl w:val="0"/>
              </w:rPr>
              <w:t xml:space="preserve">netiek</w:t>
            </w:r>
            <w:r w:rsidR="00000000" w:rsidRPr="00000000" w:rsidDel="00000000">
              <w:rPr>
                <w:rtl w:val="0"/>
              </w:rPr>
              <w:t xml:space="preserve"> grozīts), tostarp 12.6. apakšpunktā paredzētā nosacījuma pārbaudi, kā arī tabulu saistībā ar 12. punktā uzskaitītajiem izslēgšanas nosacījumiem). Proti, pirmšķietami. nav skaidra attiecīgās informācijas saistība ar projektā ietverto regulējumu un attiecīgi arī ietveršanas anotācijā nepieciešamība.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svītrojot tajā kļūdaini ietverto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"Latvijas Goda ģimenes apliecības priekšrocības tiek piemērotas arī ģimenēm, kuras aprūpē bērnu ar invaliditāti vai pilngadīgu personu, kura nav sasniegusi 24 gadu vecumu un kurai noteikta I vai II grupas invaliditāte, kas savukārt </w:t>
            </w:r>
            <w:r w:rsidR="00000000" w:rsidRPr="00000000" w:rsidDel="00000000">
              <w:rPr>
                <w:u w:val="single"/>
                <w:rtl w:val="0"/>
              </w:rPr>
              <w:t xml:space="preserve">nebija iekļauta kā mērķgrupa konkursa ietvaros</w:t>
            </w:r>
            <w:r w:rsidR="00000000" w:rsidRPr="00000000" w:rsidDel="00000000">
              <w:rPr>
                <w:rtl w:val="0"/>
              </w:rPr>
              <w:t xml:space="preserve">". Aicinām precizēt skaidrojumu, jo persona, kam ir Goda ģimenes apliecība, ja vien tā atbilst noteikumos paredzētajiem nosacījumiem, arī pašreiz var pretendēt uz atbalstu, vienlaikus ar projektu paredzēta </w:t>
            </w:r>
            <w:r w:rsidR="00000000" w:rsidRPr="00000000" w:rsidDel="00000000">
              <w:rPr>
                <w:u w:val="single"/>
                <w:rtl w:val="0"/>
              </w:rPr>
              <w:t xml:space="preserve">lielāka atbalsta intensitāte</w:t>
            </w:r>
            <w:r w:rsidR="00000000" w:rsidRPr="00000000" w:rsidDel="00000000">
              <w:rPr>
                <w:rtl w:val="0"/>
              </w:rPr>
              <w:t xml:space="preserve"> attiecīgajam personu lokam (proti, veiktas izmaiņas noteikumu 15. punktā). Alternatīvi aicinām izvērstāk pamatot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lai skaidrāk norādītu uz paredzēto grozījumu 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Konkursa ietvaros pieļaujamā atbalsta intensitāte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("Zaļā brīvība" - 07.06.2026.)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atbalstāma paaugstināta atbalsta intensitāte personām, kurām ir piešķirta Latvijas Goda ģimenes apliecība.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mazinātu finansiālo šķērsli mājsaimniecībām ar zemiem ienākumiem izmantot atbalsta iespējas, rosinām papildināt noteikumus ar iespēju saņemt augstāku atbalsta intensitāti (85%) mājsaimniecībām, kuras atbilstoši EIKIS ir enerģētiskās nabadzības riskam pakļautas mājsaimniecības (negaidot Sociālā klimata fonda investīciju realizācijas sākšanos) un 1. pielikuma 2., 3. un 4. tabulā nozīmīgi paaugstinot maksimālā atbalsta sliekšņus. Sociālā klimata fonda (SKF) investīciju realizācija var netikt uzsākta vēl pusotru vai pat divus gadus (turklāt arī tie līdzekļi būs ierobežoti un nespēs aptvert visas mājsaimniecības, kurām šāds atbalsts noderētu), tādēļ nav pieņemams pamatojums, ka šo jautājumu risinās SKF ietvaros un tāpēc konkrētā EKII programmā tas nav jāietver.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85 % no siltumenerģijas vai elektroenerģijas ražošanas iekārtas iegādes izmaksām, ja atbalsta saņēmējs ir persona, kurai ir piešķirta Latvijas Goda ģimenes apliecība vai tā atbilst EIKIS enerģētiskās nabadzības riskam pakļautas mājsaimniecības statusam, nepārsniedzot šo noteikumu 1. pielikumā noteikto maksimālo atbalsta apmēru atkarībā no konkrētās atjaunīgo energoresursu iekārtas un tās parametriem;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nabadzības riskam pakļauto un  mazaizsargāto mājsaimniecību sociāli taisnīga atbalstīšana ir viena no prioritātēm, taču tā kompleksi un specifiski tiks risināta Sociālā klimata fonda (SKF) ietvaros. SKF ir mērķtiecīgi veidots finanšu avots ar atsevišķu nosacījumu satvaru, kas ir pilnībā pielāgots tieši sociāli jutīgāko sabiedrības grupu vajadzībām, tostarp paredzot augstākas atbalsta intensitātes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Lielākas atbalsta intensitātes noteikšana vai maksimālā atbalsta apmēra sliekšņu (MK noteikumu Nr.150 1.pielikuma tabulas) paaugstināšana ar šiem grozījumiem netiek plānota, balstoties uz līdzšinējo pieredzi un tirgus datiem, proti, pēdējo gadu laikā atjaunīgo energoresursu izmatojošo iekārtu — it īpaši saules paneļu, invertoru un saistīto komponentu — iegādes un uzstādīšanas izmaksas tirgū ir samazinājušās. Līdz ar to Goda ģimenes kartes turētājiem (t.sk. daudzbērnu ģimenēm) noteiktā paaugstinātā atbalsta intensitāte (85% apmērā) praksē darbosies efektīvi un sniegs būtisku atspaidu, neskatoties uz absolūto sliekšņu saglabāšanu līdzšinējā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atbalsta apmēra finanšu instrumenta ietvaros nepamatota paaugstināšana šī brīža tirgus apstākļos neatbilstu publisko līdzekļu racionālas un efektīvas izmantošanas principam, kā arī samazinātu kopējo mājsaimniecību skaitu, kurām būtu iespēja saņemt atbalstu konkursa ietvaros. Ņemot vērā augstāk minēto iekārtu cenu kritumu tirgū, pašreizējie finansējuma limiti joprojām kalpo kā spēcīgs un stimulējošs atbalsta instruments, kas nodrošina optimālu līdzsvaru starp individuālo mājsaimniecību finansiālo ieguvumu un konkursa kopējo ilgtspēju.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Konkursa ietvaros pieļaujamā atbalsta intensitāte nepārsniedz:</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25-TA-3093</w:t>
    </w:r>
    <w:r>
      <w:br/>
    </w:r>
    <w:r w:rsidR="00000000" w:rsidRPr="00000000" w:rsidDel="00000000">
      <w:rPr>
        <w:rtl w:val="0"/>
      </w:rPr>
      <w:t xml:space="preserve">11.08.2026. 17.40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25-TA-3093</w:t>
    </w:r>
    <w:r>
      <w:br/>
    </w:r>
    <w:r w:rsidR="00000000" w:rsidRPr="00000000" w:rsidDel="00000000">
      <w:rPr>
        <w:rtl w:val="0"/>
      </w:rPr>
      <w:t xml:space="preserve">11.08.2026. 17.40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Izziņa_25-TA-3093.docx</dc:title>
</cp:coreProperties>
</file>

<file path=docProps/custom.xml><?xml version="1.0" encoding="utf-8"?>
<Properties xmlns="http://schemas.openxmlformats.org/officeDocument/2006/custom-properties" xmlns:vt="http://schemas.openxmlformats.org/officeDocument/2006/docPropsVTypes"/>
</file>