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23-TA-1436: Noteikumu projekts (Groza manuāli)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2. septembra noteikumos Nr. 529 "Ēku būvnoteikumi"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Papildināt 46.</w:t>
            </w:r>
            <w:r w:rsidR="00000000" w:rsidRPr="00000000" w:rsidDel="00000000">
              <w:rPr>
                <w:vertAlign w:val="superscript"/>
                <w:rtl w:val="0"/>
              </w:rPr>
              <w:t xml:space="preserve">1</w:t>
            </w:r>
            <w:r w:rsidR="00000000" w:rsidRPr="00000000" w:rsidDel="00000000">
              <w:rPr>
                <w:rtl w:val="0"/>
              </w:rPr>
              <w:t xml:space="preserve"> punktu ar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"Tiesiskuma kontroles ietvaros var pieņemt lēmumu par paziņojuma par būvniecību atcelšanu un iepriekšējā stāvokļa atjaunošanu, ja konkrētā objekta būvniecību attiecīgajā teritorijā nepieļauj normatīvie akti vai būvdarbi neatbilst paziņojumam par būvniecību, vai par paziņojuma par būvniecību atcelšanu daļā, ja nav izpildītas normatīvā akta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17. punktā piedāvātā Ministru kabineta 2014. gada 2. septembra noteikumu Nr. 529 "Ēku būvnoteikumi" (turpmāk - Noteikumi Nr. 529) 46.</w:t>
            </w:r>
            <w:r w:rsidR="00000000" w:rsidRPr="00000000" w:rsidDel="00000000">
              <w:rPr>
                <w:vertAlign w:val="superscript"/>
                <w:rtl w:val="0"/>
              </w:rPr>
              <w:t xml:space="preserve">1</w:t>
            </w:r>
            <w:r w:rsidR="00000000" w:rsidRPr="00000000" w:rsidDel="00000000">
              <w:rPr>
                <w:rtl w:val="0"/>
              </w:rPr>
              <w:t xml:space="preserve"> punkta trešajā teikumā ietvertās atsauces uz normatīvajiem aktiem atbilstoši Ministru kabineta 2009. gada 3. februāra noteikumu Nr. 108 "Normatīvo aktu projektu sagatavošanas noteikumi" 3.7. nodaļā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Papildināt 46.</w:t>
            </w:r>
            <w:r w:rsidR="00000000" w:rsidRPr="00000000" w:rsidDel="00000000">
              <w:rPr>
                <w:vertAlign w:val="superscript"/>
                <w:rtl w:val="0"/>
              </w:rPr>
              <w:t xml:space="preserve">1</w:t>
            </w:r>
            <w:r w:rsidR="00000000" w:rsidRPr="00000000" w:rsidDel="00000000">
              <w:rPr>
                <w:rtl w:val="0"/>
              </w:rPr>
              <w:t xml:space="preserve"> punktu ar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"Tiesiskuma kontroles ietvaros institūcija, kura pilda būvvaldes funkcijas, var pieņemt lēmumu par paziņojuma par būvniecību atcelšanu un iepriekšējā stāvokļa atjaunošanu, ja konkrētā objekta būvniecību attiecīgajā teritorijā nepieļauj normatīvie akti vai būvdarbi neatbilst paziņojumam par būvniecību, vai par paziņojuma par būvniecību atcelšanu daļā, ja nav izpildītas būvniecību regulējošo normatīvo aktu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Papildināt 46.</w:t>
            </w:r>
            <w:r w:rsidR="00000000" w:rsidRPr="00000000" w:rsidDel="00000000">
              <w:rPr>
                <w:vertAlign w:val="superscript"/>
                <w:rtl w:val="0"/>
              </w:rPr>
              <w:t xml:space="preserve">1</w:t>
            </w:r>
            <w:r w:rsidR="00000000" w:rsidRPr="00000000" w:rsidDel="00000000">
              <w:rPr>
                <w:rtl w:val="0"/>
              </w:rPr>
              <w:t xml:space="preserve"> punktu ar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"Tiesiskuma kontroles ietvaros var pieņemt lēmumu par paziņojuma par būvniecību atcelšanu un iepriekšējā stāvokļa atjaunošanu, ja konkrētā objekta būvniecību attiecīgajā teritorijā nepieļauj normatīvie akti vai būvdarbi neatbilst paziņojumam par būvniecību, vai par paziņojuma par būvniecību atcelšanu daļā, ja nav izpildītas normatīvā akta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projekta 17. punktā piedāvātā Noteikumu Nr. 529 46.</w:t>
            </w:r>
            <w:r w:rsidR="00000000" w:rsidRPr="00000000" w:rsidDel="00000000">
              <w:rPr>
                <w:vertAlign w:val="superscript"/>
                <w:rtl w:val="0"/>
              </w:rPr>
              <w:t xml:space="preserve">1</w:t>
            </w:r>
            <w:r w:rsidR="00000000" w:rsidRPr="00000000" w:rsidDel="00000000">
              <w:rPr>
                <w:rtl w:val="0"/>
              </w:rPr>
              <w:t xml:space="preserve"> punkta trešā teikuma redakcijas izriet, ka institūcijai, kura pilda būvvaldes funkcijas (turpmāk – būvvalde), ir rīcības brīvība šajā punktā minēto lēmumu pieņemšanā. Tomēr nav saprotams, </w:t>
            </w:r>
            <w:r w:rsidR="00000000" w:rsidRPr="00000000" w:rsidDel="00000000">
              <w:rPr>
                <w:u w:val="single"/>
                <w:rtl w:val="0"/>
              </w:rPr>
              <w:t xml:space="preserve">kādos gadījumos būvvalde varētu nepieņemt lēmumu</w:t>
            </w:r>
            <w:r w:rsidR="00000000" w:rsidRPr="00000000" w:rsidDel="00000000">
              <w:rPr>
                <w:rtl w:val="0"/>
              </w:rPr>
              <w:t xml:space="preserve"> par paziņojuma par būvniecību atcelšanu un iepriekšējā stāvokļa atjaunošanu, </w:t>
            </w:r>
            <w:r w:rsidR="00000000" w:rsidRPr="00000000" w:rsidDel="00000000">
              <w:rPr>
                <w:u w:val="single"/>
                <w:rtl w:val="0"/>
              </w:rPr>
              <w:t xml:space="preserve">ja tiek konstatēts, ka konkrētā objekta būvniecība attiecīgajā teritorijā ir prettiesiska vai būvdarbi neatbilst paziņojumam par būvniecību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17. punktā piedāvātā Noteikumu Nr. 529 46.</w:t>
            </w:r>
            <w:r w:rsidR="00000000" w:rsidRPr="00000000" w:rsidDel="00000000">
              <w:rPr>
                <w:vertAlign w:val="superscript"/>
                <w:rtl w:val="0"/>
              </w:rPr>
              <w:t xml:space="preserve">1</w:t>
            </w:r>
            <w:r w:rsidR="00000000" w:rsidRPr="00000000" w:rsidDel="00000000">
              <w:rPr>
                <w:rtl w:val="0"/>
              </w:rPr>
              <w:t xml:space="preserve"> punkta trešā teikuma redakciju, nodrošinot skaidru un saprotamu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projekta 1.3. nodaļu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Papildināt 46.</w:t>
            </w:r>
            <w:r w:rsidR="00000000" w:rsidRPr="00000000" w:rsidDel="00000000">
              <w:rPr>
                <w:vertAlign w:val="superscript"/>
                <w:rtl w:val="0"/>
              </w:rPr>
              <w:t xml:space="preserve">1</w:t>
            </w:r>
            <w:r w:rsidR="00000000" w:rsidRPr="00000000" w:rsidDel="00000000">
              <w:rPr>
                <w:rtl w:val="0"/>
              </w:rPr>
              <w:t xml:space="preserve"> punktu ar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"Tiesiskuma kontroles ietvaros institūcija, kura pilda būvvaldes funkcijas, var pieņemt lēmumu par paziņojuma par būvniecību atcelšanu un iepriekšējā stāvokļa atjaunošanu, ja konkrētā objekta būvniecību attiecīgajā teritorijā nepieļauj normatīvie akti vai būvdarbi neatbilst paziņojumam par būvniecību, vai par paziņojuma par būvniecību atcelšanu daļā, ja nav izpildītas būvniecību regulējošo normatīvo aktu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Papildināt 46.</w:t>
            </w:r>
            <w:r w:rsidR="00000000" w:rsidRPr="00000000" w:rsidDel="00000000">
              <w:rPr>
                <w:vertAlign w:val="superscript"/>
                <w:rtl w:val="0"/>
              </w:rPr>
              <w:t xml:space="preserve">1</w:t>
            </w:r>
            <w:r w:rsidR="00000000" w:rsidRPr="00000000" w:rsidDel="00000000">
              <w:rPr>
                <w:rtl w:val="0"/>
              </w:rPr>
              <w:t xml:space="preserve"> punktu ar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"Tiesiskuma kontroles ietvaros var pieņemt lēmumu par paziņojuma par būvniecību atcelšanu un iepriekšējā stāvokļa atjaunošanu, ja konkrētā objekta būvniecību attiecīgajā teritorijā nepieļauj normatīvie akti vai būvdarbi neatbilst paziņojumam par būvniecību, vai par paziņojuma par būvniecību atcelšanu daļā, ja nav izpildītas normatīvā akta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papildināt projekta 17. punktā piedāvāto Noteikumu Nr. 529 46.</w:t>
            </w:r>
            <w:r w:rsidR="00000000" w:rsidRPr="00000000" w:rsidDel="00000000">
              <w:rPr>
                <w:vertAlign w:val="superscript"/>
                <w:rtl w:val="0"/>
              </w:rPr>
              <w:t xml:space="preserve">1</w:t>
            </w:r>
            <w:r w:rsidR="00000000" w:rsidRPr="00000000" w:rsidDel="00000000">
              <w:rPr>
                <w:rtl w:val="0"/>
              </w:rPr>
              <w:t xml:space="preserve"> punkta trešo teikumu ar tiesību subjektu, kurš var pieņemt šajā punktā minētos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Papildināt 46.</w:t>
            </w:r>
            <w:r w:rsidR="00000000" w:rsidRPr="00000000" w:rsidDel="00000000">
              <w:rPr>
                <w:vertAlign w:val="superscript"/>
                <w:rtl w:val="0"/>
              </w:rPr>
              <w:t xml:space="preserve">1</w:t>
            </w:r>
            <w:r w:rsidR="00000000" w:rsidRPr="00000000" w:rsidDel="00000000">
              <w:rPr>
                <w:rtl w:val="0"/>
              </w:rPr>
              <w:t xml:space="preserve"> punktu ar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"Tiesiskuma kontroles ietvaros institūcija, kura pilda būvvaldes funkcijas, var pieņemt lēmumu par paziņojuma par būvniecību atcelšanu un iepriekšējā stāvokļa atjaunošanu, ja konkrētā objekta būvniecību attiecīgajā teritorijā nepieļauj normatīvie akti vai būvdarbi neatbilst paziņojumam par būvniecību, vai par paziņojuma par būvniecību atcelšanu daļā, ja nav izpildītas būvniecību regulējošo normatīvo aktu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 septembra noteikumos Nr. 529 "Ēku būvnoteikumi"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20.12.2022. vēstuli Nr. 2/9-1/10750 "Par priekšlikumiem normatīvo aktu grozījumiem", ievērojot Ekonomikas ministrijas kompetenci izstrādāt, organizēt un koordinēt būvniecības nozares politiku, kā arī izstrādāt nozari reglamentējošo tiesību aktu un attīstības plānošanas dokumentu projektus, VAS "Valsts nekustamie īpašumi" (turpmāk - VNĪ) informēja Ekonomikas ministriju un Finanšu ministriju par atsevišķiem problēmjautājumiem būvniecības nozarē, ar kuriem VNĪ saskārusies, pārvaldot tai pārvaldīšanā nodotos valsts nekustamos īpašumus, kā arī veicot to attīstīšanu un būvniecību valsts iestāžu nodrošināšanai ar to funkcijām piemērotām telpām. Tostarp, vēstulē tika iekļauts priekšlikums par nepieciešamību </w:t>
            </w:r>
            <w:r w:rsidR="00000000" w:rsidRPr="00000000" w:rsidDel="00000000">
              <w:rPr>
                <w:u w:val="single"/>
                <w:rtl w:val="0"/>
              </w:rPr>
              <w:t xml:space="preserve">risināt patvaļīgas būvniecības seku novēršanas jautājumu. </w:t>
            </w:r>
            <w:r w:rsidR="00000000" w:rsidRPr="00000000" w:rsidDel="00000000">
              <w:rPr>
                <w:rtl w:val="0"/>
              </w:rPr>
              <w:t xml:space="preserve">Un proti</w:t>
            </w:r>
            <w:r w:rsidR="00000000" w:rsidRPr="00000000" w:rsidDel="00000000">
              <w:rPr>
                <w:u w:val="single"/>
                <w:rtl w:val="0"/>
              </w:rPr>
              <w:t xml:space="preserve">,</w:t>
            </w:r>
            <w:r w:rsidR="00000000" w:rsidRPr="00000000" w:rsidDel="00000000">
              <w:rPr>
                <w:rtl w:val="0"/>
              </w:rPr>
              <w:t xml:space="preserve"> VNĪ, nodrošinot valsts nekustamo īpašumu pārvaldīšanu, tostarp, apsaimniekošanu, valstij piekritīgo nekustamo īpašumu pārņemšanas gaitā, nereti saskarās ar patvaļīgas būvniecības radītām sekām, ko veicis nomnieks vai bijušais ēku/zemes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likumā noteikts pienākums publiskai personai un kapitālsabiedrībai rīkoties ar publiskas personas finanšu līdzekļiem un mantu lietderīgi, t.i., rīcībai jābūt tādai, lai mērķi sasniegtu ar mazāko finanšu līdzekļu un mantas izlietojumu. Ievērojot minēto, veicot atsevišķus grozījumus tiesību normās un atvieglojot būvju legalizāciju, tiktu racionālāk izmantoti publisku personu un kapitālsabiedrību administratīvie un finanšu resursi: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ir veikta patvaļīga būvniecība bez paskaidrojuma raksta (Ministru kabineta 02.09.2014. noteikumu Nr.529 “Ēku būvnoteikumi” (turpmāk – Ēku būvnoteikumi) 7.</w:t>
            </w:r>
            <w:r w:rsidR="00000000" w:rsidRPr="00000000" w:rsidDel="00000000">
              <w:rPr>
                <w:vertAlign w:val="superscript"/>
                <w:rtl w:val="0"/>
              </w:rPr>
              <w:t xml:space="preserve">2</w:t>
            </w:r>
            <w:r w:rsidR="00000000" w:rsidRPr="00000000" w:rsidDel="00000000">
              <w:rPr>
                <w:rtl w:val="0"/>
              </w:rPr>
              <w:t xml:space="preserve"> punkts) būtu jāparedz, ka patvaļīgas būvniecības sekas var novērst, veicot būves tehnisko apsekošanu vai tehnisko izpēti tādā apmērā, lai sniegtu atzinumu par patvaļīgo būvdarbu atbilstību Būvniecības likuma 9.pantā noteiktajām būtiskajām būvei izvirzāmajām prasībām. Apsekošanas uzdevums un apjoms tiek saskaņots ar būvvaldi vai institūciju, kas pilda būvvaldes funkciju. Tehniskās apsekošanas vai izpētes atzinums pilnībā aizstāj būvdarbu izpilddokumentāciju. Būvspeciālists, kas sagatavojis atzinumu, ierosinot patvaļīgos būvdarbus pieņemt ekspluatācijā, pilnībā uzņemas atbildību par patvaļīgi veikto būvdarbu atbilstību normatīvo aktu prasībām. Gadījumā, ja būvspeciālists ierosina patvaļīgos būvdarbus nepieņemt ekspluatācija, ir jāsniedz rekomendācijas neatbilstību novēršanai. Patvaļīgas būvniecības seku novēršanai tiek izstrādāts paskaidrojuma raksts tādā apmērā, lai būtu sniegta pilnvērtīga informācija par veiktajiem būvdarbiem.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gadījumos, kad ir veikta patvaļīga būvniecība bez būvniecības iesnieguma (Ēku būvnoteikumu 7.</w:t>
            </w:r>
            <w:r w:rsidR="00000000" w:rsidRPr="00000000" w:rsidDel="00000000">
              <w:rPr>
                <w:vertAlign w:val="superscript"/>
                <w:rtl w:val="0"/>
              </w:rPr>
              <w:t xml:space="preserve">3</w:t>
            </w:r>
            <w:r w:rsidR="00000000" w:rsidRPr="00000000" w:rsidDel="00000000">
              <w:rPr>
                <w:rtl w:val="0"/>
              </w:rPr>
              <w:t xml:space="preserve"> punkts), būtu jāparedz, ka patvaļīgas būvniecības sekas var novērst veicot būves ekspertīzi tādā apmērā, lai sniegtu atzinumu par patvaļīgo būvdarbu atbilstību Būvniecības likuma 9.pantā noteiktajām būtiskajām būvei izvirzāmajām prasībām. Ekspertīzes uzdevums un apjoms tiek saskaņots ar būvvaldi vai institūciju, kas pilda būvvaldes funkciju. Ekspertīzes atzinums pilnībā aizstāj būvdarbu izpilddokumentāciju. Būveksperts, kas sagatavojis atzinumu ierosinot patvaļīgos būvdarbus pieņemt ekspluatācijā, pilnībā uzņemas atbildību par patvaļīgi veikto būvdarbu atbilstību normatīvo aktu prasībām. Gadījumā, ja būveksperts ierosina patvaļīgos būvdarbus nepieņemt ekspluatācijā, ir jāsniedz rekomendācijas neatbilstību novēršanai. Patvaļīgas būvniecības seku novēršanai tiek izstrādāts būvprojekts minimālā sastāvā tādā apmērā, lai būtu sniegta pilnvērtīga informācija par veiktajiem būvdarbiem.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Ievērojot minēto, kā arī to, ka Ekonomikas ministrija savā 27.01.2023.atbildes vēstulē Nr.3.3-6/2023/830N piekrita VNĪ izteiktajiem augstāk minētajiem priekšlikumiem, aicinām izvērtēt iespēju patvaļīgas būvniecības seku novēršanas jautājumu risināt šā noteikumu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 par patvaļīgas būvniecības seku novēršanu nav šo grozījumu projekta mērķis, kā arī primāri tie būtu risināmi Būvniecības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 septembra noteikumos Nr. 529 "Ēku būvnoteikumi"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7.</w:t>
            </w:r>
            <w:r w:rsidR="00000000" w:rsidRPr="00000000" w:rsidDel="00000000">
              <w:rPr>
                <w:vertAlign w:val="superscript"/>
                <w:rtl w:val="0"/>
              </w:rPr>
              <w:t xml:space="preserve">1</w:t>
            </w:r>
            <w:r w:rsidR="00000000" w:rsidRPr="00000000" w:rsidDel="00000000">
              <w:rPr>
                <w:rtl w:val="0"/>
              </w:rPr>
              <w:t xml:space="preserve"> 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vertAlign w:val="superscript"/>
                <w:rtl w:val="0"/>
              </w:rPr>
              <w:t xml:space="preserve"> </w:t>
            </w:r>
            <w:r w:rsidR="00000000" w:rsidRPr="00000000" w:rsidDel="00000000">
              <w:rPr>
                <w:rtl w:val="0"/>
              </w:rPr>
              <w:t xml:space="preserve">4. mazēkas (palīgēkas vai nojumes) jauna būvniecība vai novietošana, izņemot šo noteikumu 7. punktā minēto gadījumu.”.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- 10.10.2023.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Aizsargjoslu likuma 45. panta pirmās daļas 5. punktu aizsargjoslās gar elektriskajiem tīkliem aizliegts celt, kapitāli remontēt, pārbūvēt vai nojaukt jebkuras ēkas un būves bez attiecīgo komunikāciju īpašnieka atļaujas.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ēku būvniecības regulējums paredz, ka pilsētā un publiskā ārtelpā esošu mazēku būvniecībai nepieciešams paskaidrojuma raksts pirms, kura iesniegšanas ir jāveic nepieciešamā  saskaņošana.  Noteikumu projekts “Grozījumi Ministru kabineta 2014. gada 2. septembra noteikumos Nr. 529 “Ēku būvnoteikumi” paredz, ka visas mazēkas, kas atbilst palīgēkai un nojumei, neatkarīgi no atrašanās vietas varēs būvēt, izmantojot paziņojumu par būvniecību, tas ir par būvniecību paziņojot tikai Būvniecības informācijas sistēmā (turpmāk - BIS. Regulējuma izmaiņas rada lielāku risku, ka persona, kura vēlas būvēt mazbūvi elektroenerģijas augstsprieguma līnijas aizsargjoslā neapzināti vai apzināt neveic nepieciešamo saskaņošanu ar elektroenerģijas pārvades sistēmas operatoru akciju sabiedrību “Augstsprieguma tīkls” (turpmāk – AST), tādējādi palielinot Latvijas elektroapgādes būtisku traucējumu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2023.gada 10.oktobra starpinstitūciju sanāksmē, kurā piedalījās Ekonomikas ministrijas, Klimata un enerģētikas ministrijas un AST pārstāvji, pārrunāto par nepieciešamību nodrošināt būvniecības ierosinātāja informētību par saskaņošanu ar AST un citiem infrastruktūras, gar kuru ir noteiktas aizsargjoslas, turētajiem, aicinām veikt BIS funkcionalitātes pakāpenisku pilnveidošanu šādos trīs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sākotnēji ieviest informējošu brīdinājumu, ka, nepieciešama attiecīgo komunikāciju īpašnieka atļauja, ja plānotā būve atradīsies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2024.gadā, savienojot BIS un aizsargjoslu informatīvās sistēmas, ieviest paziņojumu, ar kuru būvniecības ierosinātājs tiek brīdināts, ka plānotā būve atradīsies konkrētās aizsargjoslās, tādēļ nepieciešama attiecīgo komunikāciju īpašnieka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2025.gadam ieviest risinājumu, kas neļauj iesniegt paziņojumu, ja plānotā būve atradīsies konkrētās aizsargjoslās, bet attiecīgo komunikāciju īpašnieka atļauja nav saņemta.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BIS funkcionalitātes pakāpenisku pilnveidošanu piedāvātos visos trīs posmos nav iespējams realizēt.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jau šobrīd BIS nodrošina iespēju izvēlēties TNI, ar kuriem būtu jāskaņo konkrētajā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iespējamākie BIS funkcionalitātes pilnveidojumi varētu būt izveidot informējošu brīdinājumu, ka, nepieciešama attiecīgo inženiertīklu īpašnieka atļauja, ja plānotā būve atradīsies aizsargjoslās. Papildus nākošajā gadā BIS TNI darba grupā varētu apspriest iespēju, ja būtu pieejama strukturizēta informācija (dati) par konkrētā zemes gabala (zemes vienības) apgrūtinājumiem, tad tos attēlot personai, ierosinot plānoto būvniecības ieceri, un vienlaikus par plānoto ieceri informēt TNI.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7.</w:t>
            </w:r>
            <w:r w:rsidR="00000000" w:rsidRPr="00000000" w:rsidDel="00000000">
              <w:rPr>
                <w:vertAlign w:val="superscript"/>
                <w:rtl w:val="0"/>
              </w:rPr>
              <w:t xml:space="preserve">1</w:t>
            </w:r>
            <w:r w:rsidR="00000000" w:rsidRPr="00000000" w:rsidDel="00000000">
              <w:rPr>
                <w:rtl w:val="0"/>
              </w:rPr>
              <w:t xml:space="preserve"> 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vertAlign w:val="superscript"/>
                <w:rtl w:val="0"/>
              </w:rPr>
              <w:t xml:space="preserve"> </w:t>
            </w:r>
            <w:r w:rsidR="00000000" w:rsidRPr="00000000" w:rsidDel="00000000">
              <w:rPr>
                <w:rtl w:val="0"/>
              </w:rPr>
              <w:t xml:space="preserve">4. mazēkas (palīgēkas vai nojumes) jauna būvniecība vai novietošana, izņemot šo noteikumu 7. punktā minēto gadījumu.”.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Papildināt 24.3.1. apakšpunktu aiz vārda "pasi" ar vārdiem "ja to paredz projekta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nepieciešamību projekta 16. punktā noteikt, ka Noteikumu Nr. 529 24.3.1. apakšpunkts aiz vārda "pasi" tiek papildināts ar vārdiem "ja to paredz būvprojekta risinājumi".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Papildināt 24.3.1. apakšpunktu aiz vārda "pasi" ar vārdiem "ja paredzētas izmaiņas fasādē".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Papildināt 46.</w:t>
            </w:r>
            <w:r w:rsidR="00000000" w:rsidRPr="00000000" w:rsidDel="00000000">
              <w:rPr>
                <w:vertAlign w:val="superscript"/>
                <w:rtl w:val="0"/>
              </w:rPr>
              <w:t xml:space="preserve">1</w:t>
            </w:r>
            <w:r w:rsidR="00000000" w:rsidRPr="00000000" w:rsidDel="00000000">
              <w:rPr>
                <w:rtl w:val="0"/>
              </w:rPr>
              <w:t xml:space="preserve"> punktu ar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"Tiesiskuma kontroles ietvaros institūcija, kura pilda būvvaldes funkcijas, var pieņemt lēmumu par paziņojuma par būvniecību atcelšanu un iepriekšējā stāvokļa atjaunošanu, ja konkrētā objekta būvniecību attiecīgajā teritorijā nepieļauj normatīvie akti vai būvdarbi neatbilst paziņojumam par būvniecību, vai par paziņojuma par būvniecību atcelšanu daļā, ja nav izpildītas būvniecību regulējošo normatīvo aktu prasības, un lēmuma pieņemšana ir lietderīga".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63. panta pirmās daļas 2. punkts noteic: pēc nepieciešamo faktu konstatēšanas un administratīvā procesa dalībnieku uzklausīšanas iestāde nekavējoties izvērtē lietas apstākļus un izdod brīvo administratīvo aktu, ja iestādei ir rīcības brīvība un </w:t>
            </w:r>
            <w:r w:rsidR="00000000" w:rsidRPr="00000000" w:rsidDel="00000000">
              <w:rPr>
                <w:u w:val="single"/>
                <w:rtl w:val="0"/>
              </w:rPr>
              <w:t xml:space="preserve">administratīvā akta izdošana ir lietderīga</w:t>
            </w:r>
            <w:r w:rsidR="00000000" w:rsidRPr="00000000" w:rsidDel="00000000">
              <w:rPr>
                <w:rtl w:val="0"/>
              </w:rPr>
              <w:t xml:space="preserve">. Ievērojot minēto, kā arī to, ka atbilstoši Ministru kabineta 2009. gada 3. februāra noteikumu Nr. 108 "Normatīvo aktu projektu sagatavošanas noteikumi" 3.2. apakšpunktam normatīvā akta projektā neietver normas, kas dublē augstāka vai tāda paša spēka normatīvā akta tiesību normās ietverto normatīvo regulējumu, lūdzam svītrot projekta 17. punktā piedāvātajā Ministru kabineta 2014. gada 2. septembra noteikumu Nr. 529 "Ēku būvnoteikumi" (turpmāk - Noteikumi Nr. 529) 46.</w:t>
            </w:r>
            <w:r w:rsidR="00000000" w:rsidRPr="00000000" w:rsidDel="00000000">
              <w:rPr>
                <w:vertAlign w:val="superscript"/>
                <w:rtl w:val="0"/>
              </w:rPr>
              <w:t xml:space="preserve">1</w:t>
            </w:r>
            <w:r w:rsidR="00000000" w:rsidRPr="00000000" w:rsidDel="00000000">
              <w:rPr>
                <w:rtl w:val="0"/>
              </w:rPr>
              <w:t xml:space="preserve"> punkta trešajā teikumā vārdus "un lēmuma pieņemšana ir lietderīga".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Papildināt 46.</w:t>
            </w:r>
            <w:r w:rsidR="00000000" w:rsidRPr="00000000" w:rsidDel="00000000">
              <w:rPr>
                <w:vertAlign w:val="superscript"/>
                <w:rtl w:val="0"/>
              </w:rPr>
              <w:t xml:space="preserve">1</w:t>
            </w:r>
            <w:r w:rsidR="00000000" w:rsidRPr="00000000" w:rsidDel="00000000">
              <w:rPr>
                <w:rtl w:val="0"/>
              </w:rPr>
              <w:t xml:space="preserve"> punktu ar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"Tiesiskuma kontroles ietvaros institūcija, kura pilda būvvaldes funkcijas, var pieņemt lēmumu par paziņojuma par būvniecību atcelšanu un iepriekšējā stāvokļa atjaunošanu, ja konkrētā objekta būvniecību attiecīgajā teritorijā nepieļauj normatīvie akti vai būvdarbi neatbilst paziņojumam par būvniecību, vai par paziņojuma par būvniecību atcelšanu daļā, ja nav izpildītas būvniecību regulējošo normatīvo aktu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projekta 22. punkts noteic, ka grozījums Noteikumu Nr. 529 7.</w:t>
            </w:r>
            <w:r w:rsidR="00000000" w:rsidRPr="00000000" w:rsidDel="00000000">
              <w:rPr>
                <w:vertAlign w:val="superscript"/>
                <w:rtl w:val="0"/>
              </w:rPr>
              <w:t xml:space="preserve">1 </w:t>
            </w:r>
            <w:r w:rsidR="00000000" w:rsidRPr="00000000" w:rsidDel="00000000">
              <w:rPr>
                <w:rtl w:val="0"/>
              </w:rPr>
              <w:t xml:space="preserve">3. apakšpunktā attiecībā uz paziņojuma par būvniecību izmantošanu, ja paredzēta otrās grupas lauksaimniecības nedzīvojamās ēkas nojaukšana, piemērojams ar 2024. gada 1. jūliju, lūdzam precizēt projekta anotācijas 1.2. sadaļā norādīto projekta spēkā stāšanās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stājas spēkā vispārējā kārtībā, izņemot grozījumu Ēku būvnoteikumu 7.</w:t>
            </w:r>
            <w:r w:rsidR="00000000" w:rsidRPr="00000000" w:rsidDel="00000000">
              <w:rPr>
                <w:vertAlign w:val="superscript"/>
                <w:rtl w:val="0"/>
              </w:rPr>
              <w:t xml:space="preserve">1</w:t>
            </w:r>
            <w:r w:rsidR="00000000" w:rsidRPr="00000000" w:rsidDel="00000000">
              <w:rPr>
                <w:rtl w:val="0"/>
              </w:rPr>
              <w:t xml:space="preserve">3. apakšpunktā (projekta 5.punkts), kas piemērojams ar 2024. gada 1. jūliju, lai nodrošinātu būvniecības informācijas sistēmas funkcionalitātes pielāgošanu (projekts 22.punkts).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23-TA-1436</w:t>
    </w:r>
    <w:r>
      <w:br/>
    </w:r>
    <w:r w:rsidR="00000000" w:rsidRPr="00000000" w:rsidDel="00000000">
      <w:rPr>
        <w:rtl w:val="0"/>
      </w:rPr>
      <w:t xml:space="preserve">22.11.2023. 18.17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23-TA-1436</w:t>
    </w:r>
    <w:r>
      <w:br/>
    </w:r>
    <w:r w:rsidR="00000000" w:rsidRPr="00000000" w:rsidDel="00000000">
      <w:rPr>
        <w:rtl w:val="0"/>
      </w:rPr>
      <w:t xml:space="preserve">22.11.2023. 18.17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Izziņa_23-TA-1436.docx</dc:title>
</cp:coreProperties>
</file>

<file path=docProps/custom.xml><?xml version="1.0" encoding="utf-8"?>
<Properties xmlns="http://schemas.openxmlformats.org/officeDocument/2006/custom-properties" xmlns:vt="http://schemas.openxmlformats.org/officeDocument/2006/docPropsVTypes"/>
</file>