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25-TA-2940: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“Vidzemes šoseja” Garkalnes pagastā, Ropažu novadā, nodošanu Ropažu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16.06.2026. 21:27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apakšsadaļā “Pašreizējā situācija” precizēt informāciju par zemes vienības ar kadastra apzīmējumu 80600041564 reģistrētajiem apgrūtinājumu platībām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izdrukā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teritorijas gar pazemes elektronisko sakaru tīklu līniju un kabeļu kanalizāciju platība ir </w:t>
            </w:r>
            <w:r w:rsidR="00000000" w:rsidRPr="00000000" w:rsidDel="00000000">
              <w:rPr>
                <w:b w:val="1"/>
                <w:rtl w:val="0"/>
              </w:rPr>
              <w:t xml:space="preserve">0,2010 ha</w:t>
            </w:r>
            <w:r w:rsidR="00000000" w:rsidRPr="00000000" w:rsidDel="00000000">
              <w:rPr>
                <w:rtl w:val="0"/>
              </w:rPr>
              <w:t xml:space="preserve">, anotācijā ir norādīti </w:t>
            </w:r>
            <w:r w:rsidR="00000000" w:rsidRPr="00000000" w:rsidDel="00000000">
              <w:rPr>
                <w:b w:val="1"/>
                <w:rtl w:val="0"/>
              </w:rPr>
              <w:t xml:space="preserve">0,1975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teritorijas ap elektrisko tīklu gaisvadu līniju pilsētās un ciemos ar nominālo spriegumu līdz 20 kilovoltiem platība ir </w:t>
            </w:r>
            <w:r w:rsidR="00000000" w:rsidRPr="00000000" w:rsidDel="00000000">
              <w:rPr>
                <w:b w:val="1"/>
                <w:rtl w:val="0"/>
              </w:rPr>
              <w:t xml:space="preserve">0,8998 ha</w:t>
            </w:r>
            <w:r w:rsidR="00000000" w:rsidRPr="00000000" w:rsidDel="00000000">
              <w:rPr>
                <w:rtl w:val="0"/>
              </w:rPr>
              <w:t xml:space="preserve">, anotācijā ir norādīti </w:t>
            </w:r>
            <w:r w:rsidR="00000000" w:rsidRPr="00000000" w:rsidDel="00000000">
              <w:rPr>
                <w:b w:val="1"/>
                <w:rtl w:val="0"/>
              </w:rPr>
              <w:t xml:space="preserve">0,8859</w:t>
            </w:r>
            <w:r w:rsidR="00000000" w:rsidRPr="00000000" w:rsidDel="00000000">
              <w:rPr>
                <w:rtl w:val="0"/>
              </w:rPr>
              <w:t xml:space="preserve"> </w:t>
            </w:r>
            <w:r w:rsidR="00000000" w:rsidRPr="00000000" w:rsidDel="00000000">
              <w:rPr>
                <w:b w:val="1"/>
                <w:rtl w:val="0"/>
              </w:rPr>
              <w:t xml:space="preserve">ha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skaidrību, kā arī ievērojot, ka ar Ministru kabineta rīkojumu projektu Ropažu novada pašvaldībai tiek nodota arī kompleksā inženierbūve “Autoceļa V46 km 9,311-11,540” (būves kadastra apzīmējums 80600041564001), kas ir valsts autoceļa posms, aicinām izvērtēt vai rīkojuma projekta izstrāde nav pamatojama arī ar likuma “Par autoceļiem” 4. panta 1¹ daļu, kas noteic, ka atsevišķos gadījumos ar Ministru kabineta lēmumu valsts autoceļus un to zemes, tai skaitā ceļu zemes nodalījumu joslas, ar visām šo autoceļu kompleksā ietilpstošajām būvēm var nodot pašvaldību pārziņā. Nepieciešamības gadījumā lūdzam papildināt anotāciju ar atsauci uz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1.1.sadaļa ar atsauci uz tiesību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apgrūtinājumu platību atbilstoši NĪVKIS datiem, proti, ekspluatācijas aizsargjoslas teritorija gar pazemes elektronisko sakaru tīklu līniju un kabeļu kanalizāciju 0,2010 ha platībā, nevis 0,1975 ha platībā, un ekspluatācijas aizsargjoslas teritorija ap elektrisko tīklu gaisvadu līniju pilsētās un ciemos ar nominālo spriegumu līdz 20 kilovoltiem 0,8998 ha platībā, nevis 0,8859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anotācijas 2.1. sadaļu, iekļaujot juridisko personu ietekmes aprakstu, ņemot vērā, ka autoceļu arī turpmāk izmantotu gan fiziskās, gan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2.1.sadaļa.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25-TA-2940</w:t>
    </w:r>
    <w:r>
      <w:br/>
    </w:r>
    <w:r w:rsidR="00000000" w:rsidRPr="00000000" w:rsidDel="00000000">
      <w:rPr>
        <w:rtl w:val="0"/>
      </w:rPr>
      <w:t xml:space="preserve">10.08.2026. 10.41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25-TA-2940</w:t>
    </w:r>
    <w:r>
      <w:br/>
    </w:r>
    <w:r w:rsidR="00000000" w:rsidRPr="00000000" w:rsidDel="00000000">
      <w:rPr>
        <w:rtl w:val="0"/>
      </w:rPr>
      <w:t xml:space="preserve">10.08.2026. 10.41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Izziņa_25-TA-2940.docx</dc:title>
</cp:coreProperties>
</file>

<file path=docProps/custom.xml><?xml version="1.0" encoding="utf-8"?>
<Properties xmlns="http://schemas.openxmlformats.org/officeDocument/2006/custom-properties" xmlns:vt="http://schemas.openxmlformats.org/officeDocument/2006/docPropsVTypes"/>
</file>