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22-TA-615: Noteikumu projekts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Valsts budžeta līdzekļu piešķiršanas kārtība un kritēriji Latvijas Republikā reģistrētiem Eiropas teritoriālās sadarbības mērķa (Interreg) programmu 2021. – 2027.gadam finansējuma saņēmējiem</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Valsts budžeta līdzekļus programmu projektu līdzfinansējumam šo noteikumu ietvaros var pieprasīt šādi finansējuma saņēmēji: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(IZM - 20.04.2022.)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projektu attiecībā par valsts budžeta līdzekļu piešķiršanu projekta līdzfinansējuma nodrošināšanai valsts budžeta iestādēm, valsts augstskolām un valsts zinātniskajiem institūtiem, kā arī to izveidotām iestādēm, tai skaitā par līdzfinansējuma apmēru minētajām iestādēm, vai viennozīmīgi skaidrot anotācijā pieeju šo iestāžu projektu līdzfinansējuma nodrošināšanai noteikt citos Ministru kabineta noteikumos, tai skaitā ievērojot Eiropas Teritoriālās sadarbības mērķa (Interreg) programmu 2021.-2027.gadam vadības likuma 14.panta 3. un 4. punktā noteikto.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anotācijā ir norādīts, ka ir nepieciešams “definēt Latvijas Republikā reģistrētos finansējuma saņēmējus, kas var pieprasīt valsts budžeta līdzekļus projektu īstenošanai” (tātad - visi iespējamie finansējuma saņēmēji), līdz ar to nav skaidrs, kāpēc daļa no finansējuma saņēmējiem tiks noteikti šajos noteikumos, savukārt saskaņā ar anotācijā norādīto, kārtība un kritēriji valsts budžeta līdzekļu nodrošināšanai valsts budžeta iestādēm un no valsts budžeta daļēji finansētām atvasinātām publiskām personām (tai skaitā plānošanas reģioniem) un to izveidotām iestādēm tiks noteikti Ministru kabineta noteikumu projektā "Valsts budžeta līdzekļu plānošanas un maksājumu veikšanas kārtība Eiropas Savienības Kohēzijas politikas mērķa "Eiropas teritoriālā sadarbība" (Interreg) programmu un projektu īstenošanai".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Izglītības un zinātnes ministrijas valsts budžeta iestādes, valsts augstskolas, valsts zinātniskie institūti, kā arī to izveidotās iestādes, 2014.-2020. gada periodā ir bijušas aktīvas Eiropas Teritoriālās sadarbības programmu projektu īstenotājas un arī par jauno programmu īstenošanu jau šobrīd izrāda interesi. Taču vēlamies atzīmēt, ka šīm iestādēm jo īpaši svarīgs ir valsts budžeta priekšfinansējums un līdzfinansējums sekmīgai projektu ieviešanai, ievērojot, tai skaitā šo noteikumu projekta anotācijā sniegto informāciju par projektu naudas plūsmas veidošanas principu.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Paskaidrojam, ka saskaņā ar Interreg likuma 14.panta 4.punktā noteikto, lai nodrošinātu  valsts budžeta iestādēm, no valsts budžeta daļēji finansētām atvasinātām publiskām personām (tai skaitā plānošanas reģioniem) un to izveidotām iestādēm,  (izņemot pašvaldības un to izveidotas iestādes), kā arī valsts kapitālsabiedrībām, kas īsteno projektus attiecībā uz valsts deleģēto funkciju veikšanu un plānotā valsts budžeta līdzekļu piešķiršana projektu īstenošanai nav uzskatāma par komercdarbības atbalstu Komercdarbības atbalsta kontroles likuma izpratnē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iespēju pieteikties uz valsts budžeta līdzfinansējumu 20% apmērā un programmas daļas priekšfinansējumu līdz 100% Interreg programmu projektu īstenošanai, apstiprināšanai Ministru kabinetā tiek virzīti Ministru kabineta  noteikumi "Valsts budžeta līdzekļu plānošanas un maksājumu veikšanas kārtība Eiropas Savienības Kohēzijas politikas mērķa "Eiropas teritoriālā sadarbība" (Interreg) programmu un projektu īstenošanai" (turpmāk - MK noteikumi Nr. TA-951).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šajā MK noteikumu projektā (Nr.TA-615)noteikta valsts budžeta līdzekļu līdzfinansējuma piešķiršanas kārtība attiecas uz pašvaldībām un to izveidotām iestādēm, pašvaldību kapitālsabiedrībām un biedrībām un nodibinājumiem.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būtu saprotamāk, MK noteikumu projekts ir papildināts ar 6.punktu un tiek precizēts 7.punkts.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Valsts budžeta līdzekļus programmas projekta vai tā daļas  līdzfinansējumam var pieprasīt šādi finansējuma saņēmēji, ja plānotā valsts budžeta līdzekļu piešķiršana projekta vai tā daļas aktivitātes īstenošanai nav uzskatāma par komercdarbības atbalstu Komercdarbības atbalsta kontroles likuma izpratnē:</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10.5. finansējuma saņēmējam nav nodokļu parādu un nav ierosināta maksātnespēja.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- 19.04.2022.)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iespēju noteikumu projekta 10.5. apakšpunktā papildināt noteikto regulējumu attiecībā uz izslēdzošo kritēriju, kas nepieļauj finansējuma saņēmējam nodokļu parādu esamību, līdzīgi kā tas paredzēts citos ar Eiropas fondiem saistītos tiesību aktos, t.i. nosakot maksimālo nodokļu parāda slieksni, kas pieļaujams. Šāds nosacījums palīdzētu novērst finansējuma saņēmēja pieteikuma noraidīšanu nebūtiska nodokļu parāda dēļ.</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10.5. finansējuma saņēmējam Latvijas Republikā pieteikuma iesniegšanas dienā nav nodokļu parādi, tajā skaitā valsts sociālās apdrošināšanas obligāto iemaksu parādi, kas kopsummā pārsniedz 150 euro un nav ierosināta maksātnespēja.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11.5. finansējuma saņēmējam Latvijas Republikā pieteikuma iesniegšanas dienā nav nodokļu parādu, tajā skaitā valsts sociālās apdrošināšanas obligāto iemaksu parādu, kas kopsummā pārsniedz  150 </w:t>
            </w:r>
            <w:r w:rsidR="00000000" w:rsidRPr="00000000" w:rsidDel="00000000">
              <w:rPr>
                <w:i w:val="1"/>
                <w:rtl w:val="0"/>
              </w:rPr>
              <w:t xml:space="preserve">euro </w:t>
            </w:r>
            <w:r w:rsidR="00000000" w:rsidRPr="00000000" w:rsidDel="00000000">
              <w:rPr>
                <w:rtl w:val="0"/>
              </w:rPr>
              <w:t xml:space="preserve">un nav ierosināta maksātnespēja.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- 20.04.2022.)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anotācijas 1.3.sadaļā sniegt papildu argumentāciju, kāpēc ES fondu līdzfinansējuma samazinājums būtu jāsedz tieši no valsts budžeta, ņemot vērā, ka noteikumu projektā minētajiem finansējuma saņēmējiem ir pieejami citi finanšu resursi projektu īstenošanai (piemēram, pašvaldībām ir iespējas aizņemties līdzekļu Valsts kasē ES fondu projektu īstenošanai).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- 20.04.2022.)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anotācijas 1.3.sadaļā sniegt pamatojumu, kāpēc valsts budžeta līdzfinansējums arī 2021.-2027.gada perioda projektiem jāmaksā avansā 90% apmērā.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- 20.04.2022.)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anotācijas 3.sadaļas 6.punktā norādīt arī aprēķinu kā noteikts kopējais nepieciešamais valsts budžeta līdzfinansējuma apmērs.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- 20.04.2022.)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3.sadaļas 6.punktā norādīto valsts budžeta apmēru sadalījumā pa gadiem, jo tas nesakrīt ar anotācijas 3.sadaļas 1.-5.p norādīto informāciju.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- 20.04.2022.)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anotācijas 3.sadaļas punktā “Cita informācija” svītrot pirmo teikumu, jo pēc būtības konkrētajam noteikumu projektam ir negatīva ietekme uz budžetu, kā arī šīs sadaļas 1.-6. punktā sniegtā informācija norāda negatīvu ietekmi uz valsts budžetu.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Tiesību akta projekta atbilstība Latvijas Republikas starptautiskajām saistībām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- 19.04.2022.)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Tieslietu ministrijai nav iespējams precīzi izvērtēt, kuras noteikumu projekta normas ir ieviestas atbilstoši noteikumu projekta anotācijā norādītajām Eiropas Savienības regulām. Ņemot vērā minēto, Tieslietu ministrija varēs sniegt precīzu izvērtējumu par noteikumu projekta atbilstību minētajām Eiropas Savienības regulām pēc anotācijas precizēšanas, aizpildot anotācijas V sadaļu.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u w:val="single"/>
                <w:rtl w:val="0"/>
              </w:rPr>
              <w:t xml:space="preserve">Panākta vienošanās elektroniskajā saskaņošanā: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ietvertās normas ir Eiropas teritoriālās sadarbības mērķa (Interreg) programmu 2021.-2027. gadam Latvijā nacionālās vadības sistēmas sastāvdaļa, un tieši neattiecas uz noteikumu projekta anotācijā norādītajām Eiropas Savienības regulām. Eiropas Savienības regulas noteikumu projekta anotācijā minētas informatīvi, ņemot vērā, ka tās regulē priekšnosacījumus esošo noteikumu izstrādes nepieciešamībai (piemēram, nosaka ES atbalsta intensitātes (ERAF līdzfinansējuma) likmi projektos, utt.) ar mērķi atbalstīt Latvijas finansējumu saņēmējus dalībai Interreg programmās,  tāpēc nav nepieciešams aizpildīt anotācijas V sadaļu "Tiesību akta projekta atbilstība Latvijas Republikas starptautiskajām saistībām".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Tiesību akta projekta atbilstība Latvijas Republikas starptautiskajām saistībām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Valsts budžeta līdzekļu piešķiršanas kārtība un kritēriji Latvijas Republikā reģistrētiem Eiropas teritoriālās sadarbības mērķa (Interreg) programmu 2021. – 2027.gadam finansējuma saņēmējiem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- 08.08.2022.)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nekavētu projektu ieviešanu Eiropas teritoriālās sadarbības mērķa (Interreg) programmas 2021. – 2027.gadam ietvaros, Finanšu ministrija konceptuāli neiebilst noteikumu projekta tālākai virzībai. Vienlaikus vēršam uzmanību, ka noteikumu projektā paredzētās valsts budžeta līdzfinansējuma likmes ir augstākas nekā iepriekšējā plānošanas periodā un tās rada negatīvu ietekmi uz valsts budžetu.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Valsts budžeta līdzekļu piešķiršanas kārtība un kritēriji Latvijas Republikā reģistrētiem Eiropas teritoriālās sadarbības mērķa (Interreg) programmu 2021. – 2027.gadam finansējuma saņēmējiem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 pašvaldību kapitālsabiedrības, kas pilda pašvaldības deleģētās funkcijas;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- 20.04.2022.)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vai vārds "funkcijas" nav aizstājams ar "uzdevumus"  atbilstoši Valsts pārvaldes un iekārtas likumam. Deleģējot pārvaldes uzdevumus, par funkcijas izpildi kopumā atbild attiecīgā publiskā persona.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 pašvaldību kapitālsabiedrības, kas īsteno projektus attiecībā uz pašvaldību deleģēto funkciju veikšanu;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 no valsts budžeta daļēji finansētas atvasinātas publiskas personas (tai skaitā plānošanas reģioni) un to izveidotas iestādes, izņemot 4.4.apakšpunktā minētie finansējuma saņēmēji;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(ZM - 08.08.2022.)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papildināt noteikumu projekta 4.2. punktu, paredzot, ka arī atvasinātas publiskas personas kapitālsabiedrībām, kuras tiek daļēji finansētas no valsts budžeta, būtu iespēja saņemt projekta līdzfinansējumu un priekšfinansējumu no valsts budžeta.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 no valsts budžeta daļēji finansētas atvasinātas publiskas personas (tai skaitā plānošanas reģioni), to izveidotas iestādes </w:t>
            </w:r>
            <w:r w:rsidR="00000000" w:rsidRPr="00000000" w:rsidDel="00000000">
              <w:rPr>
                <w:b w:val="1"/>
                <w:rtl w:val="0"/>
              </w:rPr>
              <w:t xml:space="preserve">un to no valsts budžeta daļēji finansētas kapitālsabiedrības</w:t>
            </w:r>
            <w:r w:rsidR="00000000" w:rsidRPr="00000000" w:rsidDel="00000000">
              <w:rPr>
                <w:rtl w:val="0"/>
              </w:rPr>
              <w:t xml:space="preserve">, izņemot 4.4.apakšpunktā minētie finansējuma saņēmēji;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u w:val="single"/>
                <w:rtl w:val="0"/>
              </w:rPr>
              <w:t xml:space="preserve">Panākta vienošanās elektroniskajā saskaņošanā: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FM iebildumam, MK noteikumu projekts ir precizēts, paredzot, ka uz valsts budžeta līdzfinansējumu un priekšfinansējumu var pretendēt valsts kapitālsabiedrības, kas īsteno projektu attiecībā uz valsts deleģētās funkcijas veikšanu un plānotā valsts budžeta līdzekļu piešķiršana projektu īstenošanai nav uzskatāma par komercdarbības atbalstu Komercdarbības atbalsta kontroles likuma izpratnē.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Pārējām valsts kapitālsabiedrībām ir pieejami citi finanšu līdzekļi priekšfinansējuma nodrošināšanai.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 no valsts budžeta daļēji finansētas atvasinātas publiskas personas (tai skaitā plānošanas reģioni) un to izveidotas iestādes, izņemot 4.4.apakšpunktā minētie finansējuma saņēmēji;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 vadošais projekta partneris, tas triju mēnešu laikā pēc projekta īstenošanas līguma noslēgšanas ar programmas vadošo iestādi, iesniedz Vides aizsardzības un reģionālās attīstības ministrijā (turpmāk – ministrija) pieteikumu par valsts budžeta līdzfinansējuma pieprasījumu projektam atbilstoši veidlapai, kas ir pievienotā šo noteikumu </w:t>
            </w:r>
            <w:r w:rsidR="00000000" w:rsidRPr="00000000" w:rsidDel="00000000">
              <w:rPr>
                <w:rtl w:val="0"/>
              </w:rPr>
              <w:t xml:space="preserve">1. </w:t>
            </w:r>
            <w:r w:rsidR="00000000" w:rsidRPr="00000000" w:rsidDel="00000000">
              <w:rPr>
                <w:rtl w:val="0"/>
              </w:rPr>
              <w:t xml:space="preserve">pielikumu</w:t>
            </w:r>
            <w:r w:rsidR="00000000" w:rsidRPr="00000000" w:rsidDel="00000000">
              <w:rPr>
                <w:rtl w:val="0"/>
              </w:rPr>
              <w:t xml:space="preserve"> (turpmāk – pieteikums);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- 19.04.2022.)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7.1. apakšpunktu, norādot korektu vārda "pielikums" galotni.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 vadošais projekta partneris, tas triju mēnešu laikā pēc projekta īstenošanas līguma noslēgšanas ar programmas vadošo iestādi, iesniedz Vides aizsardzības un reģionālās attīstības ministrijā (turpmāk – ministrija) pieteikumu par valsts budžeta līdzfinansējuma pieprasījumu projektam atbilstoši veidlapai, kas ir pievienotā šo noteikumu 1. pielikumā (turpmāk – pieteikums);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 vadošais projekta partneris, tas triju mēnešu laikā pēc projekta īstenošanas līguma noslēgšanas ar programmas vadošo iestādi, iesniedz Vides aizsardzības un reģionālās attīstības ministrijā (turpmāk – ministrija) pieteikumu par valsts budžeta līdzfinansējuma pieprasījumu projektam atbilstoši veidlapai, kas ir pievienota šo noteikumu ​1.pielikumā (turpmāk – pieteikums);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finansējuma saņēmēja sniegto informāciju atbilstoši šo noteikumu </w:t>
            </w:r>
            <w:r w:rsidR="00000000" w:rsidRPr="00000000" w:rsidDel="00000000">
              <w:rPr>
                <w:rtl w:val="0"/>
              </w:rPr>
              <w:t xml:space="preserve">1. </w:t>
            </w:r>
            <w:r w:rsidR="00000000" w:rsidRPr="00000000" w:rsidDel="00000000">
              <w:rPr>
                <w:rtl w:val="0"/>
              </w:rPr>
              <w:t xml:space="preserve">pielikumu</w:t>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- 19.04.2022.)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9.2. apakšpunktu, norādot korektu vārda "pielikums" galotni.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finansējuma saņēmēja sniegto informāciju atbilstoši šo noteikumu 1. pielikumam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10.2. finansējuma saņēmēja sniegto informāciju atbilstoši šo noteikumu </w:t>
            </w:r>
            <w:r w:rsidR="00000000" w:rsidRPr="00000000" w:rsidDel="00000000">
              <w:rPr>
                <w:rtl w:val="0"/>
              </w:rPr>
              <w:t xml:space="preserve">​</w:t>
            </w:r>
            <w:r w:rsidR="00000000" w:rsidRPr="00000000" w:rsidDel="00000000">
              <w:rPr>
                <w:rtl w:val="0"/>
              </w:rPr>
              <w:t xml:space="preserve">1.</w:t>
            </w:r>
            <w:r w:rsidR="00000000" w:rsidRPr="00000000" w:rsidDel="00000000">
              <w:rPr>
                <w:rtl w:val="0"/>
              </w:rPr>
              <w:t xml:space="preserve">pielikumam</w:t>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10.4. pieteikuma veidlapa atbilst šo noteikumu </w:t>
            </w:r>
            <w:r w:rsidR="00000000" w:rsidRPr="00000000" w:rsidDel="00000000">
              <w:rPr>
                <w:rtl w:val="0"/>
              </w:rPr>
              <w:t xml:space="preserve">1. </w:t>
            </w:r>
            <w:r w:rsidR="00000000" w:rsidRPr="00000000" w:rsidDel="00000000">
              <w:rPr>
                <w:rtl w:val="0"/>
              </w:rPr>
              <w:t xml:space="preserve">pielikumu</w:t>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- 19.04.2022.)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10.4. apakšpunktu, norādot korektu vārda "pielikums" galotni.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10.4. pieteikuma veidlapa atbilst šo noteikumu 1. pielikumam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11.4. pieteikuma veidlapa atbilst šo noteikumu </w:t>
            </w:r>
            <w:r w:rsidR="00000000" w:rsidRPr="00000000" w:rsidDel="00000000">
              <w:rPr>
                <w:rtl w:val="0"/>
              </w:rPr>
              <w:t xml:space="preserve">1.</w:t>
            </w:r>
            <w:r w:rsidR="00000000" w:rsidRPr="00000000" w:rsidDel="00000000">
              <w:rPr>
                <w:rtl w:val="0"/>
              </w:rPr>
              <w:t xml:space="preserve">pielikumam</w:t>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Ja finansējumu saņem šo noteikumu 4.1.apakšpunktā minētie finansējuma saņēmēji, valsts budžeta līdzfinansējumu ieskaita finansējuma saņēmēja norēķinu kontā Valsts kasē, kas norādīts līgumā par valsts budžeta līdzfinansējuma piešķiršanu.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- 20.04.2022.)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Izsakām priekšlikumu paredzēt pašvaldībām un to iestādēm izvēles iespēju līdzekļu saņemšanā kontā kredītiestādē.</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Valsts budžeta līdzfinansējumu ieskaita šo noteikumu 4.4., 4.5. un 4.6. apakšpunktā minētā finansējuma saņēmēja norēķinu kontā Valsts kasē vai kontā kredītiestādē, kas norādīts līgumā par valsts budžeta līdzfinansējuma piešķiršanu.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Valsts budžeta līdzfinansējumu ieskaita šo noteikumu 4.4., 4.5. un 4.6. apakšpunktā minētā finansējuma saņēmēja norēķinu kontā Valsts kasē vai kontā kredītiestādē, kas norādīts līgumā par valsts budžeta līdzfinansējuma piešķiršanu.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- 08.08.2022.)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izziņu, norādot, ka priekšlikums (FM - 20.04.2022.) par noteikumu projekta 4.2. un 4.3.apakšpunktu (pēdējā redakcijā - 4.5. un 4.6.apakšpunktu) nav ņemts vērā, jo priekšlikums bija paredzēt minētajiem subjektiem noteikt līdzfinansējuma saņemšanu tikai kontā kredītiestādē. Vienlaikus aicinām precizēt noteikumu projektu atbilstoši piedāvātajai redakcijai.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Valsts budžeta līdzfinansējumu, kas norādīts līgumā par valsts budžeta līdzfinansējuma piešķiršanu, ieskaita šo noteikumu 4.4. apakšpunktā minētā finansējuma saņēmēja norēķinu kontā Valsts kasē vai kontā kredītiestādē, 4.5. un 4.6. apakšpunktā minētā finansējuma saņēmēja kontā kredītiestādē.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projekta 17.punkts ir precizēts pēc 08.08.2022. FM priekšlikuma.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Valsts budžeta līdzfinansējumu ieskaita šo noteikumu 4.4., 4.5. un 4.6. apakšpunktā minētā finansējuma saņēmēja norēķinu kontā Valsts kasē vai kontā kredītiestādē, kas norādīts līgumā par valsts budžeta līdzfinansējuma piešķiršanu.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Ja finansējumu saņem šo noteikumu 4.2.un 4.3.apakšpunktā minētie finansējuma saņēmēji, valsts budžeta līdzfinansējumu ieskaita finansējuma saņēmēja norēķinu kontā Valsts kasē vai kontā kredītiestādē, kas norādīts līgumā par valsts budžeta līdzfinansējuma piešķiršanu.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- 20.04.2022.)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iespēju noteikt nosacījumu par valsts budžeta līdzfinansējuma (kas veido 10% no kopējā finansējuma) saņemšanu tikai kontā kredītiestādē šo noteikumu 4.2. un 4.3.apakšpunktā minētajiem finansējuma saņēmējiem, ņemot vērā to, ka konts Valsts kasē izmantojams tikai valsts budžeta līdzekļu saņemšanai un izdevumu veikšanai, un pārējā projekta finansējuma (90%) ieskaitīšana kontā Valsts kasē no kredītiestāžu kontiem radītu papildu līdzekļu ieplūšanu kontos Valsts kasē, kas palielinātu kontu apkalpošanas un līdzekļu turēšanas izmaksas, kas tiek segtas no valsts budžeta, kā arī radītu papildu administratīvo slogu maksājumu kontroļu veikšanā sankciju un AML jomā.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un 17.punkts apvienots vienā: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16.valsts budžeta līdzfinansējumu ieskaita šo noteikumu 4.punktā minētā finansējuma saņēmēja norēķinu kontā Valsts kasē vai kontā kredītiestādē, kas norādīts līgumā par valsts budžeta līdzfinansējuma piešķiršanu.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21.2.1. ja starpība starp finansējuma saņēmēja kontā ieskaitīto valsts budžeta līdzfinansējuma summu un precizēto valsts budžeta līdzfinansējuma summu ir pozitīva, finansējuma saņēmējs piecu darbdienu laikā pēc ministrijas paziņojuma saņemšanas par līdzekļu atmaksu ieskaita šo starpību paziņojumā norādītajā kontā;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(LLPA - 20.04.2022.)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laikietilpīgo maksājumu dokumentu aprites procesu lielākās pašvaldībās, lūdzu izteikt 21.2.1.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starpība starp finansējuma saņēmēja kontā ieskaitīto valsts budžeta līdzfinansējuma summu un precizēto valsts budžeta līdzfinansējuma summu ir pozitīva, finansējuma saņēmējs </w:t>
            </w:r>
            <w:r w:rsidR="00000000" w:rsidRPr="00000000" w:rsidDel="00000000">
              <w:rPr>
                <w:b w:val="1"/>
                <w:rtl w:val="0"/>
              </w:rPr>
              <w:t xml:space="preserve">desmit</w:t>
            </w:r>
            <w:r w:rsidR="00000000" w:rsidRPr="00000000" w:rsidDel="00000000">
              <w:rPr>
                <w:rtl w:val="0"/>
              </w:rPr>
              <w:t xml:space="preserve"> darbdienu laikā pēc ministrijas paziņojuma saņemšanas par līdzekļu atmaksu ieskaita šo starpību paziņojumā norādītajā kontā;"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21.2.1. ja starpība starp finansējuma saņēmēja kontā ieskaitīto valsts budžeta līdzfinansējuma summu un precizēto valsts budžeta līdzfinansējuma summu ir pozitīva, finansējuma saņēmējs 10 darbdienu laikā pēc ministrijas paziņojuma saņemšanas par līdzekļu atmaksu ieskaita šo starpību paziņojumā norādītajā kontā;</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22-TA-615</w:t>
    </w:r>
    <w:r>
      <w:br/>
    </w:r>
    <w:r w:rsidR="00000000" w:rsidRPr="00000000" w:rsidDel="00000000">
      <w:rPr>
        <w:rtl w:val="0"/>
      </w:rPr>
      <w:t xml:space="preserve">25.08.2022. 16.41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22-TA-615</w:t>
    </w:r>
    <w:r>
      <w:br/>
    </w:r>
    <w:r w:rsidR="00000000" w:rsidRPr="00000000" w:rsidDel="00000000">
      <w:rPr>
        <w:rtl w:val="0"/>
      </w:rPr>
      <w:t xml:space="preserve">25.08.2022. 16.41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Izziņa_22-TA-615.docx</dc:title>
</cp:coreProperties>
</file>

<file path=docProps/custom.xml><?xml version="1.0" encoding="utf-8"?>
<Properties xmlns="http://schemas.openxmlformats.org/officeDocument/2006/custom-properties" xmlns:vt="http://schemas.openxmlformats.org/officeDocument/2006/docPropsVTypes"/>
</file>