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23-TA-1337: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plānveidīgi realizē iekļaujošu izglītību vispārējās izglītības iestādēs, atverot speciālās izglītības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r w:rsidR="00000000" w:rsidRPr="00000000" w:rsidDel="00000000">
              <w:rPr>
                <w:b w:val="1"/>
                <w:rtl w:val="0"/>
              </w:rPr>
              <w:t xml:space="preserve">Ventspils valstspilsētas pašvaldības vispārējās izglītības iestādēs speciālās izglītības programmās mācās 296 izglītojamie</w:t>
            </w:r>
            <w:r w:rsidR="00000000" w:rsidRPr="00000000" w:rsidDel="00000000">
              <w:rPr>
                <w:rtl w:val="0"/>
              </w:rPr>
              <w:t xml:space="preserve"> (t. sk. 70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Atbilstoši Vispārējās izglītības likumam Latvijā speciālo izglītību var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iestādēs (daļēji nošķirtā vidē) – Ventspilī šādi speciālo izglītību neiegūst neviens izglītojamais;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izglītības iestāžu speciālajās klasēs (integratīvā vidē) – Ventspilī 94 izglītojamie (t. sk. 45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klasēs (iekļaujošā vidē) – Ventspilī 202 izglītojamie (t. sk. 25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Ventspilī speciālās izglītības programmas (ar programmas kodu 21015911 - bērni ar smagiem garīgās attīstības traucējumiem) izglītojamie mācās nošķirti, kur audzēkņus netraucē troksnis un mijiedarbība ar citiem izglītojamiem. Ventspils 2.pamatskolas audzēkņi tiek izglītoti atsevišķās telpās citā ēkā. Taču nākotnē ir vēlme speciālās izglītības programmas īstenot esošā skolu tīkla ietvaros, pielāgojot šim mērķim esošas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paplašināt 4.2.1.3. pasākuma „Infrastruktūras un mācību vides pilnveide efektīvas, kvalitatīvas un mūsdienīgas izglītības īstenošanai speciālās izglītības iestādēs” īstenošanas noteikumu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izteikt sekojošā redakcijā</w:t>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w:t>
            </w:r>
            <w:r w:rsidR="00000000" w:rsidRPr="00000000" w:rsidDel="00000000">
              <w:rPr>
                <w:u w:val="single"/>
                <w:rtl w:val="0"/>
              </w:rPr>
              <w:t xml:space="preserve">un vispārējās izglītības speciālās izglītības klasēs” </w:t>
            </w:r>
            <w:r w:rsidR="00000000" w:rsidRPr="00000000" w:rsidDel="00000000">
              <w:rPr>
                <w:rtl w:val="0"/>
              </w:rPr>
              <w:t xml:space="preserve">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vairākkārtēji vērsusi pašvaldību un pašvaldības pārstāvošo organizāciju uz Eiropas Savienības kohēzijas politikas programmā 2021. – 2027. gadam noteikto, ka 4.2.1.3. pasākuma „Infrastruktūras un mācību vides pilnveide efektīvas, kvalitatīvas un mūsdienīgas izglītības īstenošanai speciālās izglītības iestādēs” (turpmāk – 4.2.1.3. pasākums) ietvaros atbalsts ir sniedzams speciālās izglītības iestādēm, nodrošinot to mācību infrastruktūras atbilstību mūsdienīga mācību procesa īstenošanai. Šāds atbalsts specialās izglītības iestādēm nav sniegts kopš  Eiropas Savienības fondu 2007. – 2013. gada plānošanas perioda. Eiropas Savienības fondu 2014. – 2020. gada plānošanas periodā tika sniegts būtisks atbalsts nacionālas un reģionālas nozīmes attīstības centru pašvaldību vispārizglītojošo izglītības iestāžu mācību vides uzlabošanai. Savukārt ar 2024. gadu paredzēta projektu īstenošana Atveseļošanās fonda 3.1.1.5. investīcijas "Izglītības iestāžu infrastruktūras pilnveide un aprīkošana" ietvaros vispārizglītojošo izglītības iestāžu ārpus novadu administratīvajiem centriem. Kā arī 2023. gadā pašvaldībām bija iespēja pieteikt investīciju projektu pieteikumus valsts budžeta aizņēma saņemšanai izglītības iestāžu mācību vides uzlabošanai. Visu minēto investīciju programmu ietvaros kā atbalstāmā darbība ir piekļūstamības nodrošināšana izglītības iestādēs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4.2.1.3. pasākuma mērķa grupas paplašināšana, būtiski paplašina tā labuma guvēju loku, kā rezultātā, ar 4.2.1.3. pasākumam pieejamo Eiropas Savienības fonda finansējuma apmēru, tiktu radīts risks 4.2.1.3. pasākuma mērķa un uzraudzības 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Vispārējs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pašvaldības vispārējās izglītības iestādēs speciālās izglītības programmās mācās 296 izglītojamie (t. sk. 70 pirmsskolas izglītības posmā). Atbilstoši Vispārējās izglītības likumam Latvijā speciālo izglītību var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Speciālās izglītības iestādēs (daļēji nošķirtā vidē) – Ventspilī šādi speciālo izglītību neiegūst neviens izglītojamais;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 izglītības iestāžu speciālajās klasēs (integratīvā vidē) – Ventspilī 94 izglītojamie (t. sk. 45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Vispārējās izglītības klasēs (iekļaujošā vidē) – Ventspilī 202 izglītojamie (t. sk. 25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Ventspilī speciālās izglītības programmas (ar programmas kodu 21015911 - bērni ar smagiem garīgās attīstības traucējumiem) izglītojamie mācās nošķirti, kur audzēkņus netraucē troksnis un mijiedarbība ar citiem izglītojamiem. Ventspils 2.pamatskolas audzēkņi tiek izglītoti atsevišķās telpās citā ēkā. Taču nākotnē ir vēlme speciālās izglītības programmas īstenot esošā skolu tīkla ietvaros, pielāgojot šim mērķim esošas telpas, pamatojoties uz šādiem apsvērumiem un iemesliem: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un vecāku intereses. Esam uzklausījuši vecākus un guvuši pārliecību, ka to vēlme ir būt ikdienā kopā ar bērniem un aprūpēt tos ģimenē, kas internāta vidē nav iespējams. Bērnu interesēs ir augt ģimenē, izglītoties skolā, kā arī būt piederīgam sabiedrībai – nebūt nošķirtiem no sabiedrības un mazinot segregāciju.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Optimāla izglītības personāla resursu izmantošana. Īstenojot speciālās izglītības programmas vispārējās izglītības iestādes ietvaros ir pieejams plašāks atbalsta speciālistu loks, kas var nodarboties gan ar speciālo izglītības programmu izglītojamajiem, gan ar pārējiem izglītojamajiem, t.i. speciālās izglītības skolotāji, logopēds un cits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Racionāla materiāltehnisko resursu izmantošana. Samazinoties bērnu skaitam esošo skolu telpās (piemēram, Ventspils Pārventas pamatskolā mācās 315 izglītojamie, bet skolas telpas projektētas, lai uzņemtu līdz 700 izglītojamajiem), proporcionāli nesamazinās izdevumi par telpu uzturēšanu (siltumenerģija, elektroenerģija u.c.). Esošo izglītības iestāžu ēkās ir iespējams izveidot atsevišķu ēkas daļu speciālās izglītības programmu īstenošanai, nodrošinot racionālu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un ņemot vērā to, ka saskaņā ar Noteikumu projektu 4.2.1.3. pasākuma  mērķis ir speciālās izglītības iestāžu tīkla sakārtošana un mācību vides un infrastruktūras, materiāltehniskā nodrošinājuma un mācību līdzekļu pilnveidošana (..) un Projekta iesniedzējs ir pašvaldība, kuras administratīvajā teritorijā darbojas vismaz viena speciālās izglītības iestāde (..), lūdzam 4.2.1.3. pasākuma ietvaros plānot atbalstu ne tikai speciālās izglītības iestāžu infrastruktūras uzlabošanai, bet arī paplašināt 4.2.1.3. pasākuma atbalsta tvērumu, lai tās pašvaldības, kuras nodrošina speciālās pamatizglītības programmas, varētu saņemt atbalstu vispārējās izglītības iestāžu infrastruktūras uzlabošanai, pielāgojot telpas speciālās izglītības pakalpojuma sniegšanai.ispārējs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pašvaldības vispārējās izglītības iestādēs speciālās izglītības programmās mācās 296 izglītojamie (t. sk. 70 pirmsskolas izglītības posmā). Atbilstoši Vispārējās izglītības likumam Latvijā speciālo izglītību var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Speciālās izglītības iestādēs (daļēji nošķirtā vidē) – Ventspilī šādi speciālo izglītību neiegūst neviens izglītojamais;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 izglītības iestāžu speciālajās klasēs (integratīvā vidē) – Ventspilī 94 izglītojamie (t. sk. 45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Vispārējās izglītības klasēs (iekļaujošā vidē) – Ventspilī 202 izglītojamie (t. sk. 25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Ventspilī speciālās izglītības programmas (ar programmas kodu 21015911 - bērni ar smagiem garīgās attīstības traucējumiem) izglītojamie mācās nošķirti, kur audzēkņus netraucē troksnis un mijiedarbība ar citiem izglītojamiem. Ventspils 2.pamatskolas audzēkņi tiek izglītoti atsevišķās telpās citā ēkā. Taču nākotnē ir vēlme speciālās izglītības programmas īstenot esošā skolu tīkla ietvaros, pielāgojot šim mērķim esošas telpas, pamatojoties uz šādiem apsvērumiem un iemesliem: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un vecāku intereses. Esam uzklausījuši vecākus un guvuši pārliecību, ka to vēlme ir būt ikdienā kopā ar bērniem un aprūpēt tos ģimenē, kas internāta vidē nav iespējams. Bērnu interesēs ir augt ģimenē, izglītoties skolā, kā arī būt piederīgam sabiedrībai – nebūt nošķirtiem no sabiedrības un mazinot segregāciju.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Optimāla izglītības personāla resursu izmantošana. Īstenojot speciālās izglītības programmas vispārējās izglītības iestādes ietvaros ir pieejams plašāks atbalsta speciālistu loks, kas var nodarboties gan ar speciālo izglītības programmu izglītojamajiem, gan ar pārējiem izglītojamajiem, t.i. speciālās izglītības skolotāji, logopēds un cits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Racionāla materiāltehnisko resursu izmantošana. Samazinoties bērnu skaitam esošo skolu telpās (piemēram, Ventspils Pārventas pamatskolā mācās 315 izglītojamie, bet skolas telpas projektētas, lai uzņemtu līdz 700 izglītojamajiem), proporcionāli nesamazinās izdevumi par telpu uzturēšanu (siltumenerģija, elektroenerģija u.c.). Esošo izglītības iestāžu ēkās ir iespējams izveidot atsevišķu ēkas daļu speciālās izglītības programmu īstenošanai, nodrošinot racionālu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un ņemot vērā to, ka saskaņā ar Noteikumu projektu 4.2.1.3. pasākuma  mērķis ir speciālās izglītības iestāžu tīkla sakārtošana un mācību vides un infrastruktūras, materiāltehniskā nodrošinājuma un mācību līdzekļu pilnveidošana (..) un Projekta iesniedzējs ir pašvaldība, kuras administratīvajā teritorijā darbojas vismaz viena speciālās izglītības iestāde (..), lūdzam 4.2.1.3. pasākuma ietvaros plānot atbalstu ne tikai speciālās izglītības iestāžu infrastruktūras uzlabošanai, bet arī paplašināt 4.2.1.3. pasākuma atbalsta tvērumu, lai tās pašvaldības, kuras nodrošina speciālās pamatizglītības programmas, varētu saņemt atbalstu vispārējās izglītības iestāžu infrastruktūras uzlabošanai, pielāgojot telpas speciālās izglītības pakalpojuma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Veršam uzmanību, ka pieejamība nozīmē vides/objekta/pakalpojuma pieejamību vai esamību kopumā. Savukārt piekļūstamība nozīmē, ka konkrētajai videi/objektam/pakalpojumam ir iespēja fiziski piekļūt un to var lietot, izmantojot vairākus sensoros (redze, dzirde, tauste) kanālus. Tādējādi pieejamība var izslēgt piekļūstamību, savukārt piekļūstamība ietver arī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speciālās izglītības iestāžu tīkla sakārtošana un mācību vides un infrastruktūras, materiāltehniskā nodrošinājuma un mācību līdzekļu pilnveidošana, lai paaugstinātu speciālās izglītības iestāžu kapacitāti kvalitatīvas speciālās izglītības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 programmas tiek īstenotas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tikai speciālās izglītības iestādēs, bet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vispārizglītojošās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visās pašvaldībās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izglītības iestāžu 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sakārtošana, kuras īsteno speciālās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lai nodrošinātu mācību vides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materiāltehniskā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un mācību līdzekļu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pilnveidošanu, paaugstinātu speciālās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īstenošanas kvalitāti speciālās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speciālās izglītības iestāžu tīkla sakārtošana un mācību vides un infrastruktūras, materiāltehniskā nodrošinājuma un mācību līdzekļu pilnveidošana, lai paaugstinātu speciālās izglītības iestāžu kapacitāti kvalitatīvas speciālās izglītības nodrošināšanā.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nacionālais iznākuma rādītājs – līdz 2029.gada 31.decembrim modernizēta mācību vide 30 speciālās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izglītības iestāžu skaitu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pašvaldībās, kurās nav speciālās izglītības iestāžu, bet speciālās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īstenotas speciālajās 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vispārizglītojošās skolās.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plānotais un pieejamais kopējais finansējums ir 17 400 000 euro, tai skaitā Eiropas Reģionālās attīstības fonda finansējums 14 790 000 euro un pašvaldību līdzfinansējums 2 610 000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ne mazāks kā 17 400 000 </w:t>
            </w:r>
            <w:r w:rsidR="00000000" w:rsidRPr="00000000" w:rsidDel="00000000">
              <w:rPr>
                <w:i w:val="1"/>
                <w:rtl w:val="0"/>
              </w:rPr>
              <w:t xml:space="preserve">euro</w:t>
            </w:r>
            <w:r w:rsidR="00000000" w:rsidRPr="00000000" w:rsidDel="00000000">
              <w:rPr>
                <w:rtl w:val="0"/>
              </w:rPr>
              <w:t xml:space="preserve">, tai skaitā maksimālais Eiropas Reģionālās attīstības fonda finansējums 14 790 000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2 610 000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pasākumu plānots īstenot uzreiz par visu tam plānoto finansējumu, ieskaitot elastības finansējumu, lūdzam iesniegt Finanšu ministrijai priekšlikumu par plānotā elastības finansējuma pārcelšanu uz 4.2.1.5.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anotācijā norādīto informāciju par 4.2.1.3.pasākumam plānoto elastības finansējumu. Vēršam uzmanību, ka atbilstoši Programmas pielikumam 4.2.1.3. pasākumam noteikts elastības finansējums ir 2 744 420 euro, tai skaitā ERAF 2 332 757 euro un pašvaldību līdzfinansējums 411 663 euro, nevis 2 697 000 euro,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Reģionālās attīstības fonda finansējums projektā nepārsniedz 85 procentus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pašvaldība, kuras administratīvajā teritorijā darbojas vismaz viena speciālās izglītības iestāde, kas pēc projekta iesnieguma apstiprināšanas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punktu ar teikumu: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nav speciālās izglītības iestāde,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kurā speciālās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īstenotas speciālajās klasēs.''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pašvaldība, kuras administratīvajā teritorijā darbojas vismaz viena speciālās izglītības iestāde, kas pēc projekta iesnieguma apstiprināšanas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kā arī Vispārējās izglītības likuma 50.panta ceturtajā daļā noteiktās profesionālās pamatizglītības programmas. Prioritāri atbalsts paredzēts speciālās izglītības attīstības centriem.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(izņemot speciālās pirmsskolas izglītības programmas un Vispārējās izglītības likuma 50. panta ceturtajā daļā noteiktās profesionālās pamatizglītības programmas), kā arī Vispārējās izglītības likuma 50.panta ceturtajā daļā noteiktās profesionālās pamatizglītības programmas. Prioritāri atbalsts paredzēts speciālās izglītības attīstības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noteikumu projekta anotācijā, tad pasākuma īstenošana plānota pamatojoties uz informatīvajā ziņojumā “Par speciālās izglītības iestāžu tīkla izvērtējumu” dotajiem speciālās izglītības iestāžu sakārtošanas principiem, kas cita starpā nenošķir speciālajās izglītības iestādēs īstenotās profesionālās pamatizglītības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Nošķirot profesionālās pamatizglītības un  speciālās izglītības programmu īstenošanas vietas var netikt sasniegts minētajā ziņojumā norādītais mērķis par vienmērīgi izvietota, mūsdienīgi iekārtota un aprīkota speciālās izglītības iestāžu tīklu izveidi, kur nodrošinātas atbilstošas mācību telpas un materiāltehniskā bāze, tostarp profesionālās pamatizglītības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informatīvajā ziņojumā minētais, ka speciālās izglītības iestāžu izglītojamo iesaiste profesionālās pamatizglītības programmās bieži vien ir risinājums kā pašvaldības nodrošina savas autonomās funkcijas – nodrošināt sociāli mazaizsargātām personām sociālās palīdzības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licencētas speciālās izglītības programmas īsteno vienuviet. Prioritāri atbalsts paredzēts speciālās izglītības attīstības centriem.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kā arī Vispārējās izglītības likuma 50.panta ceturtajā daļā noteiktās profesionālās pamatizglītības programmas. Prioritāri atbalsts paredzēts speciālās izglītības attīstības centriem.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paredz, ka uzsākot dalību projekta iesniegumu atlasē pašvaldība veic speciālās izglītības iestāžu tīkla sakārtošanu (ja attiecināms), nodrošinot, ka tās administratīvajā teritorijā pēc 2025. gada 31. augusta darbojas ne vairāk kā viena speciālās izglītības iestāde (</w:t>
            </w:r>
            <w:r w:rsidR="00000000" w:rsidRPr="00000000" w:rsidDel="00000000">
              <w:rPr>
                <w:b w:val="1"/>
                <w:rtl w:val="0"/>
              </w:rPr>
              <w:t xml:space="preserve">izņemot Rīgas valstspilsētu</w:t>
            </w:r>
            <w:r w:rsidR="00000000" w:rsidRPr="00000000" w:rsidDel="00000000">
              <w:rPr>
                <w:rtl w:val="0"/>
              </w:rPr>
              <w:t xml:space="preserve">). Vēršam uzmanību uz to, ka Izglītības un zinātnes ministrijas sagatavotais informatīvais ziņojums “Par speciālās izglītības iestāžu tīkla izvērtējumu” (9.nodaļa) paredz, ka pēc administratīvi teritoriālās reformas, būtu jāizveido viena mūsdienīga speciālās izglītības iestāde katrā novadā vai uz diviem novadiem viena (</w:t>
            </w:r>
            <w:r w:rsidR="00000000" w:rsidRPr="00000000" w:rsidDel="00000000">
              <w:rPr>
                <w:b w:val="1"/>
                <w:rtl w:val="0"/>
              </w:rPr>
              <w:t xml:space="preserve">izņemot valstspilsētas</w:t>
            </w:r>
            <w:r w:rsidR="00000000" w:rsidRPr="00000000" w:rsidDel="00000000">
              <w:rPr>
                <w:rtl w:val="0"/>
              </w:rPr>
              <w:t xml:space="preserve">), pašvaldībām savstarpēji vienojoties, kuras speciālās izglītības iestādes ir attīstāmas.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noteikuma projekta 14.punktu, nosakot, ka ar speciālo izglītības iestāžu tīkla sakārtošanu tās administratīvajā teritorijā pēc 2025.gada 31.augusta darbojas ne vairāk kā viena speciālās izglītības iestāde (izņemot valstspilsētas), vai anotācijā skaidrot, kāpēc citās valstpilsētās, izņemot Rīgu, pēc speciālo izglītības iestāžu tīkla sakārtošanas drīkstēs darboties ne vairāk kā viena speciālās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anotācijā jau šobrīd ir minēti no Izglītības un zinātnes ministrijas informatīvā ziņojuma “Par speciālās izglītības iestāžu tīkla izvērtējumu” izrietošie secinājumi par speciālās izglītības iestāžu tīkla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licencētas speciālās izglītības programmas īsteno vienuviet. Prioritāri atbalsts paredzēts speciālās izglītības attīstības centriem.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12. punktā minētajām pašvaldībām maksimāli plānotais Eiropas Reģionālās attīstības fonda finansējums ir šāds: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punktu ar teikumu: &amp;quot;Ja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nav speciālās izglītības iestāde,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kurā speciālās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īstenotas speciālajās klasēs.&amp;quot;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11. punktā minētajām pašvaldībām maksimāli plānotais Eiropas Reģionālās attīstības fonda finansējums ir šāds: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12. punktā minētajām pašvaldībām maksimāli plānotais Eiropas Reģionālās attīstības fonda finansējums ir šāds: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nosaka, ka projekta minimālais kopējo attiecināmo izmaksu apmērs nav mazāks par 200 000 euro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16. punktā divām pašvaldībām maksimāli plānotais Eiropas Reģionālās attīstības fonda finansējums ir mazāks kā 200 000 euro un gadījumā, ja pašvaldības neizmanto visu tām pieejamo maksimālo Eiropas Reģionālās attīstības fonda finansējumu, pastāv iespēja, ka projekta kopējais attiecināmais finansējums būs mazāks kā 200 000 euro. Atbilstoši Regulas Nr. 2021/1060 53.panta 2.punktam projektos līdz 200 000 EUR (ieskaitot) visām izmaksām jābūt segtām, piemērojot vienkāršotās izmaksas. Vienlaikus norādām, ka jānodrošina vienāda pieeja visiem finansējuma saņēmējiem attiecībā uz izmaksu attiecināšanu.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11. punktā minētajām pašvaldībām maksimāli plānotais Eiropas Reģionālās attīstības fonda finansējums ir šāds: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projektu papildināt ar punktu, kas šobrīd ir dzēsts un kurš iepriekš noteica, ka šo noteikumu 18. un 19.punktā minētās izmaksas ir attiecināmas, ja tās tiek veiktas ar saimniecisko darbību nesaistītā infrastruktūrā. Ievērojot to, ka IZM paredz atļaut papildinošas saimnieciskas darbības veikšanu, vēršam uzmanību, ka tas ir iespējams tikai tādā infrastruktūrā, kas ir uzskatāma par ar saimniecisko darbību nesaistītu. Attiecīgi šādai norādei ir jābūt ietvertai MKN. Vienlaikus lūdzam papildināt arī anotāciju ar skaidrojumu, kā pasākuma ietvaros paredzētās aktivitātes būtu uzskatāmas kā ar saimniecisko darbību nesaistītas atbilstoši Eiropas Komisijas paziņojuma par Līguma par Eiropas Savienības darbību 107.panta 1.punktā minēto valsts atbalsta jēdzienu (2016/C 262/01) 28.punktā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īstenošanu praksē,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publicitātes pasākumu atbilstību piekļūstamības prasībām, proti, lai informācijas saturs būtu piekļūstams, izmantojot vairākus sensoros (redze, dzirde, tauste) kanālus,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ekspertu konsultāciju nodrošināšanai, ja tās ir nepieciešamas vides un informācijas piekļūstamības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informācija saturs pasākuma ietvaros tiks radīts ierobežotā apmērā kā obligāti nepieciešamie publicitātes pasākumi. Līdz ar to atsevišķu izmaksu pozīciju, teiksim subtitru nodrošināšanas pakalpojuma izmaksas, nav pamatota.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vides, informācijas un komunikāciju tehnoloģiju un to risinājumu piekļūstamības ekspertu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Atbildot uz IZM komentāru, ka informācijas saturs pasākuma ietvaros tiks radīts ierobežotā apmērā kā obligāti nepieciešamie publicitātes pasākumi un tāpēc subtitru nodrošināšanas pakalpojuma izmaksas nav pamatotas, paskaidrojam, ka īstenojot komunikācijas pasākumus par projekta īstenošanu, ir jāņem vērā nosacījums, ka to bez jebkādiem ierobežojumiem varētu izmantot ikviens lietotājs. Informācijas piekļūstamība ir saistoša ne tikai tikai cilvēkiem ar dažādām veselības problēmām – redzes, dzirdes, kustību un garīgajiem traucējumiem, bet arī daudzi citi faktori, piemēram, digitālā pratība un ierīču veiktspēja. Digitālā satura piekļūstamības ierobežojumi ir tieši attiecināmi uz atsevišķu lietotāju diskrimināciju pēc noteiktām pazīmēm. Līdz ar to informācijai digitālajā telpā ir jābūt piekļūstamai (uztveramai,  darbināmai, saprotamai (digitālā satura atspoguļošana vienkāršā valodā, lai tas būtu saprotams ikvienam lietotājam, arī cilvēkiem ar dažādiem uztveres traucējumiem) un robustai (iespēja salāgot digitālo saturu ar dažāda veida iekārtām, piemēram, ekrāna lasīšanas ierīcēm, viedtālruņu virtuālajiem balss asistentiem un u.tml.). LM ieskatā, informācijas piekļūstamību bez diskriminācijas plašākai sabiedrībai veicina arī subtitri vai informācijas tulkošana zīmju valodā, līdz ar to aicinām  paredzēt attiecināmās izmaksas iepriekš minētajiem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ekspertu konsultāciju nodrošināšanai, ja tās ir nepieciešamas vides un informācijas piekļūstamības nodrošināšanai.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18.1.3. apakšpunktu.Skatīt noteikumu projekta 18.1.3.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horizontālā principa “Vienlīdzība, iekļaušana, nediskriminācija un pamattiesību ievērošana” darbību īstenošanas izmaksas, tai skaitā vides, informācijas un komunikāciju tehnoloģiju un to risinājumu piekļūstamības ekspertu konsultācijas, zīmju valodas tulku, vieglās valodas tulkošanas, reāllaika transkripcijas, subtitru nodrošināšanas pakalpojumu izmaksas, ja tās ir nepieciešamas vides un informācijas piekļūstamības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vides pieejamības ekspertu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ANO Konvencijā par personu ar invaliditāti tiesībām noteikto vienlīdzīgu iespēju principu, proti, tiesības uz piekļūstamu fizisko un informatīvo (t.sk. digitālo) vidi, lūdzam paredzēt ekspertu konsultācijas ne tikai attiecībā uz būvētās vides piekļūstamību, bet bet arī attiecībā uz IT risinājumu, IT tehnoloģiju piekļūstamību. Tas būs īpaši svarīgi, īstenojot noteikumu projekta 17.2., 17.3. un 17.4. apakšpunktos minētās atbalstāmās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ekspertu konsultācijas par būvētās vides, IT risinājumu, IT tehnoloģiju piekļūstamību personām ar dažādiem funkcionāliem traucējumiem.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horizontālā principa “Vienlīdzība, iekļaušana, nediskriminācija un pamattiesību ievērošana” darbību īstenošanas izmaksas, tai skaitā vides, informācijas un komunikāciju tehnoloģiju un to risinājumu piekļūstamības ekspertu konsultācijas, zīmju valodas tulku, vieglās valodas tulkošanas, reāllaika transkripcijas, subtitru nodrošināšanas pakalpojumu izmaksas, ja tās ir nepieciešamas vides un informācijas piekļūstamības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20.2.1. apakšpunktā minētie darbi;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w:t>
            </w:r>
            <w:r w:rsidR="00000000" w:rsidRPr="00000000" w:rsidDel="00000000">
              <w:rPr>
                <w:b w:val="1"/>
                <w:rtl w:val="0"/>
              </w:rPr>
              <w:t xml:space="preserve">nav 20.2.1. apakšpunkta,</w:t>
            </w:r>
            <w:r w:rsidR="00000000" w:rsidRPr="00000000" w:rsidDel="00000000">
              <w:rPr>
                <w:rtl w:val="0"/>
              </w:rPr>
              <w:t xml:space="preserve"> lūdzu precizēt atsauci uz atbilstošu noteikuma projekta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18.2.1. apakšpunktā minētie darbi;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20.2.1. apakšpunktā minētie darbi;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nav 20.2.1. apakšpunkta, lūdzu precizēt atsauci uz atbilstošu noteikuma projekta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18.2.1. apakšpunktā minētie darbi;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20.2.1. apakšpunktā minētie darbi;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Vēršma uzmanību, ka noteikumu projektā nav 20.1.2punkts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18.2.1. apakšpunktā minētie darbi;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būvuzraudzības un autoruzraudzības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programmas 2021.-2027.gada plānošanas periodā" 10.2.apakšpunktu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pārskatīt MK noteikumu redakciju, attiecīgi to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būvuzraudzības un autoruzraudzības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neparedzētie izdevumi, kas nepārsniedz piecus procentus no projekta kopējām attiecināmajām izmaksām, un tos veic, lai nodrošinātu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katrā SAM minētais procentuālais apmērs ir jāizvērtē individuāli, atkarībā no tā, cik apjomīgus un sarežģītus projektus paredzēts īstenot attiecīgajā SAM, taču tas kopumā nedrīkst pārsniegt 5 % no kopējo tiešo attiecināmo izmaksu summas. Līdz ar to lūdzam anotācijā iekļaut pamatojumu, kāpēc konkrētajā SAM nosaka procentuālo neparedzēto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MK noteikumu 18.10. apakšpunktu papildināt ar nosacījumu, ka neparedzēto izmaksu izlietošanu pirms izdevumu veikšanas finansējuma saņēmējs saskaņo ar sadarbības iestādi, kā to nosaka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izsakot to šādā redakcijā: "kopējo tiešo 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projekts neparedz netiešo izmaksu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neparedzētie izdevumi, kas nepārsniedz piecus procentus no projekta kopējām attiecināmajām izmaksām, un tos veic, lai nodrošinātu projekta īstenošanu. Neparedzēto izmaksu izmantošanu pirms izdevumu veikšanas finansējuma saņēmējs saskaņo ar sadarbības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Pievienotās vērtības nodokļa maksājumi, kas tiešā veidā saistīti ar projektu, uzskatāmi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64.panta 1.punkta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ar skaidrojumu, norādot, ka tiks nodrošināts dubultā finansējuma novēršanas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Pievienotās vērtības nodokļa maksājumi, kas tiešā veidā saistīti ar projektu, uzskatāmi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Izmaksas ir attiecināmas, ja tās atbilst šajos noteikumos minētajām izmaksu pozīcijām un ir radušās no šo noteikumu spēkā stāšanās dienas, izņemot projekta pamatojošās dokumentācijas sagatavošanas izmaksas, kas ir attiecināmas, ja tās veiktas pēc 2021.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projekta pamatojošās dokumentācijas sagatavošanas izmaksas ir attiecināmas no 2021. gada janvāra, kā arī projektu izmaksas ir attiecināms pirms līguma noslēgšanas, lūdzam anotācijā sniegt pamatojumu,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ir attiecināmas, ja tās atbilst šajos noteikumos minētajām izmaksu pozīcijām un ir radušās no šo noteikumu spēkā stāšanās dienas, izņemot projekta pamatojošās dokumentācijas sagatavošanas izmaksas, kas ir attiecināmas, ja tās veiktas pēc 2021.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18. un 19. punktā minētās izmaksas ir attiecināmas, ja tās tiek veiktas ar saimniecisko darbību nesaistītā infrastruktūrā.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virzītājs kā atbalstāmus ir paredzējis tikai ieguldījumus ar saimniecisko darbību nesaistītā infrastruktūrā, lai MK noteikumu projekta lietotājiem nodrošinātu izpratni par aktivitātes ietvaros atļauto darbību raksturu, lūdzam nepārprotami norādīt, vai šajā infrastruktūrā ir/nav pieļaujama papildinošu saimniecisko darbību veikšana. Ar atbilstošu skaidrojumu lūdzam papildināt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noteikumu projekts un tā anotācija, kur nepārprotami norādīts, ka projekta īstenošanas rezultātā modernizētajās speciālās izglītības iestādes ēkās ir pieļaujama arī ierobežota apjoma papildinošas saimnieciskās darbību īstenošana. Precizējums veikts, lai nodrošinātu līdzīga veida regulējumu līdzīgas Izglītības un zinātnes ministrijas pārziņā esošajās investīciju programmās, kas paredz mācību vides uzlabošanu vispārējās izglītības iestādēs.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īstenošanas gaitā radušās sadārdzinājuma izmaksas finansējuma saņēmējs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18. un 19. punktā minētās izmaksas ir attiecināmas, ja tās tiek veiktas ar saimniecisko darbību nesaistītā infrastruktūrā.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 skaidrojumu, kāpēc aktivitātes ietvaros paredzētās aktivitātes būtu uzskatāmas kā ar saimniecisko darbību nesaistītas, piemēram, norādot kādos nacionālajos normatīvajos aktos ir noteikta konkrētās funkcijas realizācija projekta iesniedzējam un kā šī funkcija atbilst Eiropas Komisijas paziņojuma par Līguma par Eiropas Savienības darbību 107. panta 1. punktā minēto valsts atbalsta jēdzienu (2016/C 262/01) 28.punktā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īstenošanas gaitā radušās sadārdzinājuma izmaksas finansējuma saņēmējs sedz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noteikumos iekļaut prasību, ka finansējuma saņēmējs izstrādā nosacījumus, kā tas pārliecinās par interešu konflikta (ievērojot Regulas 2018/1046 61. pantā noteikto), krāpšanas un korupcijas risku neesamību, kā arī, ka finansējuma saņēmējs paraksta interešu konflikta neesamības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uzkrāj datus par projekta ietekmi uz horizontālo principu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noteikumu projekta 25.2. apakšpunktā minēto rādītāju uzkrāšanu,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kāds ir datu uzkrāšanas periods  datiem par projekta ietekmi uz horizontālo principu rādītājiem un kura no Labklājības ministrijas izstrādātajām metodikām ir piemērojama par Vides un informācijas piekļūstamības pašnovērtējumu.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ievēro horizontālo principu “Vienlīdzība, iekļaušana, nediskriminācija un pamattiesību ievērošana” un projekta īstenošanas laikā uzkrāj datus par projekta ietekmi uz tā rādītājiem,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uzkrāj datus par projekta ietekmi uz horizontālo principu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noteikumu projekta 25.2. apakšpunktā minēto rādītāju uzkrāšanu,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kāds ir datu uzkrāšanas periods  datiem par projekta ietekmi uz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noteiktu atsauci, kura no Labklājības ministrijas izstrādātajām metodikām ir piemērojama par Vides un informācijas piekļūstamības pašnovērtējumu (saskaņā ar LBN 200-21 vai saskaņā ar LBN 208-15);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uzskaitījums (veids) par klimatdrošināšanu, vēlams norādīt konkrētu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uzskaitījums par energoefektivitāte pirmajā vietā, vēlams norādīt konkrētu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uzskaitījums par “nenodarīt būtisku kaitējumu”, vēlams norādīt konkrētu piemēru.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konkrētiem piemēriem par datiem par projekta ietekmi uz rādītājiem par klimatdrošināšanu, energoefektivitāti pirmajā vietā,  nenodarīt būtisku kaitējumu, norādām, ka tie nav obligāti norādāmie dati, bet gan papildu dati, ko finansējuma saņēmējs atzīmēs KPVIS datu laukos gadījumā, ja attiecīgajā projektā šādi dati būs pieejami. Ievērojot minēto un to, ka, piemēram, attiecībā uz HP “Klimatdrošināšana” atbildīgā iestāde ir Klimata un enerģētikas ministrija, tad atbildība par attiecīgo KPVIS datu lauku definēšanu ir attiecīgo nozaru ministriju pārziņā, un tās vēl turpina vadlīniju izstrādi. Situācija ar LM ir atšķirīga, jo LM ir izstrādājusi (un ar FM kā vadošo iestādi saskaņojusi) vadlīnijas “Horizontālais princips “Vienlīdzība, iekļaušana, nediskriminācija un pamattiesību ievērošana” vadlīnijas īstenošanai un uzraudzībai (2021-2027)”, kuru Izglītības un zinātnes ministrija izmanto izstrādājot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ievēro horizontālo principu “Vienlīdzība, iekļaušana, nediskriminācija un pamattiesību ievērošana” un projekta īstenošanas laikā uzkrāj datus par projekta ietekmi uz tā rādītājiem,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25.2.1.2. vides un informācijas piekļūstamības pašnovērtējuma rezultāts (iegūtais punktu skaits) atbilst Labklājības ministrijas izstrādātajai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HP rādītāja redakciju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(skat.4.pielikumu).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LM metodikai, objekts ir piekļūstams, ja pašnovērtējumā iegūtais punktu skaits ir 8 un vairāk.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vides un informācijas piekļūstamības pašnovērtējumu skaits, atbilstoši LM izstrādātajai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25.2.1.3. konsultatīva rakstura pasākumu par būvētās vides piekļūstamību personām ar dažādiem funkcionāliem traucējumiem (piemēram, vides piekļūstamības ekspertu konsultācijas būvprojekta izstrādes un pabeigšanas posmā)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HP rādītāja redakciju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(skat.4.pielikumu).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Konsultatīva rakstura pasākumu skaits par būvētās vides, IT risinājumu, IT tehnoloģiju piekļūstamību personām ar dažādiem funkcionāliem traucējumiem.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Sadarbības iestāde, ja tai ir pieejami valsts budžeta līdzekļi, pamatojoties uz finansējuma saņēmēja rakstisku avansa pieprasījumu un izvērtējot plānotā avansa apmēru, tā pamatojumu un spēju to izlietot sešu mēnešu laikā saimnieciskā gada ietvaros, var piešķirt finansējuma saņēmējam avansu, ievērojot, ka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un vienlaikus pašvaldība spētu savlaicīgi plānot nepieciešamos finanšu resursus projekta īstenošanai, lūdzam precizēt Ministru kabineta noteikumu projekta 28. punktu vai sniegt papildu informāciju anotācijā, norādot, kāds ir maksimāli pieejamais </w:t>
            </w:r>
            <w:r w:rsidR="00000000" w:rsidRPr="00000000" w:rsidDel="00000000">
              <w:rPr>
                <w:u w:val="single"/>
                <w:rtl w:val="0"/>
              </w:rPr>
              <w:t xml:space="preserve">avansa</w:t>
            </w:r>
            <w:r w:rsidR="00000000" w:rsidRPr="00000000" w:rsidDel="00000000">
              <w:rPr>
                <w:rtl w:val="0"/>
              </w:rPr>
              <w:t xml:space="preserve">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noteikts noteikumu projektā un tā anotācijā, tad avansa un starpposma maksājumu kopsumma nepārsniedz 90 procentus no attiecīgajam projektam piešķirtā Eiropas Reģionālās attīstības fonda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katram projekta iesniedzējam (finansējuma saņēmējam) ir noteikts citādāks ERAF finansējuma apmērs, tad precīzs maksimāli pieejamais apmērs nav nosakāms.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Sadarbības iestāde, ja tai ir pieejami valsts budžeta līdzekļi, pamatojoties uz finansējuma saņēmēja rakstisku avansa pieprasījumu un izvērtējot plānotā avansa apmēru, tā pamatojumu un spēju to izlietot sešu mēnešu laikā saimnieciskā gada ietvaros, var piešķirt finansējuma saņēmējam avansu, ievērojot, ka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līdz 50 procentiem no projektam piešķirtā Eiropas Reģionālās attīstības fonda finansējuma pēc vienošanās par projekta īstenošanu noslēgšanas, ievērojot, ka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precizēt 28.punktu, ievērojot vadošās iestādes 2023. gada 30.maija vadlīniju 1.4. "Vadlīnijas Ministru kabineta noteikumu par specifiskā atbalsta mērķa īstenošanu izstrādei Eiropas Savienības fondu 2021.—2027. gada plānošanas periodā" 39.punktā noteikto, proti,  ja finansējuma saņēmējs ir pašvaldība, MK noteikumos ietver nosacījumu, ka finansējuma saņēmējs avansa pieprasījumu sagatavo, un sadarbības iestāde avansa pieprasījumu apstiprina, ņemot vērā nosacījumu, ka plānotā avansa apmērs, tā pamatojums atbilst spējai to izlietot sešu mēnešu laikā saimnieciskā gada ietvaros, kā arī, ievērojot, ka avansa un starpposma maksājumu kopsumma nepārsniedz 90 procentus no projektam piešķirtā ERAF finansējuma un valsts budžeta līdzfinansējuma kopsummas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Sadarbības iestāde, ja tai ir pieejami valsts budžeta līdzekļi, pamatojoties uz finansējuma saņēmēja rakstisku avansa pieprasījumu un izvērtējot plānotā avansa apmēru, tā pamatojumu un spēju to izlietot sešu mēnešu laikā saimnieciskā gada ietvaros, var piešķirt finansējuma saņēmējam avansu, ievērojot, ka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ietvaros atbalstītajā infrastruktūrā ir pieļaujama parasto papildpakalpojumu sniegšana. Šo noteikumu izpratnē par parastajiem papildpakalpojumiem uzskata ēdināšanas pakalpojumu sniegšanu izglītojamajiem un pašvaldības speciālās izglītības iestādes infrastruktūrā nodarbinātajiem (piemēram, pedagogiem).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21. un 30.punktā noteikto, lūdzam papildināt anotāciju ar skaidrojumu, ka atbildīgā iestāde izstrādās metodiku, kurā ietvers nosacījumus par to, kā būtu izvērtējami pasākuma ietvaros atbalstāmie projekti, lai gūtu pārliecību par tajos ietverto aktivitāšu atbilstību MK noteikumu projekta 21. un 30.punktam.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projekta īstenošanas laikā un projekta dzīves cikla laikā (10 gadi) atbilstoši atbildīgās iestādes izstrādātajai papildinošas saimnieciskās darbības uzraudzības metodikai nodrošina papildinošas saimnieciskās darbības uzraudzību projektā uzlabotajai infrastruktūrai.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Deklarācijā par Artura Krišjāņa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Kariņa vadītā Ministru kabineta iecerēto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vispārējās izglītības jomā viens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prioritārajiem darbības virzieniem ir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iespēju iegūt kvalitatīvu, iekļaujošu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izglītību neatkarīgi no dzīvesvietas,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zināms, ka ne visos novados ir speciālās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bet ir izglītojamie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speciālām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kurās šobrīd tiek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klasēs,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kuras piedalās speciālās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skolu tīkla sakārtošanā,  slēdzot speciālās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iestādi, vai to kā struktūrvienību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pievienojot vispārējās izglītības iestādei,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atsevišķas speciālās izglītības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vispārējās izglītības iestādēm, nesaņems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lai nodrošinātu 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ilgtspējīgu, kvalitatīvu izglītības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Aicināmām rast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kurās nav speciālās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bet izglītojamie ar speciālām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vajadzībām tiek integrēti citās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iestādēs (kurās tiek īstenotas speciālās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 panta trešo daļu pašvaldībai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jāizstrādā izglītības attīstības stratēģija, kas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dokuments, kas nosaka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uzdevumus un rīcības izglītības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attīstībai, kā arī sekmētu efektīvu, ilgtspējīgu,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kvalitatīvu izglītības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novadā. Izvērtējot speciālās izglītības iestāžu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tīklu savā administratīvajā teritorijā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reorganizāciju vai likvidāciju, jāņem vērā,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pieejamība un kvalitāte visā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vispārējās izglītības iestāžu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netiktu pasliktināta. Kvalitatīvas iekļaujošas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īstenošanai ir nepieciešami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resursi, kuri nav pieejami visām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Šobrīd speciālās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nav Alūksnes, Balvu, Ludzas,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Valkas, Preiļu, Ventspils, Ogres, Ķekavas,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Ādažu, Siguldas, Varakļānu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novados, kā arī Ventspils pilsētā. uzskatām,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nepiešķirot atbilstošus resursus visām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netiek nodrošinātas vienlīdzīgas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saņemt kvalitatīvu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izglītojamajiem, kuri dzīvo novados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pilsētās, kur nav speciālās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sakārtot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tīklu, kuras īsteno speciālās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programmas un nodrošināt 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infrastruktūras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materiāltehniskā nodrošinājuma un 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 pilnveidi, lai paaugstinātu speciālās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speciālās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vietu kapacitāti kvalitatīvas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izglītības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Pašvaldībām, kuru administratīvajā teritorijā darbojas vairāk kā viena speciālā izglītības iestāde (atskaitot Rīgas valstspilsētu), līdz projekta iesnieguma iesniegšanai ir jānodrošina pašvaldības domes lēmuma pieņemšana par speciālās izglītības iestāžu tīkla sakārtošanu, ka pēc 2025. gada 31. augusta pašvaldības administratīvajā teritorijā darbosies ne vairāk kā viena speciālās izglītības iestāde. Lai veicinātu faktisku speciālās izglītības iestāžu tīkla sakārtošanu, minētais nosacījums paredz, ka speciālās izglītības programmas (izņemot speciālās pirmsskolas izglītības programmas) speciālās izglītības iestāde īsteno </w:t>
            </w:r>
            <w:r w:rsidR="00000000" w:rsidRPr="00000000" w:rsidDel="00000000">
              <w:rPr>
                <w:b w:val="1"/>
                <w:i w:val="1"/>
                <w:rtl w:val="0"/>
              </w:rPr>
              <w:t xml:space="preserve">vienuviet, tas ir pašvaldības vienas teritoriālās iedalījuma vienības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pamatojumu un atsauci uz profesionālās pamatizglītības programmas nepieciešamību, lūdzam Anotāciju papildināt ar skaidrojumu par atsevišķu  Profesionālās izglītības programmu īstenošanas vietu.  Lai veicinātu faktisku speciālās izglītības iestāžu tīkla sakārtošanu, minētais nosacījums paredz,  ka speciālās izglītības programmas (izņemot speciālās pirmsskolas izglītības programmas un </w:t>
            </w:r>
            <w:r w:rsidR="00000000" w:rsidRPr="00000000" w:rsidDel="00000000">
              <w:rPr>
                <w:b w:val="1"/>
                <w:rtl w:val="0"/>
              </w:rPr>
              <w:t xml:space="preserve">Vispārējās izglītības likuma 50. panta ceturtajā daļā noteiktās profesionālās pamatizglītības programmas)</w:t>
            </w:r>
            <w:r w:rsidR="00000000" w:rsidRPr="00000000" w:rsidDel="00000000">
              <w:rPr>
                <w:rtl w:val="0"/>
              </w:rPr>
              <w:t xml:space="preserve"> speciālās izglītības iestāde </w:t>
            </w:r>
            <w:r w:rsidR="00000000" w:rsidRPr="00000000" w:rsidDel="00000000">
              <w:rPr>
                <w:b w:val="1"/>
                <w:rtl w:val="0"/>
              </w:rPr>
              <w:t xml:space="preserve">īsteno vienuviet, tas ir pašvaldības vienas teritoriālās iedalījuma vienības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Valmieras novada pašvaldībā, reorganizējot izglītības iestādes, no 01.09.2023. Ziemeļvidzemes pamatskola  ir pievienota Valmieras Gaujas krasta vidusskolai – attīstības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 šim Ziemeļvidzemes pamatskolā īstenotās izglītības programmas, un tām nepieciešamo aprīkojuma nodrošinājumu un specifiku, Valmieras Gaujas krasta vidusskola – attīstības centrs turpinās īstenot speciālās pamatizglītības programmu izglītojamiem ar garīgās attīstības traucējumiem” (izglītības programmas kods 21015811), speciālās pamatizglītības programmu izglītojamiem ar smagiem garīgās attīstības traucējumiem vai vairākiem smagiem attīstības traucējumiem (izglītības programmas kods 21015911), “Komerczinības” (izglītības programmas kods 22341021), “Mājturība” (izglītības programmas kods 22814011), “Kokizstrādājumu izgatavošana” (izglītības programmas kods 22543041), “Ēdināšanas pakalpojumi” (izglītības programmas kods 22811021) un speciālās pamatizglītības programmu izglītojamajiem ar garīgās veselības traucējumiem (izglītības programmas kods 21015711) - Skolas iela 5, Vaidava, Vaidavas pagasts, Valmieras novads.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šāds skolas darbības modelis atbilst Ministru kabineta noteikumu prasībām - speciālās izglītības programmas speciālās izglītības iestāde īsteno </w:t>
            </w:r>
            <w:r w:rsidR="00000000" w:rsidRPr="00000000" w:rsidDel="00000000">
              <w:rPr>
                <w:b w:val="1"/>
                <w:rtl w:val="0"/>
              </w:rPr>
              <w:t xml:space="preserve">vienuviet, tas ir pašvaldības vienas teritoriālās iedalījuma vienības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noteikts, ka projekta iesniedzējam projekta iesniegumā, to iesniedzot 4.2.1.3. pasākuma "Infrastruktūras un mācību vides pilnveide efektīvas, kvalitatīvas un mūsdienīgas izglītības īstenošanai speciālās izglītības iestādēs" projektu iesniegumu atlasē, ir jāpamato Vispārējās izglītības likuma 50. panta ceturtajā daļā noteikto profesionālās pamatizglītības programmu īstenošanu citā pašvaldības teritoriālā iedalījuma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atbilstošu ierakstu tiks precizēta 2023. gada 18. jūlija ES fondu 2021.-2027.gada plānošanas perioda Uzraudzības komitejas (UK) sēdē apstiprinātajā 4.2.1.3. pasākuma projektu iesniegumu vērtēšanas kritēriju piemērošanas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Revīzijas iestādes audita Nr.SA/ESIF/2019/01 ietvaros izteikto ieteikumu, ka PSD metodikām ir jābūt izstrādātām uz atlases brīdi, lai visiem iesniedzējiem/saņēmējiem būtu zināmi visi programmas īstenošanas nosacījumi un varētu jau vērtēšanā novērst PSD riskus, lūdzam noteikt, ka Izglītības un zinātnes ministrija uzraudzības mehānismu (PSD metodiku) izstrādās līdz atlases nolikuma izsludināšanas brīdim (nevis līdz vienošanos par projektu īstenošanu slēgšanas uzsākšanai).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"Risinājuma apraksts" apakšsadaļas iepriekš pēdējā rindkopā teikumu "Avansa apmērs – 90 procenti noteikts kā optimāls variants, kas nepieciešams projektu īstenošanai, lai tiktu nodrošināta naudas plūsma projektā iekļauto darbību ieviešanai". Vēršam uzmanību, ka atbilstoši Ministru kabineta 2023.gada 25.aprīļa noteikumiem Nr.205 "Valsts budžeta līdzekļu plānošanas kārtība Eiropas Savienības fondu projektu īstenošanai un maksājumu veikšanai 2021.–2027. gada plānošanas periodā" </w:t>
            </w:r>
            <w:r w:rsidR="00000000" w:rsidRPr="00000000" w:rsidDel="00000000">
              <w:rPr>
                <w:u w:val="single"/>
                <w:rtl w:val="0"/>
              </w:rPr>
              <w:t xml:space="preserve">avansa un starpposma maksājuma kopsumma nepārsniedz 90%</w:t>
            </w:r>
            <w:r w:rsidR="00000000" w:rsidRPr="00000000" w:rsidDel="00000000">
              <w:rPr>
                <w:rtl w:val="0"/>
              </w:rPr>
              <w:t xml:space="preserve">. Minētais ir norādīts arī noteikumu projektā. Attiecīgi atbilstoši minētajiem noteikumiem avansa apmērs ir 30%, ja vien normatīvajā aktā par specifiskā atbalsta mērķa īstenošanu nav paredzēts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pamatojumu un atsauci uz profesionālās pamatizglītības programmas nepieciešamību, lūdzam Anotāciju papildināt ar izņēmumu par atsevišķu  Profesionālās pamatizglītības īstenošanas vietu.  Pašvaldībām, kuru administratīvajā teritorijā darbojas vairāk kā viena speciālā izglītības iestāde (atskaitot Rīgas valstspilsētu), līdz projekta iesnieguma iesniegšanai ir jānodrošina pašvaldības domes lēmuma pieņemšana par speciālās izglītības iestāžu tīkla sakārtošanu, ka pēc 2025. gada 31. augusta pašvaldības administratīvajā teritorijā darbosies ne vairāk kā viena speciālās izglītības iestāde. Lai veicinātu faktisku speciālās izglītības iestāžu tīkla sakārtošanu, minētais nosacījums paredz, ka speciālās izglītības programmas (izņemot speciālās pirmsskolas izglītības programmas un Vispārējās izglītības likuma 50. panta ceturtajā daļā noteiktās profesionālās pamatizglītības programmas) speciālās izglītības iestāde īsteno vienuviet, tas ir pašvaldības vienas teritoriālās iedalījuma vienības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pamatojumu un atsauci uz profesionālās pamatizglītības programmas nepieciešamību, lūdzam Anotāciju papildināt ar izņēmumu par atsevišķu  Profesionālās pamatizglītības īstenošanas vietu.  Pašvaldībām, kuru administratīvajā teritorijā darbojas vairāk kā viena speciālā izglītības iestāde (atskaitot Rīgas valstspilsētu), līdz projekta iesnieguma iesniegšanai ir jānodrošina pašvaldības domes lēmuma pieņemšana par speciālās izglītības iestāžu tīkla sakārtošanu, ka pēc 2025. gada 31. augusta pašvaldības administratīvajā teritorijā darbosies ne vairāk kā viena speciālās izglītības iestāde. Lai veicinātu faktisku speciālās izglītības iestāžu tīkla sakārtošanu, minētais nosacījums paredz, ka speciālās izglītības programmas (izņemot speciālās pirmsskolas izglītības programmas un Vispārējās izglītības likuma 50. panta ceturtajā daļā noteiktās profesionālās pamatizglītības programmas) speciālās izglītības iestāde</w:t>
            </w:r>
            <w:r w:rsidR="00000000" w:rsidRPr="00000000" w:rsidDel="00000000">
              <w:rPr>
                <w:b w:val="1"/>
                <w:rtl w:val="0"/>
              </w:rPr>
              <w:t xml:space="preserve"> īsteno vienuviet, tas ir pašvaldības vienas teritoriālās iedalījuma vienības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14. punktu, kas nosaka, ka speciālās izglītības iestādes īsteno licencētas speciālās izglītības programmas un Vispārējās izglītības likumā noteiktās profesionālās pamatizglītības programmas, lūdzam Izslēgt no Anotācijas salīdzinājumu par audzēkņu skaitu Ziemeļvidzemes pamatskolā. Skolas audzēkņu skaits uz 2022./23. m.g. ir 54 skolēni (t.skaitā profesionālās pamatizglītības programmu audzēkņi).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01.09.2023. Ziemeļvidzemes pamatskola tiek pievienota Valmieras Gaujas krasta vidusskolai – attīstības centram, pamatojoties uz IZM norādēm informatīvajā ziņojumā “Par speciālās izglītības iestāžu tīkla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informāciju, ka pasākuma projektos var tikt piemēroti ierobežojumi attiecībā uz portatīvās datortehnikas iegādi, vienlaikus akceptējot citu mācību procesam nepieciešamu iekārtu iegādi, lūdzam skaidrot, kā šādi ierobežojumi tiks noteikti, ievērojot to, ka noteikumu projekts šādus ierobežojumus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ierobežojums tiks ņemts vērā projektu iesniegumu atlasē, piemērojot projektu iesniegumu vērtēšanas vienoto kritēriju Nr.3, kas cita starpā paredz projektā plānoto izmaksu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13.1.2.2. pasākuma projekta ietvaros iegādāto datortehniku pašvaldības to dibinātajām vispārējās izglītības iestādēm ir izsniegušas pēc saviem  ieskatiem, tostarp atsevišķām izglītības tos neizsniedzot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un līdzīga veida apstākļi tiks ņemti vērā projektu iesniegumu atlasē.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rindkopā "Līdzīgi kā vispārizglītojošajās izglītības iestādēs arī speciālās izglītības iestādēs demogrāfiskās, migrācijas un nodarbinātības tendences Latvijā ir radījušas būtisku ietekmi, kā rezultātā pēdējos gados ir būtiski samazinājies izglītojamo skaits speciālās izglītības iestādēs – laika posmā no 2017. gada līdz 2022. gadam izglītojamo skaits tajās samazinājies par aptuveni 25 procentiem – </w:t>
            </w:r>
            <w:r w:rsidR="00000000" w:rsidRPr="00000000" w:rsidDel="00000000">
              <w:rPr>
                <w:b w:val="1"/>
                <w:rtl w:val="0"/>
              </w:rPr>
              <w:t xml:space="preserve">no 5 861 līdz 4 432,</w:t>
            </w:r>
            <w:r w:rsidR="00000000" w:rsidRPr="00000000" w:rsidDel="00000000">
              <w:rPr>
                <w:rtl w:val="0"/>
              </w:rPr>
              <w:t xml:space="preserve"> savukārt iestāžu skaits samazinājies no 57 līdz 40" sniegt informāciju par izglītojamo skaitu sadalījumā pēc dzimuma.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aizpildot anotācijas 3.sadaļu Eiropas Reģionālās attīstības fonda finansējums jānorāda gan pie valsts budžeta ieņēmumiem, gan pie valsts budžeta izdevumiem, līdz ar to lūdzam aizpildīt anotācijas 3.sadaļas 2.1.apakšpunktu. Anotācijas 3.sadaļā papildus lūdzam aizpildīt arī 5.3.apakšpunktu, norādot precizētu finansiālo 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3.sadaļas "Tiesību akta projekta ietekme uz valsts budžetu un pašvaldību budžetiem" 6.punktā "Detalizēts ieņēmumu un izdevumu aprēķins" nav sniegta informācija, kā pa gadiem tiks sadalīts ERAF finansējums 14 790 000 </w:t>
            </w:r>
            <w:r w:rsidR="00000000" w:rsidRPr="00000000" w:rsidDel="00000000">
              <w:rPr>
                <w:i w:val="1"/>
                <w:rtl w:val="0"/>
              </w:rPr>
              <w:t xml:space="preserve">euro </w:t>
            </w:r>
            <w:r w:rsidR="00000000" w:rsidRPr="00000000" w:rsidDel="00000000">
              <w:rPr>
                <w:rtl w:val="0"/>
              </w:rPr>
              <w:t xml:space="preserve">apmērā. Lūdzam attiecīgi papildināt informāciju, kā arī novērst informācijas savstarpēju nesakritību 2026. gadā: </w:t>
            </w:r>
            <w:r w:rsidR="00000000" w:rsidRPr="00000000" w:rsidDel="00000000">
              <w:rPr>
                <w:i w:val="1"/>
                <w:rtl w:val="0"/>
              </w:rPr>
              <w:t xml:space="preserve">"20% jeb 4 437 000 euro (14 790 000 * 30%)"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speciālajās izglītības iestādēs mācās bērni ar speciālajām vajadzībām (t.sk. ar dažāda veida invaliditāti un funkcionēšanas ierobežojumiem), lūdzam papildināt Anotācijas 8.1.9.apakšpunktu ar informāciju, kā noteikumu projekta īstenošanas rezultātā tiks uzlabota fiziskās vides, informācijas, mācību vides piekļūstamība (piemēram, uzbrauktuves un sanitārās telpas personām ar kustību traucējumiem; dzirdes cilpas un subtitrēšanas iespējas vājdzirdīgām personām; vadulas, taktilas norādes, braila raksts neredzīgām vai vājredzīgām personām; tāpat arī informācija vieglajā valodā personām ar garīga rakstura traucējumiem vai uztveres grūtībām). Tādējādi atbilstoša telpu infrastruktūra un piekļūstamības prasībām atbilstoši publicitātes pasākumi sniegs ieguvumu gan izglītojamiem ar speciālām vajadzībām, gan iestāžu personālam (kas arī var būt personas ar invaliditāti), gan sabiedrībai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pasākuma ietekmes uz personu ar invaliditāti vienlīdzīgām iespējām un tiesībām aprakstu atbilstoši LM/TM vadlīnijām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horizontālā principa “Vienlīdzība, iekļaušana, nediskriminācija un pamattiesību ievērošana” īstenošanai un uzraudzībai (2021-2027) [1] , lūdzam rast iespēju papildināt sadaļu ar informāciju par vispārīgajām un specifiskajām darbībām, kuras veicinās personu ar invaliditāti vienlīdzīgām iespējām un tiesības un kuras plānots īstenots projektu ietvaros, minot konkrētu darbību piemērus.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netieši pozitīva ietekme uz horizontālā principa “Vienlīdzība, iekļaušana, nediskriminācija un pamattiesību ievērošana” ievērošanu. Noteikumu projektā paredzēts, ka finansējuma saņēmējs uzkrāj datus par projekta ietekmi uz noteiktiem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tiesības, projektu ietvaros ir tiks īstenotas  vispārīgas un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pasākumu attiecināmās horizontālā principa “Vienlīdzība, iekļaušana, nediskriminācija un pamattiesību ievērošana” vispārīgās un specifiskās darbības ir noteiktas projektu iesniegumu vērtēšanas kritēriju piemērošanas metodikā.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pasākuma ietekmes uz dzimumu līdztiesību aprakstu atbilstoši LM/TM vadlīnijām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īstenošanai un uzraudzībai (2021–2027) vadlīnijām,  lūdzam papildināt sadaļu ar informāciju par ietekmi uz horizontālo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horizontālā principa “Vienlīdzība, iekļaušana, nediskriminācija un pamattiesību ievērošana” ievērošanu, tādēļ plānotas vispārīgas horizontālā principa darbības, kas vērstas uz dzimumu līdztiesību, piemēram, projekta vadības un īstenošanas personālam – gan sievietēm, gan vīriešiem nodrošināta vienlīdzīga darba samaksa un vienlīdzīgas karjeras izaugsmes iespējas, tostarp nodrošinot dalību apmācībās, semināros, komandējumos,  (t.sk. piemērota vienlīdzīgas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informācijas un publicitātes pasākumu nodrošināšanā tiks ievēroti nediskriminācijas principi, nepieļaujot stereotipu veidošanos par kādu no dzimumiem, personām ar invaliditāti, reliģisko pārliecību, vecumu, rasi un etnisko izcelsmi vai seksuālo orientāciju. informācijas un publicitātes pasākumu nodrošināšana ir jāveic saskaņā ar saistošo normatīvo aktu un citu dokumentu noteiktajām prasībām, tostarp nodrošinot, ka informācijas saturs ir piekļūstams cilvēkiem ar funkcionāliem traucējumiem, izmantojot vairākus sensoros (redze, dzirde, tauste) kanālus.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dotais informācijas pieprasījums kopumā ir sniegts anotācijas iepriekšējās sadaļās.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16.punktā norādītais finansējuma sadalījums starp pašvaldībām, kā arī anotācijā sniegtais skaidrojums tā aprēķinam būtiski atšķiras no 4.2.1. SAM rādītāju metodoloģijas aprakstā sniegtās aprēķina metodoloģijas un aprēķina principi neatbilst noteikumu projektā noteiktajam, lūdzam iesūtīt aktualizētu 4.2.1. SAM rādītāju metodoloģijas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4.2.1. SAM rādītāju metodoloģijas apraksts tiks iesnigts Finanšu ministrijā pēc noteikumu projekta apstiprināšanas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Savienības fonda projekta (turpmāk – projekts)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1.4.apakšpunktu ar informāciju, ka tiek noteiktas prasības arī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Savienības fonda projekta (turpmāk – projekts)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1.5.apakšpunktu ar vārdiem "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speciālās izglītības iestāžu tīkla sakārtošana un mācību vides un infrastruktūras, materiāltehniskā nodrošinājuma un mācību līdzekļu pilnveidošana, lai paaugstinātu speciālās izglītības iestāžu kapacitāti kvalitatīvas speciālās izglītības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atbalstāma ir iniciatīva sakārtot speciālās izglītības iestāžu kapacitāti kvalitatīvas speciālās izglītības nodrošināšanai, kas uzsvērts arī Izglītības un zinātnes ministrijas 20.06.2023. informatīvā ziņojuma ieteikumos "speciālās izglītības skolas slēgt/apvienot/u.c.". Vienlaikus, kā, piemēram, ir norādījis Kurzemes plānošanas reģions, tad pēc sarunām ar novadu izglītības pārvalžu vadītājiem secināms, ka MK noteikumu projekts neattiecas uz profesionālo programmu apgūšanas iespējām, jo šīs programmas nevar īstenot vispārējās izglītības iestādes, kas īsteno integrētās speciālās izglītības programmas. Tas palielina risku, ka šādi bērni un jaunieši nepaliek izglītības sistēmā, netiek sociāli integrēti, neapgūst dzīvei nepieciešamās prasmes profesionālajās programmās, jo daudzas ģimenes nevar finansiāli atļauties nogādāt bērnus uz blakus novadu profesionālajām skolām (ne visas skolas šādas programmas īsteno, savukārt, tuvākā, kurā īsteno, tā ir pārpildīta, jaunus audzēkņus nespēj uzņemt).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speciālās izglītības iestāžu tīkla sakārtošana un mācību vides un infrastruktūras, materiāltehniskā nodrošinājuma un mācību līdzekļu pilnveidošana, lai paaugstinātu speciālās izglītības iestāžu kapacitāti kvalitatīvas speciālās izglītības nodrošināšanā.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sasniedzamas šādas iznākuma rādītāja „Jaunu vai modernizētu izglītības iestāžu klašu telpu ietilpība”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izteikt punktu par sasniedzamajiem rādītājiem atbilstoši 2023.gada 30.maijā apstiprinātajās vadlīnijās Nr.1.4. "Vadlīnijas Ministru kabineta noteikumu par specifiskā atbalsta mērķa īstenošanu izstrādei Eiropas Savienības fondu 2021.—2027. gada plānošanas periodā" piedāvātajai redakcijai, kā arī atbilstoši precizēt rādītāju veidus, ievērojot, ka minētās vadlīnijas paredz, ka ir trīs rādītāju veidi - iznākuma rādītāji, rezultāta rādītāji,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sasniedzami šādi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jaunu vai modernizētu izglītības iestāžu klašu telpu ietilpība – 3864, tai skaitā līdz 2024. gada 31. decembrim - 386;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nacionālais rādītājs – speciālās izglītības iestādes, kurās modernizēta mācību vide – 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2029.gada 31.decembrim ir sasniedzami šādi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ne mazāks kā 17 400 000 </w:t>
            </w:r>
            <w:r w:rsidR="00000000" w:rsidRPr="00000000" w:rsidDel="00000000">
              <w:rPr>
                <w:i w:val="1"/>
                <w:rtl w:val="0"/>
              </w:rPr>
              <w:t xml:space="preserve">euro</w:t>
            </w:r>
            <w:r w:rsidR="00000000" w:rsidRPr="00000000" w:rsidDel="00000000">
              <w:rPr>
                <w:rtl w:val="0"/>
              </w:rPr>
              <w:t xml:space="preserve">, tai skaitā maksimālais Eiropas Reģionālās attīstības fonda finansējums 14 790 000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2 610 000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6. punktu atbilstoši 2023.gada 30.maijā apstiprinātajās vadlīnijās Nr.1.4. "Vadlīnijas Ministru kabineta noteikumu par specifiskā atbalsta mērķa īstenošanu izstrādei Eiropas Savienības fondu 2021.—2027. gada plānošanas periodā"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plānotais un pieejamais kopējais finansējums ir 17 400 000 euro, tai skaitā Eiropas Reģionālās attīstības fonda finansējums 14 790 000 euro un pašvaldības līdzfinansējums 2 610 000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Reģionālās attīstības fonda finansējums projektā nepārsniedz 85 procentus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pašvaldība, kuras administratīvajā teritorijā darbojas vismaz viena speciālās izglītības iestāde, kas pēc projekta iesnieguma apstiprināšanas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fondu 2021-2027. gada plānošanas perioda vadības likuma 1. panta 3. punktā minētajam persona, kuras projekta iesniegums ir apstiprināts, ir finansējuma saņēmējs. Ievērojot minēto, lūdzam svītrot noteikumu projekta 11. punktā vārdu “arī".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pašvaldība, kuras administratīvajā teritorijā darbojas vismaz viena speciālās izglītības iestāde, kas pēc projekta iesnieguma apstiprināšanas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kā arī Vispārējās izglītības likuma 50.panta ceturtajā daļā noteiktās profesionālās pamatizglītības programmas. Prioritāri atbalsts paredzēts speciālās izglītības attīstības centriem.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13.punktā aiz vārdiem ...īsteno licencētas speciālās izglītības programmas iekavās norādīt izņēmumu gadījumus: (izņemot speciālās pirmsskolas izglītības programmas un Vispārējās izglītības likuma 50. panta ceturtajā daļā noteiktās profesionālās pamatizglītības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licencētas speciālās izglītības programmas īsteno vienuviet. Prioritāri atbalsts paredzēts speciālās izglītības attīstības centriem.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kā arī Vispārējās izglītības likuma 50.panta ceturtajā daļā noteiktās profesionālās pamatizglītības programmas. Prioritāri atbalsts paredzēts speciālās izglītības attīstības centriem.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(izņemot speciālās pirmsskolas izglītības programmas un Vispārējās izglītības likuma 50. panta ceturtajā daļā noteiktās profesionālās pamatizglītības programmas), kā arī Vispārējās izglītības likuma 50.panta ceturtajā daļā noteiktās profesionālās pamatizglītības programmas. Prioritāri atbalsts paredzēts speciālās izglītības attīstības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licencētas speciālās izglītības programmas īsteno vienuviet. Prioritāri atbalsts paredzēts speciālās izglītības attīstības centriem.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kā arī Vispārējās izglītības likuma 50.panta ceturtajā daļā noteiktās profesionālās pamatizglītības programmas. Prioritāri atbalsts paredzēts speciālās izglītības attīstības centriem.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plānots prioritāri sniegt atbalstu speciālās izglītības attīstības centriem, ievērojot, ka noteikumu projekta 16.punktā jau ir noteikts finansējuma sadalījums dažādām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ieraksts par speciālās izglītības attīstības centru prioritizēšanu pamato palielināta finansējuma apmēru tām pašvaldībām, kuru administratīvajā teritorijā darbojas šādi centri. Kā arī minētais attiecas uz Rīgas valstspilsētu, kur arī turpmāk darbosies vairāk kā viena speciālās izglītības iestāde, turklāt tādas kurām šāds attīstības centra statuss nav piešķirts.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licencētas speciālās izglītības programmas īsteno vienuviet. Prioritāri atbalsts paredzēts speciālās izglītības attīstības centriem.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vienuviet īsteno licencētas speciālās izglītības programmas, kā arī Vispārējās izglītības likuma 50.panta ceturtajā daļā noteiktās profesionālās pamatizglītības programmas. Prioritāri atbalsts paredzēts speciālās izglītības attīstības centriem.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redakciju, to papildinot ar skaidrojumu, kurā brīdī pašvaldība uzsāk dalību projekta iesniegumu atlasē (pēc atlases izslūdināšanas, pēc sadarbības iestādes uzaicinājuma saņemšanas, pēc projekta iesnieguma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pašvaldības speciālās izglītības iestāžu tīkla sakārtošanu veic neatkarīgi, tostarp pirms vai pēc šo noteikumu apstiprināšanas. Taču iesniedzot projektu iesniegumu sadarbības iestādē, ir jābūt pieņemtiem lēmumiem, kas nodrošina ka tās administratīvajā teritorijā pēc 2025. gada 31. augusta darbojas ne vairāk kā viena speciālās izglītības iestāde (izņemot Rīgas valstspilsētu).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2025. gada 31. augusta darbojas ne vairāk kā viena speciālās izglītības iestāde (izņemot Rīgas valstspilsētu), kas licencētas speciālās izglītības programmas īsteno vienuviet. Prioritāri atbalsts paredzēts speciālās izglītības attīstības centriem.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tiek atbalstīti projekti, kas paredzēti pašvaldību domju apstiprinātos attīstības programmu investīciju plānos.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un papildināt redakciju, konkretizējot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tiek atbalstīti projekti, kas paredzēti pašvaldību domju apstiprinātos attīstības programmu investīciju plānos. Pašvaldība, kuras teritorijā plānots īstenot projektu, informāciju par projekta īstenošanu iekļauj pašvaldības attīstības programmā,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projektam plānoto finansējumu un projektā sasniedzamo iznākuma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prognozi par speciālās izglītības iestāžu izglītojamo skaitu pašvaldībā turpmākajos piecos gados novada teritoriālo vienību vai valstspilsētu noteikto teritoriālo iedalījumu griezumā (ja tas ir iespējams no datu pieejamības viedokļa), kas pamato projekta ilgtspēju, tai skaitā, izvērtējot un analizējot  esošu situāciju un iespējamos risinājumus speciālās izglītības iestāžu pieejamības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pašvaldību attīstības programmu investīciju plānos iekļaujamā informācija ir noteikta ar Ministru kabineta 2014.gada 14.oktobra noteikumiem Nr.628 “Noteikumi par pašvaldību teritorijas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tiek atbalstīti projekti, kas paredzēti pašvaldību domju apstiprinātos attīstības programmu investīciju plānos.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12. punktā minētajām pašvaldībām maksimāli plānotais Eiropas Reģionālās attīstības fonda finansējums ir šāds: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sniegt papildus informāciju un skaidrojumu, pēc kādiem kritērijiem ir noteikts finansējuma apjoms katrai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katram projekta iesniedzējam pieejamā finansējuma aprēķina nosacījumi ir noteikti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11. punktā minētajām pašvaldībām maksimāli plānotais Eiropas Reģionālās attīstības fonda finansējums ir šāds: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minimālais kopējo attiecināmo izmaksu apmērs nav mazāks par 200 000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16.punktu aiz summas 200 000 EUR papildināt ar vārdu “ieskaitot”, jo arī gadījumā, ja kopējās izmaksas būs precīzi 200 000 EUR, būtu jānodrošina obligāta vienkāršoto izmaksu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minimālais kopējo attiecināmo izmaksu apmērs nav mazāks par 200 000 euro (ieskaitot).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2023. gada 30.maija vadlīniju 1.4. "Vadlīnijas Ministru kabineta noteikumu par specifiskā atbalsta mērķa īstenošanu izstrādei Eiropas Savienības fondu 2021.—2027. gada plānošanas periodā" 31.punktā lietoto jēdzienu "komunikācijas un vizuālās identitātes prasību nodrošināšanas nosacījumi" , aicinām izvērtēt un pēc nepieciešamības precizēt noteikumu projekta 17.6.apakšpunktu, kā arī 18.9.apakšpunktu.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komunikācijas un vizuālās identitātes pasākumi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pie projekta attiecināmajām izmaksām papildus paredzēt atbilstošo speciālistu  konsultācijas / rekomendācijas finansējuma saņēmējiem par to, kādi uzlabojumi būtu veicami. Deinstitucionalizācijas projekta pieredze ir parādījusi, ka dažkārt pašvaldību speciālistiem (projektu vadītājiem un arī sociālo dienestu darbiniekiem) pietrūkst zināšanas par to, kādi uzlabojumi un kāds aprīkojums būtu nepieciešams un piemērots mērķa grupai.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rosina projekta īstenošanu pašvaldībām veikt sadarbībā ar 4.2.1.3. pasākuma  investīcijām modernizējamajām speciālās izglītības iestādēm, kuru darbiniekiem kopumā ir zināšanas par nepieciešamajām investīcijām speciālās izglītības programmu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kā attiecināmas izmaksas paredz vides, informācijas un komunikāciju tehnoloģiju un to risinājumu piekļūstamības ekspertu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attiecināmās izmaksas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izmaksu pozīcijām norādīt atsauces uz noteikumu projekta 17.punktā norādītajām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attiecināmo izmaksu saraksts kopumā ir izstrādāts secīgi atbilstoši atbalstāmo darbību sarakstam.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attiecināmās izmaksas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20.2.1. apakšpunktā minētie darbi;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atsauci uz noteikumu projekta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18.2.1. apakšpunktā minētie darbi;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20.2.1. apakšpunktā minētie darbi;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labojumus un norādīt atsauci uz korektu apakšpunktu. 20.2.1.apakšpunkts neeksistē.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un sanitāro mezglu pārbūves un atjaunošanas izmaksas, ja tiek īstenoti šo noteikumu 18.2.1. apakšpunktā minētie darbi;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izpilda nepieciešamās prasības un nodrošina, ka projekts atbilst principa “nenodarīt būtisku kaitējumu” ievērošanai un atbilst Eiropas Savienības kohēzijas politikas programmas 2021.–2027.gadam noteiktajiem Eiropas Savienības un nacionālajiem normatīvajiem aktiem vides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23.punktā noteiktā norma nav jāpiemēro finansējuma saņēmējam, ņemot vērā, ka noteikta prasība, vai projekts atbilst principam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tiks uzkrāti dati atbilstoši Regulas 2021/1057 I un II pielikumam, Regulas 2021/1056 III pielikumam un nepieciešamības gadījumā papildināt  MK noteikumu projektu ar  nosacījumu, ka  finansējuma saņēmējam ir pienākums uzkrāt un uzskaitīt datus saskaņā ar minētajiem regulas pielikumiem.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saņēmējam ar noteikumiem netiks noteikts pienākums uzkrāt un uzskaitīt datus saskaņā ar iebildumā minēto regulu pielikumiem.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uzkrāj datus par projekta ietekmi uz horizontālo principu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izprotami nosacījumi saistībā ar horizontālo principu ievērošanu, aicinām izvērtēt iespēju izteikt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25.2.ievēro principu "Vienlīdzība, iekļaušana, nediskriminācija un pamattiesību ievērošana" un uzkrāj datus par projekta ietekmi uz  horizontālo principu rādītājiem,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25.2.1.objektu skaitu, kuros ar Eiropas Reģionālās attīstības fonda ieguldījumiem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25.2.2.vides un informācijas piekļūstamības pašnovērtējuma rezultāts (iegūtais punktu skaits) atbilst Labklājības ministrijas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25.2.3.konsultatīva rakstura pasākumu par būvētās vides piekļūstamību personām ar dažādiem funkcionāliem traucējumiem (piemēram, vides piekļūstamības ekspertu konsultācijas būvprojekta izstrādes un pabeigšanas posmā)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25.3.uzkrāj datus par projekta ietekmi uz horizontālo principu īstenošanu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25.3.2.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25.3.3.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tiktāl ciktāl tas nav pretrunā ar Labklājības ministrijas dotajiem iebildumiem par noteikuma projekta 25.2.1, 25.2.2. un 25.2.3.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ievēro horizontālo principu “Vienlīdzība, iekļaušana, nediskriminācija un pamattiesību ievērošana” un projekta īstenošanas laikā uzkrāj datus par projekta ietekmi uz tā rādītājiem,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25.2.1.2. vides un informācijas piekļūstamības pašnovērtējuma rezultāts (iegūtais punktu skaits) atbilst Labklājības ministrijas izstrādātajai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rādītāja nosaukumu atbilstoši vadlīniju "Vadlīnijas horizontālā principa “Vienlīdzība, iekļaušana, nediskriminācija un pamattiesību ievērošana” īstenošanai un uzraudzībai (2021-2027)” 4.pielikumā noteiktajam: "Veikto vides un informācijas piekļūstamības pašnovērtējumu skaits, atbilstoši LM izstrādātajai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26.2.2. atbilstoši Labklājības ministrijas izstrādātai metodikai veikta vides un informācijas piekļūstamības pašnovērtējuma iegūto punktu skaits ir 8 un vairāk;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horizontālā principa "Vienlīdzība, iekļaušana, nediskriminācija un pamattiesību ievērošana" rādītāja redakciju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(skat.4.pielikumu). Paskaidrojam, ka KP VIS ir iekļauti tikai tie HP rādītāji, kas ir predefinēti minētajās vadlīnijās. Līdz ar to projekta īstenotājam nebūs iespējas ievadīt KP VIS 26.2.2. punktā minēto rādītāju un uzkrāt informāciju par tā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vides un informācijas piekļūstamības pašnovērtējumu skaits atbilstoši LM izstrādātajai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26.2.2. veikto vides un informācijas piekļūstamības pašnovērtējumu skaits atbilstoši Labklājības ministrijas izstrādātajai metodikai;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nodrošina projekta rezultātu ilgtspēju vismaz piecus gadus pēc projekta noslēguma maksājuma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25.6.apakšpunktā svītrot vārdu "projekta" pirms vārda noslēguma maksājuma, lai tas atbilstu ES fondos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informē sadarbības iestādi par jaunas vai esošas būves ikgadējo enerģijas patēriņu (megavatstundas) trīs gadus pēc projekta īstenošanas;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sadarbības iestāde konstatē, ka ir pārkāptas šo noteikumu 31. punktā minētās komercdarbības atbalsta kontroles normas, 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"aģentūrai" aizstāt ar vārdiem "sadarbības iestādei" ņemot vērā noteikumu projektā lietoto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sadarbības iestāde konstatē, ka ir pārkāptas šo noteikumu 32. punktā minētās komercdarbības atbalsta kontroles normas, finansējuma saņēmējam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ar informāciju, ka finansējuma saņēmējs izstrādās kārtību, kādā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redakcijai noteikumu projekta 5.punktā, ierosinām precizēt informāciju anotācijā attiecībā uz pasākuma plānoto un pieejamo kopējo finansējumu, papildinot to ar vārdiem "un pieejamais".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plānotais </w:t>
            </w:r>
            <w:r w:rsidR="00000000" w:rsidRPr="00000000" w:rsidDel="00000000">
              <w:rPr>
                <w:b w:val="1"/>
                <w:rtl w:val="0"/>
              </w:rPr>
              <w:t xml:space="preserve">un pieejamais</w:t>
            </w:r>
            <w:r w:rsidR="00000000" w:rsidRPr="00000000" w:rsidDel="00000000">
              <w:rPr>
                <w:rtl w:val="0"/>
              </w:rPr>
              <w:t xml:space="preserve"> kopējais finansējums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rindkopu, kur norādīts, ka vienas un tās pašas atbalstāmās darbības un attiecināmās izmaksas nav vai netiek plānota to finansēšana dubultā, aicinām pārskatāmībai papildināt, ka tas attiecas tai skaitā attiecībā uz PVN līdzekļu attiecināšanu/atgūšanu projektiem, kuru kopējās attiecināmās izmaksas ir mazākas par 5 milj. EUR (ieskaitot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ar minēto pasākumu investīciju projektiem, un citiem investīciju projektiem, tostarp tādiem, kas tiek īstenoti ar valsts budžeta aizņēmumu, tiks nodrošināta projektu līmenī, pārbaudot Kohēzijas politikas fondu vadības informācijas sistēmu un ministrijas valsts budžeta aizņēmuma programmas ietvaros iesniegtos projektus, un pārliecinoties, ka vienas un tās pašas atbalstāmās darbības un attiecināmās izmaksas nav vai netiek plānota to finansēšana dubultā (t.sk. attiecībā uz PVN līdzekļu attiecināšanu/atgūšanu projektiem, kuru kopējās izmaksas ir mazākas par 5 milj. EUR (ieskaitot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projektu iesniedzējiem par izmaksu attiecināmību, kā arī vienotu pieeju projektu iesniegumu vērtēšanas procesā, lūdzam izvērtēt un papildināt anotācijas sadaļu “Risinājuma apraksts” ar informāciju, ka līdz projektu atlases izsludināšanas, atbildīgā iestāde izstrādā skaidrojošu dokumentu (piemēram, vadlīnijas speciālās izglītības iestāžu mācību vides modernizācijai un pieejamības nodrošināšanai), kurā tiks skaidrota noteikumu projekta izmaksu attiecināmība, proti, sniedzot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18.1.3. punktā paredzētajām izmaksām, konsultāciju formātu un izmaksu apliecinošas dokumentācijas piemēriem, kā arī vai plānoti kādi minēto izmaksu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18.2. punkta apakšpunktos minētajām izmaksām, skaidrojot, kādas izmaksas nav attiecināmās. Piemēram fasādes un jumta pārbūve un atjaunošanas, energoefektivitātes veicināšanas pasākumi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18.2.3. punktā paredzētajām izmaksām, sniedzot skaidrojumu un piemērus par iekārtām un aprīkojumu, kas nepieciešams būves vai tās daļas pieņemšanai ekspluatācijā, vai ēkas funkcionalitātes nodrošināšanai, nepieciešamības gadījumā sniedzot atsauces uz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18.2.4.  punktā paredzētajām izmaksām, sniedzot detālu skaidrojumu par attiecināmajam inženiertīklu veidiem un grupām. Piemēram, vai plānots attiecināt video novērošanas sistēmu un/vai digitālās informācijas sistēmas (sporta stundu tablo, ekrāni vai tablo ar stundu sarakstu un citu izglītības iestādes organizatorisku informāciju u.tml.). Vienlaikus anotācijas papildināšanas gadījumā nepieciešamas gūt pārliecību tajā ietvertās informācijas atbilstībai noteikumu projekta 18.2.4. punktā minētajiem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par 18.5. punkta izmaksām, sniedzot detālu skaidrojumu, kādas speciālās izglītības iestādes internāta darbības (dzīvojamo un mācību telpu, virtuves, sanitāro mezglu, dušas telpu) nodrošināšanai nepieciešamā aprīkojuma un mēbeļu iegādes izmaksas ir attiecināmās,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virtuves aprīkojums var būt plīts vai cepeškrāsns un var būt trauku komplekts;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telpas aprīkojuma ietilpst mēbeles un vienlaikus gultas veļas komplekts;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ieteikuma rakstura dokuments tika izstrādāts ES fondu 2014. – 2020. gada plānošanas perioda 8.1.2. specifiskā atbalsta mērķa projektiem, un to, kā liecina IZM novērojumi, projektu iesniedzēji un finansējuma saņēmēji ir izmantojuši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var secināt, ka pēc 2016. gada ir uzlabojusies pašvaldību izpratne par investīciju veidiem izglītības iestāžu mācību vides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informāciju par to, ka speciālās izglītības iestādēs ir veikti ES fondu ieguldījumi 2007. – 2013.gada plānošanas periodā, lūdzam skaidrot, vai tiek plānots, ka iepriekšējie ieguldījumi tiks uzskatīti par priekšrocību infrastruktūras tālākai attīstībai, lai nodrošinātu, ka iepriekš veiktās investīcijas tiek izmantotas lietderīgi un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2007. – 2013.gada plānošanas periodā veiktās investīcijas netiks uzskatītas par priekšrocību, ievērojot, ka visas no šajā pasākumā plānotajiem labuma guvējiem ir bijuši kā labuma guvēji arī ES fondu 2007. – 2013.gada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“Risinājuma apraksts” ar noteikumu projekta 18.2.4. punkta pēdējā teikuma piemērošanu. Piemēram, aprakstot ka gadījumā, ja plānota inženiertīklu atjaunošana visā ēkā, bet mācību telpu un/vai gaiteņu un sanitāro mezglu pārbūves un atjaunošanas būvdarbi tikai ēkas daļā, inženiertīklu izmaksas ir attiecināmās proporcionāli 18.2.1. un 18.2.2. punktos minēto telpu grupu kopējai 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noteikumu projekta 18.2.4. apakšpunkta izriet, ka pasākuma projekta ietvaros specialās izglītības iestādes ēkas pārbūvē nav pieļaujami tikai atsevišķi inženiertīklu tīklu pārbūves darbi, vienlaikus neveicot vispārceltnieciskos darbus mācību telpās, tajās uzlabojot mācību vidi kopumā. Minētais apakšpunkts  neparedz izmaksu ierobežojumus vai izmaksu apmēra noteikšanas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norādot jauno elastības finansējuma apmēru 4.2.1.5.pasākumā.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kārtību, kādā finansējuma saņēmējs ziņo par 5.punktā norādīto nacionālo rādītāju, kā arī ierosinām norādīt, kurā brīdī nacionālais rādītājs tiek uzskatīts par sasniegtu. Ja datus par nacionālo rādītāju nav paredzēts uzkrāt Kohēzijas politikas fondu vadības informācijas sistēmā, lūgums to definēt kā papildus uzkrājamo informāciju nevis kā nacionālo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4.2. apakšpunktā norādītā nacionālā rādītāja mērķis ir nodrošināt noteikta skaita speciālās izglītības iestāžu modernizāciju.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Rādītāja par sasniegtu tiks uzskatīts tajā brīdī, kad it pabeigtu visu projektā plānoto darbību īstenošanā un attiecīgais objekts ir nodots ekspluatācijā.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anotācijas 3.sadaļas "Tiesību akta projekta ietekme uz valsts budžetu un pašvaldību budžetiem" 6.punktā "Detalizēts ieņēmumu un izdevumu aprēķins" nav sniegta informācija, kā pa gadiem tiks sadalīts ERAF finansējums 14 790 000 </w:t>
            </w:r>
            <w:r w:rsidR="00000000" w:rsidRPr="00000000" w:rsidDel="00000000">
              <w:rPr>
                <w:i w:val="1"/>
                <w:rtl w:val="0"/>
              </w:rPr>
              <w:t xml:space="preserve">euro</w:t>
            </w:r>
            <w:r w:rsidR="00000000" w:rsidRPr="00000000" w:rsidDel="00000000">
              <w:rPr>
                <w:rtl w:val="0"/>
              </w:rPr>
              <w:t xml:space="preserve"> apmērā. Lūdzam attiecīgi papildināt informāciju, kā arī novērst informācijas savstarpēju nesakritību 2026. gadā: "20% jeb 4 437 000 </w:t>
            </w:r>
            <w:r w:rsidR="00000000" w:rsidRPr="00000000" w:rsidDel="00000000">
              <w:rPr>
                <w:i w:val="1"/>
                <w:rtl w:val="0"/>
              </w:rPr>
              <w:t xml:space="preserve">euro</w:t>
            </w:r>
            <w:r w:rsidR="00000000" w:rsidRPr="00000000" w:rsidDel="00000000">
              <w:rPr>
                <w:rtl w:val="0"/>
              </w:rPr>
              <w:t xml:space="preserve"> (14 790 000 * 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8.1.16. punktu, ņemot vērā, ka pasākuma mērķa grupa ir arī izglītojamie, t.i.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8.2. sadaļu ar informāciju par pasākuma ietekmi uz horizontālo principu “Klimatdrošināšana”, “Energoefektivitāte pirmajā vietā” un “Nenodarīt būtisku kaitējumu”, norādot, vai pasākumam ir tieša, netieša vai nav ietekmes uz šiem principiem. Vēršam uzmanību, ka atbilstoši MK noteikumos un/vai anotācijā norādītajai informācijai par pasākuma ietekmi uz horizontālajiem principiem tiek norādīta atbilstoša informācija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lūdzam papildināt anotācijas 8.2. sadaļu par pasākuma ietekmi uz horizontālo principu “Klimatdrošināšana” ,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23-TA-1337</w:t>
    </w:r>
    <w:r>
      <w:br/>
    </w:r>
    <w:r w:rsidR="00000000" w:rsidRPr="00000000" w:rsidDel="00000000">
      <w:rPr>
        <w:rtl w:val="0"/>
      </w:rPr>
      <w:t xml:space="preserve">31.10.2023. 10.01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23-TA-1337</w:t>
    </w:r>
    <w:r>
      <w:br/>
    </w:r>
    <w:r w:rsidR="00000000" w:rsidRPr="00000000" w:rsidDel="00000000">
      <w:rPr>
        <w:rtl w:val="0"/>
      </w:rPr>
      <w:t xml:space="preserve">31.10.2023. 10.01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Izziņa_23-TA-1337.docx</dc:title>
</cp:coreProperties>
</file>

<file path=docProps/custom.xml><?xml version="1.0" encoding="utf-8"?>
<Properties xmlns="http://schemas.openxmlformats.org/officeDocument/2006/custom-properties" xmlns:vt="http://schemas.openxmlformats.org/officeDocument/2006/docPropsVTypes"/>
</file>