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minētā projekta vadības personāla izmaksas nepārsniedz 84 787 </w:t>
            </w:r>
            <w:r w:rsidR="00000000" w:rsidRPr="00000000" w:rsidDel="00000000">
              <w:rPr>
                <w:i w:val="1"/>
                <w:rtl w:val="0"/>
              </w:rPr>
              <w:t xml:space="preserve">euro </w:t>
            </w:r>
            <w:r w:rsidR="00000000" w:rsidRPr="00000000" w:rsidDel="00000000">
              <w:rPr>
                <w:rtl w:val="0"/>
              </w:rPr>
              <w:t xml:space="preserve">kalendāra gadā, un tās reizina ar projekta īstenošanas gadu skaitu. Ja projekta īstenošanas gads neietver 12 kalendāra mēnešus, gada izmaksu ierobežojumu aprēķina proporcionāli projekta īstenošanas kalendāra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kā Eiropas Savienības fondu vadošās iestādes vadlīnijas Nr. 1.2. "Vadlīnijas attiecināmo izmaksu noteikšanai Eiropas Savienības kohēzijas politikas programmas 2021.–2027. gada plānošanas periodā" nosaka, ka projektiem ar tiešajām attiecināmajām izmaksām virs 5 milj. </w:t>
            </w:r>
            <w:r w:rsidR="00000000" w:rsidRPr="00000000" w:rsidDel="00000000">
              <w:rPr>
                <w:i w:val="1"/>
                <w:rtl w:val="0"/>
              </w:rPr>
              <w:t xml:space="preserve">euro</w:t>
            </w:r>
            <w:r w:rsidR="00000000" w:rsidRPr="00000000" w:rsidDel="00000000">
              <w:rPr>
                <w:rtl w:val="0"/>
              </w:rPr>
              <w:t xml:space="preserve"> personāla izmaksu Eiropas Savienības fondu daļas ierobežojums tiek noteikts kā fiksēta summa līdz 84 787 </w:t>
            </w:r>
            <w:r w:rsidR="00000000" w:rsidRPr="00000000" w:rsidDel="00000000">
              <w:rPr>
                <w:i w:val="1"/>
                <w:rtl w:val="0"/>
              </w:rPr>
              <w:t xml:space="preserve">euro</w:t>
            </w:r>
            <w:r w:rsidR="00000000" w:rsidRPr="00000000" w:rsidDel="00000000">
              <w:rPr>
                <w:rtl w:val="0"/>
              </w:rPr>
              <w:t xml:space="preserve"> kalendārajā gadā (zemsvītras atsauce Nr.25). Ņemot vērā norādīto, iebilstam Ministru kabineta 2023. gada 28. novembra noteikumu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(turpmāk - MK noteikumi) 17. punkta svītrošanai un aicinām to atstāt negrozītu. Vienlaikus lūdzam precizēt anotāciju, svītrojot no tās informāciju par MK noteikumu 17. punkta svītrošanu. Papildus informējam, ka 2025. gada pirmajā pusē tiks rosināti minēto vadlīniju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anotācijā minētajam, skaidrojam, ka, ievērojot  vadlīnijās Nr. 1.2. "Vadlīnijas attiecināmo izmaksu noteikšanai Eiropas Savienības kohēzijas politikas programmas 2021.–2027. gada plānošanas periodā" (turpmāk – vadlīnijas) noteikto projekta vadības personāla atlīdzību ierobežojumu, projektam būs apgrūtinoši piesaistīt kvalificētu personālu. Projektā ir sasniegts iznākuma rādītājs – izvēlētas un saskaņotas 10 vietas jaunu vai modernizētu sociālās aprūpes iestāžu izveidei, tāpēc tagad ir nepieciešams nodrošināt turpmāko projekta atbalstāmo darbību īstenošanu, kas paredz nekustamo īpašumu pārņemšanas procedūru, piesaistes būvprojektu projektēšanu, būvniecību u.c. Projekta īstenošanas vietas aptver visu Latvija teritoriju un veicamo darbību vadīšana un uzraudzība veicama gandrīz vienlaicīgi. Tas nozīmē, ka projekta vadības nodrošināšanai vienlaicīgi jāpiesaista vairākus konkrētā nozarē kvalificētus speciālistus, lai nodrošinātu projekta atbalstāmo darbību pabeigšanu līdz projekta beigu datumam – 31.12.2028. Vadlīnijās noteiktais ierobežojums attiecībā uz projekta vadības personāla atlīdzības apmēra ierobežojumu, t.sk. arī katra gada ietvaros ierobežo finansējuma saņēmēju piesaistīt projekta vadībai nepieciešamo personālu.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personālam ir izšķiroša loma projekta mērķa uz rezultātu sasniegšanā, tikai ar atbilstošu personālu ir iespējams nodrošināt projekta īstenošanu, t.sk. sekmēt Eiropas Komisijas noteiktā ikgadēji deklarējamo izdevumu minimālā sliekšņa (n+3 mērķis) sniegumu atbilstoši plānotajam projekta darbību īstenošanas grafikam.  Pretējā gadījumā pastāv risks samazināt projekta īstenošanas tempu un pabeigt to vēlāk kā šobrīd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vadlīniju nosacījumiem ir ieteikuma raksturs, Labklājības ministrija (turpmāk – LM) aicina atbalstīt noteikumu projektu, kas paredz projekta vadības personāla atlīdzību ierobežojumu gadā svītrošanu.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minētā projekta vadības personāla izmaksas nepārsniedz 84 787 </w:t>
            </w:r>
            <w:r w:rsidR="00000000" w:rsidRPr="00000000" w:rsidDel="00000000">
              <w:rPr>
                <w:i w:val="1"/>
                <w:rtl w:val="0"/>
              </w:rPr>
              <w:t xml:space="preserve">euro </w:t>
            </w:r>
            <w:r w:rsidR="00000000" w:rsidRPr="00000000" w:rsidDel="00000000">
              <w:rPr>
                <w:rtl w:val="0"/>
              </w:rPr>
              <w:t xml:space="preserve">kalendāra gadā, un tās reizina ar projekta īstenošanas gadu skaitu. Ja projekta īstenošanas gads neietver 12 kalendāra mēnešus, gada izmaksu ierobežojumu aprēķina proporcionāli projekta īstenošanas kalendāra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finansējuma dalījumu pa visām intervences kategorijām (Intervences laukums, Finansējuma veids, Teritoriālie sasniegšanas mehānismi, ESF+ sekundārās tēmas un Dzimumu līdztiesība), norādot intervences kodus un tam piemērojamo pasākuma fondu finansējuma apjomu, atbilstoši Programmā (2.1. sadaļa "Informācija par dalījumu par intervences kategorijām") un tās papildinājumā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anotācija ir papildināta tikai ar finansējuma sadalījumu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Lūdzam skatīt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apakšsadaļas "Risinājuma apraksts" informāciju saistībā ar Ministru kabineta 2023. gada 28. novembra noteikumu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(turpmāk - MK noteikumi Nr.692) 17.punkta svītrošanu, nenorādot, ka Finanšu ministrijas vadlīnijām "Vadlīnijas attiecināmo izmaksu noteikšanai Eiropas Savienības kohēzijas politikas programmas 2021.–2027. gada plānošanas periodā" (turpmāk - vadlīnijas) ir rekomendējošs raksturs. Tā vietā lūdzam anotācijā norādīt, ka ierosinātie vadlīniju grozījumi, kas pašlaik ir saskaņošanas procesā, paredz, ka anotācijā norādītais projekta vadības personāla izmaksu ierobežojums no vadlīnijām tiks dzēsts un, lai nekavētu pasākuma īstenošanu nepieciešamajā intensitātē, nosacījums tiek svītrots no MK noteikumiem Nr.692.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Lūdzam skatīt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4.3.1.2. pasākuma finansējuma sadalījumu pa intervences kodiem, ņemot vērā papildu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Papildināta noteikumu projekta anotācija. Lūdzam skatīt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ierosināto grozījumu ietekmi uz īstenošanā esošo projektu "Ģimeniskai videi pietuvinātu pakalpojumu infrastruktūras izveide bērniem ar smagiem un ļoti smagiem funkcionāliem traucējumiem", t.i. vai būs nepieciešami grozījumi noslēgtajā līgumā ar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Lūdzam skatīt 1.6. apakšsadaļu.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punkta “Problēmas apraksts” 4.-5.lpp. svītrot tekstu “</w:t>
            </w:r>
            <w:r w:rsidR="00000000" w:rsidRPr="00000000" w:rsidDel="00000000">
              <w:rPr>
                <w:i w:val="1"/>
                <w:rtl w:val="0"/>
              </w:rPr>
              <w:t xml:space="preserve">atļauj izmaksu attiecināmību tikai nekustamajā īpašumā, kas ir LM valdījumā vai līdz projekta īstenošanas beigām tiks nostiprināts zemesgrāmatā uz valsts vārda LM personā. Tādējādi izdevumi, kas nepieciešami ne tikai ēkām, bet arī ēkas funkcionēšanai un nodošanai ekspluatācijā, piemēram, inženiertehniskās apgādes, piekļuves, tostarp servitūtu nodibināšana un būvniecība,  un drošas, stabilas vides piekļūstamības nodrošināšanai ārpus LM nekustamā īpašuma valdījuma robežas, nevar tikt kompensēti no 4.3.1.2. pasākumam pieejamā finansējuma. Taču šie darbi un attiecīgi izmaksas ir būtiski nepieciešamas bērnu ĢVPP infrastruktūras un pakalpojuma funkcionalitātes nodrošināšanai, t.i. 4.3.1.2. pasākuma mērķa sasniegšanai. Jāmin, ka projekta iesniegumu vērtēšanas kritērijos un to piemērošanas metodikā noteiktās prasības bērnu ĢVPP infrastruktūras izveidei nosaka un attiecīgi arī 4.3.1.2. pasākuma projekts paredz, ka ir nepieciešams bērniem nodrošināt iespēju apkārtnē pieejamās publiskās telpas sasniegt saviem spēkiem vai ar darbinieka/brīvprātīgā darbinieka atbalstu (attālums, ceļi, vides pieejamība).</w:t>
            </w:r>
            <w:r w:rsidR="00000000" w:rsidRPr="00000000" w:rsidDel="00000000">
              <w:rPr>
                <w:rtl w:val="0"/>
              </w:rPr>
              <w:t xml:space="preserve">”, jo šis teksts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Lūdzam skatīt 1.3. apakšsadaļu.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grozījumu projekta 3.punkts paredz 4.3.1.2.pasākuma plānotā un pieejamā kopējā attiecināmā finansējuma palielinājumu (tai skaitā Eiropas Reģionālās attīstības fonda finansējuma un valsts budžeta līdzfinansējuma pieaugumu), lūdzam papildināt anotācijas 3.sadaļas 6.1.apakšpunktu ar informāciju par Labklājības ministrijas turpmāko rīcību, gadījumā, ja Eiropas komisija neatbalstīs Eiropas Savienības kohēzijas politikas programmas 2021.–2027. gadam grozījumu priekšlikumus par šī pasākuma iznākuma un rezultāta rādītāju samazinājumu un kopējo attiecināmo izmaksu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 gada 23. janvārī Eiropas Komisija (turpmāk – EK) ir apstiprinājusi ES kohēzijas politikas programmas 2021.–2027.gadam (turpmāk – programma) grozījumus Nr. 2, vairs nav aktuāli noteikt LM rīcību gadījumam, ja EK neatbalstītu minētos grozījumus (informācija par programmu pieejama tīmekļa vietnē: https://www.esfondi.lv/profesionaliem/planosana/planosanas-dokumenti/2021-2027-gada).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protokollēmuma projekta tiek svītrots arī attiecīgais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punktu “Cita informācija”, vārdu “Centrālās finanšu un līgumu aģentūras” vietā lietojot vārdus “Finanšu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Lūdzam skatīt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nepieciešams anotācijas 3.sadaļas “Tiesību akta projekta ietekme uz valsts budžetu un pašvaldību budžetiem” tabulas ailēs precizēt norādītos periodus.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Lūdzam skatīt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9.punktā norādīts, ka ESF Plus finansējuma apmērs </w:t>
            </w:r>
            <w:r w:rsidR="00000000" w:rsidRPr="00000000" w:rsidDel="00000000">
              <w:rPr>
                <w:u w:val="single"/>
                <w:rtl w:val="0"/>
              </w:rPr>
              <w:t xml:space="preserve">nepārsniedz</w:t>
            </w:r>
            <w:r w:rsidR="00000000" w:rsidRPr="00000000" w:rsidDel="00000000">
              <w:rPr>
                <w:rtl w:val="0"/>
              </w:rPr>
              <w:t xml:space="preserve"> 85 procentus, līdz ar to ir precizējama anotācijas 3.sadaļas 6.1.apakšpunktā otrā rindkopa.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Lūdzam skatīt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14.6.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atbalstāmo darbību īsteno finansējuma saņēmējs, nepieciešamības gadījumā sadarbojoties 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 minētajiem sadarbības partneriem un īstenojot iepirkumu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sadarbības partneri ir norādīti MK noteikumu 12.punktā, bet MK noteikumu 13.punktā ir norādīti nosacījumi sadarbības līguma slēgšanai, lūdzam izvērtēt, vai nav nepieciešams precizēt MK noteikumu plānoto 29.</w:t>
            </w:r>
            <w:r w:rsidR="00000000" w:rsidRPr="00000000" w:rsidDel="00000000">
              <w:rPr>
                <w:vertAlign w:val="superscript"/>
                <w:rtl w:val="0"/>
              </w:rPr>
              <w:t xml:space="preserve">1</w:t>
            </w:r>
            <w:r w:rsidR="00000000" w:rsidRPr="00000000" w:rsidDel="00000000">
              <w:rPr>
                <w:rtl w:val="0"/>
              </w:rPr>
              <w:t xml:space="preserve">punktu, norādot, ka 14.6.</w:t>
            </w:r>
            <w:r w:rsidR="00000000" w:rsidRPr="00000000" w:rsidDel="00000000">
              <w:rPr>
                <w:vertAlign w:val="superscript"/>
                <w:rtl w:val="0"/>
              </w:rPr>
              <w:t xml:space="preserve">1</w:t>
            </w:r>
            <w:r w:rsidR="00000000" w:rsidRPr="00000000" w:rsidDel="00000000">
              <w:rPr>
                <w:rtl w:val="0"/>
              </w:rPr>
              <w:t xml:space="preserve">apakšpunktā norādīto atbalstāmo darbību finansējuma saņēmējs īsteno sadarbojoties ar šo noteikumu </w:t>
            </w:r>
            <w:r w:rsidR="00000000" w:rsidRPr="00000000" w:rsidDel="00000000">
              <w:rPr>
                <w:u w:val="single"/>
                <w:rtl w:val="0"/>
              </w:rPr>
              <w:t xml:space="preserve">12.punktā</w:t>
            </w:r>
            <w:r w:rsidR="00000000" w:rsidRPr="00000000" w:rsidDel="00000000">
              <w:rPr>
                <w:rtl w:val="0"/>
              </w:rPr>
              <w:t xml:space="preserve"> minētajiem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Skat. precizēto 29.</w:t>
            </w:r>
            <w:r w:rsidR="00000000" w:rsidRPr="00000000" w:rsidDel="00000000">
              <w:rPr>
                <w:vertAlign w:val="superscript"/>
                <w:rtl w:val="0"/>
              </w:rPr>
              <w:t xml:space="preserve">1 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14.6.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atbalstāmo darbību īsteno finansējuma saņēmējs, nepieciešamības gadījumā sadarbojoties ar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minētajiem sadarbības partneriem un īstenojot iepirkumu līgumus.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30.4.2. parakstījuši apliecinājumus par interešu konflikta neesību saskaņā ar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(turpmāk – regula  </w:t>
            </w:r>
            <w:r w:rsidR="00000000" w:rsidRPr="00000000" w:rsidDel="00000000">
              <w:rPr>
                <w:rtl w:val="0"/>
              </w:rPr>
              <w:t xml:space="preserve">2018/1046</w:t>
            </w:r>
            <w:r w:rsidR="00000000" w:rsidRPr="00000000" w:rsidDel="00000000">
              <w:rPr>
                <w:rtl w:val="0"/>
              </w:rPr>
              <w:t xml:space="preserve">), 61. pantu un publisko iepirkumu regulējošajiem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noteikumu projekta 30.4.2. un 30.5. apakšpunktā precizēt regulas atsauci, norādot atsauci uz Regulu 2024/2509.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Skat. precizēto 30.4.2. un 30.5.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30.4.2. parakstījuši apliecinājumus par interešu konflikta neesību saskaņā ar Eiropas Parlamenta un Padomes 2024. gada 23. septembra Regulas (ES, Euratom) </w:t>
            </w:r>
            <w:r w:rsidR="00000000" w:rsidRPr="00000000" w:rsidDel="00000000">
              <w:rPr>
                <w:rtl w:val="0"/>
              </w:rPr>
              <w:t xml:space="preserve">2024/</w:t>
            </w:r>
            <w:r w:rsidR="00000000" w:rsidRPr="00000000" w:rsidDel="00000000">
              <w:rPr>
                <w:rtl w:val="0"/>
              </w:rPr>
              <w:t xml:space="preserve">2509 par finanšu noteikumiem, ko piemēro Savienības vispārējam budžetam (pārstrādāta redakcija) (turpmāk – regula </w:t>
            </w:r>
            <w:r w:rsidR="00000000" w:rsidRPr="00000000" w:rsidDel="00000000">
              <w:rPr>
                <w:rtl w:val="0"/>
              </w:rPr>
              <w:t xml:space="preserve">2024/2</w:t>
            </w:r>
            <w:r w:rsidR="00000000" w:rsidRPr="00000000" w:rsidDel="00000000">
              <w:rPr>
                <w:rtl w:val="0"/>
              </w:rPr>
              <w:t xml:space="preserve">509), 61. pantu un publisko iepirkumu regulējošajiem normatīvajiem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24-TA-2653</w:t>
    </w:r>
    <w:r>
      <w:br/>
    </w:r>
    <w:r w:rsidR="00000000" w:rsidRPr="00000000" w:rsidDel="00000000">
      <w:rPr>
        <w:rtl w:val="0"/>
      </w:rPr>
      <w:t xml:space="preserve">10.02.2025. 08.39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24-TA-2653</w:t>
    </w:r>
    <w:r>
      <w:br/>
    </w:r>
    <w:r w:rsidR="00000000" w:rsidRPr="00000000" w:rsidDel="00000000">
      <w:rPr>
        <w:rtl w:val="0"/>
      </w:rPr>
      <w:t xml:space="preserve">10.02.2025. 08.39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Izziņa_24-TA-2653.docx</dc:title>
</cp:coreProperties>
</file>

<file path=docProps/custom.xml><?xml version="1.0" encoding="utf-8"?>
<Properties xmlns="http://schemas.openxmlformats.org/officeDocument/2006/custom-properties" xmlns:vt="http://schemas.openxmlformats.org/officeDocument/2006/docPropsVTypes"/>
</file>