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24-TA-738: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skaidras naudas deklarēšanu uz valsts robežas””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Administratīvā pārkāpuma procesu par šā panta pirmajā un otrajā daļā minētajiem pārkāpumiem, kas izdarīti, šķērsojot valsts ārējo robežu, līdz administratīvā pārkāpuma lietas izskatīšanai veic arī Nodokļu un muitas policija. Administratīvā pārkāpuma lietu izskata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Administratīvā pārkāpuma procesu par šā panta pirmajā un otrajā daļā minētajiem pārkāpumiem, kas izdarīti, šķērsojot valsts iekšējo robežu, veic tā kompetentā iestāde, kura ir konstatējusi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kompetenci par pārkāpumiem, kas izdarīti, šķērsojot valsts iekšējo robežu, </w:t>
            </w:r>
            <w:r w:rsidR="00000000" w:rsidRPr="00000000" w:rsidDel="00000000">
              <w:rPr>
                <w:b w:val="1"/>
                <w:u w:val="single"/>
                <w:rtl w:val="0"/>
              </w:rPr>
              <w:t xml:space="preserve">uzskaitīt kompetentās iestādes</w:t>
            </w:r>
            <w:r w:rsidR="00000000" w:rsidRPr="00000000" w:rsidDel="00000000">
              <w:rPr>
                <w:rtl w:val="0"/>
              </w:rPr>
              <w:t xml:space="preserve">, kuras ir tiesīgas veikt administratīvā pārkāpuma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Administratīvā pārkāpuma procesu par šā panta pirmajā un otrajā daļā minētajiem pārkāpumiem, kas izdarīti, šķērsojot valsts ārējo robežu, līdz administratīvā pārkāpuma lietas izskatīšanai veic arī Nodokļu un muitas policija. Administratīvā pārkāpuma lietu izskata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Administratīvā pārkāpuma procesu par šā panta pirmajā un otrajā daļā minētajiem pārkāpumiem, kas izdarīti, šķērsojot valsts iekšējo robežu, veic tā kompetentā iestāde, kura ir konstatējusi pārkāpumu – Nodokļu un muitas policija vai Valsts ieņēmumu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1. pantu tiek noteikta kompetentā iestāde Eiropas Parlamenta un Padomes 2018. gada 23. oktobra regulas (ES) Nr. 2018/1672 par Savienības teritorijā ievestās skaidras naudas vai no tās izvestās skaidras naudas kontroli un par regulas (EK) Nr. 1889/2005 atcelšanu (turpmāk - Regula Nr. 2018/1672) 2. panta 1. punkta "g" apakšpunkta izpratnē, lūdzam aizpildīt anotācijas 5. sadaļu, tostarp 5.4. punkta 1. tabulu, norādot informāciju par Regulas Nr. 2018/1672 2. panta 1. punkta "g" apakšpunkta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grozījumu tekstā punktu numerāciju lūdzam izteikt ar arābu cipariem, nevis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vienā normā tiek veikti vairāki grozījumi, tad tā ir izsakāma jaunā redakcijā, nevis tajā veicami vairāki atsevišķi grozījumi. Ievērojot minēto, lūdzam precizēt, izsakot jaunā redakcijā, trešās daļas 1. punktu, ceturtās daļas 1., 2. un 3. punktu, piektās daļas 1. punktu un sestās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punktu pēc vārdiem "vārdu, uzvārdu" ar vārdiem "personas identifikācijas numuru,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"personas identifikācijas numuru" nebūtu jāaizstāj ar "personas kodu vai identifikācijas kodu", ņemot vērā, ka Latvijā personām tiek piešķirts personas kods un papildus Fizisko personu reģistrā iekļauj ziņas par ārvalstī piešķirto "personas identifikācijas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terminoloģija ir salāgota ar Eiropas Savienības regulējumā lietoto terminoloģiju (tulkojumu  latviešu valodā) un ar datu iestrādi IT sistēmās, lai IT sistēmās būtu iespējams izmantot vienotu formu gan attiecībā uz deklarācijas aizpildīšanu, šķērsojot valsts ārējo robežu, gan arī iekšējo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punktu pēc vārdiem "vārdu, uzvārdu" ar vārdiem "personas identifikācijas numuru,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"personas identifikācijas numuru" nebūtu jāaizstāj ar "personas kodu vai identifikācijas kodu", ņemot vērā, ka Latvijā personām tiek piešķirts personas kods un papildus Fizisko personu reģistrā iekļauj ziņas par ārvalstī piešķirto "personas identifikācijas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terminoloģija ir salāgota ar Eiropas Savienības regulējumā lietoto terminoloģiju (tulkojumu  latviešu valodā) un ar datu iestrādi IT sistēmās, lai IT sistēmās būtu iespējams izmantot vienotu formu gan attiecībā uz deklarācijas aizpildīšanu, šķērsojot valsts ārējo robežu, gan arī iekšējo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punktu pēc vārdiem "vārdu, uzvārdu" ar vārdiem "personas identifikācijas numuru,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"personas identifikācijas numuru" nebūtu jāaizstāj ar "personas kodu vai identifikācijas kodu", ņemot vērā, ka Latvijā personām tiek piešķirts personas kods un papildus Fizisko personu reģistrā iekļauj ziņas par ārvalstī piešķirto "personas identifikācijas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terminoloģija ir salāgota ar Eiropas Savienības regulējumā lietoto terminoloģiju (tulkojumu  latviešu valodā) un ar datu iestrādi IT sistēmās, lai IT sistēmās būtu iespējams izmantot vienotu formu gan attiecībā uz deklarācijas aizpildīšanu, šķērsojot valsts ārējo robežu, gan arī iekšējo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punktu pēc vārdiem "vārdu, uzvārdu" ar vārdiem "personas identifikācijas numuru,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"personas identifikācijas numuru" nebūtu jāaizstāj ar "personas kodu vai identifikācijas kodu", ņemot vērā, ka Latvijā personām tiek piešķirts personas kods un papildus Fizisko personu reģistrā iekļauj ziņas par ārvalstī piešķirto "personas identifikācijas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terminoloģija ir salāgota ar Eiropas Savienības regulējumā lietoto terminoloģiju (tulkojumu  latviešu valodā) un ar datu iestrādi IT sistēmās, lai IT sistēmās būtu iespējams izmantot vienotu formu gan attiecībā uz deklarācijas aizpildīšanu, šķērsojot valsts ārējo robežu, gan arī iekšējo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punktu pēc vārdiem "vārdu, uzvārdu" ar vārdiem "personas identifikācijas numuru,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"personas identifikācijas numuru" nebūtu jāaizstāj ar "personas kodu vai identifikācijas kodu", ņemot vērā, ka Latvijā personām tiek piešķirts personas kods un papildus Fizisko personu reģistrā iekļauj ziņas par ārvalstī piešķirto "personas identifikācijas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terminoloģija ir salāgota ar Eiropas Savienības regulējumā lietoto terminoloģiju (tulkojumu  latviešu valodā) un ar datu iestrādi IT sistēmās, lai IT sistēmās būtu iespējams izmantot vienotu formu gan attiecībā uz deklarācijas aizpildīšanu, šķērsojot valsts ārējo robežu, gan arī iekšējo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punktu pēc vārdiem "vārdu, uzvārdu" ar vārdiem "personas identifikācijas numuru,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"personas identifikācijas numuru" nebūtu jāaizstāj ar "personas kodu vai identifikācijas kodu", ņemot vērā, ka Latvijā personām tiek piešķirts personas kods un papildus Fizisko personu reģistrā iekļauj ziņas par ārvalstī piešķirto "personas identifikācijas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terminoloģija ir salāgota ar Eiropas Savienības regulējumā lietoto terminoloģiju (tulkojumu  latviešu valodā) un ar datu iestrādi IT sistēmās, lai IT sistēmās būtu iespējams izmantot vienotu formu gan attiecībā uz deklarācijas aizpildīšanu, šķērsojot valsts ārējo robežu, gan arī iekšējo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tiesību akta projekta anotācijā veiktās atsauces uz Komisijas Īstenošanas regulu (ES) Nr. 2021/776 (2021. gada 11. maijs), ar ko nosaka paraugus konkrētām veidlapām, kā arī tehniskos noteikumus efektīvai informācijas apmaiņai saskaņā ar Eiropas Parlamenta un Padomes Regulu (ES) 2018/1672 par Savienības teritorijā ievestās skaidras naudas vai no tās izvestās skaidras naudas kontroli. Tiesību akta projekta anotācijā vairākās vietās nepareizi norādīts regulas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un 7.sadaļu, ņemot vērā, ka likumprojekta ietvaros tiek plānots paplašināt apstrādājamo personas datu daudzumu.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projekts skar fiziskās personas, kurām būs jādeklarē skaidra nauda uz valsts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 kā personām būs jānorāda papildu informācija, tad tas skar administratīvo slogu. Vēršam uzmanību, ka saskaņā ar Ministru kabineta 2021. gada 7. septembra noteikumu Nr. 617 "Tiesību akta projekta sākotnējās ietekmes izvērtēšanas kārtība" 16. punktu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w:t>
            </w:r>
            <w:r w:rsidR="00000000" w:rsidRPr="00000000" w:rsidDel="00000000">
              <w:rPr>
                <w:i w:val="1"/>
                <w:rtl w:val="0"/>
              </w:rPr>
              <w:t xml:space="preserve">euro</w:t>
            </w:r>
            <w:r w:rsidR="00000000" w:rsidRPr="00000000" w:rsidDel="00000000">
              <w:rPr>
                <w:rtl w:val="0"/>
              </w:rPr>
              <w:t xml:space="preserve">, bet sabiedrības grupai, kuru veido juridiskās personas, ko ietekmēs projekts, – 2000 </w:t>
            </w:r>
            <w:r w:rsidR="00000000" w:rsidRPr="00000000" w:rsidDel="00000000">
              <w:rPr>
                <w:i w:val="1"/>
                <w:rtl w:val="0"/>
              </w:rPr>
              <w:t xml:space="preserve">euro</w:t>
            </w:r>
            <w:r w:rsidR="00000000" w:rsidRPr="00000000" w:rsidDel="00000000">
              <w:rPr>
                <w:rtl w:val="0"/>
              </w:rPr>
              <w:t xml:space="preserve">.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arī aizpildīt informāciju par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projektam nav būtiska ietekme uz administratīvajām izmaksām vai administratīvo slogu, tā informācija, kas būs jānorāda papildus jau šobrīd likumā noteiktajai ir minimāla.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8.1.13.punktu, ņemot vērā, ka likumprojekta ietvaros tiek plānots paplašināt apstrādājamo personas datu daudzumu.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24-TA-738</w:t>
    </w:r>
    <w:r>
      <w:br/>
    </w:r>
    <w:r w:rsidR="00000000" w:rsidRPr="00000000" w:rsidDel="00000000">
      <w:rPr>
        <w:rtl w:val="0"/>
      </w:rPr>
      <w:t xml:space="preserve">31.05.2024. 15.56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24-TA-738</w:t>
    </w:r>
    <w:r>
      <w:br/>
    </w:r>
    <w:r w:rsidR="00000000" w:rsidRPr="00000000" w:rsidDel="00000000">
      <w:rPr>
        <w:rtl w:val="0"/>
      </w:rPr>
      <w:t xml:space="preserve">31.05.2024. 15.56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Izziņa_24-TA-738.docx</dc:title>
</cp:coreProperties>
</file>

<file path=docProps/custom.xml><?xml version="1.0" encoding="utf-8"?>
<Properties xmlns="http://schemas.openxmlformats.org/officeDocument/2006/custom-properties" xmlns:vt="http://schemas.openxmlformats.org/officeDocument/2006/docPropsVTypes"/>
</file>