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25-TA-1507: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2021.–2027. gadam 3.1. prioritātes "Ilgtspējīga TEN-T infrastruktūra" 3.1.1. specifiskā atbalsta mērķa "Attīstīt ilgtspējīgu, pret klimatu izturīgu, inteliģentu, drošu un vairākveidu TEN-T infrastruktūru" 3.1.1.1. pasākuma "Dzelzceļa infrastruktūras attīstība un energoefektivitātes uzlabošana sabiedriskajos pasažieru pārvadājumos"  pirmās projektu iesniegumu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Kohēzijas fonda finansējumu pasākuma ietvaros piešķir granta veidā. Maksimālais attiecināmais Kohēzijas fonda finansējuma apmērs ir ne lielāks par 85 % un valsts budžeta līdzfinansējuma apmērs ir ne mazāks par 15 % no projektam plānotā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6.punktā attiecībā uz valsts budžeta līdzfinansējuma īpatsvaru svītrot vārdus “ne mazāks par”, ņemot vērā, ka valsts budžeta līdzfinansējums nevar pārsniegt 15%.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skaidrot, vai projekta īstenošanā ir paredzēts piesaistīt arī projekta iesniedzēja privāto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izvērtēt nepieciešamību precizēt noteikumu projekta 1.3.apakšpunktu atbilstoši vadlīniju Nr. 1.4. “Vadlīnijas Ministru kabineta noteikumu par specifiskā atbalsta mērķa īstenošanu izstrādei Eiropas Savienības fondu 2021.—2027. gada plānošanas periodā” 2. 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Precizēts  noteikumu projekta 6.punkts un 1.3.apakšpunkts.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 papildināta ar skaidrojumu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īstenošanā netiek paredzēts piesaistīt projekta iesniedzēja privāto finansējumu un LDz īstenotajiem projektiem saskaņā ar noteikumu projekta 10. punktu ir paredzēts valsts budžeta līdzfinansējums 15% apmērā, jo projekta ietvaros LDz attīstīs publisko dzelzceļa infrastruktūru, kas ir būtiska, lai nodrošinātu reģionālos pasažieru pārvadājumus pa dzelzceļu valsts pasūtījuma ietvaros. Dzelzceļa infrastruktūras modernizācija, tostarp saistīto dzelzceļa IT un sakaru sistēmu, kas nodrošina infrastruktūras veiktspēju, nepieciešama sabiedriskā transporta pakalpojumu sniegšanai, tādējādi tā ir tieši saistīta ar valsts politikas mērķu sasniegšanu transporta jomā, it īpaši attiecībā uz sabiedriskā transporta pieejamības, drošības un ilgtspējas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Dzelzceļa likumam un Ministru kabineta 2023. gada 28. novembra noteikumiem Nr.680  “Dzelzceļa ekspluatācijas noteikumi” LDz kā dzelzceļa infrastruktūras pārvaldītājam ir jānodrošina dzelzceļa pārvadājumu pasūtījumi. Valsts budžeta līdzfinansējuma piešķiršana ir būtiska, lai LDz kā dzelzceļa infrastruktūras pārvaldītājs veidotu sabiedrības interesēm atbilstošu, drošu un pieejamu dzelzceļa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Kohēzijas fonda finansējumu pasākuma ietvaros piešķir granta veidā. Maksimālais attiecināmais Kohēzijas fonda finansējuma apmērs ir ne lielāks par 85 % un valsts budžeta līdzfinansējuma apmērs ir 15 % no projektam plānotā kopējā attiecināmā finansējuma.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Pasākuma ietvaros plānotais un pieejamais kopējais finansējums ir 118 659 229 euro, tai skaitā Kohēzijas fonda finansējums 100 860 345  euro un valsts budžeta līdzfinansējums – ne mazāks kā 17 798 884 euro,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10.punktā un tā apakšpunktos norādītās Kohēzijas fonda (turpmāk – KF) finansējuma apmērs pārsniedz pieļaujamo 85% KF līdzfinansējuma likmes robežu. Ņemot vērā minēto, lūdzam precizēt 10.punktā un tā apakšpunktos norādīto 3.1.1.1.pasākuma 1.kārtai plānoto finansējuma apmēru, piemēram, palielinot nacionālā līdzfinansējuma likmi, lai nodrošinātu, ka KF līdzfinansējums nepārsniedz 85% no kopējām plānotajām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noteikumu projekta 10.punktā un tā apakšpunktos attiecībā uz valsts budžeta līdzfinansējuma apmēru svītrot vārdus “ne mazāks kā”, ņemot vērā, ka arī valsts budžeta līdzfinansējuma apmēram ir jābūt noteiktam konkrētā apmērā, kas nav pārsniedzams. Attiecīgus precizējumus lūdzam veikt arī anotācijas 1.3.sadaļā “Pašreizējā situācija, problēmas un risinājumi” (turpmāk – anotācijas 1.3.sadaļa).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10.punkts un anotācijas 1.3.sadaļa “Pašreizējā situācija, problēmas un risinājumi”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Pasākuma ietvaros plānotais un pieejamais kopējais finansējums ir 118 659 230 euro, tai skaitā Kohēzijas fonda finansējums 100 860 345  euro un valsts budžeta līdzfinansējums 17 798 885 euro, tai skaitā: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 projekta īstenošanai nepieciešamā nekustamā īpašuma iegādes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punktu par to, ka noteikumu projekta15.10. apakšpunktā atbalstāmās darbības nedrīkst pārsniegt 10% no kopējiem attiecināmajiem izdevumiem, kā arī anotācijā norādīt pamatojumu šādu izmaksu nepieciešamībai.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15.10.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 projekta īstenošanai nepieciešamās zemes un cita nekustamā īpašuma iegādes izmaksas nepārsniedzot vairāk kā 10% no attiecināmo izmaksu kopsummas;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atbalstāmo darbību ietvaros radušās izmaksas var uzskatīt par attiecināmām finansēšanai no Kohēzijas fonda, ja tās atbilst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minētajām atbalstāmajām darbībām,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minētajām attiecināmajām izmaksām un atbilst šo noteikumu </w:t>
            </w:r>
            <w:r w:rsidR="00000000" w:rsidRPr="00000000" w:rsidDel="00000000">
              <w:rPr>
                <w:rtl w:val="0"/>
              </w:rPr>
              <w:t xml:space="preserve">15.11. </w:t>
            </w:r>
            <w:r w:rsidR="00000000" w:rsidRPr="00000000" w:rsidDel="00000000">
              <w:rPr>
                <w:rtl w:val="0"/>
              </w:rPr>
              <w:t xml:space="preserve">apakšpunktā</w:t>
            </w:r>
            <w:r w:rsidR="00000000" w:rsidRPr="00000000" w:rsidDel="00000000">
              <w:rPr>
                <w:rtl w:val="0"/>
              </w:rPr>
              <w:t xml:space="preserve"> , </w:t>
            </w:r>
            <w:r w:rsidR="00000000" w:rsidRPr="00000000" w:rsidDel="00000000">
              <w:rPr>
                <w:rtl w:val="0"/>
              </w:rPr>
              <w:t xml:space="preserve">18.</w:t>
            </w:r>
            <w:r w:rsidR="00000000" w:rsidRPr="00000000" w:rsidDel="00000000">
              <w:rPr>
                <w:rtl w:val="0"/>
              </w:rPr>
              <w:t xml:space="preserve"> un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minētajiem izmaksu apjoma ierobežojumiem, un ir radušās ne agrāk kā 2021.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finansējuma saņēmējs ir valsts budžeta iestāde un projektu izmaksas ir attiecināmas pirms līguma vai vienošanās noslēgšanas, lūdzam Ministru kabineta sēdes protokollēmuma projektu papildināt ar jaunu punktu, kas nosaka finanšu plūsmas pirms projekta apstiprināšanas nodrošināšanas nosacījumus, kā arī pienākumu un atbildību atbildīgajai iestādei gadījumos, ja pirms projekta apstiprināšanas radušās izmaksas nav attiecināmas no Eiropas Savienības fondu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Protokollēmums papildināts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ministrijai informēt Ministru kabinetu par priekšlikumiem rīcībai gadījumā, ja netiek saņemts pozitīvs Eiropas Komisijas lēmums par grozījumiem Eiropas Savienības Kohēzijas politikas programmā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4.Satiksmes ministrijai informēt Ministru kabinetu par priekšlikumiem rīcībai gadījumā, ja netiek saņemts pozitīvs Eiropas Komisijas lēmums par grozījumiem Eiropas Savienības Kohēzijas politikas programmā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Anotācijas 1.3.sadaļa papildināta ar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tiek noteikts, ka atbalstāmo darbību ietvaros radušās izmaksas var uzskatīt par attiecināmām finansēšanai no Kohēzijas fonda, ja tās ir radušās ne agrāk kā 2021. gada 1. janvārī un pasākuma ietvaros nedrīkst attiecināt darbības, kas ir jau pabeigtas pirms projektu iesniegumu iesniegšanas sadarbības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 LDz pašu finanšu līdzekļiem projekta “Dzelzceļa publiskās infrastruktūras (platformu) modernizācija” īstenošanas ietvaros ir segtas projekta vadības atalgojuma izmaksas, kas indikatīvi veido aptuveni 90 000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nekavētu projektu īstenošanu, protokollēmumā tiek paredzēts atļaut LDz  projektu īstenošanas uzsākšanu pirms Eiropas Komisijas lēmuma par grozījumiem Eiropas Savienības Kohēzijas politikas programmā 2021.-2027.gadam (kuru ietvaros tika pārstrukturizēts dzelzceļa nozarei sākotnēji plānotais  Kohēzijas fonda finansējums), vienlaikus nosakot pienākumu Satiksmes ministrijai informēt Ministru kabinetu par priekšlikumiem rīcībai gadījumā, ja netiek saņemts pozitīvs Eiropas Komisijas lēmums par grozījumiem Eiropas Savienības Kohēzijas politikas programmā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Pasākuma atbalstāmo darbību ietvaros radušās izmaksas var uzskatīt par attiecināmām finansēšanai no Kohēzijas fonda, ja tās atbilst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minētajām atbalstāmajām darbībām,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minētajām attiecināmajām izmaksām un atbilst šo noteikumu </w:t>
            </w:r>
            <w:r w:rsidR="00000000" w:rsidRPr="00000000" w:rsidDel="00000000">
              <w:rPr>
                <w:rtl w:val="0"/>
              </w:rPr>
              <w:t xml:space="preserve">14.16. </w:t>
            </w:r>
            <w:r w:rsidR="00000000" w:rsidRPr="00000000" w:rsidDel="00000000">
              <w:rPr>
                <w:rtl w:val="0"/>
              </w:rPr>
              <w:t xml:space="preserve">apakšpunktā</w:t>
            </w:r>
            <w:r w:rsidR="00000000" w:rsidRPr="00000000" w:rsidDel="00000000">
              <w:rPr>
                <w:shd w:fill="#ffffff" w:val="clear"/>
                <w:rtl w:val="0"/>
              </w:rPr>
              <w:t xml:space="preserve">, </w:t>
            </w:r>
            <w:r w:rsidR="00000000" w:rsidRPr="00000000" w:rsidDel="00000000">
              <w:rPr>
                <w:rtl w:val="0"/>
              </w:rPr>
              <w:t xml:space="preserve">17.</w:t>
            </w:r>
            <w:r w:rsidR="00000000" w:rsidRPr="00000000" w:rsidDel="00000000">
              <w:rPr>
                <w:rtl w:val="0"/>
              </w:rPr>
              <w:t xml:space="preserve"> un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minētajiem izmaksu apjoma ierobežojumiem, un ir radušās ne agrāk kā 2021. gada 1. janvārī. Pasākuma ietvaros nedrīkst attiecināt darbības, kas ir jau pabeigtas pirms projektu iesniegumu iesniegšanas sadarbības iestādē.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Sadarbības  iestādei ir tiesības vienpusēji atkāpties no noslēgtā līguma par projekta īstenošanu jebkurā no šādiem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33. punktā paredzētais regulējums par sadarbības iestādes tiesībām vienpusēji atkāpties no līguma par atbalsta sniegšanu neietilpst Vadības likuma 19. panta 13. punktā noteiktajā Ministru kabineta pilnvarojumā.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attiecas uz specifiskā atbalsta mērķa saturu, prasībām un īstenošanas kārtību, bet tas neietver tiesības noteikt finansējuma saņēmēja vai sadarbības iestādes vienpusēju atkāpšanos no līguma.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33. punktu svītrot vai papildināt noteikumu projekta pilnvarojošo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33.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3.1.1.1.pasākums iekļauts Programmas 9.sadaļā “Plānoto stratēģiski svarīgo darbību saraksts un to plānotais laika grafiks”, lūdzam noteikumu projektā iekļaut informāciju par stratēģiski svarīgu projektu īstenošanu un anotācijā norādīt konkrētus plānotos stratēģiski svarīgos projektus. Gadījumā, ja stratēģiski svarīgi projekti tiks īstenoti 3.1.1.1.pasākuma 2.kārtas ietvaros, lūdzam šo informāciju atspoguļot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"Pašreizējā situācija, problēmas un risinājumi"  papildināta ar informāciju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programmas  2021.–2027.gadam 9.sadaļā “Plānoto stratēģiski svarīgo darbību saraksts un to plānotais laika grafiks” ir iekļauts 3.1.1.1.pasākums un stratēģiski svarīgam projektam noteiktie pienākumi un obligātie projekta informācijas un publicitātes pasākumi atbilstoši normatīvajiem aktiem par Eiropas Savienības fondu ieviešanu 2021.–2027. gada plānošanas periodā tiks īstenoti 3.1.1.1. pasākumā otrajā projektu iesniegumu atlases kārtā."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skaidrots, ka pasākuma īstenošanai paredzēts valsts budžeta līdzfinansējums, jo VAS “Latvijas dzelzceļš” attīstīs publisko dzelzceļa infrastruktūru, kas ir būtiska, lai nodrošinātu reģionālos pasažieru pārvadājumus pa dzelzceļu valsts pasūtījuma ietvaros, kā arī skaidrots, ka dzelzceļa infrastruktūras modernizācija  ir nepieciešama sabiedriskā transporta pakalpojumu sniegšanai, tādējādi tā ir tieši saistīta ar valsts politikas mērķu sasniegšanu transporta jomā, it īpaši attiecībā uz sabiedriskā transporta pieejamības, drošības un ilgtspējas nodrošināšanu. Minētais skaidrojums pirmšķietami pamato pasākuma ietvaros veicamās aktivitātes saistībā ar vilcienu kustības ātruma palielināšanu un dzelzceļa publiskās infrastruktūras (peronu) modernizāciju, vienlaikus tas nesniedz pārliecību, ka arī aktivitāte attiecībā uz dzelzceļa sakaru un informācijas sistēmām ir tieši saistīta ar pasažieru pārvadājumiem, attiecīgi lūdzam precizēt norādīto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Skaidrojam, ka  dzelzceļa infrastruktūra ir kompleksa infrastruktūra, ko veido virkne savā starpā tehniski un tehnoloģiski saistītas komponentes: uzbērums, gulšņi, sliežu ceļi, elektrificētajā zonā tie ir kontakttīkla balsti – un vadi, kā arī vilcienu kustības nodrošināšanai nepieciešamās signalizācijas un kustības vadības, IT sistēmas, kā arī sakaru sistēmas. Bez visām šīm nav iespēja vilcienu kustība un dzelzceļa infrastruktūras ekspluatēšana kā arī dzelzceļa pārbrauktuvju sinhrona darbība. Ņemot vērā infrastruktūras (ātruma palielināšanu), modernu ritekļu ieviešanu, ir nepieciešamība pēc drošas, reāllaika, un ilgtspējīgas IT sakaru sistēmas nodrošināšanas. Sakaru tīkls FRMCS ir tehnoloģisks risinājums (balss un datu pārraidei) pārējo sistēmu ETCS (vilcienu vadības)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1.3.sadaļa papildināta ar apakšsadaļu "Valsts budžeta līdzfinansējums"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īstenošanā netiek paredzēts piesaistīt projekta iesniedzēja privāto finansējumu un  LDz īstenotajiem projektiem saskaņā ar noteikumu projekta 10. punktu ir paredzēts valsts budžeta līdzfinansējums 15% apmērā, jo projekta ietvaros VAS “Latvijas dzelzceļš” attīstīs publisko dzelzceļa infrastruktūru, kas ir būtiska, lai nodrošinātu reģionālos pasažieru pārvadājumus pa dzelzceļu valsts pasūtījuma ietvaros. Dzelzceļa infrastruktūras modernizācija, tostarp saistīto dzelzceļa IT un sakaru sistēmu, kas nodrošina infrastruktūras veiktspēju, nepieciešama sabiedriskā transporta pakalpojumu sniegšanai, tādējādi tā ir tieši saistīta ar valsts politikas mērķu sasniegšanu transporta jomā, it īpaši attiecībā uz sabiedriskā transporta pieejamības, drošības un ilgtspējas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Dzelzceļa likumam un Ministru kabineta 2023. gada 28. novembra noteikumiem Nr.680  “Dzelzceļa ekspluatācijas noteikumi” VAS “Latvijas dzelzceļš” kā dzelzceļa infrastruktūras pārvaldītājam ir jānodrošina dzelzceļa pārvadājumu pasūtījumi. Valsts budžeta līdzfinansējuma piešķiršana ir būtiska, lai VAS “Latvijas dzelzceļš” kā dzelzceļa infrastruktūras pārvaldītājs veidotu sabiedrības interesēm atbilstošu, drošu un pieejamu dzelzceļa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”Tiesību akta projekta ietekme uz valsts budžetu un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aizpildīt ailes “Turpmākie trīs gadi” izmaiņas, salīdzinot ar vidēja termiņa budžeta ietvaru 2028.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aizpildīt 5.1.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precizēt norādīto līdzekļu apjomu sadalījumu pa gadiem, ņemot vērā, ka 6. punktā saskaitot kopā norādīto summas, tās atšķiras no noteikumu projekta 10. punktā noteiktā.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8.1.8., 8.1.9., 8.1.10. un 8.2.sadaļu ar informāciju par pasākuma 3.1.1.1.  ietekmi uz horizontālo principu “Vienlīdzība, iekļaušana, nediskriminācija un pamattiesību ievērošana” (turpmāk - HP) atbilstoši Labklājības ministrijas un Tieslietu ministrijas izstrādātajām vadlīnijām horizontālā principa “Vienlīdzība, iekļaušana, nediskriminācija un pamattiesību ievērošana” īstenošanai un uzraudzībai (turpmāk - vadlīnijas) (skatīt šeit: https://www.lm.gov.lv/lv/vadlinijas-horizontala-principa-vienlidziba-ieklausana-nediskriminacija-un-pamattiesibu-ieverosana-istenosanai-un-uzraudzibai-2021-2027, skat.vadlīniju 5.3. sadaļu "MK noteikumu anotācijas aizpildīšana"), norādot kādas vispārīgās un specifiskās darbības ieteicams īstenot projektos, kādi HP rādītāji un kāds HP kritērijs tiks piemērots projektu iesniegumu vērtēšanā – kvalitātes kritērijs vai specifiskais atbilstības kritērijs.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anotācijas  8.1.8., 8.1.9., 8.1.10. apakšpunkti un  8.2.sadaļa papildināta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ir netieša ietekme uz horizontālo principu "Vienlīdzība, iekļaušana, nediskriminācija un pamattiesību ievērošana".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finansējuma saņēmējs, īstenojot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 principu "Vienlīdzība, iekļaušana, nediskriminācija un pamattiesību ievērošana" un uzkrāj datus par projekta ietekmi uz horizontālo principu rādītāju - "Objektu skaits, kuros KF ieguldījumu rezultātā ir nodrošināta vides un informācijas pieejamība";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uzkrāj datus par projekta ietekmi uz horizontālo principu rādītājiem (ja attiecināms) un ievēro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klimatdrošināšana;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energoefektivitāte pirmajā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nenodarīt būtisku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Eiropas Savienības fondu 2021.-2027.gada plānošanas perioda uzraudzības komitejas 18.07.2023. lēmumu apstiprināti projektu iesniegumu vērtēšanas kritēriji. Tai skaitā kā viens no specifiskajiem atbilstības kritērijiem apstiprināts horizontālā principa "Vienlīdzība, iekļaušana, nediskriminācija un pamattiesību ievērošana" kritērijs: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Projektā ir paredzētas darbības, kas veicina horizontālā principa ”Vienlīdzība, iekļaušana, nediskriminācija un pamattiesību ievērošanu”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projekta iesniedzējam ir jāsniedz informācija par objektu skaitu, kuros ir nodrošināta vides un informācijas pieejamība."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un publicitātes pasākumu nodrošināšanā tiks ievēroti nediskriminācijas principi, nepieļaujot stereotipu veidošanos par kādu no dzimumiem, personām ar invaliditāti, reliģisko pārliecību, vecumu, rasi un etnisko izcelsmi vai seksuālo orientāciju. Informācijas un publicitātes pasākumu nodrošināšana ir jāveic saskaņā ar saistošo normatīvo aktu un citu dokumentu noteiktajām prasībām, tostarp nodrošinot, ka informācijas saturs ir piekļūstams cilvēkiem ar funkcionāliem traucējumiem, izmantojot vairākus sensoros (redze, dzirde, tauste) kanālus.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iznākuma rādītājs “Jaunas vai modernizētas dzelzceļa stacijas un pieturas, kurās izbūvēti paaugstinātie  peroni” – 20 stacijas un pieturas;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4.punktā minētos rādītājus un to vērtības salāgot ar Eiropas Savienības kohēzijas politikas programmā 2021. -2027. gadam (turpmāk – Programma) esošajiem rādītājiem un to vērtībām. Atbilstoši Programmai 3.1.1.specifiskā atbalsta mērķa “Attīstīt ilgtspējīgu, pret klimatu izturīgu, inteliģentu, drošu un vairākveidu TEN-T infrastruktūru” (turpmāk – 3.1.1.SAM) ietvaros plānots sasniegt iznākuma rādītājus "Jaunu vai modernizētu dzelzceļa sliežu garums – TEN-T" - 130km un "Jaunas vai modernizētas dzelzceļa stacijas un pieturas" - 23 (skaits), kā arī rezultāta rādītāju "Jaunuzbūvēto, jaunināto, rekonstruēto vai modernizēto sliežu ceļu lietotāju skaits gadā" - 3 534 660 (pasažieru skaits gadā). Gadījumā, ja šos rādītājus plānots sasniegt īstenojot 3.1.1.1.pasākuma “Dzelzceļa transporta attīstība un energoefektivitātes uzlabošana sabiedriskajos pasažieru pārvadājumos” 1.kārtas projektus, kā arī 2.kārtas projektus, tad lūdzam anotāciju papildināt ar skaidrojumu, kuras vērtības tiks sasniegtas 1.kārtas ietvaros un attiecīgi, kuras vērtības - 2.kārtas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vai noteikumu projekta 4.punktā un tā apakšpunktos minētā informācija nedublē noteikumu projekta 11.punktā un tā apakšpunktos esošo informāciju, un nepieciešamības gadījumā lūdzam tos apvienot.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Svītrots noteikumu projekta 11.punkts.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1.3.sadaļa papildināta ar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"Pirmās projektu iesniegumu atlases kārtas ietvaros tiks sasniegti sekojoši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iznākuma rādītājs "Jaunu vai modernizētu dzelzceļa sliežu garums – TEN-T" - 40km;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iznākuma rādītājs "Jaunas vai modernizētas dzelzceļa stacijas un pieturas" - 20 stacijas un pieturas;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nacionālais rādītājs "Izbūvēto dzelzceļa mobilo 5G sakaru bāzes staciju skaits" -  20 bāzes stacijas.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rezultāta rādītājs "Jaunuzbūvēto, jaunināto, rekonstruēto vai modernizēto sliežu ceļu lietotāju skaits gadā (pārvadāto pasažierus skaits līnijā Rīga – Tukums)- 11 189 574 pasažieri.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3.1.1.SAM rezultāta rādītājs  “Jaunuzbūvēto, jaunināto, rekonstruēto vai modernizēto sliežu ceļu lietotāju skaits gadā” tiek pārveidots par 3.3.1.SAM rezultāta rādītāju un atbilstoši regulu prasībām, katram pasākumam  Programmā ir  nepieciešams vismaz viens iznākuma un vismaz viens rezultāta rādītājs,  3.1.1.1 pasākuma pirmās projektu iesniegumu atlases kārtas ietvaros tiek noteikts jauns rezultāta rādītājs – RC58 “Jaunuzbūvēto, jaunināto, rekonstruēto vai modernizēto sliežu ceļu lietotāju skaits gadā (pārvadāto pasažierus skaits līnijā Rīga – Tukums)- 11 189 574 pasažieri, kā bāzes vērtību 2024.gadā nosakot 6 947 845 pasažierus.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otrās projektu iesniegumu atlases kārtas ietvaros tiks sasniegti sekojoši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iznākuma rādītājs "Jaunu vai modernizētu dzelzceļa sliežu garums – TEN-T" - 90km;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iznākuma rādītājs "Jaunas vai modernizētas dzelzceļa stacijas un pieturas" - 3 stacijas un pieturas;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rezultāta rādītājs "Jaunuzbūvēto, jaunināto, rekonstruēto vai modernizēto sliežu ceļu lietotāju skaits gadā" -  3 534 660 pasažieri."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iznākuma rādītājs “Jaunas vai modernizētas dzelzceļa stacijas un pieturas, kurās izbūvēti paaugstinātie  peroni” – 20 stacijas un pieturas;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 ietvaros atbalstāmās darbības ir dzelzceļa infrastruktūras būvniecība,  pārbūve un atjaunošana, kas nodrošina pilnvērtīgu integrēšanos TEN-T tīklā un energoefektivitātes uzlabošanu sabiedriskajos pasažieru pārvadājumos,  tai skaitā Eiropas transporta tīklā esošās dzelzceļa infrastruktūras modernizācija un jaunas izveide,  dzelzceļa pasažieru infrastruktūras modernizācija, kā arī  drošības, dzelzceļa sakaru un informācijas sistēmu nodrošināšanas, tai skaitā divejāda lietojuma,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12.punktā esošo informāciju attiecībā uz divejāda lietojuma infrastruktūru, ņemot vērā, ka tiek svītrota noteikumu projekta 14.5.8.punktā sākotnēji plānotā attiecināmo izmaksu pozīcija.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12.punkts.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 ietvaros atbalstāmās darbības ir dzelzceļa infrastruktūras būvniecība,  pārbūve un atjaunošana, kas nodrošina pilnvērtīgu integrēšanos TEN-T tīklā un energoefektivitātes uzlabošanu sabiedriskajos pasažieru pārvadājumos,  tai skaitā Eiropas transporta tīklā esošās dzelzceļa infrastruktūras modernizācija un jaunas izveide,  dzelzceļa pasažieru infrastruktūras modernizācija, kā arī  drošības, dzelzceļa sakaru un informācijas sistēmu nodrošināšanas pasākumu īstenošana.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būvuzraudzības, ekspertīzes, būvprojektēšanas, izpētes un inženiera izmaksas, kā arī apvienotās būvprojekta izstrādes un būvdarbu veikšanas procesa neatkarīgas uzraudzības pakalpojuma izmaksas, autoruzraudzības izmaksas un attiecīgo būvspeciālistu obligātās apdrošināšanas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kāda veida izmaksas papildu būvuzraudzības izmaksām ir paredzētas un nepieciešamas "būvdarbu veikšanas procesa neatkarīgas uzraudzība" izmaksās. Paredzot šāda veida izmaksas, pastāv dubultā finansējuma risks.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tiek paredzētas būvuzraudzības, ekspertīzes, būvprojektēšanas, izpētes un inženiera izmaksas, kā arī apvienotās būvprojekta izstrādes un būvdarbu veikšanas procesa neatkarīgas uzraudzības pakalpojuma izmaksas, autoruzraudzības izmaksas un attiecīgo būvspeciālistu obligātās apdrošināšanas izmaksas. Būvdarbu procesa neatkarīgās uzraudzības izmaksas nerada dubultā finansējuma risku, jo būvuzraudzība un inženierkonsultanta funkcijas ir atšķirīgas un savstarpēji neaizstājamas. Inženierkonsultanta sastāvā paredzēts arī būvuzrauga pienākumu nodrošinājums un dubultā finansējuma risku kontrolē finansējuma saņēmējs. Ja tiek piesaistīts inženierkonsultants, atsevišķs būvuzraugs vairs nav nepieciešams. Savukārt, ja tiek izvēlēts atsevišķs būvuzraugs, tad papildus jāparedz citu nepieciešamo pakalpojumu nodrošināšana. Noteikumu projekta nosacījumi ir izstrādāti, lai finansējuma saņēmējam nodrošinātu iespēju pieņemt saimnieciski izdevīgākus lēmumus projektu īstenošanas gaitā."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būvniecības izmaksas, kas ietver projektēšanas un būvdarbu izmaksas, pakalpojumu, projektēšanas vai būvdarbu, vai apvienoto projektēšanas un būvdarbu līgumu ietvaros, tajā skaitā, bet ne tikai, saistītos darbus, saskaņošanas procesu, kā arī ar izmaiņu veikšanu, atkāpju saskaņošanu, darbu izpildes laika pagarināšanu saistītās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būvuzraudzības, ekspertīzes, būvprojektēšanas, izpētes un inženiera izmaksas, kā arī apvienotās būvprojekta izstrādes un būvdarbu veikšanas procesa neatkarīgas uzraudzības pakalpojuma izmaksas, autoruzraudzības izmaksas un attiecīgo būvspeciālistu obligātās apdrošināšanas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finansējuma saņēmējiem būtu skaidri projekta īstenošanas nosacījumi, lūdzam anotācijā sniegt papildu skaidrojumu par to, kāda veida pakalpojums ir paredzēts zem pozīcijas “apvienotās būvprojekta izstrādes un būvdarbu veikšanas procesa neatkarīgas uzraudzības pakalpojuma izmaksas”, kā arī skaidrot, vai šīs darbības un izmaksas nepārklājas ar būvuzraudzības un inženiera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1.Skaidrojam, ka neatkarīgas būvniecības procesa uzraudzības izmaksas ir  inženierkonsultanta izmaksas (FIDIC inženieris) un līdz ar to neveidosies dubulta finansējuma risks attiecībā pret 14.4.apakšpunktā noteiktajām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2.Precizēta noteikumu projekta 14.3. apakšpunkta redakcija un papildināta anotācijas 1.3.sadaļa ar rindkopu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tiek paredzētas būvuzraudzības, ekspertīzes, būvprojektēšanas, izpētes un inženierkonsultanta (FIDIC līgumā- inženieris)  izmaksas, kā arī apvienotās būvprojekta izstrādes un būvdarbu veikšanas procesa neatkarīgas uzraudzības pakalpojuma izmaksas, autoruzraudzības izmaksas un attiecīgo būvspeciālistu obligātās apdrošināšanas izmaksas, kā arī izmaksas, kas var rasties dēl papildus darbiem un indeksācijas. Būvdarbu procesa neatkarīgās uzraudzības, izpētes un slēdzienu sagatavošanas izmaksas nerada dubultā finansējuma risku, jo būvuzraudzība un inženierkonsultanta funkcijas ir atšķirīgas un savstarpēji neaizstājamas. Inženierkonsultanta sastāvā paredzēts arī būvuzrauga pienākumu nodrošinājums un dubultā finansējuma risku kontrolē finansējuma saņēmējs – respektīvi, pasūtītājs pats ir atbildīgs, lai nepieļautu dubulto finansējumu. Ja tiek piesaistīts inženierkonsultants, atsevišķs būvuzraugs vairs nav nepieciešams. Savukārt, ja tiek izvēlēts atsevišķs būvuzraugs, tad papildus jāparedz izpētes, slēdzienu un citu nepieciešamo pakalpojumu nodrošināšana. Noteikumu projekta nosacījumi ir izstrādāti, lai finansējuma saņēmējam nodrošinātu iespēju pieņemt saimnieciski izdevīgākus lēmumus projektu īstenošanas gaitā."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būvniecības izmaksas, kas ietver projektēšanas un būvdarbu izmaksas, pakalpojumu, projektēšanas vai būvdarbu, vai apvienoto projektēšanas un būvdarbu līgumu ietvaros, tajā skaitā, bet ne tikai, saistītos darbus, saskaņošanas procesu, kā arī ar izmaiņu veikšanu, atkāpju saskaņošanu, darbu izpildes laika pagarināšanu saistītās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autoruzraudzības, būvuzraudzības, būvekspertīzes, izpētes veikšanas un slēdzienu izstrādes izmaksas, kā arī inženierkonsultanta un būvniecības procesa dalībnieku izmaksas, būvspeciālistu profesionālās civiltiesiskās atbildības apdrošināšanas un būvuzņēmēju civiltiesiskās atbildības apdrošināšanas izmaksas;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kāda veida darbības ir paredzētas sadaļā "izpētes veikšanas un slēdzienu izstrādes izmaksām". Tāpat lūdzam skaidrot, kāda veida darbības ir paredzētas un kādam mērķim tās nepieciešamas sadaļā "inženierkonsultanta procesa dalībnieku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14.4.apakšpunkts, svītrojot vārdus "izpētes veikšanas un slēdzienu izstrādes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autoruzraudzības, būvuzraudzības, būvekspertīzes, kā arī inženierkonsultanta un būvniecības procesa dalībnieku izmaksas, būvspeciālistu profesionālās civiltiesiskās atbildības apdrošināšanas un būvuzņēmēju civiltiesiskās atbildības apdrošināšanas izmaksas;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būvniecības dokumentācijas izstrādes izmaksas, autoruzraudzība, tai skaitā izpētes dokumentācija un  būvprojektu risinājumu maiņa ar mērķi optimizēt, precizēt un salāgot risinājumus. Būvprojekta minimālā sastāvā, apliecinājumu kartes vai paskaidrojuma raksta izstrāde visām projektā paredzētajām darbībām un ar to saistīto būvekspertīžu, izpētes, slēdzienu un ekspertīzes, atļauju un nodevu izmaksas, ja to veikšana ir priekšnosacījums būvprojekta, būvdarbu ieceres dokumentācijas vai būvprojekta minimālā sastāvā izstrādei un saskaņošanai;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savstarpēji saskaņot noteikumu projekta 15.3. un 15.4. apakšpunktos minētās autoruzraudzības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15.4.apakšpunkts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autoruzraudzības, būvuzraudzības, būvekspertīzes, kā arī inženierkonsultanta un būvniecības procesa dalībnieku izmaksas, būvspeciālistu profesionālās civiltiesiskās atbildības apdrošināšanas un būvuzņēmēju civiltiesiskās atbildības apdrošināšanas izmaksas;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15.5.8. divejāda lietojuma infrastruktūras izveides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finansējuma saņēmējiem būtu skaidri projekta īstenošanas nosacījumi, lūdzam anotācijā skaidrot, kura projekta ietvaros ir paredzētas šāda veida darbības, kā arī norādīt šo izmaksu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15.5.8.apakšpunkts tiek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 izmaksas par finansējuma saņēmēja tehnikas un programmatūras nolietojumu šo noteikumu </w:t>
            </w:r>
            <w:r w:rsidR="00000000" w:rsidRPr="00000000" w:rsidDel="00000000">
              <w:rPr>
                <w:rtl w:val="0"/>
              </w:rPr>
              <w:t xml:space="preserve">15.5. </w:t>
            </w:r>
            <w:r w:rsidR="00000000" w:rsidRPr="00000000" w:rsidDel="00000000">
              <w:rPr>
                <w:rtl w:val="0"/>
              </w:rPr>
              <w:t xml:space="preserve">apakšpunktā</w:t>
            </w:r>
            <w:r w:rsidR="00000000" w:rsidRPr="00000000" w:rsidDel="00000000">
              <w:rPr>
                <w:rtl w:val="0"/>
              </w:rPr>
              <w:t xml:space="preserve"> minēto būvdarbu veikšanai, kuru izpildi nodrošina finansējuma saņēmējs un kuras  ir uzskatāmas par finansējuma saņēmēja ieguldījumu natūrā, kas maksājumu pieprasījumos tiek atspoguļots kā finansējuma saņēmēja līdzfinansējums. Finansējuma saņēmēja ieguldījums natūrā nepārsniedz 15 % no kopējām attiecināmām izmaksām, kas ir vienlīdzīgs ar valsts budžeta līdzfinansējuma apjomu. Ieguldījumiem natūrā jābūt norādītiem projekta iesniegumā, un jāapliecina, ka tie nav veikti vai iegādāti par cita veida finanšu atbalsta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ieguldījuma natūrā finansējums var nebūt paredzēts visos projektos un tā apjoms var nesasniegt 15 %, lūdzam anotācijā skaidrot, no kāda finansējuma avota tiks nodrošināts līdzfinansējums tiem projektiem, kuros ieguldījuma natūrā nebūs. Tāpat lūdzam norādīt, no kāda finansējuma avota tiks segts līdzfinansējuma apjoms, ja ieguldījuma natūrā apmērs būs mazāks par 15 %.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projektam tiek paredzēts valsts budžeta līdzfinansējums, nevis finansējuma saņēmēja privātais līdzfinansējums, apakšpunkts tiek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 dzelzceļa infrastruktūras pārvaldītāja izmaksas dzelzceļa veiktspējas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norādīts, ka infrastruktūras pārvaldītāja izmaksas ir noteiktas, balstoties uz risku novērtējumu un nepieciešamību pārvaldīt neparedzētus incidentus un to seku novēršanu. Vēršam uzmanību, ka par incidentu un to seku novēršanu, kas saistīti ar līguma izpildītāju darbību, ir atbildīgs līguma izpildītājs un šādu seku novēršanas izmaksas nav attiecināmas uz projektu. Lūdzam izvērtēt un anotācijā pamatot trešo pušu izraisītu incidentu novēršanas izmaksu iekļaušanu projektā.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anotācijā norādīto, ka šajā izmaksu pozīcijā ir paredzētas "izmaksu kompensācijas gadījumos, kad būvdarbu rezultātā rodas papildu izdevumi, piemēram, dīkstāvē esošu lokomotīvju un to apkalpes locekļu brigāžu uzturēšanai", šādas izmaksas ir uzskatāmas par uzturēšanas izmaksām un attiecas uz VAS "Latvijas dzelzceļa" pamatdarbības nodrošināšanu un nebūtu attiecināmas uz projekta izmaksām.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14.12.apakšpunkts tiek dzēsts un attiecīgi veikti precizējumi arī anotācijā, svītrojot rindkopu "</w:t>
            </w:r>
            <w:r w:rsidR="00000000" w:rsidRPr="00000000" w:rsidDel="00000000">
              <w:rPr>
                <w:i w:val="1"/>
                <w:rtl w:val="0"/>
              </w:rPr>
              <w:t xml:space="preserve">Vienlaikus noteikumu projektā ir iekļautas dzelzceļa infrastruktūras pārvaldītāja izmaksas, kas saistītas ar dzelzceļa veiktspējas nodrošināšanu. Tajās ietilpst izmaksas, kas noteiktas, balstoties uz risku novērtējumu un nepieciešamību pārvaldīt neparedzētus incidentus un to seku novēršanu. Līdz ar to paredzēta arī izmaksu kompensācija gadījumos, kad būvdarbu rezultātā rodas papildu izdevumi, piemēram, dīkstāvē esošu lokomotīvju un to apkalpes brigāžu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15.13. dzelzceļa infrastruktūras pārvaldītāja izmaksas dzelzceļa veiktspējas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finansējuma saņēmējiem būtu skaidri projekta īstenošanas nosacījumi, lūdzam anotācijā sniegt papildu skaidrojumu par noteikumu projekta 15.13. apakšpunktā noteikto izmaksu nepieciešamību un būtību.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papildināta ar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projektā ir iekļautas dzelzceļa infrastruktūras pārvaldītāja izmaksas, kas saistītas ar dzelzceļa veiktspējas nodrošināšanu. Tajās ietilpst izmaksas, kas noteiktas, balstoties uz risku novērtējumu un nepieciešamību pārvaldīt neparedzētus incidentus un to seku novēršanu. Līdz ar to paredzēta arī izmaksu kompensācija gadījumos, kad būvdarbu rezultātā rodas papildu izdevumi, piemēram, dīkstāvē esošu lokomotīvju un to apkalpes brigāžu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14.17. indeksācijas izmaksas, nepārsniedzot 15% no projekta kopējām tiešajām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indeksācijas izmaksas ir saistītas ar konkrēta līguma nosacījumiem, lūdzam izvērtēt, vai indeksācijai paredzamais procents nebūtu nosakāms no attiecīgo līgumu izmaksu pozīciju summas, nevis no projekta kopējām tiešajām 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14.17.apakšpunkts, nosakot 15% ierobežojumu no attiecīgā būvniecības līguma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14.16. indeksācijas izmaksas, nepārsniedzot 15% no attiecīgā būvniecības līguma izmaksām.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15.17. tehnikas izmantošanas un materiālu iegādes izmaksas šo noteikumu </w:t>
            </w:r>
            <w:r w:rsidR="00000000" w:rsidRPr="00000000" w:rsidDel="00000000">
              <w:rPr>
                <w:rtl w:val="0"/>
              </w:rPr>
              <w:t xml:space="preserve">15.5. </w:t>
            </w:r>
            <w:r w:rsidR="00000000" w:rsidRPr="00000000" w:rsidDel="00000000">
              <w:rPr>
                <w:rtl w:val="0"/>
              </w:rPr>
              <w:t xml:space="preserve">un </w:t>
            </w:r>
            <w:r w:rsidR="00000000" w:rsidRPr="00000000" w:rsidDel="00000000">
              <w:rPr>
                <w:rtl w:val="0"/>
              </w:rPr>
              <w:t xml:space="preserve">15.6. </w:t>
            </w:r>
            <w:r w:rsidR="00000000" w:rsidRPr="00000000" w:rsidDel="00000000">
              <w:rPr>
                <w:rtl w:val="0"/>
              </w:rPr>
              <w:t xml:space="preserve">apakšpunktā</w:t>
            </w:r>
            <w:r w:rsidR="00000000" w:rsidRPr="00000000" w:rsidDel="00000000">
              <w:rPr>
                <w:rtl w:val="0"/>
              </w:rPr>
              <w:t xml:space="preserve"> minēto darbu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skaidrojot, ka noteikumu projekta 15.17. apakšpunktā minētās izmaksas par materiālu iegādes darbiem, ko finansējuma saņēmējs paredzējis veikt saviem spēkiem, ir attiecināmas.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Precizēts 14.16. punkts, precizējot,  būvmateriālu iegādes izmaksas tiek noteiktas kā projekta attiecināmas izmaksas ņemot vērā, ka 14.5. un 14.6. apakšpunktā minēto darbu veikšana plānota tostarp finansējuma saņēmēja pašu spēkiem.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Papildināta Anotācijas 1.3.sadaļa no apakšsadaļu "LDz darbu veikšana pašu spēkiem".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14.15. tehnikas izmantošanas un materiālu t.sk. būvmateriālu iegādes izmaksas šo noteikumu </w:t>
            </w:r>
            <w:r w:rsidR="00000000" w:rsidRPr="00000000" w:rsidDel="00000000">
              <w:rPr>
                <w:rtl w:val="0"/>
              </w:rPr>
              <w:t xml:space="preserve">14.5.</w:t>
            </w:r>
            <w:r w:rsidR="00000000" w:rsidRPr="00000000" w:rsidDel="00000000">
              <w:rPr>
                <w:rtl w:val="0"/>
              </w:rPr>
              <w:t xml:space="preserve"> un </w:t>
            </w:r>
            <w:r w:rsidR="00000000" w:rsidRPr="00000000" w:rsidDel="00000000">
              <w:rPr>
                <w:rtl w:val="0"/>
              </w:rPr>
              <w:t xml:space="preserve">14.6. </w:t>
            </w:r>
            <w:r w:rsidR="00000000" w:rsidRPr="00000000" w:rsidDel="00000000">
              <w:rPr>
                <w:rtl w:val="0"/>
              </w:rPr>
              <w:t xml:space="preserve">apakšpunktā</w:t>
            </w:r>
            <w:r w:rsidR="00000000" w:rsidRPr="00000000" w:rsidDel="00000000">
              <w:rPr>
                <w:rtl w:val="0"/>
              </w:rPr>
              <w:t xml:space="preserve"> minēto darbu veikšanai.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15.16. </w:t>
            </w:r>
            <w:r w:rsidR="00000000" w:rsidRPr="00000000" w:rsidDel="00000000">
              <w:rPr>
                <w:rtl w:val="0"/>
              </w:rPr>
              <w:t xml:space="preserve"> un </w:t>
            </w:r>
            <w:r w:rsidR="00000000" w:rsidRPr="00000000" w:rsidDel="00000000">
              <w:rPr>
                <w:rtl w:val="0"/>
              </w:rPr>
              <w:t xml:space="preserve">15.17. </w:t>
            </w:r>
            <w:r w:rsidR="00000000" w:rsidRPr="00000000" w:rsidDel="00000000">
              <w:rPr>
                <w:rtl w:val="0"/>
              </w:rPr>
              <w:t xml:space="preserve">apakšpunktā</w:t>
            </w:r>
            <w:r w:rsidR="00000000" w:rsidRPr="00000000" w:rsidDel="00000000">
              <w:rPr>
                <w:rtl w:val="0"/>
              </w:rPr>
              <w:t xml:space="preserve"> noteiktās attiecināmās izmaksas par finansējuma saņēmēja paša  veiktajiem darbiem  ir iespējams attiecināt, ja ir izpildīti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konkurences ietekmes izvērtējumu, norādot, vai un kā pašu spēkiem veicamie darbi ietekmē vai neietekmē tirgus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papildināta ar konkurences ietekmes izvērtējumu.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w:t>
            </w:r>
            <w:r w:rsidR="00000000" w:rsidRPr="00000000" w:rsidDel="00000000">
              <w:rPr>
                <w:rtl w:val="0"/>
              </w:rPr>
              <w:t xml:space="preserve">14.7.</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14.12.</w:t>
            </w:r>
            <w:r w:rsidR="00000000" w:rsidRPr="00000000" w:rsidDel="00000000">
              <w:rPr>
                <w:rtl w:val="0"/>
              </w:rPr>
              <w:t xml:space="preserve">, </w:t>
            </w:r>
            <w:r w:rsidR="00000000" w:rsidRPr="00000000" w:rsidDel="00000000">
              <w:rPr>
                <w:rtl w:val="0"/>
              </w:rPr>
              <w:t xml:space="preserve">14.14.</w:t>
            </w:r>
            <w:r w:rsidR="00000000" w:rsidRPr="00000000" w:rsidDel="00000000">
              <w:rPr>
                <w:rtl w:val="0"/>
              </w:rPr>
              <w:t xml:space="preserve"> un </w:t>
            </w:r>
            <w:r w:rsidR="00000000" w:rsidRPr="00000000" w:rsidDel="00000000">
              <w:rPr>
                <w:rtl w:val="0"/>
              </w:rPr>
              <w:t xml:space="preserve">14.15.</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apakšpunktā</w:t>
            </w:r>
            <w:r w:rsidR="00000000" w:rsidRPr="00000000" w:rsidDel="00000000">
              <w:rPr>
                <w:rtl w:val="0"/>
              </w:rPr>
              <w:t xml:space="preserve">  noteiktās attiecināmās izmaksas par finansējuma saņēmēja paša  veiktajiem darbiem  ir iespējams attiecināt, ja ir izpildīti šādi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Pasākumu atbalstāmo darbību ietvaros ir attiecināms pievienotās vērtības nodoklis tiešajām attiecināmajām izmaksām atbilstoši </w:t>
            </w:r>
            <w:r w:rsidR="00000000" w:rsidRPr="00000000" w:rsidDel="00000000">
              <w:rPr>
                <w:rtl w:val="0"/>
              </w:rPr>
              <w:t xml:space="preserve">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r w:rsidR="00000000" w:rsidRPr="00000000" w:rsidDel="00000000">
              <w:rPr>
                <w:rtl w:val="0"/>
              </w:rPr>
              <w:t xml:space="preserve"> </w:t>
            </w:r>
            <w:r w:rsidR="00000000" w:rsidRPr="00000000" w:rsidDel="00000000">
              <w:rPr>
                <w:rtl w:val="0"/>
              </w:rPr>
              <w:t xml:space="preserve"> (turpmāk - Regula Nr.2021/1060) 64. panta 1. punkta “c” apakšpunkta</w:t>
            </w:r>
            <w:r w:rsidR="00000000" w:rsidRPr="00000000" w:rsidDel="00000000">
              <w:rPr>
                <w:rtl w:val="0"/>
              </w:rPr>
              <w:t xml:space="preserve"> nosacījumiem, ja tas nav atgūstams atbilstoši normatīvajiem aktiem nodokļu politikas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saskaņā ar MK 2025.gada 27.maija sēdē apstiprinātajiem grozījumiem MK 2021.gada 16.novembra rīkojumā Nr. 841 "Par Eiropas Savienības kohēzijas politikas programmu 2021.-2027. gadam” paredzēts, ka “plānotos dzelzceļa projektus īsteno LDz, kā arī rast risinājumu pievienotās vērtības nodokļa segšanai, nepieprasot tā segšanu no valsts budžeta līdzekļiem” . Savukārt, noteikumu projekta 19. punktā noteikts,ka pasākuma atbalstāmo darbību ietvaros ir attiecināms pievienotās vērtības nodoklis, ja tas nav atgūstams atbilstoši normatīvajiem aktiem nodokļu politikas jomā . Lūdzam papildināt anotāciju ar skaidrojumu, vai ir veikts pilnīgs izvērtējums, un noteikumu projekta 19.punktā ietvertais regulējums neietekmē valsts budžetu, jo nebūs nepieciešamības pieprasīt papildu budžeta līdzekļus projekta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2025.gada 27.maija sēdē apstiprinātie  grozījumi Ministru kabineta 2021.gada 16.novembra rīkojumā Nr. 841 "Par Eiropas Savienības kohēzijas politikas programmu 2021.-2027. gadam”, kas noteica, ka plānotos dzelzceļa projektus īsteno LDz un kas uzdeva Satiksmes ministrijai rast risinājumu pievienotās vērtības nodokļa segšanai, nepieprasot tā segšanu no valsts budžeta līdzekļiem” attiecas uz Eiropas Savienības kohēzijas politikas programmas 2021.–2027. gadam 3.1. prioritātes "Ilgtspējīga TEN-T infrastruktūra" 3.3.1.specifiskā atbalsta mērķa  “Attīstīt noturīgu aizsardzības infrastruktūru, veicinot militāro mobilitāti Eiropas Savienībā"  3.3.1.1. pasākuma "Dzelzceļa infrastruktūras attīstība un energoefektivitātes uzlabošana sabiedriskajos pasažieru pārvadājumos", realizējot projektu “”Rīgas dzelzceļa savienojošās infrastruktūras izveide (RIX-RCS-Aizkraukles virziens”).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ir izstrādājusi minēto noteikumu īstenošanas nosacījumus un uzsākusi to saskaņošanu TAP portālā (25-TA-2047). Minētajā projektā LDz ir noteikts par finansējuma saņēmēju  un nākotnes infrastruktūras pārvaldītājs, tā rezultātā projektā rodot iespējamību būvniecības darbiem piemērot reversā kārtībā aprēķinātā priekšnodokļa atskaitīšanu, kas tieši neveido ietekmi uz valsts budžetu.Atbilstoši Valsts ieņēmumu dienestam ir tikusi pieprasīta un 18.08.2025. saņemta atbildes vēstule ​​​​​​ Nr. 30.1/8.6.1/53352, kas apliecina LDz kā finansējuma saņēmēja un infrastruktūras pārvaldītāja tiesības piemērot priekšnodokļa atskaitīšanu reversajam PVN.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projekta 19.punkts ir saglabājams esošajā redakcijā un anotācijā atsevišķs skaidrojums netiek sniegts.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Pasākumu atbalstāmo darbību ietvaros ir attiecināms pievienotās vērtības nodoklis tiešajām attiecināmajām izmaksām atbilstoši </w:t>
            </w:r>
            <w:r w:rsidR="00000000" w:rsidRPr="00000000" w:rsidDel="00000000">
              <w:rPr>
                <w:rtl w:val="0"/>
              </w:rPr>
              <w:t xml:space="preserve">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r w:rsidR="00000000" w:rsidRPr="00000000" w:rsidDel="00000000">
              <w:rPr>
                <w:rtl w:val="0"/>
              </w:rPr>
              <w:t xml:space="preserve"> </w:t>
            </w:r>
            <w:r w:rsidR="00000000" w:rsidRPr="00000000" w:rsidDel="00000000">
              <w:rPr>
                <w:rtl w:val="0"/>
              </w:rPr>
              <w:t xml:space="preserve"> (turpmāk - Regula Nr.2021/1060) 64. panta 1. punkta “c” apakšpunkta</w:t>
            </w:r>
            <w:r w:rsidR="00000000" w:rsidRPr="00000000" w:rsidDel="00000000">
              <w:rPr>
                <w:rtl w:val="0"/>
              </w:rPr>
              <w:t xml:space="preserve"> nosacījumiem, ja tas nav atgūstams atbilstoši normatīvajiem aktiem nodokļu politikas jomā.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atbalstāmo darbību ietvaros radušās izmaksas var uzskatīt par attiecināmām finansēšanai no Kohēzijas fonda, ja tās atbilst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minētajām atbalstāmajām darbībām,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minētajām attiecināmajām izmaksām un atbilst šo noteikumu </w:t>
            </w:r>
            <w:r w:rsidR="00000000" w:rsidRPr="00000000" w:rsidDel="00000000">
              <w:rPr>
                <w:rtl w:val="0"/>
              </w:rPr>
              <w:t xml:space="preserve">15.11. </w:t>
            </w:r>
            <w:r w:rsidR="00000000" w:rsidRPr="00000000" w:rsidDel="00000000">
              <w:rPr>
                <w:rtl w:val="0"/>
              </w:rPr>
              <w:t xml:space="preserve">apakšpunktā</w:t>
            </w:r>
            <w:r w:rsidR="00000000" w:rsidRPr="00000000" w:rsidDel="00000000">
              <w:rPr>
                <w:rtl w:val="0"/>
              </w:rPr>
              <w:t xml:space="preserve"> , </w:t>
            </w:r>
            <w:r w:rsidR="00000000" w:rsidRPr="00000000" w:rsidDel="00000000">
              <w:rPr>
                <w:rtl w:val="0"/>
              </w:rPr>
              <w:t xml:space="preserve">18.</w:t>
            </w:r>
            <w:r w:rsidR="00000000" w:rsidRPr="00000000" w:rsidDel="00000000">
              <w:rPr>
                <w:rtl w:val="0"/>
              </w:rPr>
              <w:t xml:space="preserve"> un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minētajiem izmaksu apjoma ierobežojumiem, un ir radušās ne agrāk kā 2021.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23.punktu papildināt ar nosacījumu, ka projektu ietvaros nedrīkst attiecināt jau pabeigtas darbības, t.i., darbības, kas jau pabeigtas pirms projektu iesniegumu iesniegšanas sadarbības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22.punkta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Pasākuma atbalstāmo darbību ietvaros radušās izmaksas var uzskatīt par attiecināmām finansēšanai no Kohēzijas fonda, ja tās atbilst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minētajām atbalstāmajām darbībām,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minētajām attiecināmajām izmaksām un atbilst šo noteikumu </w:t>
            </w:r>
            <w:r w:rsidR="00000000" w:rsidRPr="00000000" w:rsidDel="00000000">
              <w:rPr>
                <w:rtl w:val="0"/>
              </w:rPr>
              <w:t xml:space="preserve">14.16. </w:t>
            </w:r>
            <w:r w:rsidR="00000000" w:rsidRPr="00000000" w:rsidDel="00000000">
              <w:rPr>
                <w:rtl w:val="0"/>
              </w:rPr>
              <w:t xml:space="preserve">apakšpunktā</w:t>
            </w:r>
            <w:r w:rsidR="00000000" w:rsidRPr="00000000" w:rsidDel="00000000">
              <w:rPr>
                <w:shd w:fill="#ffffff" w:val="clear"/>
                <w:rtl w:val="0"/>
              </w:rPr>
              <w:t xml:space="preserve">, </w:t>
            </w:r>
            <w:r w:rsidR="00000000" w:rsidRPr="00000000" w:rsidDel="00000000">
              <w:rPr>
                <w:rtl w:val="0"/>
              </w:rPr>
              <w:t xml:space="preserve">17.</w:t>
            </w:r>
            <w:r w:rsidR="00000000" w:rsidRPr="00000000" w:rsidDel="00000000">
              <w:rPr>
                <w:rtl w:val="0"/>
              </w:rPr>
              <w:t xml:space="preserve"> un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minētajiem izmaksu apjoma ierobežojumiem, un ir radušās ne agrāk kā 2021. gada 1. janvārī. Pasākuma ietvaros nedrīkst attiecināt darbības, kas ir jau pabeigtas pirms projektu iesniegumu iesniegšanas sadarbības iestādē.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Finansējuma saņēmējs nodrošina, ka projekts un atbalstāmās darbības tiek īstenotas ievērojot principa "nenodarīt būtisku kaitējumu"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ka noteikumu projekta 31.punktā iekļauti visi principa "Nenodarīt būtisku kaitējumu" (turpmāk - NBK) nosacījumi, kas minēti 3.1.1.1.pasākuma NBK novērtējumā.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30.punkts papildināts ar 30.3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projekta īstenošanas laikā tiek nodrošināts, ka netiek radīta būtiska negatīva ietekme uz ūdens resursiem, aprites ekonomikas principu ievērošanu, vides piesārņojuma novēršanu, kā arī bioloģiskās daudzveidības un ekosistēmu saglabāšanu un atjaunošanu."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nodrošina, ka projekts un atbalstāmās darbības tiek īstenotas ievērojot principa "nenodarīt būtisku kaitējumu"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Sadarbības iestāde pēc līguma par projekta īstenošanu noslēgšanas un rakstiska avansa pieprasījuma saņemšanas var piešķirt avansu, ja tai ir pieejami valsts budžeta līdzekļi, izvērtējot plānotā avansa apmēru un nepieciešamības pamatojumu. Finansējuma saņēmējs avansa pieprasījumu sagatavo un sadarbības iestāde to apstiprina, ņemot vērā, ka plānotā avansa apmērs un tā pamatojums atbilst spējai to izlietot sešu mēnešu laikā saimnieciskā gada ietvaros. Finansējuma saņēmējam avansu var piešķirt līdz 100% no projektam piešķirtā Kohēzijas fonda finansējuma, ievērojot, ka avansu var izmaksāt vairākos maksājumos un avansa un starpposma maksājumu kopsumma nepārsniedz 100 % no projektam piešķirtā Kohēzijas fonda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32. punktu atbilstoši Ministru kabineta 2023. gada 25. aprīļa noteikumu Nr. 205 “Valsts budžeta līdzekļu plānošanas kārtība Eiropas Savienības fondu projektu īstenošanai un maksājumu veikšanai 2021.–2027. gada plānošanas periodā” 17. punktam, ņemot vērā, ka atbilstoši noteikumu projektam ir paredzēts valsts budžeta līdzfinansējums.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sniegto informāciju par avansa un starpposma maksājumu kopsummas piešķiršanu līdz 100%, lūdzam anotācijā iekļaut izvērstu pamatojumu šāda avansa un starpposma apmēra kopsummas nepieciešamībai. Minēto nosaka arī Ministru kabineta 2023. gada 25. aprīļa sēdes protokollēmuma Nr. 22  25. § 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Sadarbības iestāde pēc līguma par projekta īstenošanu noslēgšanas un rakstiska avansa pieprasījuma saņemšanas var piešķirt avansu, ja tai ir pieejami valsts budžeta līdzekļi, izvērtējot plānotā avansa apmēru un nepieciešamības pamatojumu. Finansējuma saņēmējs avansa pieprasījumu sagatavo un sadarbības iestāde to apstiprina, ņemot vērā, ka plānotā avansa apmērs un tā pamatojums atbilst spējai to izlietot sešu mēnešu laikā saimnieciskā gada ietvaros. Finansējuma saņēmējam avansu var piešķirt līdz 100% no projektam piešķirtā Kohēzijas fonda finansējuma </w:t>
            </w:r>
            <w:r w:rsidR="00000000" w:rsidRPr="00000000" w:rsidDel="00000000">
              <w:rPr>
                <w:b w:val="1"/>
                <w:rtl w:val="0"/>
              </w:rPr>
              <w:t xml:space="preserve">un, ja tas ir paredzēts projektā, valsts budžeta līdzfinansējuma kopsummas,</w:t>
            </w:r>
            <w:r w:rsidR="00000000" w:rsidRPr="00000000" w:rsidDel="00000000">
              <w:rPr>
                <w:rtl w:val="0"/>
              </w:rPr>
              <w:t xml:space="preserve"> ievērojot, ka avansu var izmaksāt vairākos maksājumos un avansa un starpposma maksājumu kopsumma nepārsniedz 100 % no projektam piešķirtā Kohēzijas fonda finansējuma </w:t>
            </w:r>
            <w:r w:rsidR="00000000" w:rsidRPr="00000000" w:rsidDel="00000000">
              <w:rPr>
                <w:b w:val="1"/>
                <w:rtl w:val="0"/>
              </w:rPr>
              <w:t xml:space="preserve">un valsts budžeta līdzfinansējuma kopsummas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Sadarbības iestāde pēc līguma par projekta īstenošanu noslēgšanas un rakstiska avansa pieprasījuma saņemšanas var piešķirt avansu, ja tai ir pieejami valsts budžeta līdzekļi, izvērtējot plānotā avansa apmēru un nepieciešamības pamatojumu. Finansējuma saņēmējs avansa pieprasījumu sagatavo un sadarbības iestāde to apstiprina, ņemot vērā, ka plānotā avansa apmērs un tā pamatojums atbilst spējai to izlietot sešu mēnešu laikā saimnieciskā gada ietvaros. Finansējuma saņēmējam avansu var piešķirt līdz 100 % no projektam piešķirtā Kohēzijas fonda finansējuma un, ja tas ir paredzēts projektā, valsts budžeta līdzfinansējuma kopsummas, ievērojot, ka avansu var izmaksāt vairākos maksājumos un avansa un starpposma maksājumu kopsumma nepārsniedz 100 % no projektam piešķirtā Kohēzijas fonda finansējuma un valsts budžeta līdzfinansējuma kopsummas.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tiek paredzētas vienkāršotās izmaksas, lūdzam papildināt noteikumu projektu ar atsauci uz Eiropas Savienības fondu 2021.-2027. gada plānošanas perioda vadības likuma 19. panta 6. punktu noteikumu projekta sadaļā "Tiesiskais pamatojums" (deleģējumā), vienlaikus noteikumu projekta 1. punktā paredzot, ka noteikumu projekts regulē vienkāršotās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sadaļa "Tiesiskais pamatojums"  un noteikumu projekta 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“Konkurences ietekmes izvērtējums” ir sniegts izvērtējums, kas attiecas uz paša VAS “Latvijas dzelzceļa” spējām un tiesībām veikt darbus pašu spēkiem, tomēr nav sniegts ietekmes uz tirgu izvērtējums, t.i, vai šādā veidā netiek ierobežota atklāta konkurence attiecībā uz pārējiem tirgus dalībniekiem. Ja plānotajām darbībām jau izsludināto Iepirkumu ietvaros VAS “Latvijas dzelzceļš” paredz līgumus slēgt tikai par daļu no darbiem un pārējos darbus veikt saviem spēkiem, lūdzam papildināt anotāciju ar ieteikmes uz kopējā tirgus dalībniekiem izvērtējumu, vai arī, ja izsludināto Iepirkumu rezultātā līgumus ir paredzēts slēgt par pilnu darbu apjomu, t.i., neveicot darbus saviem spēkiem, lūdzam iespējamo neatbilstoši veikto izdevumu risku noveršanai, veikt šādu ietekmes uz tirgus dalībniekiem izvērtējumu. VAS “Latvijas dzelzceļš” par šādu pieeju ir vairākkārtīgi informēts gan rakstiski, gan tikšanās reizēs.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apakšsadaļu "Ietekmes uz tirgus dalībniekiem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(turpmāk – MK) 2025. gada 3. jūnija sēdē lemtajam (p/l Nr.22; 25.§ 2.5. punkts) 3.1.1.1. pasākuma “Dzelzceļa infrastruktūras attīstība un energoefektivitātes uzlabošana sabiedriskajos pasažieru pārvadājumos” ietvaros bija noteikts nodrošināt ikgadējos maksājumus Eiropas Savienības fondu projektu finansējuma saņēmējiem 2026. gadā - 153,0 milj. EUR, 2027. gadā - 99,1 milj. EUR un 2028. gadā - 79,9 milj. EUR. Ņemot vērā anotācijā norādītos budžeta izdevumu plānus šī regulējuma ietvaros, iezīmējas būtiski riski, ka MK 03.06.2025. noteiktie maksājumu mērķi dzelzceļa investīcijām netiks nodrošināti, radot papildu riskus minimāli sasniedzamo Eiropas Komisijai deklarējamo izdevumu ikgadējiem apjomiem (N+3), kā arī iekļaušanos attiecināmības periodā līdz 2029. gada beigām.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Satiksmes ministriju papildināt protokollēmumu ar uzdevumu Satiksmes ministrijai nodrošināt pastiprinātu dzelzceļa jomas ES fondu līdzfinansētu investīciju uzraudzību, tai skaitā nodrošināt investīciju tempa paātrinājumu un atbilstību Ministru kabineta 2025. gada 3. jūnija sēdes protokola Nr.22 25.§ 2.5. punktā noteiktajiem maksājumu mērķiem, kā arī konstatētu būtisku risku gadījumā proaktīvi un operatīvi virzīt risinājumus, lai nepieļautu ES finansējuma zaudējumu Latvijai un negatīvu ietekmi uz valsts budžetu dzelzceļa jomas investīciju kavējumu vai citu problēmu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Ministru kabineta 2025. gada 3. jūnija sēdes protokola Nr.22 25.§ lēmums nav atzīts par aktualitāti zaudējušu un joprojām ir saistošs Satiksmes ministrijai. Atbilstoši Ministru kabineta 2009.gada 3.februāra noteikumiem Nr.108 "Normatīvo aktu projektu sagatavošanas noteikumi" normatīvā akta projektā neietver normas, kas dublē augstāka vai tāda paša spēka normatīvā akta tiesību normās ietverto normatīvo regulējumu, līdz ar to Satiksmes ministrijas ieskatā nav lietderīgi šo noteikumu protokollēmumā dublēt minēto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apliecinām, ka Satiksmes ministrija turpinās nodrošināt pastiprinātu Eiropas Savienības fondu līdzfinansētu dzelzceļa jomas investīciju uzraudzību, kā arī konstatētu būtisku risku gadījumā proaktīvi un operatīvi virzīs  risinājumus, lai nepieļautu Eiropas Savienības finansējuma zaudējumu Latvijai un negatīvu ietekmi uz valsts budžetu.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ar 2025. gada 7. augusta atzinumu izteica priekšlikumu, lūdzot anotācijā iekļaut izvērstu pamatojumu avansa un starpposma maksājumu kopsummas piešķiršanas nepieciešamībai līdz 100%. Saskaņā ar izziņas 20. punktā sniegto informāciju Finanšu ministrijas priekšlikums ir ņemts vērā. Tomēr, izvērtējot anotāciju, secināms, ka priekšlikums ir ņemts vērā daļēji. Ievērojot iepriekš minēto, aicinām papildināt anotācijā ietverto skaidrojumu avansa un starpposma maksājumu kopsummas piešķiršanas nepieciešamībai tieši līdz 100%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rindkopa pamatojumu avansa un starpposma maksājumu kopsummas piešķiršanas nepieciešamībai līdz 100%  papildināta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paredzēta avansa izsniegšanas nepieciešamība, kas saistīta ar LDz finanšu situāciju, proti,noteikumu projektā paredzēta avansa un starpposma maksājumu kopsummas piešķiršana līdz 100% apmēram, kas ir būtiska, ņemot vērā LDz finanšu situāciju un plānoto projektu  finansiālo apjomu. Ja LDz būtu jānodrošina projekta priekšfinansēšana no saviem ierobežotajiem līdzekļiem, tas radītu ievērojamu finanšu resursu iesaldēšanu un līdzekļu atgūšanu tikai vēlākā posmā. Tas savukārt varētu piespiest LDz īstermiņā aizņemties nepieciešamos līdzekļus no kredītiestādēm, radot papildu izmaksas procentu maksājumu un komisiju veidā. Šāda situācija ne tikai palielinātu projekta izmaksas, bet arī radītu papildu riskus valsts kapitālsabiedrībai, kuras finanšu iespējas ir ierobežotas. Tādēļ noteikumu projektā  nepieciešams noteikt avansa un starpposma maksājumu piešķiršanu līdz 100% apmēram, kas arī ir  viens no  priekšnoteikumiem projekta īstenošanai efektīvā un finansiāli pamatotā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neparedzētajiem izdevumiem  - atbildīgā iestāde izvērtē katram specifiskajam atbalsta mērķim (turpmāk -SAM) vai tā atlases kārtai nepieciešamo procentuālo neparedzēto izdevumu apmēru tikai ar projekta īstenošanu saistīto attiecināmo izmaksu segšanai atkarībā no tā, cik apjomīgus un sarežģītus projektus paredzēts īstenot attiecīgajā 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Procentuālajam neparedzēto izdevumu apmēram, kas iekļauts Ministru kabineta (turpmāk - MK) noteikumos par SAM īstenošanu, ir jābūt pamatotam anotācijā un balstītam uz lietderības un efektivitātes principiem.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sniegtais pamatojums, ka neparedzēto izdevumu apjomam piemērota līdzvērtīga pieeja kā  būvdarbu līgumcenas indeksācijai nav argumentācija to palielināšanai no 5% uz 15%.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lūdzam sniegt papildus argumentāciju vai precizēt neparedzēto izdevumu %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Finanšu ministrijas iebildumam, neparedzēto izdevumu apjoma procentuālais ierobežojums samazināts no 15% uz 5%.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no kādiem līdzekļiem tiks nodrošināta pasākuma rezultātu uzturēšana.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papildināta ar teikumu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rezultātu uzturēšana tiks nodrošināta no finansējuma saņēmēja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anotācijas1.3.sadaļas apakšsadaļu “Risinājuma apraksts” ar informāciju par sinerģiju, papildinātību ar ES un citiem atbalsta instrumentiem, kur tikušas vai tiek īstenotas līdzīgas aktivitātes, norādot, kā tiks nodrošināta demarkācija un dubultfinansējuma riska novēršana gadījumos, kad no dažādiem finanšu avotiem varētu tikt atbalstītas vienas un tās pašas atbalstāmās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papildināta ar rindopu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3.1.1.1. pasākuma pirmās projektu iesniegumu atlases kārtai ir cieša sinerģija ar dzelzceļa attīstības projektiem Eiropas Savienības struktūrfondu un Kohēzijas fonda 2014.–2020.plānošanas perioda,  3.1.1.1.pasākuma otrās projektu iesniegumu atlases kārtas un  Atveseļošanās un  noturības mehānisma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3.1.1.1.pasākuma īstenošanā finansējuma saņēmējs nodrošina plānoto darbu sasaisti, sinerģiju un demarkāciju ar citu atbalsta instrumentu investīcijām dubultfinansējuma riska mazināšanai, tai skaitā projektus  īsteno demarkācijā ar Eiropas Savienības struktūrfondu un Kohēzijas fonda 2014.–2020.gada plānošanas perioda darbības programmas “Izaugsme un nodarbinātība” 6.2.1.specifiskā atbalsta mērķa “Nodrošināt konkurētspējīgu un videi draudzīgu TEN-T dzelzceļa tīklu, veicinot tā drošību, kvalitāti un kapacitāti” 6.2.1.2. pasākumu “Dzelzceļa infrastruktūras modernizācija un izbūve”” , kura ietvaros tiek īstenotas investīcijas dzelzceļa infrastruktūras attīstībai."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3.1.1.1.pasākuma ietvaros plānots izmantot arī elastības finansējumu (ES fondu elastības finansējums - 12 767 785 euro), lūdzam papildināt anotāciju ar informāciju, kuras kārtas ietvaros elastības finansējumu plānots piesaistīt. Gadījumā, ja to plānots piesaistīt 1.kārtas pasākumu īstenošanai, tad vēršam uzmanību, ka nepieciešams papildināt protokollēmumu ar attiecīgu punktu, kas ļautu izmantot elastības finansējumu izmantot pirms Programmas vidusposma grozījumu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papildināta ar skaidrojumu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"3.1.1.1.pasākuma ietvaros plānoto  elastības finansējumu  12 767 785 euro apmērā plānots piesaistīt otrās projektu iesniegumu atlases kārtas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informāciju vai skaidrot, vai projektu atlase tiks veikta atbilstoši jau izstrādātajiem un apstiprinātajiem projektu iesniegumu atlases vērtēšanas kritērijiem, vai tajos plānots veikt grozījumus. Lūdzam pārliecināties, ka spēkā esošie projektu iesniegumu vērtēšanas kritēriji būs atbilstoši plānotajām 3.1.1.1.pasākuma 1.kārtas un 2.kārtas atlases procedūrām.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1.projektu iesniegumu atlases kārtas ietvaros atlase tiks veikta atbilstoši jau izstrādātajiem un apstiprinātajiem projektu iesniegumu atlases vērtēšanas kritērijiem, savukārt 2.kārtas atlases procedūrai tiks veikti projektu iesniegumu vērtēšanas kritēriju tehniskie precizējumi.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norādīt, ka komunikācijas un vizuālās identitātes prasības tiks īstenotas, ievērojot Eiropas Savienības fondu 2021.–2027. gada plānošanas perioda un Atveseļošanas fonda komunikācijas un dizaina vadlīnijas.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"1.3. Pašreizējā situācija, problēmas un risinājumi" papildināta ar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ir iekļauta prasība, ka finansējuma saņēmējs ievēro komunikācijas un vizuālās identitātes prasību nodrošināšanas pasākumus saskaņā ar Regulas 2021/1060 47. un 50. pantu un normatīvajiem aktiem par kārtību, kādā Eiropas Savienības fondu vadībā iesaistītās institūcijas nodrošina šo fondu ieviešanu 2021. – 2027. gada plānošanas periodā, kā arī ievēro Eiropas Savienības fondu 2021. – 2027. gada plānošanas perioda un Atveseļošanas fonda komunikācijas un dizaina vadlīnijas."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ietvert informāciju, kas pamato izvēlēto projektu iesniedzēju.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LDz atbilstoši Dzelzceļa likuma prasībām ir valsts publiskās lietošanas dzelzceļa infrastruktūras pārvaldītājs, kurš realizē valsts pasūtījumu – uztur dzelzceļa līnijas, dzelzceļa stacijas un pieturas punktus, nodrošina dzelzceļa infrastruktūru pārvadājumu pasūtījumu izpildei iekšzemes pasažieru pārvadājumiem, kā arī veic citas infrastruktūras pārvaldītāja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informāciju par to, vai 3.1.1.1.pasākumam būs tieša vai netieša vai nebūs ietekmes uz horizontālajiem principiem “Klimatdrošināšana”, “Energoefektivitāte pirmajā vietā” un “Nenodarīt būtisku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papildināta ar informāciju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3.1.1.1.pasākumam nav ietekmes uz horizontālā principa “Energoefektivitāte pirmajā vietā” īstenošanu. Plānotajām investīcijām ir netieša ietekme uz horizontālo principu "Klimatnodrošināšana" un principu “Nenodarīt būtisku kaitējumu”. Noteikumu projekts nosaka, ka, īstenojot projektu, finansējuma saņēmējs izpilda attiecināmās prasības un nodrošina, ka projekts atbilst principa “Klimatdrošināšana” ievērošanai. Finansējuma saņēmējs nodrošina, ka projektā ietvertie pasākumi paredz horizontālā principa “Klimatdrošināšana” nepieciešamo prasību ievērošanu attiecībā uz klimata pārmaiņu mazināšanu un pielāgošanos klimata pārmaiņām, attiecīgo informāciju iekļaujot projekta iesniegumā,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25-TA-1507</w:t>
    </w:r>
    <w:r>
      <w:br/>
    </w:r>
    <w:r w:rsidR="00000000" w:rsidRPr="00000000" w:rsidDel="00000000">
      <w:rPr>
        <w:rtl w:val="0"/>
      </w:rPr>
      <w:t xml:space="preserve">30.09.2025. 21.19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25-TA-1507</w:t>
    </w:r>
    <w:r>
      <w:br/>
    </w:r>
    <w:r w:rsidR="00000000" w:rsidRPr="00000000" w:rsidDel="00000000">
      <w:rPr>
        <w:rtl w:val="0"/>
      </w:rPr>
      <w:t xml:space="preserve">30.09.2025. 21.19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Izziņa_25-TA-1507.docx</dc:title>
</cp:coreProperties>
</file>

<file path=docProps/custom.xml><?xml version="1.0" encoding="utf-8"?>
<Properties xmlns="http://schemas.openxmlformats.org/officeDocument/2006/custom-properties" xmlns:vt="http://schemas.openxmlformats.org/officeDocument/2006/docPropsVTypes"/>
</file>