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ir izskatījusi Ministru kabineta noteikumu projektu " Grozījumi Ministru kabineta 2023. gada 18. aprīļa noteikumos Nr. 198 "Tiešo maksājumu piešķiršanas kārtība lauksaimniekiem" un sniedz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uzlabotu ilggadīgo zālāju īpatsvaru, aicinām attiecināt arī to zālājus, kas atrodas zem elektropārvade līnijām, ceļa malās, dzelzceļa malās, meža pļavās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Zemkopības ministriju un Lauku atbalsta dienestu pievērst pastiprinātu uzmanību tām uz atbalstu pieteiktajām platībām, par kurām summāri tiek saņemta liela atbalsta likme uz ha un iegūtā raža diemžēl netiek novākta;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Zemkopības ministriju  meklēt iespējas un Ilgtspēju sekmējošais pārdalošais ienākumu papildatbalsta saņemšanai noteikt ar ražošanu saistītus kritērijus, piemēram, lopu blīvums zālāju platībām, kultūraugi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izvērtēt iespēju un veikt grozījumus noteikumu punktā 221., paredzot, ka Valsts augu aizsardzības dienests līdz nākamā gada 15. septembrim iesniedz Lauku atbalsta dienestā informāciju par lauksaimnieka kārtējā gadā izaudzēto un līdz nākamā gada 15. septembrim sertificēto attiecīgās sugas un šķirnes sēklu apjomu. Ziemāju sēkla pirms realizācijas tiek kodināta, sēklas kodināšana 4-5 mēneši pirms sējas termiņa nav pareiza pieeja sēklas materiāla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iebildumi lielākoties ir skatāmi ārpus MK noteikumu grozījumu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ilggadīgo zālāju definīciju un  ilggadīgo zālāju īpatsvara noteikšanu - pašreizējie ES noteikumi jau pieļauj minēto platību iekļaušanu īpatsvara aprēķinā. Tomēr, lai šo iespēju pilnvērtīgi īstenotu, būtiski ir nodrošināt skaidru un precīzu platību identificēšanu, kas šobrīd var būt tehniski sarežģīti. Līdz ar to Zemkopības Ministrija aicinās Lauku atbalsta dienestu izskatīt iespēju pilnveidot tehniskās iespējas iekļaujot minētās zālāju platības lauku bloku kartēs, tādējādi nodrošinot to iekļaušanu ikgadējā ilggadīgo zālāju īpatsvara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platībām, par kurām summāri tiek saņemta liela atbalsta likme uz ha un iegūtā raža netiek novākta - informējam, ka askaņā ar spēkā esošiem nosacījumiem saistīto ienākumu atbalstu par augļiem un ogām un dārzeņiem var saņemt, ja lauksaimnieks ar platību, kas pārsniedz trīs hektārus, ir izveidojis uzskaites sistēmu, kurā kārtējā gadā par katra kultūrauga laukiem norāda arī informāciju par  ražas novākšanas datumu un iegūtās ražas daudzumu. Tāpat ir jānorāda, ka vispārējie tiešo maksājumu nosacījumi paredz, ka, ja lauksaimnieks nav novācis ražu kultūraugam sasniedzot gatavības fāzi vai nav ierīkojis jaunu ilggadīgo kultūraugu stādījumu, izmantojot piemērotu stādīšanas metodi, tiek uzskatīts, ka ir radīti mākslīgi apstākļi atbalsta saņemšanai, un šādā gadījumā atbalsts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ikvienam ir iespēja ziņot par nekoptiem laukiem LAD elektroniskajā pieteikšanās sistēmā, un ZM aicina lauksaimniekus izmantot šo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iespējām Ilgtspēju sekmējošā pārdalošā ienākumu papildatbalsta saņemšanai noteikt ar ražošanu saistītus kritērijus - informējam, ka atbilstoši ES noteikumiem ilgtspēju sekmējošam pārdalošajam ienākumu atbalstam nav iespējams noteikt ražošanas kritērijus, jo tas nebūs atbilstīgs PTO Lauksaimniecības nolīguma 2. pielikuma kritērijiem. Tomēr gatavojot priekšlikumus nākotnes KLP nākamajam plānošanas periodam, varam rosināt papildināt lauksaimnieciskās darbības kritērijus ar ražošanas saistītiem kritērijiem, lai nodrošinātu, ka atbalsts tiek vēl mērķtiecīgāk orientēts uz aktīviem lauksaimniekiem, kuri reāli iesaistās lauksaimniecības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Atbildot uz priekšlikumu veikt grozījumus noteikumu Nr. 198  221. punktā, paredzot informācijas sniegšanu  līdz nākamā gada 15. septembrim - informējam, ka saskaņā ar ES regulējumu dalībvalstīm ir jānodrošina, ka tiešo maksājumu izmaksa tiek veikta vēlākais līdz nākamā kalendārā gada 30. jūnijam, tāpēc nav iespējams noteikt tādas prasības, kuru pārbaudes termiņi pārsniedz šo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visām noteikumu projektā paredzētajām izmaiņām Ministru kabineta 2023. gada 18. aprīļa noteikumos Nr. 198 "Tiešo maksājumu piešķiršanas kārtība lauksaimniekiem" (turpmāk - noteikumi Nr. 198), tostarp arī noteikumu Nr. 198 1., 12. pielikuma izmaiņām, kā arī 18. pielikuma svītrošanai. Papildus lūdzam sniegt pēc iespējas pilnīgāku pamatojumu konkrētajiem grozījumiem, kas ietverti noteikumu projektā, ne tikai citējot noteikumu projektā ietverto tiesisko regulējumu, bet pēc būtības sniedzot skaidrojumu, kādēļ izvēlēti attiecīgie risinājumi (sk., piemēram, jaunā redakcijā izteikto noteikumu Nr. 198 13. punktu, kā arī jauno 13.</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izriet, ka noteikumu Nr. 198 276. punktā, kas izteikts jaunā redakcijā ar noteikumu projekta 33. punktu, tiek ieviesta Komisijas 2022. gada 31. maija Īstenošanas regulas (ES) 2022/1173, ar ko nosaka noteikumus par to, kā Eiropas Parlamenta un Padomes Regulu (ES) 2021/2116 piemēro attiecībā uz kopējā lauksaimniecības politikā integrēto administrācijas un kontroles sistēmu, 10. pantā ietvertā prasība. Attiecīgi lūdzam papildināt anotācijas 5.1. apakšsadaļu un 5.4. apakšsadaļas 1. tabulu ar informāciju par minētās regulas prasības ieviešanu noteikumu projekta 33.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r w:rsidR="00000000" w:rsidRPr="00000000" w:rsidDel="00000000">
              <w:rPr>
                <w:vertAlign w:val="superscript"/>
                <w:rtl w:val="0"/>
              </w:rPr>
              <w:t xml:space="preserve">1</w:t>
            </w:r>
            <w:r w:rsidR="00000000" w:rsidRPr="00000000" w:rsidDel="00000000">
              <w:rPr>
                <w:rtl w:val="0"/>
              </w:rPr>
              <w:t xml:space="preserve"> Saistību gads ilgst no 1. janvāra līdz 31. decembrim, bet, ja iepriekšējā gadā pirms saistību uzņemšanās ģeotelpiskajā iesniegumā attiecīgajā platībā ir deklarēts ilggadīgais zālājs (710. kods), aramzemē sētu stiebrzāļu vai lopbarības zālaugu (arī proteīnaugu) maisījums (720. kods), aramzemē sētu stiebrzāļu un tauriņziežu maisījums (760. kods), auzas ar stiebrzāļu vai tauriņziežu pasēju (141. kods), kvieši, vasaras, ar stiebrzāļu pasēju vai tauriņziežu pasēju (113. kods), kvieši, ziemas, ar stiebrzāļu pasēju vai tauriņziežu pasēju  (117. kods), speltas kvieši, vasaras, ar stiebrzāļu pasēju vai tauriņziežu pasēju (118. kods), speltas kvieši, ziemas, ar stiebrzāļu pasēju vai tauriņziežu pasēju (119. kods), mieži, vasaras, ar stiebrzāļu vai tauriņziežu pasēju  (133. kods), mieži, ziemas, ar stiebrzāļu pasēju vai tauriņziežu pasēju (135. kods), rudzi ar stiebrzāļu pasēju vai tauriņziežu pasēju (124. kods), rudzi, populācijas šķirnes, tostarp ‘Kaupo’, ar stiebrzāļu pasēju vai tauriņziežu pasēju (125. kods), tritikāle, vasaras, ar stiebrzāļu vai tauriņziežu pasēju (152. kods), tritikāle, ziemas, ar stiebrzāļu pasēju vai tauriņziežu pasēju (154. kods), graudaugu un zirņu maisījums, kurā zirņi &gt; 50 %, ar stiebrzāļu vai tauriņziežu pasēju (446. kods), tad pēdējā saistību gadā attiecīgo platību var pārveidot, sākot no 15.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 ir noteikumu projekta 24. punktā ietvertā noteikumu Nr. 198 165.</w:t>
            </w:r>
            <w:r w:rsidR="00000000" w:rsidRPr="00000000" w:rsidDel="00000000">
              <w:rPr>
                <w:vertAlign w:val="superscript"/>
                <w:rtl w:val="0"/>
              </w:rPr>
              <w:t xml:space="preserve">1</w:t>
            </w:r>
            <w:r w:rsidR="00000000" w:rsidRPr="00000000" w:rsidDel="00000000">
              <w:rPr>
                <w:rtl w:val="0"/>
              </w:rPr>
              <w:t xml:space="preserve"> punkta ietekme uz lauksaimniekiem, kas pašreiz ir iesnieguši iesniegumu atbalsta saņemšanai vai kas jau saņem attiecīgo atbalstu, un uz viņu saistību izpildi. Līdzīgi aicinām izvērstāk skaidrot arī citu grozījumu ietekmi, tostarp skaidrojot, vai ietekme attiecībā uz atbalsta pretendentiem un saņēmējiem ir labvēlīga. Reizē lūdzam skaidrot, kā, ieviešot Eiropas Parlamenta un Padomes 2024. gada 14. maija Regulas 2024/1468, ar kuru attiecībā uz labiem lauksaimnieciskā un vidiskā stāvokļa standartiem, klimata, vides un dzīvnieku labturības shēmām, KLP stratēģisko plānu grozījumiem, KLP stratēģisko plānu pārskatīšanu un attiecībā uz atbrīvošanu no kontroles un sodiem groza Regulu (ES) 2021/2115 un (ES) 2021/2116, prasības, plānots nodrošināt regulas 4. pantā noteikto (proti: </w:t>
            </w:r>
            <w:r w:rsidR="00000000" w:rsidRPr="00000000" w:rsidDel="00000000">
              <w:rPr>
                <w:i w:val="1"/>
                <w:rtl w:val="0"/>
              </w:rPr>
              <w:t xml:space="preserve">"</w:t>
            </w:r>
            <w:r w:rsidR="00000000" w:rsidRPr="00000000" w:rsidDel="00000000">
              <w:rPr>
                <w:i w:val="1"/>
                <w:rtl w:val="0"/>
              </w:rPr>
              <w:t xml:space="preserve">2. panta 2. un 3. punktu un pielikumu piemēro sākot no 2024. pieprasījumu gada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Regulas 2024/1468, ar kuru attiecībā uz labiem lauksaimnieciskā un vidiskā stāvokļa standartiem, klimata, vides un dzīvnieku labturības shēmām, KLP stratēģisko plānu grozījumiem, KLP stratēģisko plānu pārskatīšanu un attiecībā uz atbrīvošanu no kontroles un sodiem groza Regulu (ES) 2021/2115 un (ES) 2021/2116 (turpmāk regula 2024/1468) 4. pantā noteiktais par 2. panta 2. un 3. punktu tika piemērots jau 2024. gadā, ņemot vērā, ka šīs normas ir tieši piemērojamas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2024/1468 pielikumā noteiktajiem grozījumiem Regulas 2021/2115 III pielikumā, kas attiecas uz 8. LLVS standartu, tā atcelšana 2024. gadā nebija iespējama, jo Latvijā vēl nebija izveidota atbilstoša ekoshēma ainavas elementu izveidošanai un uzturēšanai. Ņemot vērā, ka Regula 2024/1468 stājās spēkā 2024. gada 14. maijā un laiku, kas tika pavadīts nepieciešamo grozījumu sagatavošanai un iesniegšanai Komisijai saskaņošanai un apstiprināšanai, nebija iespējams ieviest šos nosacījumus ātrāk par 2025. gadu, jo Eiropas Komisijas saskaņojums par grozījumiem KLP SP tika saņemts tikai š.g. 21. februārī. Līdz ar to jaunie nosacījumi tiek iekļauti šajā noteikumu projektā un stāsies spēkā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attiecībā uz 8. LLVS standartu tika nolemts īstenot Komisijas Īstenošanas 2024. gada 12. februāra regulas (ES) 2024/587, ar ko attiecībā uz laba zemes lauksaimnieciskā un vidiskā stāvokļa (LLVS) 8. standarta piemērošanu, dienu, no kuras izdevumi ir attiecināmi uz ELGF ieguldījumu, un noteikumiem par KLP stratēģisko plānu grozījumiem, kas saistīti ar dažās ekoshēmās izdarāmām izmaiņām, uz 2024. pieprasījumu gadu piešķir atkāpi no Eiropas Parlamenta un Padomes Regulas (ES) 2021/2115 1. pantā paredzētās atkāpes no 8. LLVS standarta, pieļaujot arī starpkultūru un slāpekli piesaistošas kultūru audzēšanu 8. LLVS standarta prasību nodrošināšanai. Šī atkāpe tika īstenota ar MK noteikumu Nr. 198 pārejas noteikumos iekļauto 398., 399., 400. un 401.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Regulas 2024/1468. pielikumā noteiktajiem regulas 2021/2115 III pielikuma grozījumiem attiecībā uz 6., 7. un 8. LLVS standartu īstenošanu, bija nepieciešami KLP SP grozījumi, tie tika sagatavoti, iesniegti Komisijā saskaņošanai un apstiprināšanai. Pēc Komisijas apstiprinājuma saņemšanas jaunie nosacījumi tiek iestrādāti šajā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r w:rsidR="00000000" w:rsidRPr="00000000" w:rsidDel="00000000">
              <w:rPr>
                <w:vertAlign w:val="superscript"/>
                <w:rtl w:val="0"/>
              </w:rPr>
              <w:t xml:space="preserve">1</w:t>
            </w:r>
            <w:r w:rsidR="00000000" w:rsidRPr="00000000" w:rsidDel="00000000">
              <w:rPr>
                <w:rtl w:val="0"/>
              </w:rPr>
              <w:t xml:space="preserve"> Saistību gads ilgst no 1. janvāra līdz 31. decembrim, bet, ja iepriekšējā gadā pirms saistību uzņemšanās ģeotelpiskajā iesniegumā attiecīgajā platībā ir deklarēts ilggadīgais zālājs (710. kods), aramzemē sētu stiebrzāļu vai lopbarības zālaugu (arī proteīnaugu) maisījums (720. kods), aramzemē sētu stiebrzāļu un tauriņziežu maisījums (760. kods), auzas ar stiebrzāļu vai tauriņziežu pasēju (141. kods), vasaras kvieši ar stiebrzāļu pasēju vai tauriņziežu pasēju (113. kods), ziemas kvieši ar stiebrzāļu pasēju vai tauriņziežu pasēju (117. kods), vasaras speltas kvieši ar stiebrzāļu pasēju vai tauriņziežu pasēju (118. kods), ziemas speltas kvieši ar stiebrzāļu pasēju vai tauriņziežu pasēju (119. kods), vasaras mieži  ar stiebrzāļu vai tauriņziežu pasēju (133. kods), ziemas mieži ar stiebrzāļu pasēju vai tauriņziežu pasēju (135. kods), rudzi ar stiebrzāļu pasēju vai tauriņziežu pasēju (124. kods), rudzu populācijas šķirnes, tostarp ‘Kaupo’, ar stiebrzāļu pasēju vai tauriņziežu pasēju (125. kods), vasaras tritikāle ar stiebrzāļu vai tauriņziežu pasēju (152. kods), ziemas tritikāle ar stiebrzāļu pasēju vai tauriņziežu pasēju (154. kods) vai graudaugu un zirņu maisījums, kurā zirņi nepārsniedz 50 procentu, ar stiebrzāļu vai tauriņziežu pasēju (446. kods), tad pēdējā saistību gadā attiecīgo platību var pārveidot, sākot no 15. jūlija.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Atbilstoši regulas 2021/2115 III pielikumā noteiktajam 4. LLVS standartam lauksaimnieks nelieto mēslošanas un augu aizsardzības līdzekļus, izņemot bioloģiskās saimniekošanas praksē atļautos augu aizsardzības līdzekļus, aizsargjoslās (buferjoslās), kas atrodas: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skaidrojumu par projekta 9. punktā jaunā redakcijā izteiktajā Ministru kabineta 2023. gada 18. aprīļa noteikumu Nr. 198 "Tiešo maksājumu piešķiršanas kārtība lauksaimniekiem" (turpmāk - noteikumi) 63. punktā minētajiem bioloģiskās saimniekošanas praksē atļautajiem augu aizsardzības līdzekļiem, aicinām izvērstāk skaidrot, kas ir anotācijā minētais Valsts augu aizsardzības dienesta uzturētais Augu aizsardzības līdzekļu saraksts, kā arī to, vai šis saraksts ir privātpersonām saistošs. Atgādinām, ka privātpersonām ir saistošas ārējos normatīvajos aktos noteiktās prasības. Līdz ar to aicinām izvērtēt šādas atsauces uz "bioloģiskās saimniekošanas praksē atļautajiem" augu aizsardzības līdzekļiem tiesiskumu, ņemot vērā, ka nedrīkst privātpersonām uzlikt par pienākumu ievērot tām juridiski nesaistošus dokumentus. Ja nepieciešams, lūdzam precizēt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63. punkts tiek izteikts jaunā redakcijā (tostarp 63.1. un 63.2. apakšpunkts), un tas netiek papildināts ar jaunu 63.3. apakšpunktu,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198 63. punkta grozījumu redakcija un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Atbilstoši regulas 2021/2115 III pielikumā noteiktajam 4. LLVS standartam lauksaimnieks nelieto mēslošanas un augu aizsardzības līdzekļus, izņemot bioloģiskās saimniekošanas praksē atļautos augu aizsardzības līdzekļus, ja vien to marķējumā nav noteikti attiecīgi lietošanas ierobežojumi, aizsargjoslās (buferjoslās), kas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Atbilstoši </w:t>
            </w:r>
            <w:r w:rsidR="00000000" w:rsidRPr="00000000" w:rsidDel="00000000">
              <w:rPr>
                <w:rtl w:val="0"/>
              </w:rPr>
              <w:t xml:space="preserve">regulas 2021/2115 III pielikumā</w:t>
            </w:r>
            <w:r w:rsidR="00000000" w:rsidRPr="00000000" w:rsidDel="00000000">
              <w:rPr>
                <w:rtl w:val="0"/>
              </w:rPr>
              <w:t xml:space="preserve"> noteiktajam 4. LLVS standartam lauksaimnieks nelieto mēslošanas un augu aizsardzības līdzekļus, izņemot bioloģiskās saimniekošanas praksē atļautos augu aizsardzības līdzekļus, aizsargjoslās (buferjoslās), kas atrodas: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Efektīvas un vienveidīgas tiesību normas piemērošanas labad aicinām izvērtēt un skaidrot, kas noteikumu projekta 9. punktā izteiktajā noteikumu Nr. 198 63. punktā domāts ar </w:t>
            </w:r>
            <w:r w:rsidR="00000000" w:rsidRPr="00000000" w:rsidDel="00000000">
              <w:rPr>
                <w:u w:val="single"/>
                <w:rtl w:val="0"/>
              </w:rPr>
              <w:t xml:space="preserve">bioloģiskās saimniekošanas praksē</w:t>
            </w:r>
            <w:r w:rsidR="00000000" w:rsidRPr="00000000" w:rsidDel="00000000">
              <w:rPr>
                <w:rtl w:val="0"/>
              </w:rPr>
              <w:t xml:space="preserve"> atļautajiem augu aizsardzības līdzekļiem. Norādām, ka attiecīgā prasība varētu būt subjektīvi interpretējama, tādēļ aicinām izvērtēt un precizēt normu,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Atbilstoši regulas 2021/2115 III pielikumā noteiktajam 4. LLVS standartam lauksaimnieks nelieto mēslošanas un augu aizsardzības līdzekļus, izņemot bioloģiskās saimniekošanas praksē atļautos augu aizsardzības līdzekļus, ja vien to marķējumā nav noteikti attiecīgi lietošanas ierobežojumi, aizsargjoslās (buferjoslās), kas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141.4. starpkultūras, kas ir maisījumā sēti vismaz divi tādi starpkultūru augi kā vasaras rapsis, vasaras ripsis, ziemas rapsis, ziemas ripsis, vasaras kvieši, mieži, daudzziedu viengadīgā airene, baltās sinepes, eļļas rutks, auzas, facēlija, griķi, vīķi, rudzi, lauku pupas, zirņi vai lopbarības redīsi. Starpkultūras sēj pēc galvenā kultūrauga novākšanas, bet ne vēlāk kā līdz kārtējā gada 15. septembrim, un to sējumu saglabā un neizmanto ganīšanai, lopbarības ieguvei vai ražas novākšanai vismaz divus mēnešus. Ģeotelpiskajā iesniegumā par kārtējo gadu un nākamo gadu attiecīgajā laukā deklarētais galvenais kultūraugs ir atšķirīgas sugas augs. Ja divu mēnešu termiņš beidzas līdz kārtējā gada 31. oktobrim un starpkultūra netiek saglabāta, lauksaimnieks, izmantojot Lauku atbalsta dienesta mobilo lietotni, uzņem un automātiski nosūta Lauku atbalsta dienestam ģeomarķētus fotoattēlus ar laika un vietas atzīmi, kuros redzams lauks ar starpkultūru pirms tālākas zemes apstrādes. Ja lauksaimnieks ģeomarķētus fotoattēlus uzņem, izmantojot citu lietotni vai ierīci, un tie nav iesniegti Lauku atbalsta dienestā, tie uzglabājami paša izvēlētā elektroniskā uzskaites sistēmā vismaz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kādēļ noteikumu projekta 13. punktā jaunā redakcijā izteiktajā noteikumu Nr. 198 141.4. apakšpunktā paredzēts tieši konkrētais informācijas iesniegšanas veids, ņemot vērā, ka ne visiem lauksaimniekiem varētu būt pietiekamas nepieciešamās prasmes. Līdzīgi lūdzam pamatot arī noteikumu projekta 20. punktā ietvertā noteikumu Nr. 198 161.</w:t>
            </w:r>
            <w:r w:rsidR="00000000" w:rsidRPr="00000000" w:rsidDel="00000000">
              <w:rPr>
                <w:vertAlign w:val="superscript"/>
                <w:rtl w:val="0"/>
              </w:rPr>
              <w:t xml:space="preserve">1</w:t>
            </w:r>
            <w:r w:rsidR="00000000" w:rsidRPr="00000000" w:rsidDel="00000000">
              <w:rPr>
                <w:rtl w:val="0"/>
              </w:rPr>
              <w:t xml:space="preserve"> punktā paredzēto prasību attiecībā uz informācijas iesniegšanas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141.4. starpkultūras, kas ir maisījumā sēti vismaz divi tādi starpkultūru augi kā vasaras rapsis, vasaras ripsis, ziemas rapsis, ziemas ripsis, vasaras kvieši, mieži, daudzziedu viengadīgā airene, baltās sinepes, eļļas rutks, auzas, facēlija, griķi, vīķi, rudzi, lauku pupas, zirņi vai lopbarības redīsi. Starpkultūras sēj pēc galvenā kultūrauga novākšanas, bet ne vēlāk kā līdz kārtējā gada 15. septembrim, un to sējumu saglabā un neizmanto ganīšanai, lopbarības ieguvei vai ražas novākšanai vismaz divus mēnešus. Ģeotelpiskajā iesniegumā par kārtējo gadu un nākamo gadu attiecīgajā laukā deklarētais galvenais kultūraugs ir atšķirīgas sugas augs. Ja divu mēnešu termiņš beidzas līdz kārtējā gada 31. oktobrim un starpkultūra netiek saglabāta, lauksaimnieks, izmantojot Lauku atbalsta dienesta mobilo lietotni, uzņem un automātiski nosūta Lauku atbalsta dienestam ģeomarķētus fotoattēlus ar laika un vietas atzīmi, kuros redzams lauks ar starpkultūru pirms tālākas zemes apstrādes. Ja lauksaimnieks ģeomarķētus fotoattēlus uzņem, izmantojot citu lietotni vai ierīci, un tie nav iesniegti Lauku atbalsta dienestā, fotoattēli uzglabājami paša izvēlētā elektroniskā uzskaites sistēmā vismaz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Šo noteikumu </w:t>
            </w:r>
            <w:r w:rsidR="00000000" w:rsidRPr="00000000" w:rsidDel="00000000">
              <w:rPr>
                <w:rtl w:val="0"/>
              </w:rPr>
              <w:t xml:space="preserve">36.5.</w:t>
            </w:r>
            <w:r w:rsidR="00000000" w:rsidRPr="00000000" w:rsidDel="00000000">
              <w:rPr>
                <w:rtl w:val="0"/>
              </w:rPr>
              <w:t xml:space="preserve"> apakšpunktā</w:t>
            </w:r>
            <w:r w:rsidR="00000000" w:rsidRPr="00000000" w:rsidDel="00000000">
              <w:rPr>
                <w:rtl w:val="0"/>
              </w:rPr>
              <w:t xml:space="preserve"> minētais atbalsta pretendents, kura lauksaimniecības zemes platība nepārsniedz 20 hektāru, 2025. gadā uzskatāms par vienu darbaspēka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nevis grozīt noteikumu Nr. 198 379. punktā norādīto gadu (2024. gadā), bet gan pārejas noteikumu papildināt ar norādi uz 2025. gadu, tādējādi arī nākotnē nodrošinot vieglāku izsekojamību pārejas noteikumam, kurš jau šobrīd ir ietverts noteikumos Nr. 198.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Šo noteikumu </w:t>
            </w:r>
            <w:r w:rsidR="00000000" w:rsidRPr="00000000" w:rsidDel="00000000">
              <w:rPr>
                <w:rtl w:val="0"/>
              </w:rPr>
              <w:t xml:space="preserve">36.5.</w:t>
            </w:r>
            <w:r w:rsidR="00000000" w:rsidRPr="00000000" w:rsidDel="00000000">
              <w:rPr>
                <w:rtl w:val="0"/>
              </w:rPr>
              <w:t xml:space="preserve"> apakšpunktā</w:t>
            </w:r>
            <w:r w:rsidR="00000000" w:rsidRPr="00000000" w:rsidDel="00000000">
              <w:rPr>
                <w:rtl w:val="0"/>
              </w:rPr>
              <w:t xml:space="preserve"> minētais atbalsta pretendents, kura lauksaimniecības zemes platība nepārsniedz 20 hektāru, 2024., 2025., 2026. un 2027. gadā uzskatāms par vienu darbaspēka 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 pielikumu jaunā redakcijā izteikts 4. pielikums, papildinot to ar lauksaimnieka apliecinājumu šādā redakcijā: "</w:t>
            </w:r>
            <w:r w:rsidR="00000000" w:rsidRPr="00000000" w:rsidDel="00000000">
              <w:rPr>
                <w:i w:val="1"/>
                <w:rtl w:val="0"/>
              </w:rPr>
              <w:t xml:space="preserve">piekrītu, ka saskaņā ar Grāmatvedības likuma 11.panta 14. daļu rēķins tiks sagatavots un nosūtīts strukturēta elektroniska rēķina formātā (xml) uz e-adresi, (ja tāda izveidota) vai pdf un xml formātā uz norādīto e-pasta adresi</w:t>
            </w:r>
            <w:r w:rsidR="00000000" w:rsidRPr="00000000" w:rsidDel="00000000">
              <w:rPr>
                <w:rtl w:val="0"/>
              </w:rPr>
              <w:t xml:space="preserve">". Lūdzam minēto svītrot vai pamatot šāda papildinājuma atbilstību Grāmatvedības likuma 11. panta četrpadsmitajai daļai, kas ir spēkā no 2025. gada 1. janvāra, un paredz, ka attaisnojuma dokumentu, kuru uzņēmums izsniedz citam Latvijas Republikā reģistrētam uzņēmumam — preces vai pakalpojuma saņēmējam — samaksāšanai (rēķinu), </w:t>
            </w:r>
            <w:r w:rsidR="00000000" w:rsidRPr="00000000" w:rsidDel="00000000">
              <w:rPr>
                <w:u w:val="single"/>
                <w:rtl w:val="0"/>
              </w:rPr>
              <w:t xml:space="preserve">noformē kā strukturētu elektronisko rēķinu</w:t>
            </w:r>
            <w:r w:rsidR="00000000" w:rsidRPr="00000000" w:rsidDel="00000000">
              <w:rPr>
                <w:rtl w:val="0"/>
              </w:rPr>
              <w:t xml:space="preserve">. Attiecīgi strukturēta elektroniska rēķina noformēšana saskaņā ar iepriekš minēto ir obligāta likuma prasība, kurai lauksaimnieks nevar piekrist vai nepiekrist, ja vien nepastāv kāds Grāmatvedības likuma 11. panta sešpadsmitajā daļā paredzētais izņēmuma gadījums, kad var atkāpties no Grāmatvedības likuma 11. panta četrpadsmitajā daļā noteiktās prasības par strukturētu elektronisko rēķinu noformēšanu. Turklāt strukturētam elektroniskam rēķinam ir jāatbilst noteiktam formātam (sk. Grāmatvedības likuma 1. panta 9. punktu). Tāpat norādām, ka šādam informatīvam apliecinājumam nav juridiskas nozīmes, jo ārējā normatīvā akta prasības ir vispārpiemērojamas. Attiecīgi lūdzam papildinājumu svītrot vai kā citādi atbilstoši precizēt pielikumu, attiecīgi arī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25-TA-131</w:t>
    </w:r>
    <w:r>
      <w:br/>
    </w:r>
    <w:r w:rsidR="00000000" w:rsidRPr="00000000" w:rsidDel="00000000">
      <w:rPr>
        <w:rtl w:val="0"/>
      </w:rPr>
      <w:t xml:space="preserve">08.03.2025. 00.46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25-TA-131</w:t>
    </w:r>
    <w:r>
      <w:br/>
    </w:r>
    <w:r w:rsidR="00000000" w:rsidRPr="00000000" w:rsidDel="00000000">
      <w:rPr>
        <w:rtl w:val="0"/>
      </w:rPr>
      <w:t xml:space="preserve">08.03.2025. 00.46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Izziņa_25-TA-131.docx</dc:title>
</cp:coreProperties>
</file>

<file path=docProps/custom.xml><?xml version="1.0" encoding="utf-8"?>
<Properties xmlns="http://schemas.openxmlformats.org/officeDocument/2006/custom-properties" xmlns:vt="http://schemas.openxmlformats.org/officeDocument/2006/docPropsVTypes"/>
</file>