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22-TA-3830: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Noteikumi par rūpniecisko zveju iekšējos ūdeņos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fiziskās un juridiskās personas (turpmāk – zvejnieks) drīkst nodarboties ar rūpniecisko zveju (turpmāk – zveja) Latvijas Republikas iekšējos ūdeņos.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Zemkopības ministrijas sagatavotais Ministru kabineta noteikumu projekts “Noteikumi par rūpniecisko zveju iekšējos ūdeņos” (turpmāk – projekts) un par to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Zvejniecības likuma (turpmāk – likums) 13. panta pirmās daļas 2. punkts paredz pilnvarojumu Ministru kabinetam izdot noteikumus par rūpniecisko zveju iekšējos ūdeņos. Attiecīgi saskaņā ar Ministru kabineta 2009. gada 3. februāra noteikumu Nr.108 “Normatīvo aktu projektu sagatavošanas noteikumi” 100.2. apakšpunktu noteikumu 1. punktu nepieciešams izteikt īsi un precīzi atbilstoši likuma pilnvarojumam, proti, “Noteikumi nosaka rūpniecisko zveju iekšējos ūdeņos.”. Vēršam uzmanību, ka šajā normā nevar norādīt noteikumu izdošanas pamatojumu vai pamatojuma skaidrojumu, kas nav iekļauts likumā. Savukārt vārdkopu saīsinājumus jāveido citās vietās (normās), kad vārdkopa tiek minēta pirmo reizi. Papildus norādām, ka vārds “zvejnieks” kā termins ir noteikts likuma 1. panta 5. punktā, tādēļ projektā šis apzīmējums jāizmanto tieši un saīsinājuma veidošana nav pieļaujama. Tāpat arī piedāvājam projektā neveidot saīsinājumu likumā esošam terminam “rūpnieciskā zveja”.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rūpniecisko zveju iekšējos ūdeņos.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 noteikumu izpratnē iekšējie ūdeņi ir ūdeņi, kas atrodas sauszemes pusē no Baltijas jūras un Rīgas jūras līča krasta līnijas, tostarp tajās upju ietekās jūrā, kuras atrodas sauszemes pusē aiz līnijas, kas savieno upju pretējo krastu vistālāk jūrā izvirzītos punktus, un ostās, kuras atrodas sauszemes pusē aiz līnijas, kas savieno ostu pretējās pusēs izvietoto hidrotehnisko vai citu būvju vistālāk jūrā izvirzītos punktus.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punktu nepieciešams svītrot, jo iekšējo ūdeņu termina definīciju nosaka Latvijas Republikas valsts robežas likuma 1. panta 8. punkts. Šāda likumā noteikta regulējuma, tai skaitā arī atšķirīga iekšējo ūdeņu uzskaitījuma (tiesiskā ietvara), veidošana Ministru kabineta noteikumos ir pretrunā ar normatīvo aktu hierarhiju.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Latvijas Republikas valsts robežas likumu nevar tikt norādīta, jo tajā ietvertā definīcija  pārsniedz Zvejniecības likuma regulējuma tvērumu  (dabiskie ūdeņi - ezeri, upes un ūdenskrātuves, kas izveidotas uz tām). Savukārt Latvijas Republikas valsts robežas likuma 1. panta 8. punktā kā iekšējie ūdeņi ir norādīti arī dīķi un jebkuri citi ūdeņi, kas atrodas uz krasta pusi no bāzes līnijām. Šajā gadījumā ūdeņi, kas atrodas uz krasta pusi no bāzes līnijām (maksimālā bēguma līnija un taisnas līnijas, kas savieno konkrētās ostas pretējās pusēs izvietoto hidrotehnisko būvju vai citu būvju punktus, kuri atrodas vistālāk uz jūras pusi) ietver arī jūras piekrastes ūdeņus, kuros ir atšķirīgs regulējums (tostarp Eiropas Savienības līmenī) no  iekšējie ūdeņiem un nav attiecināms uz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pašā laikā Civillikums un Zvejniecības likums nosaka zvejas tiesības iekšējos ūdeņos (Civillikuma I, II un III pielikums un privātie ūdeņi). Attiecīgi rūpnieciskā zveja var tikt veikta šajos ūdeņos. Papildus ir nepieciešams skaidri norādīt cik tālu projekta regulējums attiecas uz upju ūdeņiem to ietekās jūrā, tai skaitā vietās, kur  upju ietekās ir izveidotas attiecīgas hidrotehniskās būves. Tas nepieciešams, lai viennozīmīgi tiktu nošķirts un nepārklātos zvejas regulējums jūras un iekšējos ūdeņos. Zvejas regulējums neietekmē vai nemaina attiecīgajos likumos noteikto terminoloģiju, un nav ar to tieši saistīts. Galvenais ir attiecīgo zivju resursu ieguves pārvaldība attiecīgajos ūdeņos, kas ir atšķirīga jūrai un iekšējiem ūdeņiem.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Šie noteikumi attiecas uz iekšējiem ūdeņiem, kas atrodas sauszemes pusē no Baltijas jūras un Rīgas līča krasta līnijas un upju un kanālu ietekās sauszemes pusē no to pretējo krastu vistālāk jūrā izvirzītajiem punktiem, bet ostās no to pretējās pusēs izvietoto hidrotehnisko vai citu būvju vistālāk jūrā izvirzītajiem punktiem.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Šie noteikumi neattiecas uz iekšējiem ūdeņiem, kas minēti Zvejniecības likuma 11. panta devītajā 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punktu nepieciešams svītrot, jo likuma norma ir jāpiemēro tieši un šāda norma projektā ir informatīva un tai nav juridiskas slodzes. Vienlaicīgi tā rada maldinošu priekšstatu par Ministru kabineta noteikumu un likumu vietu tiesību sistēmā, proti, norma ir pretrunā ar normatīvo aktu hierarhiju.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Rūpnieciskās zvejas veikšanai iekšējos ūdeņos zvejniekam nepieciešams: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Zvejnieks drīkst zvejot iekšējos ūdeņos, ja attiecīgajā pašvaldībā, kuras teritorijā atrodas ūdenstilpe, ir noformēti šādi dokumenti: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punktu nepieciešams izvērtēt un precizēt. Vēršam uzmanību, ka likuma 11. panta pirmā daļa ar vārdiem “tiesības nodarboties ar rūpniecisko zveju” nosaka prasības rūpnieciskajai zvejas tiesību iegūšanai. Tādējādi projektā nav pieļaujams regulējums “kad zvejnieks drīkst zvejot iekšējos ūdeņos”, jo tas dublē likumā noteikto. Projektā piedāvājam regulējumu veidot par to, kādās institūcijās kādas darbības veic, lai saņemtu rūpnieciskās zvejas tiesības iekšējos ūdeņos, nevis kad drīkst zvejot.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Pašvaldība rūpnieciskās zvejas organizēšanai iekšējos ūdeņos īsteno šādas darbības: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Zvejniekam nav jānoformē rūpnieciskās zvejas tiesību nomas līgums un ir nepieciešama tikai zvejas atļauja (licence), ja zveja notiek ūdenstilpēs, kurās zvejas tiesības nepieder valstij, un ar zveju nodarbojas attiecīgās ūdenstilpes īpašnieks vai viņa pilnvarota persona, kā arī ja zveja ūdenstilpē notiek saskaņā ar normatīvajiem aktiem par licencēto rūpniecisko zveju.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 6. un 7. punktu nepieciešams papildus izvērtēt un precizēt vai svītrot, jo šajās normās paredzētais regulējums neatbilst likuma 13. panta pirmās daļas 2. punktā paredzētajam pilnvarojumam. Vēršam uzmanību, ka likuma 13. panta pirmā un otrā daļa paredz dažādus pilnvarojumus Ministru kabinetam par noteikumu izdošanu un par jebkuru zvejas veidu, kas atbilst terminam “rūpnieciskā zveja” (tiek izmantoti rūpnieciski zvejas rīki), piemēram, zveju privātos ūdeņos, licencētu rūpniecisko zveju, nav jāveido regulējums projektā. Tiesiskais regulējums par tiem atbilstoši noteiktajiem pilnvarojumiem jāveido citos Ministru kabineta noteikumos. Vienas jomas tiesiskā regulējuma izstrādē nav pieļaujams, ka tas dažādos Ministru kabineta noteikumos pārklājas. Papildus norādām, ka normatīvo aktu izstrādes juridiskā tehnika pieļauj, ka Ministru kabineta noteikumu 2. punktā paredz gadījumus, kuros konkrētie Ministru kabineta noteikumi netiek piemēroti. Projektā šādu normu varētu paredzēt par rūpniecisko zveju (citiem rūpnieciskās zvejas rīku izmantošanas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5.punkta nosacījums par to, ka atsevišķos gadījumos rūpnieciskās zvejas tiesību nomas līgums nav jānoformē (zveja privātos ūdeņos, kuros zvejas tiesības nepieder valstij un licencētā rūpnieciskā zveja) ir pievienots jaunajam 3.1.2.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un 7.punkts svītroti, jo šos jautājumus regulē attiecīgie Ministru kabineta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Zemkopības ministrija rūpnieciskās zvejas pārvaldībai iekšējos ūdeņos īsteno šādas darbības: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Zveja tiek uzskatīta par specializētu, ja zvejo noteiktas sugas zivis ar attiecīgajai sugai paredzēto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minēto zvejas rīku un konkrētais zvejas rīks ir norādīts zvejas atļaujā (licencē), izņemot šo noteikumu </w:t>
            </w:r>
            <w:r w:rsidR="00000000" w:rsidRPr="00000000" w:rsidDel="00000000">
              <w:rPr>
                <w:rtl w:val="0"/>
              </w:rPr>
              <w:t xml:space="preserve">8.1.1.</w:t>
            </w:r>
            <w:r w:rsidR="00000000" w:rsidRPr="00000000" w:rsidDel="00000000">
              <w:rPr>
                <w:rtl w:val="0"/>
              </w:rPr>
              <w:t xml:space="preserve">, </w:t>
            </w:r>
            <w:r w:rsidR="00000000" w:rsidRPr="00000000" w:rsidDel="00000000">
              <w:rPr>
                <w:rtl w:val="0"/>
              </w:rPr>
              <w:t xml:space="preserve">8.2.2.1.</w:t>
            </w:r>
            <w:r w:rsidR="00000000" w:rsidRPr="00000000" w:rsidDel="00000000">
              <w:rPr>
                <w:rtl w:val="0"/>
              </w:rPr>
              <w:t xml:space="preserve"> un </w:t>
            </w:r>
            <w:r w:rsidR="00000000" w:rsidRPr="00000000" w:rsidDel="00000000">
              <w:rPr>
                <w:rtl w:val="0"/>
              </w:rPr>
              <w:t xml:space="preserve">8.5. </w:t>
            </w:r>
            <w:r w:rsidR="00000000" w:rsidRPr="00000000" w:rsidDel="00000000">
              <w:rPr>
                <w:rtl w:val="0"/>
              </w:rPr>
              <w:t xml:space="preserve">apakšpunktā</w:t>
            </w:r>
            <w:r w:rsidR="00000000" w:rsidRPr="00000000" w:rsidDel="00000000">
              <w:rPr>
                <w:rtl w:val="0"/>
              </w:rPr>
              <w:t xml:space="preserve"> minētie zvejas rīki nespecializētajā zvejā.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 11. punktu un 25.1. apakšpunktu nepieciešams precizēt un vārdus “nespecializētā zveja” aizstāt ar normas kontekstam atbilstošu apzīmējumu. Vēršam uzmanību, ka likumā attiecībā uz noteiktu sugu zivīm ir izmantots apzīmējums “specializētā zveja” un šāds regulējums ir pieļaujams arī projektā. Visos citos gadījumos projektā atbilstoši likuma pilnvarojumam regulējums jāveido par rūpniecisko zveju, nevis jāizmanto jauni neatrunāti apzīmējumi.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punkts svītrots (skat. TM iebilduma 7.punktu).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Attiecīgajos projekta punktos un apakšpunktos vārdi “nespecializētā zveja” aizstāti ar normas kontekstam atbilstošu apzīmējumu.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Rūpnieciskā zveja tiek uzskatīta par specializētu, ja zvejo noteiktas sugas zivis ar attiecīgajai sugai paredzēto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minēto zvejas rīku un konkrētais zvejas rīks ir norādīts zvejas atļaujā (licencē), izņemot šo noteikumu </w:t>
            </w:r>
            <w:r w:rsidR="00000000" w:rsidRPr="00000000" w:rsidDel="00000000">
              <w:rPr>
                <w:rtl w:val="0"/>
              </w:rPr>
              <w:t xml:space="preserve">6.1.1.</w:t>
            </w:r>
            <w:r w:rsidR="00000000" w:rsidRPr="00000000" w:rsidDel="00000000">
              <w:rPr>
                <w:rtl w:val="0"/>
              </w:rPr>
              <w:t xml:space="preserve">, </w:t>
            </w:r>
            <w:r w:rsidR="00000000" w:rsidRPr="00000000" w:rsidDel="00000000">
              <w:rPr>
                <w:rtl w:val="0"/>
              </w:rPr>
              <w:t xml:space="preserve">6.2.2.1.</w:t>
            </w:r>
            <w:r w:rsidR="00000000" w:rsidRPr="00000000" w:rsidDel="00000000">
              <w:rPr>
                <w:rtl w:val="0"/>
              </w:rPr>
              <w:t xml:space="preserve"> un </w:t>
            </w:r>
            <w:r w:rsidR="00000000" w:rsidRPr="00000000" w:rsidDel="00000000">
              <w:rPr>
                <w:rtl w:val="0"/>
              </w:rPr>
              <w:t xml:space="preserve">6.5. </w:t>
            </w:r>
            <w:r w:rsidR="00000000" w:rsidRPr="00000000" w:rsidDel="00000000">
              <w:rPr>
                <w:rtl w:val="0"/>
              </w:rPr>
              <w:t xml:space="preserve">apakšpunktā</w:t>
            </w:r>
            <w:r w:rsidR="00000000" w:rsidRPr="00000000" w:rsidDel="00000000">
              <w:rPr>
                <w:rtl w:val="0"/>
              </w:rPr>
              <w:t xml:space="preserve"> minētos rūpnieciskās zvejas rīkus, kas nav paredzēti specializētajai rūpnieciskajai zvejai un neattiecas uz to.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Nespecializētajā zvejā Buļļupē un Daugavā (arī tās ūdenskrātuvēs) aizliegts izmantot zivju tīklus.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 punktu par aizliegumu “nespecializētā zvejā” izmantot zivju tīklu Buļļupē un Daugavā nepieciešams svītrot, jo likuma 16. panta ceturtā daļa jau paredz rūpnieciskās zvejas aizliegumu ar noteiktiem izņēmumiem. Zivju tīkls neietilpst šajos izņēmumos, turklāt “nespecializētā zveja” nav definēta likumā, attiecīgi arī projektā nevar veidot regulējumu par šādu aizliegumu. Vienlaikus piedāvājam izvērtēt citus projektā paredzētos zvejas vai zvejas rīku aizliegumus, lai tie neveido pretrunu ar likumā noteiktajiem ierobežojumiem un arī nedublē tos. Līdzīgi piedāvājam izvērtēt projekta V nodaļu “Zvejas aizlieguma laiki un vietas”, lai projektā paredzētie aizliegumi nebūtu pretrunā ar likumā noteiktajiem aizliegumiem vai nedublētu 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Personām aizliegts: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23. punktu, kas nosaka vispārējus aizliegumus, nepieciešams izvērtēt un precizēt atbilstoši likuma pilnvarojumam un arī likuma 17. pantā noteiktajam par aizliegtām zvejas metodēm, rīkiem un līdzekļiem, proti, aizliegumus projektā varētu attiecināt tikai uz rūpnieciskās zvejas metodēm, nevis elektrības vai sprāgstvielu izmantošanu. Tāpat arī, piemēram, zivju ķeršana ar rokām, nav interpretējama kā rūpnieciskā zveja un attiecīgi arī projektā par to regulējums nav jāveido. Papildus piedāvājam precizēt projekta 23.4.2.2. apakšpunktu, jo tajā vārdi “izņemti, bet vēl palikuši neizņemti …” nav saprotami.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Zvejniecības likuma 17.pants pirmā daļa nosaka, ka zvejā nav atļauts izmantot tādas metodes, zvejas rīkus un līdzekļus, kas ir aizliegti vai arī nav paredzēti Eiropas Savienības tiesību aktos vai Latvijas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21.3. un 21.4.2.2.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Personām aizliegts: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Zivju resursu pārvaldes un zvejas kontroles institūciju tiesības un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VIII nodaļā “Zivju resursu pārvaldes un zvejas kontroles institūciju tiesības un pienākumi” (projekta 32. un 33. punkts) esošo regulējumu nepieciešams svītrot, jo tas neatbilst likuma 13. panta pirmās daļas 2. punktā noteiktajam pilnvarojumam. Valsts pārvaldes institūciju un amatpersonu (apzīmējums aptver arī pašvaldības) kompetence nav šajā projektā regulējams jautājums. Vēršam uzmanību, ka valsts pārvaldes institūciju un amatpersonu kompetenci primāri nosaka dažādi vispārēji normatīvie akti, piemēram, Administratīvā procesa likums vai Administratīvās atbildības likums, bet speciālo regulējumu zvejniecības jomā nosaka likums. Ja likuma regulējums šobrīd ir nepilnīgs, atbilstoši grozījumi jāizdara likumā. Papildus par projektā paredzētā regulējuma neatbilstību varam norādīt, ka, piemēram, projekta 32.1.3. apakšpunktā paredzētās tiesības iznīcināt nelikumīgi izmantotos (arī nemarķētos) zvejas rīkus, kā arī aizliegtos zvejas rīkus un līdzekļus ir Administratīvās atbildības likuma 155. pantā noteiktā rīcība ar izņemtajām mantām un dokumentiem, kas notiek administratīvā pārkāpuma procesā. Tāpat arī rupja pārkāpuma (būtiska kaitējuma) gadījumā var būt kriminālprocess. Tādējādi projektā šāda veida regulējums nav pieļaujams.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svītrotas institūciju tiesības un pienākumi, kas noteikti Zvejniecības likumā un citos normatīvajos aktos, bet atrunāta rūpnieciskās zvejas organizēšanai un pārvaldībai (projekta 4. un 5.punkts) nepieciešamo darbību nodrošināšana, tai skaitā saistībā ar datu ievadi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IX. Atbildība par šo noteikumu pārkāpšanu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IX nodaļā “Atbildība par šo noteikumu pārkāpšanu” (projekta 34., 35. un 36. punkts), kā arī projekta 4.pielikumā esošo regulējumu nepieciešams svītrot, jo tas neatbilst likuma 13. panta pirmās daļas 2. punktā noteiktajam pilnvarojumam. Atbildības vai zaudējumu atlīdzības apmēra noteikšana nekādā veidā nav interpretējama kā rūpnieciskās zvejas iekšējos ūdeņos regulējums. Šādu regulējumu varētu saistīt ar likuma 26. pantā noteikto regulējumu, proti, regulējums par zaudējumu piedziņu jebkuras neatļautas vai prettiesiskas zvejas un arī makšķerēšanas gadījumā. Vienlaikus norādām, ka trīskāršs vai pieckārtīgs zaudējumu atlīdzinājums ir interpretējams kā materiāls sods un šādu tiesību institūtu nevar noteikt Ministru kabinets ar noteikumiem. Tāpat arī Ministru kabinets ar noteikumiem nevar paredzēt administratīvā pārkāpuma lietvedības procesu vai kriminālprocesu, kad faktiski lietiskus pierādījumus “transportē pārkāpējs”. Šāda veida regulējumu, ja tas ir pamatots, var noteikt tikai ar atbilstošu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Zvejniecības likuma 26. panta pirmā daļa nosaka, ka juridiskās un fiziskās personas, kas pieļāvušas šā likuma vai makšķerēšanas, vēžošanas, zemūdens medību vai rūpniecisko zveju regulējošo normatīvo aktu pārkāpumus, nodarījušas vai varējušas nodarīt zaudējumus zivju resursiem, ir atbildīgas saskaņā ar spēkā esošajiem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Administratīvās atbildības likuma 153.pants paredz, ka ja administratīvā pārkāpuma rezultātā nodarīts zaudējums dabas resursiem un šāda zaudējuma apmēra noteikšanas kārtību paredz normatīvie akti, tad, izskatot administratīvā pārkāpuma lietu, amatpersona vienlaikus izlemj jautājumu par pienākumu atlīdzināt dabas resursiem nodarīto zaudējumu.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iepriekšminētajam, projektā ir saglabājams regulējums par zivju resursu zaudējuma apmēra noteikšanu par šo noteikumu pārkāpšanu, tai skaitā 4.pielikums.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balstoties uz Zvejniecības likuma 26.panta pirmo daļu, ir veidots regulējums par zaudējumu atlīdzību  arī rūpnieciskās zvejas noteikumos jūras ūdeņos un makšķerēšanas, vēžošanas un zemūdens medību noteikumos. Tajos ir iekļautas pamattakses zaudējumu aprēķināšanai, kā arī takšu piemērošana vairākkārtīgos apmēros par attiecīgiem smagākiem pārkāpumu gadījumiem (piem. zivju ieguve to saudzēšanas, zvejas lieguma laikā un vietā) ar lielāku un ilgstošāku negatīvo ietekmi uz zivju resursiem un to atjaunošanos.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šobrīd, kad Zvejniecības likumā nav atrunāts cits deleģējums vai cita kārtība atbildības noteikšanai par zivju resursiem nodarītajiem zaudējumiem, nebūtu pieļaujams tikai no iekšējo ūdeņu rūpnieciskās zvejas noteikumiem izņemt regulējumu par  zaudējumu atlīdzību. Tāpat nebūtu pieļaujams mazināt personu atbildību par noteikumu neievērošanu, īpaši, ja izraisītās sekas ir ar lielāku un tālāku ietekmi uz zivju resursiem un tiem nodarītajiem zaudējumiem no dabas resursu aizsardzības un saglabāšanas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mainītu šo vēsturiski izveidoto komplekso atbildības sistēmu par zivju resursiem nodarītajiem zaudējumiem, saskaņā ar Ministru kabineta sēdes protokollēmuma 3.punktā noteikto,  Zemkopības ministrijai, sagatavojot kārtējos grozījumus Zvejniecības likumā, precizēt Zvejniecības likuma 26. panta pirmajā daļā esošo regulējumu un noteikt izvērstu deleģējumu Ministru kabinetam par vienotu noteikumu izdošanu par zivju resursiem nodarīto zaudējumu kompensācijas apmēru, kas piemērojams makšķerēšanas, vēžošanas, zemūdens medību vai rūpnieciskās zvejas pārkāpumu gadījumos un nodarījušas vai varējušas nodarīt zaudējumus zivju resursiem.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Zivju resursu zaudējuma apmēra noteikšana par šo noteikumu pārkāpšanu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Līdz 2024. gada 1. janvārim: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38. punktu nepieciešams izvērtēt un redakcionāli precizēt atbilstoši pārejas regulējuma veidošanas prasībām. Vēršam uzmanību, ka punkta ievaddaļa nevar būt kā konkrēts vienots datums zvejniekiem, pašvaldībām, dienestam un institūtam. Tieslietu ministrijas ieskatā pārejas regulējums būs pietiekams, ja tas būs paredzēts tikai kā tiesības privātpersonai – zvejniekam - līdz 2024. gada 1. janvārim izmantot zvejas žurnālu papīra formā un reģistrēt tajā zvejas datus. Savukārt valsts pārvaldes institūciju kompetencē būs šāda regulējuma izpildes nodrošināšana arī bez īpaša regulējuma. Vienlaikus norādām, ka projekta 38.2. apakšpunktā paredzētais regulējums par pašvaldības kompetenci izsniegt zvejas žurnālu papīra formā neatbilst projekta 30.7.2. apakšpunktā noteiktajam, ka zvejnieks pats izdrukā žurnāla veidlapu.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Ja zvejnieks līdz šo noteikumu spēkā stāšanās dienai nav saņēmis šo noteikumu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norādītās informācijas sistēmas lietotāja tiesības, viņš līdz 2024. gada 1. janvārim ir tiesīgs reģistrēt zvejas datus zvejas žurnālā papīra formā, izdrukājot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paredzēto zvejas žurnāla paraugu un aizpildīto zvejas žurnālu par nozveju iepriekšējā mēnesī katru mēnesi līdz piecpadsmitajam datumam iesniegt dienestā.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- 29.03.2023.)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2006. gada 28. decembra Direktīvas 2006/123/EK par pakalpojumiem iekšējā tirgū (turpmāk – Pakalpojumu direktīva) 39. pantā, 15. panta septītajā daļā un Brīvas pakalpojumu sniegšanas likuma 15. panta septītajā daļā noteikto tiesību akta projekts “Noteikumi par rūpniecisko zveju iekšējos ūdeņos” ir uzskatāms par tehnisko noteikumu projektu pakalpojumu jomā, kurš pēc saskaņošanas ir jāpaziņo Eiropas Komisijai un ES dalībvalstīm komentāru sniegšanai.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tiesību akta projekts ir uzskatāms par paziņojamu tehnisko noteikumu projektu, jo paredz prasības attiecībā uz licences iegūšanu rūpnieciskās zvejas veicējiem.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Tehnisko noteikumu paziņošanu Iekšēja tirgus informācijas sistēmā (turpmāk – IMI) saskaņā ar Ministru kabineta 2016. gada 29. jūnija noteikumu Nr. 419 “Noteikumi par informācijas apmaiņas un uzraudzības kārtību Iekšējā tirgus informācijas sistēmas ietvaros, informācijas apmaiņā iesaistīto iestāžu atbildību un Eiropas profesionālās kartes izdošanas kārtību” IV nodaļā minēto kārtību veic par attiecīgo tiesību aktu izstrādi atbildīgā iestāde.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aicinām papildināt anotācijas V. sadaļas Tiesību akta projekta atbilstība Latvijas Republikas starptautiskajām saistībām 3.punktu Cita informācija ar informāciju šādā redakcijā: “Tiesību akta projekts pēc saskaņošanas tiks paziņots Eiropas Komisijai un Eiropas Savienības dalībvalstīm komentāru sniegšanai atbilstoši Pakalpojumu direktīvas 39. panta, 15. panta septītajā daļā un Brīvas pakalpojumu sniegšanas likuma 15. pantā septītajā daļā noteiktajam.” Aicinām iepriekšminēto paziņošanu veikt divu nedēļu laikā pēc tiesību akta projekta saskaņošanas, izmantojot IMI.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tehnisko noteikumu projektu pakalpojumu jomā paziņošana neierobežo to spēkā stāšanos. Eiropas Komisija triju mēnešu laikā no paziņojuma saņemšanas dienas pārbauda tehnisko noteikumu projektā paredzēto prasību atbilstību ES tiesību aktiem un attiecīgajos gadījumos pieņem lēmumu dalībvalstīm atteikties no šo prasību pieņemšanas vai tās atcelt.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pēc saskaņošanas tiks paziņots Eiropas Komisijai un Eiropas Savienības dalībvalstīm komentāru sniegšanai atbilstoši Pakalpojumu direktīvas 39. panta, 15. panta septītajā daļā un Brīvas pakalpojumu sniegšanas likuma 15. pantā septītajā daļā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regulējums nav saistāms ar Pakalpojumu direktīvas 39. pantā, 15. panta septītajā daļā un Brīvas pakalpojumu sniegšanas likuma 15. panta septītajā daļā noteikto, jo tas nav attiecināms uz pakalpojumu saņemšanas iespējām citu Eiropas Savienības dalībvalstu fiziskām vai juridiskām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Brīvās pakalpojumu sniegšanas likuma 3.panta otrā daļa nosaka, ka šis likums reglamentē saimniecisko darbību pakalpojumu jomā tiktāl, ciktāl tas nav pretrunā ar citos likumos ietvertajām speciālajām tiesību normām. Ja Latvijas Republikai saistošas starptautisko tiesību normas paredz citus noteikumus nekā tie, kuri ietverti šajā likumā, piemēro starptautisko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Eiropas Savienības Kopējās zivsaimniecības politikas pamatprincipos noteikto (darbības joma ietver jūras bioloģisko resursu saglabāšanu un to zvejniecību pārvaldību, kuras šos resursus izmanto) un Zvejniecības likuma 3.panta pirmajā daļā noteikto, ka zivju resursus Latvijas Republikas iekšējos ūdeņos un teritoriālajos ūdeņos pārvalda valsts, attiecīgi zvejas tiesības iekšējos ūdeņos, kuru izmantošanas nosacījumi ir ietverti noteikumu projektā, ir pieejamas tikai Latvijas juridiskām un fiziskām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šis noteikumu projekts nenosaka kārtību kādā tiek iegūta licence (speciālā atļauja) komercdarbībai zvejniecībā (to regulē Ministru kabineta 08.09.2009. noteikumi Nr.1015 "Kārtība, kādā izsniedz speciālo atļauju (licenci) komercdarbībai zvejniecībā, kā arī maksā valsts nodevu par speciālās atļaujas (licences) izsniegšanu"), savukārt zvejas atļaujas (licences) zvejas darbību veikšanai attiecīgajos ūdeņos tiek izsniegtas Latvijas fiziskām un juridiskām personām pamatojoties uz Zvejniecības likumā un normatīvajos aktos par rūpnieciskās zvejas tiesībām noteikto, pēc tam kad vietējā pašvaldībā ir noformēts rūpnieciskās zvejas tiesību nomas līgums vai iesniegts iesniegums par to kā tiks izmantotas privātās zvejas tiesības. Turklāt licenču (vai atļauju) izsniegšana nav atsevišķš pakalpojums, kas ir pieejams ikvienam. Tā ir rūpnieciskās zvejas tiesību iegūšanas un izmantošanas procesa administrēšanas, uzraudzības un kontroles sastāvdaļa. Noteikumu projektā ir sniegts uzskaitījums kādi dokumenti rūpnieciskās zvejas veikšanai iekšējos ūdeņos ir jāsaņem attiecīgajā pašvaldībā.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šo noteikumu </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23.</w:t>
            </w:r>
            <w:r w:rsidR="00000000" w:rsidRPr="00000000" w:rsidDel="00000000">
              <w:rPr>
                <w:rtl w:val="0"/>
              </w:rPr>
              <w:t xml:space="preserve"> un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minēto zvejas aizlieguma termiņu izmaiņu ierosināšanu attiecīgu hidrometeoroloģisko apstākļu gadījumos (agrāka vai vēlāka zivju nārsta situācijas veidošanās);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- 27.03.2023.)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vairāku pašvaldību ieteikumiem atkārtoti lūdzam saīsināt birokrātiskās procedūras un 22.,23. un 24.p.minēto zvejas aizlieguma termiņu izmaiņas veikt ar pašvaldības lēmumu, pirms tam šo lēmuma projektu saskaņojot ar BIOR.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22.12.2015. noteikumu Nr.800 “Makšķerēšanas, vēžošanas un zemūdens medību noteikumi” 46.2.apakšpunktu, pašvaldības administratīvās teritorijas ūdeņos atkarībā no vietējiem apstākļiem saskaņā ar institūta, Dabas aizsardzības pārvaldes vai Valsts vides dienesta atzinumu ir tiesības noteikt zivju ieguves aizlieguma laika pagarināšanu ne vairāk kā par 10 dienām attiecībā uz šo noteikumu 23. punktā minētajām zivju sugām, ievērojot vietējos hidrometeoroloģiskos apstākļus konkrētajā kalendāra gadā, kā arī  lomā paturamā līdaku un zandartu skaita samazinājumu, kas atšķiras no šo noteikumu 16.3. apakšpunktā minētā skaita. Savukārt ievērojot Zvejniecības likuma 16.panta pirmo daļu,lai nodrošinātu zivju resursu saglabāšanu un aizsardzību, Zemkopības ministrija, pamatojoties uz Eiropas Savienības tiesību aktu prasībām, kā arī zinātniskajām vai Dabas aizsardzības pārvaldes rekomendācijām, pēc saskaņošanas ar Vides aizsardzības un reģionālās attīstības ministriju var noteikt zvejas, makšķerēšanas, vēžošanas un zemūdens medību tiesību izmantošanu regulējošus pasākumus uz konkrētu laiku, ierobežot vai pilnīgi apturēt šo tiesību izmantošanu atsevišķos ūdeņos vai to 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šo noteikumu </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23.</w:t>
            </w:r>
            <w:r w:rsidR="00000000" w:rsidRPr="00000000" w:rsidDel="00000000">
              <w:rPr>
                <w:rtl w:val="0"/>
              </w:rPr>
              <w:t xml:space="preserve"> un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minēto zvejas aizlieguma termiņu izmaiņu ierosināšanu attiecīgu hidrometeoroloģisko apstākļu gadījumos (agrāka vai vēlāka zivju nārsta situācijas veidošanās);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tabulā lieciet pašvaldību, tad pareizāk būtu arī pašvaldības nosaukt (pagasts vairs nav pašvaldība)!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2. un 3. punktu sākotnējās ietekmes izvērtēšanas mērķis ir apzināt ietekmi un sekas, ko var radīt projekts, un, pamatojoties uz iegūtajiem secinājumiem, izvēlēties piemērotāko regulējuma apjomu, saturu un formu. Sākotnējās ietekmes izvērtēšanas rezultātus atspoguļo sākotnējās ietekmes novērtējuma ziņojumā (turpmāk – anotācija) un anotācijas uzdevums ir informēt lēmuma pieņēmējus un ieinteresētās puses par projekta ietekmi un sekām, ko projekts var radīt uz dažādām darbības jomām. Savukārt ministriju un citu institūciju atzinumos par projektu izteiktie iebildumi un priekšlikumi atbilstoši Ministru kabineta 2021. gada 7. septembra noteikumu Nr. 606 “Ministru kabineta kārtības rullis” 66. punktam ir norādāmi izziņā par atzinumos izteiktajiem iebildumiem un priekšlikumiem. Ievērojot minēto, informācija par ministriju un citu institūciju izteiktajiem iebildumiem, tai skaitā arī par citiem saskaņošanai iepriekš nodotajiem tiesību aktu projektiem anotācijā nav norādāma. Līdz ar to aicinām svītrot anotācijas 1.3. sadaļā sniegtajā problēmas aprakstā informāciju par Tieslietu ministrijas un Vides aizsardzības un reģionālās attīstības ministrijas sniegtajiem iebildumiem par Ministru kabineta noteikumu projektu “Grozījumi Ministru kabineta 2007. gada 2. maija noteikumos Nr. 295 “Noteikumi par rūpniecisko zveju iekšējos ūdeņos”” (22-TA-3095).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Iekšlietu ministrija pievienojas izziņas par atzinumos sniegtajiem iebildumiem un priekšlikumiem 2. punktā norādītajam Zemkopības ministrijas viedoklim, ka Latvijas Republikas valsts robežas likuma regulējuma tvērums nav attiecināms uz Ministru kabineta noteikumu projektā ietverto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sniegtajā problēmas aprakstā svītrota informācija par Tieslietu ministrijas un Vides aizsardzības un reģionālās attīstības ministrijas sniegtajiem iebildumiem par Ministru kabineta noteikumu projektu “Grozījumi Ministru kabineta 2007. gada 2. maija noteikumos Nr. 295 “Noteikumi par rūpniecisko zveju iekšējos ūdeņos”” (22-TA-3095).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22-TA-3830</w:t>
    </w:r>
    <w:r>
      <w:br/>
    </w:r>
    <w:r w:rsidR="00000000" w:rsidRPr="00000000" w:rsidDel="00000000">
      <w:rPr>
        <w:rtl w:val="0"/>
      </w:rPr>
      <w:t xml:space="preserve">17.04.2023. 09.10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22-TA-3830</w:t>
    </w:r>
    <w:r>
      <w:br/>
    </w:r>
    <w:r w:rsidR="00000000" w:rsidRPr="00000000" w:rsidDel="00000000">
      <w:rPr>
        <w:rtl w:val="0"/>
      </w:rPr>
      <w:t xml:space="preserve">17.04.2023. 09.10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Izziņa_22-TA-3830.docx</dc:title>
</cp:coreProperties>
</file>

<file path=docProps/custom.xml><?xml version="1.0" encoding="utf-8"?>
<Properties xmlns="http://schemas.openxmlformats.org/officeDocument/2006/custom-properties" xmlns:vt="http://schemas.openxmlformats.org/officeDocument/2006/docPropsVTypes"/>
</file>