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26-TA-725: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Tehniskās prasības navigācijas tehniskajiem līdzekļiem un to darbības nodrošināšanas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26.06.2026. 11:44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sniegto informāciju attiecībā uz ietekmi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fiziskām personām ir minēts, ka noteikumu projektā ietvertie informācijas sniegšanas un aktualizēšanas pienākumi var attiekties arī uz fiziskajām personām, savukārt praksē nepastāv fiziskas personas, kuras ir privāto navigācijas tehnisko līdzekļu valdītāji, </w:t>
            </w:r>
            <w:r w:rsidR="00000000" w:rsidRPr="00000000" w:rsidDel="00000000">
              <w:rPr>
                <w:b w:val="1"/>
                <w:rtl w:val="0"/>
              </w:rPr>
              <w:t xml:space="preserve">tādēļ administratīvo izmaksu monetārais novērtējums anotācijas 2.3. apakšpunktā ir veikts tikai attiecībā uz juridiskajām personām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ietekmes aprakstā juridiskām personām ir minēts ka, noteikumu projektā ietvertie informācijas sniegšanas un aktualizēšanas pienākumi var attiekties arī uz juridisko personu statusā esošiem navigācijas tehnisko līdzekļu valdītājiem, tomēr praksē nepastāv šādi navigācijas tehnisko līdzekļu valdītāji, </w:t>
            </w:r>
            <w:r w:rsidR="00000000" w:rsidRPr="00000000" w:rsidDel="00000000">
              <w:rPr>
                <w:b w:val="1"/>
                <w:rtl w:val="0"/>
              </w:rPr>
              <w:t xml:space="preserve">tādēļ administratīvo izmaksu monetārais novērtējums anotācijas 2.3. apakšpunktā attiecībā uz juridisko personu statusā esošiem navigācijas tehnisko līdzekļu valdītājiem netiek veikts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novērst pretrunu starp iepriekš minētajiem apgalvojumiem.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juridisko personu ietekmes sadaļā ir identificēta mērķa grupa "Ostu pārvaldes", bet aprakstā nav minēta projekta ietekme uz tām. Tajā pašā laikā anotācijas 2.3. apakšpunktā ir veikts administratīvā sloga samazinājuma aprēķins "Ostu pārvaldēm", kur aprēķina skaidrojuma sadaļā ir norādītas atsauces uz noteikumu punktiem, kuros navigācijas tehnisko līdzekļu valdītājiem ir noteikti informācijas sniegšanas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3.2. apakšpunktā ietverto navigācijas līdzekļu valdītāja definīciju, kā arī noteikumu 6. punktā noteikto navigācijas līdzekļu apsaimniekošanas kārtību, no anotācijā sniegtās informācijas nav saprotams, kādēļ vienlaikus tiek secināts, ka praksē nepastāv juridisko personu statusā esoši navigācijas tehnisko līdzekļu valdītāji, bet administratīvā sloga monetārais novērtējums tiek veikts tieši attiecībā uz ostu pārvaldēm.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sniegto informāciju, skaidri identificējot mērķa grupas, uz kurām attiecas noteikumos paredzētie informācijas sniegšanas pienākumi, kā arī papildināt ietekmes aprakstu attiecībā uz ostu pārvaldēm un nodrošināt savstarpēji saskaņotu informācijas atspoguļojumu anotācijas 2.1. un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2.1. un 2.3.apakšpunktā.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21.05.2026. 14:40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norādītās mērķa grupas un pilnveidot ietekmes aprakstu, jo pašlaik tas nesniedz pilnīgu un izsekojamu priekšstatu par projekta ietekmi uz 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skaidri norādītas projekta ietekmētās mērķa grupas. Juridisko personu grupā vienlaikus minēti navigācijas tehnisko līdzekļu valdītāji, ostu pārvaldes, </w:t>
            </w:r>
            <w:r w:rsidR="00000000" w:rsidRPr="00000000" w:rsidDel="00000000">
              <w:rPr>
                <w:b w:val="1"/>
                <w:rtl w:val="0"/>
              </w:rPr>
              <w:t xml:space="preserve">ostu kapteiņi un privātpersonas</w:t>
            </w:r>
            <w:r w:rsidR="00000000" w:rsidRPr="00000000" w:rsidDel="00000000">
              <w:rPr>
                <w:rtl w:val="0"/>
              </w:rPr>
              <w:t xml:space="preserve">. No anotācijas nav saprotams, kuras konkrētās personu kategorijas tiek vērtētas katrā mērķa grupā un uz kurām attiecas turpmāk sniegtais administratīvā sloga novērtējums. Līdz ar to nav iespējams pārliecināties par mērķa grupu identificēšanas un ietekmes novērtējuma korektumu. Papildus lūdzam precizēt, kādēļ juridisko personu grupā ir norādīti ostu kapteiņi un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Ietekmes apraksts abām mērķa grupām ir identisks un aprobežojas ar vispārīgu norādi, ka administratīvais slogs samazinās, jo tiek atvieglota informācijas iesniegšanas un ziņošanas kārtība. Vienlaikus anotācijas 1.3. apakšpunktā norādīts, ka projekts ietver arī citas būtiskas izmaiņas, tostarp precizē navigācijas tehnisko līdzekļu definīcijas, ievieš virtuālo boju regulējumu, nosaka atkrastes infrastruktūras apzīmēšanas nosacījumus, precizē navigācijas tehnisko līdzekļu kategorijas un to noteikšanas kārtību, kā arī aktualizē tehniskās prasības. No anotācijas nav saprotams, kāda ir šo izmaiņu ietekme uz regulējuma adresātiem un vai tās rada jaunus pienākumus, izmaksas vai citas praktiskas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nav pamatots secinājums par administratīvā sloga samazinājumu. Nav sniegts salīdzinājums starp spēkā esošo un projektā paredzēto regulējumu, nav identificētas konkrētās administratīvās darbības, kuras tiek atceltas, vienkāršotas vai digitalizētas, kā arī nav skaidrots, kā tieši no projektā paredzētajām izmaiņām izriet anotācijā deklarētais administratīvā sloga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un nepārprotami identificēt visas projekta ietekmētās mērķa grupas, iekļaujot tās korektajā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katrai mērķa grupai atsevišķi aprakstīt projekta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anotāciju ar skaidrojumu par visu būtiskāko projektā paredzēto izmaiņu ietekmi uz regulējuma adresātiem;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secinājumu par administratīvā sloga samazinājumu, norādot konkrētās prasības vai procedūras, kuras tiek vienkāršotas, kā arī salīdzinājumu ar spēkā esošo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pārliecināties par administratīvo izmaksu novērtējuma korektumu, lūdzam identificēt visas projektā ietvertās informācijas sniegšanas prasības, kā arī norādīt, vai attiecīgā prasība ir jauna, saglabāta no spēkā esošā regulējuma vai tiek mainīta. Gadījumos, kad prasība saglabāta no spēkā esošā regulējuma, lūdzam norādīt atbilstošo spēkā esošā regulējuma normu un skaidrot, kādas izmaiņas projektā paredzētas attiecībā uz konkrētās prasības izpildi un kā tās ietekmē administratīvās izmaksas. Savukārt jaunām prasībām lūdzam izvērtēt to radīto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2.3. apakšpunktā ietverto administratīvo izmaksu novērtējumu, ir norādāms, ka tajā nav pietiekami pamatotas aprēķinā izmantotās vērtības, kā arī nav iespējams pārliecināties par aprēķina korektumu un deklarētā administratīvā sloga samazinājuma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informācija, uz kādiem datiem vai aprēķiniem balstīts pieņēmums, ka pienākumi tiek veikti vidēji 15 reizes gadā, kā arī nav pamatots pieņēmums par 2 minūšu laika patēriņu vienā reizē. Norāde uz Jūras administrācijas speciālistu vērtējumu pati par sevi nesniedz iespēju pārliecināties par pieņēmumu objektivitāti un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administratīvo izmaksu aprēķins veikts tikai vienam subjektam, lai gan ietekmes aprakstā norādīts, ka regulējums attiecas uz navigācijas tehnisko līdzekļu valdītājiem, tostarp ostu pārvaldēm un citām personām. Līdz ar to nav iespējams novērtēt projekta kopējo ietekmi uz attiecīgo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secinājums par administratīvo izmaksu samazinājumu. Nav sniegts salīdzinājums ar spēkā esošo regulējumu, nav norādīts, kādas konkrētas administratīvās darbības vai informācijas sniegšanas pienākumi tiek samazināti, vienkāršoti vai aizstāti, kā arī nav skaidrots, kā aprēķināts anotācijā norādītais izmaksu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nav iespējams pārliecināties par aprēķina korektumu. Aprēķina skaidrojumā norādīts, ka viena darbība aizņem 2 minūtes un tiek veikta 15 reizes gadā, kas kopā veido 0,5 stundas gadā. Vienlaikus aprēķinā izmantots laika patēriņš uz vienību 0,5 stundas un reižu skaits gadā 15, tādēļ nav skaidrs, vai reižu skaits aprēķinā nav ņemts vērā atkārtoti.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administratīvo izmaksu aprēķinā izmantotās vērtības un norādīt to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aprēķinā izmantoto subjektu skaitu, lai atspoguļotu ietekmi uz visu attiecīgo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administratīvo izmaksu samazinājumu, salīdzinot spēkā esošo un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2.4. apakšpunktā ietverto administratīvā sloga novērtējumu fiziskām personām ir norādāms, ka tajā nav pietiekami pamatotas aprēķinā izmantotās vērtības, nav iespējams pārliecināties par aprēķina korektumu, kā arī nav pamatots norādītais administratīvā sloga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informācija, uz kādiem datiem vai aprēķiniem balstīts pieņēmums, ka navigācijas tehniskā līdzekļa valdītāja pienākumi tiek veikti vidēji 15 reizes gadā, kā arī nav pamatots pieņēmums par 2 minūšu laika patēriņu vienā reizē. Norāde uz Jūras administrācijas speciālistu vērtējumu pati par sevi nesniedz iespēju pārliecināties par pieņēmumu objektivitāti un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administratīvā sloga novērtējums veikts tikai vienam subjektam, lai gan ietekmes aprakstā norādīts, ka regulējums attiecas uz privātajiem navigācijas tehnisko līdzekļu valdītājiem. Līdz ar to nav iespējams novērtēt projekta kopējo ietekmi uz attiecīgo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secinājums par administratīvā sloga samazinājumu. Nav sniegts salīdzinājums ar spēkā esošo regulējumu, nav norādīts, kādas konkrētas informācijas sniegšanas prasības vai administratīvās darbības tiek samazinātas, vienkāršotas vai aizstātas, kā arī nav skaidrots, kā aprēķināts anotācijā norādītais administratīvā sloga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 anotācijas nav iespējams pārliecināties par aprēķina korektumu. Aprēķina skaidrojumā norādīts, ka viena darbība aizņem 2 minūtes un tiek veikta 15 reizes gadā, kas kopā veido 0,5 stundas gadā. Vienlaikus aprēķinā izmantots laika patēriņš uz vienību 0,5 stundas un reižu skaits gadā 15, tādēļ nav skaidrs, vai reižu skaits aprēķinā nav ņemts vērā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fizisko personu administratīvā sloga monetārā novērtējuma aprēķins. Anotācijā izmantota stundas samaksas likme 16,09 euro, tomēr nav skaidrots, kā šī vērtība ir sasaistīta ar aprēķina skaidrojumā norādīto laika patēriņu 2 minūtes vienā reizē. Līdz ar to nav iespējams pārliecināties par monetārā novērtējuma korektumu.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administratīvā sloga aprēķinā izmantotās vērtības un norādīt to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aprēķinā izmantoto subjektu skaitu, lai atspoguļotu ietekmi uz visu attiecīgo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administratīvā sloga samazinājumu, identificējot konkrētās informācijas sniegšanas prasības un salīdzinot spēkā esošo un projektā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administratīvā sloga aprēķina un monetārā novērtējuma korektumu, nepieciešamības gadījumā tos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2.4.sadaļa un sniegts skaidrojums anotācijas 2.1.sadaļā,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Ieteicamais navigācijas līdzekļa virsmas krāsas tonis atbilst starptautiskās krāsu kodu sistēmas RAL tonim: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46. punktā iekļaut skaidrojumu saīsinājumam "RAL tonis".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46.punkts papildināts iekļaujot skaidrojumu saīsinājumam "RAL tonis".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Ieteicamais navigācijas līdzekļa virsmas krāsas tonis atbilst starptautiskās krāsu kodu sistēmas RAL </w:t>
            </w:r>
            <w:r w:rsidR="00000000" w:rsidRPr="00000000" w:rsidDel="00000000">
              <w:rPr>
                <w:i w:val="1"/>
                <w:rtl w:val="0"/>
              </w:rPr>
              <w:t xml:space="preserve">(</w:t>
            </w:r>
            <w:r w:rsidR="00000000" w:rsidRPr="00000000" w:rsidDel="00000000">
              <w:rPr>
                <w:rtl w:val="0"/>
              </w:rPr>
              <w:t xml:space="preserve">krāsu toņu identifikācijas sistēma</w:t>
            </w:r>
            <w:r w:rsidR="00000000" w:rsidRPr="00000000" w:rsidDel="00000000">
              <w:rPr>
                <w:i w:val="1"/>
                <w:rtl w:val="0"/>
              </w:rPr>
              <w:t xml:space="preserve">)</w:t>
            </w:r>
            <w:r w:rsidR="00000000" w:rsidRPr="00000000" w:rsidDel="00000000">
              <w:rPr>
                <w:rtl w:val="0"/>
              </w:rPr>
              <w:t xml:space="preserve"> tonim: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Ostas akvatorijā ostas vārtu iekšpusē esošo peldošo navigācijas līdzekļu parametru izmaiņas veic saskaņā ar ostas kapteiņa rīkojumu un navigācijas līdzekļu valdītājs ne vēlāk kā 3 (trīs) dienu laikā veic datu atjaunināšanu un apriti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regulējumu projekta 74. punktā, paredzot, no kura brīža tiek rēķināts trīs darba dienu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74.punkts precizēts paredzot no kura brīža tiek rēķināts trīs darba dienu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Ostas akvatorijā ostas vārtu iekšpusē esošo peldošo navigācijas līdzekļu parametru izmaiņas veic saskaņā ar ostas kapteiņa rīkojumu un navigācijas līdzekļu valdītājs ne vēlāk kā 3 (trīs) dienu laikā no faktisko izmaiņu veikšanas brīža veic datu atjaunināšanu un apriti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projekts nerada atbilstības prasības un ar tām saistītās izmaksas, tomēr no projekta un anotācijas 1.3. apakšpunktā ietvertās informācijas izriet, ka projektā tiek noteiktas un precizētas vairākas tehniskas un organizatoriskas prasības, tostarp attiecībā uz navigācijas līdzekļu klasifikāciju, navigācijas līdzekļu aprīkojumu, atkrastes infrastruktūras apzīmēšanu, virtuālo boju izmantošanu, kā arī navigācijas līdzekļu valdītāju pienākumiem. Līdz ar to nav saprotams, uz kāda pamata secināts, ka projekts nerada atbilstības prasības vai ar to izpildi saistītas izmaksas, kā arī nav izvērtēts, vai minēto prasību izpilde rada regulējuma adresātiem nepieciešamību pielāgot navigācijas līdzekļus, nodrošināt aprīkojumu, veikt marķēšanu, ieviest izmaiņas procesos vai īstenot citus pasākumus atbilstības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 visas projektā ietvertās atbilstības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kuras prasības ir jaunas, kuras saglabātas no spēkā esošā regulējuma un kuras tiek mainītas;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prasības tiek saglabātas no spēkā esošā regulējuma, norādīt attiecīgās spēkā esošo noteikumu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vai projektā ietverto prasību izpilde rada atbilstības izmaksas regulējuma adresātiem, un nepieciešamības gadījumā tās novērtēt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secinājumu, ka projekts nerada atbilstības prasības vai ar tām saistītas izmaksas, ja šāds secinājums tiek saglabāts.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ietvertās prasības galvenokārt precizē un aktualizē jau spēkā esošajā regulējumā noteiktās tehniskās un organizatoriskās prasības navigācijas tehnisko līdzekļu valdītājiem, neieviešot būtiski jaunus pienākumus vai prasības, kuru izpildei būtu nepieciešamas papildu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attiecībā uz navigācijas tehnisko līdzekļu klasifikāciju, to kategoriju noteikšanu, tehniskajiem parametriem, krāsojuma prasībām un navigācijas tehnisko līdzekļu valdītāju pienākumiem pēc būtības ir pārņemtas no MK noteikumiem Nr. 451, vienlaikus precizējot to piemērošanas nosacījumus un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atkrastes infrastruktūras regulējums un virtuālo boju izmantošanas nosacījumi nosaka tiesisko regulējumu gadījumiem, kad attiecīgie risinājumi tiek izmantoti, taču Projekts neuzliek pienākumu regulējuma adresātiem ierīkot atkrastes infrastruktūru, ieviest virtuālās bojas vai iegādāties papildu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Projekts neparedz pienākumu veikt esošo navigācijas tehnisko līdzekļu pārbūvi, nomaiņu, papildu marķēšanu vai citu tehnisku pielāgošanu. Projekta prasību izpilde tiek nodrošināta esošo funkciju un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informācijas aprites digitalizāciju, aizstājot līdzšinējo informācijas iesniegšanu, izmantojot MK noteikumu Nr. 451 2.–5. pielikumā noteiktās veidlapas, ar datu uzturēšanu informācijas sistēmā. Līdz ar to Projekts samazina administratīvo slogu, bet nerada jaunas atbilstības izmaksas regulējuma adresātiem.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Projekts nerada jaunas atbilstības prasības, kuru izpildei būtu nepieciešami papildu finanšu ieguldījumi, un nerada normatīvā regulējuma adresātiem atbilstības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 sadaļā sniegto informāciju par projekta ietekmi uz valsts un pašvaldību institūcijām, jo tā nav pilnībā saskaņota ar anotācijas 1.3. apakšpunktā un projekta saturā norādītajām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projekts pilnveido informācijas iesniegšanas un apmaiņas procesu, ņemot vērā digitālo risinājumu attīstību, kā arī paredz informācijas aprites nodrošināšanu informācijas sistēmā. Vienlaikus 7.4. apakšpunktā nav identificēta ietekme uz procesu efektivizāciju, optimizāciju vai digitalizāciju. Līdz ar to nav saprotams, kādēļ projektā paredzētās izmaiņas informācijas apritē un informācijas sistēmu izmantošanā nerada ietekmi uz institūciju procesiem vai to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anotācijas nav iespējams pārliecināties, vai ir izvērtēta projekta ietekme uz VSIA “Latvijas Jūras administrācija”, ostu pārvaldēm un citām projektā iesaistītajām institūcijām, kurām projektā paredzēta informācijas aprite, datu uzturēšana vai citu funkciju izpilde. Nav sniegta informācija, vai projektā paredzētās izmaiņas rada nepieciešamību pielāgot esošos procesus, informācijas sistēmas vai datu aprites kārtību, kā arī nav skaidrots, vai šādas izmaiņas rada vai nerada administratīvu ietekmi uz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un anotācijas 7. sadaļā atspoguļot projekta ietekmi uz institūciju procesu efektivizāciju, optimizāciju un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projekta ietekmi uz VSIA “Latvijas Jūras administrācija”, ostu pārvaldēm un citām projektā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 anotācijas 7.4. apakšpunktā norādīto secinājumu, ka projekts nerada ietekmi uz institūciju procesiem, ja šāds secinājums tiek saglabāts.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26-TA-725</w:t>
    </w:r>
    <w:r>
      <w:br/>
    </w:r>
    <w:r w:rsidR="00000000" w:rsidRPr="00000000" w:rsidDel="00000000">
      <w:rPr>
        <w:rtl w:val="0"/>
      </w:rPr>
      <w:t xml:space="preserve">09.07.2026. 17.56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26-TA-725</w:t>
    </w:r>
    <w:r>
      <w:br/>
    </w:r>
    <w:r w:rsidR="00000000" w:rsidRPr="00000000" w:rsidDel="00000000">
      <w:rPr>
        <w:rtl w:val="0"/>
      </w:rPr>
      <w:t xml:space="preserve">09.07.2026. 17.56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Izziņa_26-TA-725.docx</dc:title>
</cp:coreProperties>
</file>

<file path=docProps/custom.xml><?xml version="1.0" encoding="utf-8"?>
<Properties xmlns="http://schemas.openxmlformats.org/officeDocument/2006/custom-properties" xmlns:vt="http://schemas.openxmlformats.org/officeDocument/2006/docPropsVTypes"/>
</file>