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0" w:type="dxa"/>
          <w:right w:w="0" w:type="dxa"/>
        </w:tblCellMar>
        <w:tblLook w:val="00A0" w:firstRow="1" w:lastRow="0" w:firstColumn="1" w:lastColumn="0" w:noHBand="0" w:noVBand="0"/>
      </w:tblPr>
      <w:tblGrid>
        <w:gridCol w:w="5669"/>
        <w:gridCol w:w="3402"/>
      </w:tblGrid>
      <w:tr w:rsidR="009E4C1D" w:rsidTr="009E4C1D">
        <w:tc>
          <w:tcPr>
            <w:tcW w:w="3125" w:type="pct"/>
          </w:tcPr>
          <w:p w:rsidR="009E4C1D" w:rsidRDefault="009E4C1D" w:rsidP="009E4C1D">
            <w:pPr>
              <w:keepLines/>
              <w:autoSpaceDE w:val="0"/>
              <w:autoSpaceDN w:val="0"/>
              <w:adjustRightInd w:val="0"/>
              <w:spacing w:after="0" w:line="40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Rīgā</w:t>
            </w:r>
          </w:p>
          <w:p w:rsidR="009E4C1D" w:rsidRDefault="009E4C1D" w:rsidP="009E4C1D">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Datumu skatīt dokumenta paraksta laika zīmogā.</w:t>
            </w:r>
          </w:p>
          <w:p w:rsidR="009E4C1D" w:rsidRDefault="009E4C1D" w:rsidP="009E4C1D">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Nr. 30VD00-11/1751</w:t>
            </w:r>
          </w:p>
        </w:tc>
        <w:tc>
          <w:tcPr>
            <w:tcW w:w="1875" w:type="pct"/>
          </w:tcPr>
          <w:p w:rsidR="009E4C1D" w:rsidRDefault="009E4C1D" w:rsidP="009E4C1D">
            <w:pPr>
              <w:keepLines/>
              <w:autoSpaceDE w:val="0"/>
              <w:autoSpaceDN w:val="0"/>
              <w:adjustRightInd w:val="0"/>
              <w:spacing w:after="0" w:line="240" w:lineRule="auto"/>
              <w:jc w:val="right"/>
              <w:rPr>
                <w:rFonts w:ascii="Times New Roman" w:hAnsi="Times New Roman" w:cs="Times New Roman"/>
                <w:color w:val="000000"/>
                <w:sz w:val="24"/>
                <w:szCs w:val="24"/>
              </w:rPr>
            </w:pPr>
          </w:p>
          <w:p w:rsidR="009E4C1D" w:rsidRDefault="009E4C1D" w:rsidP="009E4C1D">
            <w:pPr>
              <w:keepLines/>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Ekonomikas ministrija</w:t>
            </w:r>
            <w:r>
              <w:rPr>
                <w:rFonts w:ascii="Times New Roman" w:hAnsi="Times New Roman" w:cs="Times New Roman"/>
                <w:color w:val="000000"/>
                <w:sz w:val="24"/>
                <w:szCs w:val="24"/>
              </w:rPr>
              <w:br/>
              <w:t>Brīvības iela 55</w:t>
            </w:r>
            <w:r>
              <w:rPr>
                <w:rFonts w:ascii="Times New Roman" w:hAnsi="Times New Roman" w:cs="Times New Roman"/>
                <w:color w:val="000000"/>
                <w:sz w:val="24"/>
                <w:szCs w:val="24"/>
              </w:rPr>
              <w:br/>
              <w:t>Rīga, LV - 1519</w:t>
            </w:r>
          </w:p>
        </w:tc>
      </w:tr>
    </w:tbl>
    <w:p w:rsidR="009E4C1D" w:rsidRDefault="009E4C1D" w:rsidP="009E4C1D">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9E4C1D" w:rsidTr="009E4C1D">
        <w:tc>
          <w:tcPr>
            <w:tcW w:w="5000" w:type="pct"/>
          </w:tcPr>
          <w:p w:rsidR="009E4C1D" w:rsidRDefault="009E4C1D" w:rsidP="009E4C1D">
            <w:pPr>
              <w:keepLine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Par informatīvo ziņojumu par normatīvā regulējuma priekšlikumiem elektroenerģijas piegādes neplānotu pārtraukumu gadījumā</w:t>
            </w:r>
          </w:p>
        </w:tc>
      </w:tr>
    </w:tbl>
    <w:p w:rsidR="009E4C1D" w:rsidRDefault="009E4C1D" w:rsidP="009E4C1D">
      <w:pPr>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9E4C1D" w:rsidTr="009E4C1D">
        <w:tc>
          <w:tcPr>
            <w:tcW w:w="5000" w:type="pct"/>
          </w:tcPr>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color w:val="000000"/>
                <w:sz w:val="24"/>
                <w:szCs w:val="24"/>
              </w:rPr>
            </w:pPr>
            <w:bookmarkStart w:id="0" w:name="_GoBack"/>
            <w:r>
              <w:rPr>
                <w:rFonts w:ascii="Times New Roman" w:hAnsi="Times New Roman" w:cs="Times New Roman"/>
                <w:color w:val="000000"/>
                <w:sz w:val="24"/>
                <w:szCs w:val="24"/>
              </w:rPr>
              <w:t>Elektroenerģijas sadales sistēmas operators akciju sabiedrība "Sadales tīkls" (turpmāk – AS "Sadales tīkls") ir iepazinusies ar Valsts sekretāru sanāksmē 12.08.2021. izsludināto Informatīvo ziņojumu "Par normatīvā regulējuma priekšlikumiem elektroenerģijas piegādes neplānotu pārtraukumu gadījumā" (VSS-703) (turpmāk – Ziņojums) un sniedz savu viedokli par Ziņojumā izskatīto jautājumu un piedāvātajiem risinājumiem konstatētās problemātikas risināšanai.</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 "Sadales tīkls" atbalsta Ekonomikas ministrijas izvirzīto mērķi, uzlabot investīciju vidi Latvijā, un vienmēr ir aktīvi iesaistījusies šī mērķa sasniegšanā. Elektroapgādes drošuma un kvalitātes rādītājiem, sistēmas pakalpojumu tarifu apmēram, elektroenerģijas sistēmas pieslēgumu pieejamībai, ierīkošanas ātrumam, ērtumam un izmaksām ir būtiska nozīme labvēlīgas investīciju vides nodrošināšanā, iespējams lielākā mērā nekā pārtraukumu kompensāciju sistēmas esamībai, tāpēc AS "Sadales tīkls" ilgstoši un plānveidīgi ir investējusi elektrotīkla attīstībā un to paredzējusi darīt arī turpmākajos gados (plānotas investīcijas ~86 milj. EUR/gadā). Ikgadējam investīciju apjomam iepriekšējo desmit gadu periodā esot vidēji 104 milj. EUR apmērā, veikto kapitālieguldījumu un elektrotīkla uzturēšanas procesu pilnveides rezultātā ir būtiski uzlaboti elektroapgādes drošuma un kvalitātes vidējie rādītāji, kas šobrīd ir vienlīdzīgi ģeogrāfiski tuvāko ES valstu rādītājiem un joprojām ir ar progresējošu tendenci. AS "Sadales tīkls" elektroenerģijas sadales sistēmas pakalpojumu tarifi rūpnieciskajiem lietotājiem Baltijas valstu mērogā ir vieni no konkurētspējīgākajiem. Jau vairākus gadus darbojas atbalsta mehānismi uzņēmējiem sadales sistēmas pieslēgumu izveidei un jaudas palielināšanai – efektīvās slodzes piemērošanas kārtība, kas ļauj atgūt pieslēguma izveidē ieguldītos līdzekļus, un atliktā maksājuma kārtība, kas dod iespēju pieslēguma ierīkošanas izmaksas pakāpeniski segt ilgākā laika posmā. 2021.gadā ir stājušās spēkā izmaiņas pieslēguma maksas aprēķināšanas metodikā, kas nodrošina zemākas pieslēguma ierīkošanas izmaksas lielas jaudas </w:t>
            </w:r>
            <w:proofErr w:type="spellStart"/>
            <w:r>
              <w:rPr>
                <w:rFonts w:ascii="Times New Roman" w:hAnsi="Times New Roman" w:cs="Times New Roman"/>
                <w:color w:val="000000"/>
                <w:sz w:val="24"/>
                <w:szCs w:val="24"/>
              </w:rPr>
              <w:t>pieslēgumiem</w:t>
            </w:r>
            <w:proofErr w:type="spellEnd"/>
            <w:r>
              <w:rPr>
                <w:rFonts w:ascii="Times New Roman" w:hAnsi="Times New Roman" w:cs="Times New Roman"/>
                <w:color w:val="000000"/>
                <w:sz w:val="24"/>
                <w:szCs w:val="24"/>
              </w:rPr>
              <w:t>. Tas apliecina, ka AS "Sadales tīkls", skaidri apzinoties būtisko lomu tautsaimniecības izaugsmes attīstībā un valsts konkurētspējas nodrošināšanā, ir aktīvi iesaistījies investīciju un uzņēmējdarbības vides attīstībā arī bez ārējā regulējuma obligāto prasību pastiprināšanas un normatīvos bāzētiem stimuliem.</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Elektroapgādes pārtraukumi iedalāmi divās lielās grupās – plānotajos un neplānotajos pārtraukumos. Plānotie pārtraukumi saistīti ar periodisko elektrotīkla apkalpošanas darbu īstenošanu un jaunu elektrotīkla daļu pieslēgšanu, ko drošības apsvērumu dēļ nav iespējams īstenot neatslēdzot spriegumu elektrotīklā, par šiem pārtraukumiem sistēmas lietotāji tiek savlaicīgi brīdināti. Neplānotie pārtraukumi rodas ārējās vides izraisītu elektrotīkla bojājumu </w:t>
            </w:r>
            <w:r>
              <w:rPr>
                <w:rFonts w:ascii="Times New Roman" w:hAnsi="Times New Roman" w:cs="Times New Roman"/>
                <w:color w:val="000000"/>
                <w:sz w:val="24"/>
                <w:szCs w:val="24"/>
              </w:rPr>
              <w:lastRenderedPageBreak/>
              <w:t xml:space="preserve">dēļ (klimatiskie apstākļi – vētras un sniega gāzti koki, sals, apledojums, plūdi, straujas temperatūras izmaiņas u.c.), trešo personu izraisītu bojājumu dēļ (pārrakti kabeļi, rauti vadi, apzināta kaitniecība), tehnisku iemeslu dēļ (materiālu novecošanās, kļūdainas aizsardzības iekārtu </w:t>
            </w:r>
            <w:proofErr w:type="spellStart"/>
            <w:r>
              <w:rPr>
                <w:rFonts w:ascii="Times New Roman" w:hAnsi="Times New Roman" w:cs="Times New Roman"/>
                <w:color w:val="000000"/>
                <w:sz w:val="24"/>
                <w:szCs w:val="24"/>
              </w:rPr>
              <w:t>nostrādes</w:t>
            </w:r>
            <w:proofErr w:type="spellEnd"/>
            <w:r>
              <w:rPr>
                <w:rFonts w:ascii="Times New Roman" w:hAnsi="Times New Roman" w:cs="Times New Roman"/>
                <w:color w:val="000000"/>
                <w:sz w:val="24"/>
                <w:szCs w:val="24"/>
              </w:rPr>
              <w:t xml:space="preserve">, konstruktīvas kļūdas un iekārtu atteices), ārkārtas situāciju dēļ (pēc VUGD pieprasījuma ugunsgrēku novēršanas un glābšanas darbu laikā) un citu apstākļu dēļ (putnu uzmesti zari, savvaļas dzīvnieku iekļūšana elektroietaisē u.t.t.). Daļa bojājumu ir salīdzinoši ātri atrodami un novēršami, tomēr kabeļu elektrotīkla bojājuma vai bojātas </w:t>
            </w:r>
            <w:proofErr w:type="spellStart"/>
            <w:r>
              <w:rPr>
                <w:rFonts w:ascii="Times New Roman" w:hAnsi="Times New Roman" w:cs="Times New Roman"/>
                <w:color w:val="000000"/>
                <w:sz w:val="24"/>
                <w:szCs w:val="24"/>
              </w:rPr>
              <w:t>vidsprieguma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slēgiekārtas</w:t>
            </w:r>
            <w:proofErr w:type="spellEnd"/>
            <w:r>
              <w:rPr>
                <w:rFonts w:ascii="Times New Roman" w:hAnsi="Times New Roman" w:cs="Times New Roman"/>
                <w:color w:val="000000"/>
                <w:sz w:val="24"/>
                <w:szCs w:val="24"/>
              </w:rPr>
              <w:t xml:space="preserve"> atjaunošana vai nomaiņa var ilgt vairākas dienas. Daudzviet elektrotīkls ir veidots radiālā izpildījumā (īpaši lauku reģionos), kur bojāto elektrolīniju nav iespējams rezervēt pa citu elektrolīniju. Pārtraukumu novēršanas laiku būtiski ietekmē kopējais vienlaicīgi iestājušos bojājumu apjoms. Bojājumu novēršana praktiski vienmēr ir saistīta ar speciālās smagās tehnikas piesaisti (balstu pievešanas tehnika, balstu urbšanas iekārtas, </w:t>
            </w:r>
            <w:proofErr w:type="spellStart"/>
            <w:r>
              <w:rPr>
                <w:rFonts w:ascii="Times New Roman" w:hAnsi="Times New Roman" w:cs="Times New Roman"/>
                <w:color w:val="000000"/>
                <w:sz w:val="24"/>
                <w:szCs w:val="24"/>
              </w:rPr>
              <w:t>pacēlājtehnika</w:t>
            </w:r>
            <w:proofErr w:type="spellEnd"/>
            <w:r>
              <w:rPr>
                <w:rFonts w:ascii="Times New Roman" w:hAnsi="Times New Roman" w:cs="Times New Roman"/>
                <w:color w:val="000000"/>
                <w:sz w:val="24"/>
                <w:szCs w:val="24"/>
              </w:rPr>
              <w:t xml:space="preserve">), kuras operativitāte ir ierobežota. </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Vidējais elektroapgādes pārtraukumu novēršanas laiks AS "Sadales tīkls" sistēmā ir 3 stundas. Periodā līdz 3h tiek novērsti 70% pārtraukumu, bet līdz 12h – 98.2%. Periodā 12-24h tiek novērsti 1,7% pārtraukumu, bet atsevišķos, pamatotos izņēmuma gadījumos un saskaņojot ar attiecīgajiem lietotājiem, pārtraukumu ilgums ir pārsniedzis 24 stundas (&lt;0.03%). Šāda statistika izriet no 2019.g. un 2020.g. datiem.</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Ministru kabineta 2014. gada 21. janvāra noteikumos Nr. 50 “Elektroenerģijas tirdzniecības un lietošanas noteikumi” (turpmāk – Noteikumi) noteiktais maksimāli pieļaujamais pārtraukuma novēršanas laiks ir 24 stundas. Tas ir normatīvais lielums, kas nav uzskatāms par operatoru motivējošu risinājumu sistēmas pakalpojuma drošuma un kvalitātes pilnveidošanai, bet gan obligāti nodrošināmu minimālo kvalitātes standartu, kas operatoram ir jānodrošina visā sistēmā, ikvienā objektā, ikvienam lietotājam. Pamatojoties uz pieļaujamo pārtraukumu laiku un arī citiem operatora iekšēji noteiktiem kvalitātes standartiem (piemēram, vidējais bojājumu novēršanas laiks līdz 3h), tiek plānoti sistēmas operatora "ikdienas darba režīma" resursi (personāls, tehnika, bāzu izvietojums, aprīkojums, materiālu rezerves), operatīvā un ekspluatācijas personāla darba organizācija un reaģēšanas spējas, darba metodes un elektrotīkla tehniskais izpildījums, kas tieši ietekmē gan elektrotīkla ierīkošanas, gan sistēmas uzturēšanas izmaksas. Minimālā elektroapgādes drošuma standarta paaugstināšana jeb pieļaujamā pārtraukumu laika samazināšana līdz 12h visā sistēmā tiešā veidā atspoguļosies sistēmas pakalpojumu tarifa apmērā, kas Ziņojumā nav vērtēts. Nav vērtēta arī praktiskā vajadzība šādam vispārējam drošuma standarta paaugstinājumam, jo atsevišķām lietotāju grupām un sistēmas lietotāju objektiem jau esošais minimālā elektroapgādes drošuma standarts var šķist par augstu un elektroapgādes rezervēšanu būtu iespējams realizēt efektīvākā un lētākā veidā ar risinājumiem lietotāja elektroietaišu pusē (piemēram, ar nepārtrauktās barošanas iekārtas UPS uzstādīšanu). Pieļaujamā pārtraukumu laika samazināšana gandrīz noteikti radīs pretēju iedarbību – sistēmas operatora darbības izmaksu un arī sistēmas pieslēguma maksas pieaugumu, jo pāreja uz pārtraukumu novēršanu 12 stundās visos sistēmas objektos, būtu iespējama īstenojot:</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Symbol" w:hAnsi="Symbol" w:cs="Symbol"/>
                <w:color w:val="000000"/>
                <w:sz w:val="24"/>
                <w:szCs w:val="24"/>
              </w:rPr>
              <w:t></w:t>
            </w:r>
            <w:r>
              <w:rPr>
                <w:rFonts w:ascii="Symbol" w:hAnsi="Symbol" w:cs="Symbol"/>
                <w:color w:val="000000"/>
                <w:sz w:val="24"/>
                <w:szCs w:val="24"/>
              </w:rPr>
              <w:tab/>
            </w:r>
            <w:r>
              <w:rPr>
                <w:rFonts w:ascii="Times New Roman" w:hAnsi="Times New Roman" w:cs="Times New Roman"/>
                <w:color w:val="000000"/>
                <w:sz w:val="24"/>
                <w:szCs w:val="24"/>
              </w:rPr>
              <w:t xml:space="preserve">n-1 principa ievērošanu  jeb pilnīgas rezervēšanas nodrošināšanu visa </w:t>
            </w:r>
            <w:proofErr w:type="spellStart"/>
            <w:r>
              <w:rPr>
                <w:rFonts w:ascii="Times New Roman" w:hAnsi="Times New Roman" w:cs="Times New Roman"/>
                <w:color w:val="000000"/>
                <w:sz w:val="24"/>
                <w:szCs w:val="24"/>
              </w:rPr>
              <w:t>vidsprieguma</w:t>
            </w:r>
            <w:proofErr w:type="spellEnd"/>
            <w:r>
              <w:rPr>
                <w:rFonts w:ascii="Times New Roman" w:hAnsi="Times New Roman" w:cs="Times New Roman"/>
                <w:color w:val="000000"/>
                <w:sz w:val="24"/>
                <w:szCs w:val="24"/>
              </w:rPr>
              <w:t xml:space="preserve"> sadales elektrotīkla izbūvē (arī līdz šim radiālā režīmā darbojošās lauku elektrolīnijās), t.sk. sadārdzinās pieslēguma izbūves izmaksas, jo īpaši vidējas un lielas jaudas klientiem, piemēram, jaunu rūpniecisku ražotņu izveides gadījumos;</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Symbol" w:hAnsi="Symbol" w:cs="Symbol"/>
                <w:color w:val="000000"/>
                <w:sz w:val="24"/>
                <w:szCs w:val="24"/>
              </w:rPr>
              <w:t></w:t>
            </w:r>
            <w:r>
              <w:rPr>
                <w:rFonts w:ascii="Symbol" w:hAnsi="Symbol" w:cs="Symbol"/>
                <w:color w:val="000000"/>
                <w:sz w:val="24"/>
                <w:szCs w:val="24"/>
              </w:rPr>
              <w:tab/>
            </w:r>
            <w:r>
              <w:rPr>
                <w:rFonts w:ascii="Times New Roman" w:hAnsi="Times New Roman" w:cs="Times New Roman"/>
                <w:color w:val="000000"/>
                <w:sz w:val="24"/>
                <w:szCs w:val="24"/>
              </w:rPr>
              <w:t xml:space="preserve">reaģēšanas spēju un operativitātes nodrošināšanu līmenī, kas ļautu arī nakts stundās novērst bojājumus visattālākajās elektrotīkla vietās; </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Symbol" w:hAnsi="Symbol" w:cs="Symbol"/>
                <w:color w:val="000000"/>
                <w:sz w:val="24"/>
                <w:szCs w:val="24"/>
              </w:rPr>
              <w:t></w:t>
            </w:r>
            <w:r>
              <w:rPr>
                <w:rFonts w:ascii="Symbol" w:hAnsi="Symbol" w:cs="Symbol"/>
                <w:color w:val="000000"/>
                <w:sz w:val="24"/>
                <w:szCs w:val="24"/>
              </w:rPr>
              <w:tab/>
            </w:r>
            <w:r>
              <w:rPr>
                <w:rFonts w:ascii="Times New Roman" w:hAnsi="Times New Roman" w:cs="Times New Roman"/>
                <w:color w:val="000000"/>
                <w:sz w:val="24"/>
                <w:szCs w:val="24"/>
              </w:rPr>
              <w:t xml:space="preserve">avārijas elektroapgādes </w:t>
            </w:r>
            <w:proofErr w:type="spellStart"/>
            <w:r>
              <w:rPr>
                <w:rFonts w:ascii="Times New Roman" w:hAnsi="Times New Roman" w:cs="Times New Roman"/>
                <w:color w:val="000000"/>
                <w:sz w:val="24"/>
                <w:szCs w:val="24"/>
              </w:rPr>
              <w:t>dīzeļģeneratoru</w:t>
            </w:r>
            <w:proofErr w:type="spellEnd"/>
            <w:r>
              <w:rPr>
                <w:rFonts w:ascii="Times New Roman" w:hAnsi="Times New Roman" w:cs="Times New Roman"/>
                <w:color w:val="000000"/>
                <w:sz w:val="24"/>
                <w:szCs w:val="24"/>
              </w:rPr>
              <w:t xml:space="preserve"> parka paplašināšanu un standartizētu pieslēguma vietu ierīkošanu zemsprieguma elektrotīklā. </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Šobrīd spēkā esošais regulējums pieļauj klientam izvēlēties vai tam nepieciešams augstākas kvalitātes elektroapgādes risinājums un tikai tajos gadījumos, nevis visos obligāti, tiek izbūvēti rezerves </w:t>
            </w:r>
            <w:proofErr w:type="spellStart"/>
            <w:r>
              <w:rPr>
                <w:rFonts w:ascii="Times New Roman" w:hAnsi="Times New Roman" w:cs="Times New Roman"/>
                <w:color w:val="000000"/>
                <w:sz w:val="24"/>
                <w:szCs w:val="24"/>
              </w:rPr>
              <w:t>pieslēgumi</w:t>
            </w:r>
            <w:proofErr w:type="spellEnd"/>
            <w:r>
              <w:rPr>
                <w:rFonts w:ascii="Times New Roman" w:hAnsi="Times New Roman" w:cs="Times New Roman"/>
                <w:color w:val="000000"/>
                <w:sz w:val="24"/>
                <w:szCs w:val="24"/>
              </w:rPr>
              <w:t>.</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Ar mērķtiecīgām investīcijām un pilnveidotām darba metodēm pēdējā desmitgadē </w:t>
            </w:r>
            <w:r>
              <w:rPr>
                <w:rFonts w:ascii="Times New Roman" w:hAnsi="Times New Roman" w:cs="Times New Roman"/>
                <w:color w:val="000000"/>
                <w:sz w:val="24"/>
                <w:szCs w:val="24"/>
              </w:rPr>
              <w:lastRenderedPageBreak/>
              <w:t xml:space="preserve">panāktais elektrotīkla bojājumu skaita samazinājums un no 2017.gada īstenotā izmaksu efektivitātes programma (samazināts personāla skaits, pārskatīta darba organizācija un metodes, samazināts bāzu skaits) ļāvusi AS "Sadales tīkls" līdz 2020.gadam samazināt savas ikgadējās saimnieciskās darbības izmaksas (izejvielas un materiāli, personāla izmaksas, pārējās saimnieciskās darbības izmaksas) par 29 milj. EUR salīdzinot ar 2016.gadu. Pāreja uz 12h izmaksas palielinātu. </w:t>
            </w:r>
            <w:r>
              <w:rPr>
                <w:rFonts w:ascii="Times New Roman" w:hAnsi="Times New Roman" w:cs="Times New Roman"/>
                <w:b/>
                <w:bCs/>
                <w:color w:val="000000"/>
                <w:sz w:val="24"/>
                <w:szCs w:val="24"/>
              </w:rPr>
              <w:t xml:space="preserve">AS "Sadales tīkls" ieskatā normatīvajos aktos noteiktā obligāti pieļaujamā pārtraukumu novēršanas laika samazināšana no 24h uz 12h nesasniegs plānoto mērķi – investīciju vides uzlabošanos, bet sistēmas operatoram un sistēmas lietotājiem radītās papildus izmaksas nebūs samērīgas ar 1,8% pārtraukumu operatīvāku novēršanu. </w:t>
            </w:r>
            <w:r>
              <w:rPr>
                <w:rFonts w:ascii="Times New Roman" w:hAnsi="Times New Roman" w:cs="Times New Roman"/>
                <w:color w:val="000000"/>
                <w:sz w:val="24"/>
                <w:szCs w:val="24"/>
              </w:rPr>
              <w:t>Regulējuma izmaiņas, pārejot uz pārtraukumu obligātu novēršanu 12 stundās, praktiski nozīmētu:</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Symbol" w:hAnsi="Symbol" w:cs="Symbol"/>
                <w:color w:val="000000"/>
                <w:sz w:val="24"/>
                <w:szCs w:val="24"/>
              </w:rPr>
              <w:t></w:t>
            </w:r>
            <w:r>
              <w:rPr>
                <w:rFonts w:ascii="Symbol" w:hAnsi="Symbol" w:cs="Symbol"/>
                <w:color w:val="000000"/>
                <w:sz w:val="24"/>
                <w:szCs w:val="24"/>
              </w:rPr>
              <w:tab/>
            </w:r>
            <w:r>
              <w:rPr>
                <w:rFonts w:ascii="Times New Roman" w:hAnsi="Times New Roman" w:cs="Times New Roman"/>
                <w:b/>
                <w:bCs/>
                <w:color w:val="000000"/>
                <w:sz w:val="24"/>
                <w:szCs w:val="24"/>
              </w:rPr>
              <w:t>tarifu pieaugumu</w:t>
            </w:r>
            <w:r>
              <w:rPr>
                <w:rFonts w:ascii="Times New Roman" w:hAnsi="Times New Roman" w:cs="Times New Roman"/>
                <w:color w:val="000000"/>
                <w:sz w:val="24"/>
                <w:szCs w:val="24"/>
              </w:rPr>
              <w:t xml:space="preserve"> visiem sistēmas lietotājiem dēļ ikdienā uzturamo resursu palielināšanas;</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Symbol" w:hAnsi="Symbol" w:cs="Symbol"/>
                <w:color w:val="000000"/>
                <w:sz w:val="24"/>
                <w:szCs w:val="24"/>
              </w:rPr>
              <w:t></w:t>
            </w:r>
            <w:r>
              <w:rPr>
                <w:rFonts w:ascii="Symbol" w:hAnsi="Symbol" w:cs="Symbol"/>
                <w:color w:val="000000"/>
                <w:sz w:val="24"/>
                <w:szCs w:val="24"/>
              </w:rPr>
              <w:tab/>
            </w:r>
            <w:r>
              <w:rPr>
                <w:rFonts w:ascii="Times New Roman" w:hAnsi="Times New Roman" w:cs="Times New Roman"/>
                <w:b/>
                <w:bCs/>
                <w:color w:val="000000"/>
                <w:sz w:val="24"/>
                <w:szCs w:val="24"/>
              </w:rPr>
              <w:t>pieslēguma maksas pieaugumu</w:t>
            </w:r>
            <w:r>
              <w:rPr>
                <w:rFonts w:ascii="Times New Roman" w:hAnsi="Times New Roman" w:cs="Times New Roman"/>
                <w:color w:val="000000"/>
                <w:sz w:val="24"/>
                <w:szCs w:val="24"/>
              </w:rPr>
              <w:t xml:space="preserve"> dēļ drošākiem un dārgākiem tīkla risinājumiem;</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Symbol" w:hAnsi="Symbol" w:cs="Symbol"/>
                <w:color w:val="000000"/>
                <w:sz w:val="24"/>
                <w:szCs w:val="24"/>
              </w:rPr>
              <w:t></w:t>
            </w:r>
            <w:r>
              <w:rPr>
                <w:rFonts w:ascii="Symbol" w:hAnsi="Symbol" w:cs="Symbol"/>
                <w:color w:val="000000"/>
                <w:sz w:val="24"/>
                <w:szCs w:val="24"/>
              </w:rPr>
              <w:tab/>
            </w:r>
            <w:r>
              <w:rPr>
                <w:rFonts w:ascii="Times New Roman" w:hAnsi="Times New Roman" w:cs="Times New Roman"/>
                <w:color w:val="000000"/>
                <w:sz w:val="24"/>
                <w:szCs w:val="24"/>
              </w:rPr>
              <w:t xml:space="preserve">turpmāko gadu elektrotīkla </w:t>
            </w:r>
            <w:r>
              <w:rPr>
                <w:rFonts w:ascii="Times New Roman" w:hAnsi="Times New Roman" w:cs="Times New Roman"/>
                <w:b/>
                <w:bCs/>
                <w:color w:val="000000"/>
                <w:sz w:val="24"/>
                <w:szCs w:val="24"/>
              </w:rPr>
              <w:t>investīciju pārorientēšanu uz izkliedēto lauku elektrotīklu,</w:t>
            </w:r>
            <w:r>
              <w:rPr>
                <w:rFonts w:ascii="Times New Roman" w:hAnsi="Times New Roman" w:cs="Times New Roman"/>
                <w:color w:val="000000"/>
                <w:sz w:val="24"/>
                <w:szCs w:val="24"/>
              </w:rPr>
              <w:t xml:space="preserve"> lai paaugstinātu elektroapgādes drošumu un nodrošinātu minimālās obligātās elektroapgādes drošuma prasības relatīvi nelielam sistēmas lietotāju apjomam, pretēji līdzšinējai pieejai, kad investīcijas koncentrētas ekonomiskajos un attīstības centros - vietās,  kur atrodas arī lielākais īpatsvars sistēmas lietotāju un sadalītās elektroenerģijas apjoms;</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Symbol" w:hAnsi="Symbol" w:cs="Symbol"/>
                <w:color w:val="000000"/>
                <w:sz w:val="24"/>
                <w:szCs w:val="24"/>
              </w:rPr>
              <w:t></w:t>
            </w:r>
            <w:r>
              <w:rPr>
                <w:rFonts w:ascii="Symbol" w:hAnsi="Symbol" w:cs="Symbol"/>
                <w:color w:val="000000"/>
                <w:sz w:val="24"/>
                <w:szCs w:val="24"/>
              </w:rPr>
              <w:tab/>
            </w:r>
            <w:r>
              <w:rPr>
                <w:rFonts w:ascii="Times New Roman" w:hAnsi="Times New Roman" w:cs="Times New Roman"/>
                <w:color w:val="000000"/>
                <w:sz w:val="24"/>
                <w:szCs w:val="24"/>
              </w:rPr>
              <w:t xml:space="preserve">papildus </w:t>
            </w:r>
            <w:r>
              <w:rPr>
                <w:rFonts w:ascii="Times New Roman" w:hAnsi="Times New Roman" w:cs="Times New Roman"/>
                <w:b/>
                <w:bCs/>
                <w:color w:val="000000"/>
                <w:sz w:val="24"/>
                <w:szCs w:val="24"/>
              </w:rPr>
              <w:t>drošības riskus personālam</w:t>
            </w:r>
            <w:r>
              <w:rPr>
                <w:rFonts w:ascii="Times New Roman" w:hAnsi="Times New Roman" w:cs="Times New Roman"/>
                <w:color w:val="000000"/>
                <w:sz w:val="24"/>
                <w:szCs w:val="24"/>
              </w:rPr>
              <w:t xml:space="preserve"> dēļ nepieciešamības nodrošināt bojājumu vietas atrašanu (bojātās </w:t>
            </w:r>
            <w:proofErr w:type="spellStart"/>
            <w:r>
              <w:rPr>
                <w:rFonts w:ascii="Times New Roman" w:hAnsi="Times New Roman" w:cs="Times New Roman"/>
                <w:color w:val="000000"/>
                <w:sz w:val="24"/>
                <w:szCs w:val="24"/>
              </w:rPr>
              <w:t>vidsprieguma</w:t>
            </w:r>
            <w:proofErr w:type="spellEnd"/>
            <w:r>
              <w:rPr>
                <w:rFonts w:ascii="Times New Roman" w:hAnsi="Times New Roman" w:cs="Times New Roman"/>
                <w:color w:val="000000"/>
                <w:sz w:val="24"/>
                <w:szCs w:val="24"/>
              </w:rPr>
              <w:t xml:space="preserve"> elektrolīnijas </w:t>
            </w:r>
            <w:proofErr w:type="spellStart"/>
            <w:r>
              <w:rPr>
                <w:rFonts w:ascii="Times New Roman" w:hAnsi="Times New Roman" w:cs="Times New Roman"/>
                <w:color w:val="000000"/>
                <w:sz w:val="24"/>
                <w:szCs w:val="24"/>
              </w:rPr>
              <w:t>spriegumaktīvas</w:t>
            </w:r>
            <w:proofErr w:type="spellEnd"/>
            <w:r>
              <w:rPr>
                <w:rFonts w:ascii="Times New Roman" w:hAnsi="Times New Roman" w:cs="Times New Roman"/>
                <w:color w:val="000000"/>
                <w:sz w:val="24"/>
                <w:szCs w:val="24"/>
              </w:rPr>
              <w:t>!), lokalizēšanu un novēršanu (darbs augstumā) arī diennakts tumšajā laikā un nedrošos vides apstākļos (joprojām pastiprināts vējš, negaiss, sniegputenis). Jau šobrīd AS "Sadales tīkls" vērtē katru pārtraukumu, tajā iesaistīto klientu skaitu un raksturu, un nepieciešamības gadījumā organizē bojājumu novēršanu arī diennakts tumšajā laikā, ja ieguvumi ir samērīgi ar radītajiem papildus riskiem. Jāuzsver, ka AS "Sadales tīkls" kā mūsdienīgam sociāli atbildīgam uzņēmumam darbinieku veselība un drošība ir pirmajā vietā!</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Symbol" w:hAnsi="Symbol" w:cs="Symbol"/>
                <w:color w:val="000000"/>
                <w:sz w:val="24"/>
                <w:szCs w:val="24"/>
              </w:rPr>
              <w:t></w:t>
            </w:r>
            <w:r>
              <w:rPr>
                <w:rFonts w:ascii="Symbol" w:hAnsi="Symbol" w:cs="Symbol"/>
                <w:color w:val="000000"/>
                <w:sz w:val="24"/>
                <w:szCs w:val="24"/>
              </w:rPr>
              <w:tab/>
            </w:r>
            <w:r>
              <w:rPr>
                <w:rFonts w:ascii="Times New Roman" w:hAnsi="Times New Roman" w:cs="Times New Roman"/>
                <w:b/>
                <w:bCs/>
                <w:color w:val="000000"/>
                <w:sz w:val="24"/>
                <w:szCs w:val="24"/>
              </w:rPr>
              <w:t>pārmaksu par pakalpojumu</w:t>
            </w:r>
            <w:r>
              <w:rPr>
                <w:rFonts w:ascii="Times New Roman" w:hAnsi="Times New Roman" w:cs="Times New Roman"/>
                <w:color w:val="000000"/>
                <w:sz w:val="24"/>
                <w:szCs w:val="24"/>
              </w:rPr>
              <w:t xml:space="preserve"> lietotājiem, kam šāds drošuma līmenis nav nepieciešams. Ir jāņem vērā, ka objektu raksturs ir ļoti dažāds (vasaras un brīvdienu mājas, garāžas, mednieku namiņi u.t.t.) un ne vienmēr sistēmas lietotājam elektroapgādes atjaunošana objektā ir nepieciešama pat līdz šim noteiktajās 24h. Obligātā elektroapgādes drošuma standarta paaugstināšanas rezultātā daļa lietotāju būtu spiesta pārmaksāt par pakalpojuma kvalitāti, kas tiem faktiski nav nepieciešama un būtu lētāk īstenojama ar risinājumiem savā elektroietaisē.</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 "Sadales tīkls" pilnībā atbalsta Ekonomikas ministrijas nodomu aizsargāt visu Latvijas elektroenerģijas lietotāju tiesības saņemt nepārtrauktu elektroapgādi, neatkarīgi no atrašanas vietas vai sistēmas operatora, kas nodrošina šos pakalpojumu. Lai motivētu visus elektroenerģijas sistēmas operatorus, t.sk. pārvades sistēmas operatoru un mazos sadales sistēmas operatorus, uzlabot elektroapgādes drošuma rādītājus un mazināt pārtraukumu novēršanas laiku, </w:t>
            </w:r>
            <w:r>
              <w:rPr>
                <w:rFonts w:ascii="Times New Roman" w:hAnsi="Times New Roman" w:cs="Times New Roman"/>
                <w:b/>
                <w:bCs/>
                <w:color w:val="000000"/>
                <w:sz w:val="24"/>
                <w:szCs w:val="24"/>
              </w:rPr>
              <w:t>AS "Sadales tīkls" atbalsta Ekonomikas ministrijas ierosinājumu attīstīt pārtraukumu kompensāciju mehānismu</w:t>
            </w:r>
            <w:r>
              <w:rPr>
                <w:rFonts w:ascii="Times New Roman" w:hAnsi="Times New Roman" w:cs="Times New Roman"/>
                <w:color w:val="000000"/>
                <w:sz w:val="24"/>
                <w:szCs w:val="24"/>
              </w:rPr>
              <w:t xml:space="preserve">, pārskatot pārtraukuma ilgumu, kura pārsniegšanas gadījumā sistēmas lietotājam piemērojama kompensācija. Kompensāciju mehānisma attīstība līdzsvaros sistēmas lietotāja un sistēmas operatora intereses, tomēr neatstās tik būtisku ietekmi uz sistēmas pakalpojuma izmaksām pārējiem lietotājiem, kuriem jau šobrīd 98.2% gadījumu bojājums tiek novērsts 12 stundās. Būtiskākais esošā pārtraukumu kompensācijas mehānisma trūkums varētu būt tas, ka mehānisms netiek attiecināts vienlīdzīgi uz visiem sistēmas operatoriem (nav vienlīdzīgi piemērojams visiem Latvijā esošajiem elektroenerģijas lietotājiem) un ka kompensācijas apmērs nav gradēts atkarībā no faktiskā pārtraukuma ilguma. Trūkst tiesiska pamatojuma, kādēļ pret visiem operatoriem un sistēmas lietotājiem nav ievēroti vienlīdzīgi nosacījumi. Piemēram, Igaunijā un citur Ziemeļvalstīs </w:t>
            </w:r>
            <w:r>
              <w:rPr>
                <w:rFonts w:ascii="Times New Roman" w:hAnsi="Times New Roman" w:cs="Times New Roman"/>
                <w:color w:val="000000"/>
                <w:sz w:val="24"/>
                <w:szCs w:val="24"/>
              </w:rPr>
              <w:lastRenderedPageBreak/>
              <w:t>(Somija, Zviedrija) nosacījumi par kompensācijas piemērošanu tiek piemēroti visiem sistēmas operatoriem, t.sk. pārvades sistēmas operatoriem, un kompensācijas apmērs tiek gradēts atkarībā no elektroapgādes pārtraukuma ilguma, kas ekonomiski motivē pārtraukumu novērst pēc iespējas ātrākā laikā arī gadījumā, ja pārsniegts sākotnējais slieksnis no kura jāsāk kompensēt pārtraukumi. Kā negatīvo aspektu kompensāciju mehānisma attīstībai AS "Sadales tīkls" saskata kompensāciju administrēšanas informācijas sistēmas izveidi un integrēšanu tirgus ziņojumu un datu apmaiņas procesos, kuru izstrādes un uzturēšanas izmaksas attiecībā pret pārtraukumu skaitu un kompensāciju apmēru būtu relatīvi augstas. AS "Sadales tīkls" sākotnējā aplēse liecina, ka kompensāciju mehānisma izstrādes un uzturēšanas informācijas sistēmas izmaksas kā minimums sasniegtu 100 tūkst. EUR.  Kompensāciju mehānisma izstrādes un uzturēšanas izmaksām no regulatora puses jātiek atzītām par operatora pamatotām izmaksām un tām ir jābūt iekļautām sistēmas operatoru pakalpojumu tarifos. Bez informāciju sistēmas izstrādes, pārtraukumos virs 12h iesaistīto objektu skaita dēļ (~4000 gadā), regulējumu nebūtu praktiski iespējams piemērot, atšķirībā no esošās situācijas (24h), kad attiecīgu objektu skaits nepārsniedz 10.</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Atbilstoši esošajiem Noteikumiem, kompensācija par pārtraukumu nav piemērojama, ja pārtraukuma iestāšanās brīdī attiecīgajā reģionā bijis izsludināts valsts sabiedrības ar ierobežotu atbildību “Latvijas vides, ģeoloģijas un meteoroloģijas centrs” (turpmāk – LVĢMC) dzeltenais brīdinājums par bīstamiem laika apstākļiem. Atbilstoši Ziņojumam, dzelteno brīdinājumu piedāvāts aizstāt ar oranžo brīdinājumu.  Jānorāda, ka dzeltenais brīdinājums tiek izsludināts pie vētras spēka vēja ātruma robežās 20-24 m/s, savukārt oranžais - robežās 25-32 m/s. Pie abu brīdinājuma līmeņu vēja ātruma ir ierobežotas iespējas veikt darbu augstumā (darbi gaisvadu elektrotīklā) dēļ drošības prasībām – montieriem aizliegts pacelties balstā, ja vēja ātrums pārsniedz 12 m/s, ar pacēlāju aizliegts veikt darbus, ja vēja ātrums pārsniedz 10 m/s, kā arī negaisa, stipra lietus, miglas un sniegputeņa laikā, kad ir apgrūtināta redzamība, kā arī ja gaisa temperatūra ir zemāka par pacēlāja ražotāja noteikto temperatūru. Nelabvēlīgie laikapstākļi var sākties ar dzeltenā līmeņa brīdinājumu, pastiprināties līdz oranžajam līmenim un noslēgties atkal ar dzeltenā līmeņa brīdinājumu. Turklāt arvien biežāk klimata pārmaiņu rezultātā arī Latvijā saskaramies ar ļoti spēcīgām lokālām vētrām, kas novērojamas arī pie LVĢMC dzeltenā brīdinājuma līmeņa un rada nozīmīgus lokālus elektroapgādes traucējumus. 2021.gadā dzeltenais brīdinājums kopumā jau bijis izsludināts vairāk nekā 857h, oranžais - 125h, sarkanais - 18h. Šajā laikā operatora iespējas operatīvi novērst neplānotos elektroapgādes pārtraukumus ir bijušas kavētas. Sadales elektrosistēma vēsturiski ir veidojusies ilgstošā periodā un liela daļa gaisvadu elektrotīkla joprojām ir būtiski atkarīga no laika apstākļu negatīvās ietekmes, lai gan pakāpeniski tiek pārbūvēta drošākā izpildījumā. Strauja sistēmas pārbūve un vēl labā tehniskā stāvoklī esošo tīkla elementu priekšlaicīga pārbūve nebūtu ekonomiski pamatota, jo tas radītu papildu izmaksu slogu sistēmas lietotājiem, tāpēc pastāv relatīvs līdzsvara punkts starp esošajām pakalpojuma izmaksām un drošuma rādītājiem. Pārtraukumu kompensāciju mehānisma jēga nav sodīt operatoru, bet motivēt operatoru nodrošināt maksimāli augstu energoapgādes drošumu tajos aspektos, ko operators objektīvi var ietekmēt. Joprojām ir ļoti ierobežotas operatora iespējas novērst laika apstākļu negatīvās ietekmes uz elektrosistēmas darbību, tāpēc LVĢMC brīdinājumu sistēmas izmantošana tika saskatīta kā objektīvs trešās puses vērtējums, kas ļauj nošķirt tos bojājumus, kas radušies neierastu laika apstākļu ietekmē un kuru novēršana var būt kavēta vienlaicīgi liela bojājumu skaita vai ārējo apstākļu dēļ. Atbilstoši LVĢMC skaidrojumam, dzeltenais brīdinājums tiek izziņots par stipras intensitātes meteoroloģiskajām parādībām  - vējš 20-24 m/s, stiprs sniegs (sniega segas pieaugums 5-9 cm), stiprs apledojums (sasalstoši nokrišņi), stiprs slapja sniega nogulums, stiprs pērkona negaiss. Tie visi ir apstākļi, kas var radīt būtisku ietekmi uz sistēmas darbību un kuros darba drošības apsvērumu dēļ ir kavēta bojājumu novēršana. Turklāt pēc dzeltenā brīdinājuma secīgi var sekot augstākas bīstamības brīdinājums, kas pārtraukumu novēršanu var kavēt. </w:t>
            </w:r>
            <w:r>
              <w:rPr>
                <w:rFonts w:ascii="Times New Roman" w:hAnsi="Times New Roman" w:cs="Times New Roman"/>
                <w:b/>
                <w:bCs/>
                <w:color w:val="000000"/>
                <w:sz w:val="24"/>
                <w:szCs w:val="24"/>
              </w:rPr>
              <w:lastRenderedPageBreak/>
              <w:t>Šobrīd nav saskatāms objektīvs pamatojums kritērija mainīšanai.</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Ņemot vērā iepriekš minēto, </w:t>
            </w:r>
            <w:r>
              <w:rPr>
                <w:rFonts w:ascii="Times New Roman" w:hAnsi="Times New Roman" w:cs="Times New Roman"/>
                <w:b/>
                <w:bCs/>
                <w:color w:val="000000"/>
                <w:sz w:val="24"/>
                <w:szCs w:val="24"/>
              </w:rPr>
              <w:t>AS "Sadales tīkls" ierosina:</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r>
            <w:r>
              <w:rPr>
                <w:rFonts w:ascii="Times New Roman" w:hAnsi="Times New Roman" w:cs="Times New Roman"/>
                <w:b/>
                <w:bCs/>
                <w:color w:val="000000"/>
                <w:sz w:val="24"/>
                <w:szCs w:val="24"/>
              </w:rPr>
              <w:t xml:space="preserve">nemainīt līdz šim noteikto pieļaujamo elektroapgādes neplānoto pārtraukumu novēršanas laiku – 24h, </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rPr>
              <w:tab/>
            </w:r>
            <w:r>
              <w:rPr>
                <w:rFonts w:ascii="Times New Roman" w:hAnsi="Times New Roman" w:cs="Times New Roman"/>
                <w:b/>
                <w:bCs/>
                <w:color w:val="000000"/>
                <w:sz w:val="24"/>
                <w:szCs w:val="24"/>
              </w:rPr>
              <w:t>veidot regulējumu, kas ļautu lietotājam pašam izvēlēties sev nepieciešamo paaugstināta elektroapgādes drošuma līmeni (lietotāju grupas pēc elektroapgādes nepārtrauktības prasībām) neatkarīgi no tā atrašanās vietas (pilsētā, laukos) un atkarībā no izvēlētā drošuma līmeņa veidot (segt izmaksas) atbilstošu pieslēgumu sistēmai un maksāt atšķirīgu tarifu,</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3)</w:t>
            </w:r>
            <w:r>
              <w:rPr>
                <w:rFonts w:ascii="Times New Roman" w:hAnsi="Times New Roman" w:cs="Times New Roman"/>
                <w:color w:val="000000"/>
                <w:sz w:val="24"/>
                <w:szCs w:val="24"/>
              </w:rPr>
              <w:tab/>
            </w:r>
            <w:r>
              <w:rPr>
                <w:rFonts w:ascii="Times New Roman" w:hAnsi="Times New Roman" w:cs="Times New Roman"/>
                <w:b/>
                <w:bCs/>
                <w:color w:val="000000"/>
                <w:sz w:val="24"/>
                <w:szCs w:val="24"/>
              </w:rPr>
              <w:t>izveidot visus sistēmas operatoru lietotājus iekļaujošu pārtraukumu kompensācijas mehānismu, vienlaikus pārvērtējot laika periodus un kompensācijas apmērus,</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4)</w:t>
            </w:r>
            <w:r>
              <w:rPr>
                <w:rFonts w:ascii="Times New Roman" w:hAnsi="Times New Roman" w:cs="Times New Roman"/>
                <w:color w:val="000000"/>
                <w:sz w:val="24"/>
                <w:szCs w:val="24"/>
              </w:rPr>
              <w:tab/>
            </w:r>
            <w:r>
              <w:rPr>
                <w:rFonts w:ascii="Times New Roman" w:hAnsi="Times New Roman" w:cs="Times New Roman"/>
                <w:b/>
                <w:bCs/>
                <w:color w:val="000000"/>
                <w:sz w:val="24"/>
                <w:szCs w:val="24"/>
              </w:rPr>
              <w:t>nemainīt kompensācijas piemērošanas nosacījumus attiecībā uz LVĢMC brīdinājumu līmeņiem – saglabāt dzelteno brīdinājumu kā kritēriju Noteikumos.</w:t>
            </w:r>
          </w:p>
          <w:p w:rsidR="009E4C1D" w:rsidRDefault="009E4C1D" w:rsidP="009E4C1D">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p>
        </w:tc>
      </w:tr>
      <w:bookmarkEnd w:id="0"/>
    </w:tbl>
    <w:p w:rsidR="009E4C1D" w:rsidRDefault="009E4C1D" w:rsidP="009E4C1D">
      <w:pPr>
        <w:autoSpaceDE w:val="0"/>
        <w:autoSpaceDN w:val="0"/>
        <w:adjustRightInd w:val="0"/>
        <w:spacing w:after="0" w:line="240" w:lineRule="auto"/>
        <w:rPr>
          <w:rFonts w:ascii="Times New Roman" w:hAnsi="Times New Roman" w:cs="Times New Roman"/>
          <w:b/>
          <w:bCs/>
          <w:color w:val="000000"/>
          <w:sz w:val="24"/>
          <w:szCs w:val="24"/>
        </w:rPr>
      </w:pPr>
    </w:p>
    <w:p w:rsidR="009E4C1D" w:rsidRDefault="009E4C1D" w:rsidP="009E4C1D">
      <w:pPr>
        <w:autoSpaceDE w:val="0"/>
        <w:autoSpaceDN w:val="0"/>
        <w:adjustRightInd w:val="0"/>
        <w:spacing w:after="0" w:line="240" w:lineRule="auto"/>
        <w:rPr>
          <w:rFonts w:ascii="Times New Roman" w:hAnsi="Times New Roman" w:cs="Times New Roman"/>
          <w:b/>
          <w:bCs/>
          <w:color w:val="000000"/>
          <w:sz w:val="24"/>
          <w:szCs w:val="24"/>
        </w:rPr>
      </w:pPr>
    </w:p>
    <w:p w:rsidR="009E4C1D" w:rsidRDefault="009E4C1D" w:rsidP="009E4C1D">
      <w:pPr>
        <w:autoSpaceDE w:val="0"/>
        <w:autoSpaceDN w:val="0"/>
        <w:adjustRightInd w:val="0"/>
        <w:spacing w:after="0" w:line="240" w:lineRule="auto"/>
        <w:rPr>
          <w:rFonts w:ascii="Times New Roman" w:hAnsi="Times New Roman" w:cs="Times New Roman"/>
          <w:i/>
          <w:iCs/>
          <w:color w:val="000000"/>
          <w:sz w:val="20"/>
          <w:szCs w:val="20"/>
        </w:rPr>
      </w:pPr>
      <w:r>
        <w:rPr>
          <w:rFonts w:ascii="Times New Roman" w:hAnsi="Times New Roman" w:cs="Times New Roman"/>
          <w:i/>
          <w:iCs/>
          <w:color w:val="000000"/>
          <w:sz w:val="20"/>
          <w:szCs w:val="20"/>
        </w:rPr>
        <w:t>Šis dokuments ir parakstīts ar drošu elektronisko parakstu un satur laika zīmogu.</w:t>
      </w:r>
    </w:p>
    <w:p w:rsidR="009E4C1D" w:rsidRDefault="009E4C1D" w:rsidP="009E4C1D">
      <w:pPr>
        <w:autoSpaceDE w:val="0"/>
        <w:autoSpaceDN w:val="0"/>
        <w:adjustRightInd w:val="0"/>
        <w:spacing w:after="0" w:line="240" w:lineRule="auto"/>
        <w:rPr>
          <w:rFonts w:ascii="Times New Roman" w:hAnsi="Times New Roman" w:cs="Times New Roman"/>
          <w:i/>
          <w:iCs/>
          <w:color w:val="000000"/>
          <w:sz w:val="20"/>
          <w:szCs w:val="20"/>
        </w:rPr>
      </w:pPr>
    </w:p>
    <w:tbl>
      <w:tblPr>
        <w:tblW w:w="5000" w:type="pct"/>
        <w:tblCellMar>
          <w:left w:w="0" w:type="dxa"/>
          <w:right w:w="0" w:type="dxa"/>
        </w:tblCellMar>
        <w:tblLook w:val="00A0" w:firstRow="1" w:lastRow="0" w:firstColumn="1" w:lastColumn="0" w:noHBand="0" w:noVBand="0"/>
      </w:tblPr>
      <w:tblGrid>
        <w:gridCol w:w="4386"/>
        <w:gridCol w:w="276"/>
        <w:gridCol w:w="4409"/>
      </w:tblGrid>
      <w:tr w:rsidR="009E4C1D" w:rsidTr="009E4C1D">
        <w:tc>
          <w:tcPr>
            <w:tcW w:w="2418" w:type="pct"/>
          </w:tcPr>
          <w:p w:rsidR="009E4C1D" w:rsidRDefault="009E4C1D" w:rsidP="009E4C1D">
            <w:pPr>
              <w:keepLines/>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Attīstības direktors</w:t>
            </w:r>
            <w:r>
              <w:rPr>
                <w:rFonts w:ascii="Times New Roman" w:hAnsi="Times New Roman" w:cs="Times New Roman"/>
                <w:color w:val="000000"/>
                <w:sz w:val="24"/>
                <w:szCs w:val="24"/>
              </w:rPr>
              <w:br/>
              <w:t>Tehniskais direktors</w:t>
            </w:r>
          </w:p>
        </w:tc>
        <w:tc>
          <w:tcPr>
            <w:tcW w:w="152" w:type="pct"/>
          </w:tcPr>
          <w:p w:rsidR="009E4C1D" w:rsidRDefault="009E4C1D" w:rsidP="009E4C1D">
            <w:pPr>
              <w:keepLines/>
              <w:autoSpaceDE w:val="0"/>
              <w:autoSpaceDN w:val="0"/>
              <w:adjustRightInd w:val="0"/>
              <w:spacing w:after="0" w:line="360" w:lineRule="auto"/>
              <w:ind w:left="15"/>
              <w:rPr>
                <w:rFonts w:ascii="Times New Roman" w:hAnsi="Times New Roman" w:cs="Times New Roman"/>
                <w:color w:val="000000"/>
                <w:sz w:val="24"/>
                <w:szCs w:val="24"/>
              </w:rPr>
            </w:pPr>
          </w:p>
        </w:tc>
        <w:tc>
          <w:tcPr>
            <w:tcW w:w="2430" w:type="pct"/>
          </w:tcPr>
          <w:p w:rsidR="009E4C1D" w:rsidRDefault="009E4C1D" w:rsidP="009E4C1D">
            <w:pPr>
              <w:keepLines/>
              <w:autoSpaceDE w:val="0"/>
              <w:autoSpaceDN w:val="0"/>
              <w:adjustRightInd w:val="0"/>
              <w:spacing w:after="0" w:line="360" w:lineRule="auto"/>
              <w:ind w:left="15" w:right="283"/>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Jānis </w:t>
            </w:r>
            <w:proofErr w:type="spellStart"/>
            <w:r>
              <w:rPr>
                <w:rFonts w:ascii="Times New Roman" w:hAnsi="Times New Roman" w:cs="Times New Roman"/>
                <w:color w:val="000000"/>
                <w:sz w:val="24"/>
                <w:szCs w:val="24"/>
              </w:rPr>
              <w:t>Kirkovalds</w:t>
            </w:r>
            <w:proofErr w:type="spellEnd"/>
            <w:r>
              <w:rPr>
                <w:rFonts w:ascii="Times New Roman" w:hAnsi="Times New Roman" w:cs="Times New Roman"/>
                <w:color w:val="000000"/>
                <w:sz w:val="24"/>
                <w:szCs w:val="24"/>
              </w:rPr>
              <w:br/>
              <w:t xml:space="preserve">Raimonds </w:t>
            </w:r>
            <w:proofErr w:type="spellStart"/>
            <w:r>
              <w:rPr>
                <w:rFonts w:ascii="Times New Roman" w:hAnsi="Times New Roman" w:cs="Times New Roman"/>
                <w:color w:val="000000"/>
                <w:sz w:val="24"/>
                <w:szCs w:val="24"/>
              </w:rPr>
              <w:t>Skrebs</w:t>
            </w:r>
            <w:proofErr w:type="spellEnd"/>
          </w:p>
        </w:tc>
      </w:tr>
    </w:tbl>
    <w:p w:rsidR="009E4C1D" w:rsidRDefault="009E4C1D" w:rsidP="009E4C1D">
      <w:pPr>
        <w:autoSpaceDE w:val="0"/>
        <w:autoSpaceDN w:val="0"/>
        <w:adjustRightInd w:val="0"/>
        <w:spacing w:after="0" w:line="240" w:lineRule="auto"/>
        <w:rPr>
          <w:rFonts w:ascii="Times New Roman" w:hAnsi="Times New Roman" w:cs="Times New Roman"/>
          <w:color w:val="000000"/>
          <w:sz w:val="24"/>
          <w:szCs w:val="24"/>
        </w:rPr>
      </w:pPr>
    </w:p>
    <w:p w:rsidR="009E4C1D" w:rsidRDefault="009E4C1D" w:rsidP="009E4C1D">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9E4C1D" w:rsidTr="009E4C1D">
        <w:tc>
          <w:tcPr>
            <w:tcW w:w="5000" w:type="pct"/>
          </w:tcPr>
          <w:p w:rsidR="009E4C1D" w:rsidRDefault="009E4C1D" w:rsidP="009E4C1D">
            <w:pPr>
              <w:keepLine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Agris </w:t>
            </w:r>
            <w:proofErr w:type="spellStart"/>
            <w:r>
              <w:rPr>
                <w:rFonts w:ascii="Times New Roman" w:hAnsi="Times New Roman" w:cs="Times New Roman"/>
                <w:color w:val="000000"/>
                <w:sz w:val="20"/>
                <w:szCs w:val="20"/>
              </w:rPr>
              <w:t>Kurms</w:t>
            </w:r>
            <w:proofErr w:type="spellEnd"/>
            <w:r>
              <w:rPr>
                <w:rFonts w:ascii="Times New Roman" w:hAnsi="Times New Roman" w:cs="Times New Roman"/>
                <w:color w:val="000000"/>
                <w:sz w:val="20"/>
                <w:szCs w:val="20"/>
              </w:rPr>
              <w:t xml:space="preserve"> 25482243</w:t>
            </w:r>
            <w:r>
              <w:rPr>
                <w:rFonts w:ascii="Times New Roman" w:hAnsi="Times New Roman" w:cs="Times New Roman"/>
                <w:color w:val="000000"/>
                <w:sz w:val="20"/>
                <w:szCs w:val="20"/>
              </w:rPr>
              <w:br/>
              <w:t xml:space="preserve">Liene </w:t>
            </w:r>
            <w:proofErr w:type="spellStart"/>
            <w:r>
              <w:rPr>
                <w:rFonts w:ascii="Times New Roman" w:hAnsi="Times New Roman" w:cs="Times New Roman"/>
                <w:color w:val="000000"/>
                <w:sz w:val="20"/>
                <w:szCs w:val="20"/>
              </w:rPr>
              <w:t>Lauceniece-Ivaņinoka</w:t>
            </w:r>
            <w:proofErr w:type="spellEnd"/>
            <w:r>
              <w:rPr>
                <w:rFonts w:ascii="Times New Roman" w:hAnsi="Times New Roman" w:cs="Times New Roman"/>
                <w:color w:val="000000"/>
                <w:sz w:val="20"/>
                <w:szCs w:val="20"/>
              </w:rPr>
              <w:t xml:space="preserve"> 29791243</w:t>
            </w:r>
          </w:p>
        </w:tc>
      </w:tr>
    </w:tbl>
    <w:p w:rsidR="005766AC" w:rsidRPr="00E77323" w:rsidRDefault="005766AC" w:rsidP="009E4C1D">
      <w:pPr>
        <w:rPr>
          <w:rFonts w:ascii="Times New Roman" w:hAnsi="Times New Roman" w:cs="Times New Roman"/>
          <w:sz w:val="24"/>
          <w:szCs w:val="24"/>
        </w:rPr>
      </w:pPr>
    </w:p>
    <w:sectPr w:rsidR="005766AC" w:rsidRPr="00E77323" w:rsidSect="007F566F">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0D10" w:rsidRDefault="00EC0D10" w:rsidP="00117405">
      <w:pPr>
        <w:spacing w:after="0" w:line="240" w:lineRule="auto"/>
      </w:pPr>
      <w:r>
        <w:separator/>
      </w:r>
    </w:p>
  </w:endnote>
  <w:endnote w:type="continuationSeparator" w:id="0">
    <w:p w:rsidR="00EC0D10" w:rsidRDefault="00EC0D10" w:rsidP="0011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C1D" w:rsidRDefault="009E4C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C1D" w:rsidRDefault="009E4C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C1D" w:rsidRDefault="009E4C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0D10" w:rsidRDefault="00EC0D10" w:rsidP="00117405">
      <w:pPr>
        <w:spacing w:after="0" w:line="240" w:lineRule="auto"/>
      </w:pPr>
      <w:r>
        <w:separator/>
      </w:r>
    </w:p>
  </w:footnote>
  <w:footnote w:type="continuationSeparator" w:id="0">
    <w:p w:rsidR="00EC0D10" w:rsidRDefault="00EC0D10" w:rsidP="00117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C1D" w:rsidRDefault="009E4C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C1D" w:rsidRDefault="009E4C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1"/>
    </w:tblGrid>
    <w:tr w:rsidR="007F566F" w:rsidRPr="007F566F" w:rsidTr="007F566F">
      <w:trPr>
        <w:cantSplit/>
        <w:trHeight w:val="3515"/>
        <w:jc w:val="center"/>
      </w:trPr>
      <w:tc>
        <w:tcPr>
          <w:tcW w:w="9061" w:type="dxa"/>
        </w:tcPr>
        <w:p w:rsidR="007F566F" w:rsidRPr="007F566F" w:rsidRDefault="007F566F">
          <w:pPr>
            <w:pStyle w:val="Header"/>
            <w:rPr>
              <w:rFonts w:ascii="Times New Roman" w:hAnsi="Times New Roman" w:cs="Times New Roman"/>
              <w:b/>
              <w:sz w:val="24"/>
              <w:szCs w:val="24"/>
            </w:rPr>
          </w:pPr>
        </w:p>
      </w:tc>
    </w:tr>
  </w:tbl>
  <w:p w:rsidR="00526744" w:rsidRDefault="00526744">
    <w:pPr>
      <w:pStyle w:val="Header"/>
    </w:pPr>
    <w:r>
      <w:rPr>
        <w:rFonts w:ascii="Times New Roman" w:hAnsi="Times New Roman" w:cs="Times New Roman"/>
        <w:noProof/>
        <w:sz w:val="24"/>
        <w:szCs w:val="24"/>
        <w:lang w:eastAsia="lv-LV"/>
      </w:rPr>
      <w:drawing>
        <wp:anchor distT="0" distB="0" distL="114300" distR="114300" simplePos="0" relativeHeight="251661312" behindDoc="1" locked="0" layoutInCell="1" allowOverlap="1" wp14:anchorId="5F15931C" wp14:editId="59B985AB">
          <wp:simplePos x="0" y="0"/>
          <wp:positionH relativeFrom="column">
            <wp:posOffset>-989965</wp:posOffset>
          </wp:positionH>
          <wp:positionV relativeFrom="page">
            <wp:posOffset>-25400</wp:posOffset>
          </wp:positionV>
          <wp:extent cx="7570800" cy="2098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veidlapa 2013_augsa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800" cy="2098800"/>
                  </a:xfrm>
                  <a:prstGeom prst="rect">
                    <a:avLst/>
                  </a:prstGeom>
                </pic:spPr>
              </pic:pic>
            </a:graphicData>
          </a:graphic>
          <wp14:sizeRelH relativeFrom="page">
            <wp14:pctWidth>0</wp14:pctWidth>
          </wp14:sizeRelH>
          <wp14:sizeRelV relativeFrom="page">
            <wp14:pctHeight>0</wp14:pctHeight>
          </wp14:sizeRelV>
        </wp:anchor>
      </w:drawing>
    </w:r>
  </w:p>
  <w:p w:rsidR="009E4C1D" w:rsidRPr="009E4C1D" w:rsidRDefault="009E4C1D">
    <w:pPr>
      <w:pStyle w:val="Head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C1D"/>
    <w:rsid w:val="00046C5E"/>
    <w:rsid w:val="00117405"/>
    <w:rsid w:val="001D1AD2"/>
    <w:rsid w:val="002302EC"/>
    <w:rsid w:val="003E571F"/>
    <w:rsid w:val="003F7941"/>
    <w:rsid w:val="00454313"/>
    <w:rsid w:val="00476996"/>
    <w:rsid w:val="00526744"/>
    <w:rsid w:val="00561709"/>
    <w:rsid w:val="005766AC"/>
    <w:rsid w:val="006232BF"/>
    <w:rsid w:val="00627FAE"/>
    <w:rsid w:val="006512F4"/>
    <w:rsid w:val="006D2C65"/>
    <w:rsid w:val="006E16AC"/>
    <w:rsid w:val="00707C55"/>
    <w:rsid w:val="00717B9A"/>
    <w:rsid w:val="007F566F"/>
    <w:rsid w:val="0083724C"/>
    <w:rsid w:val="008B458C"/>
    <w:rsid w:val="00974D29"/>
    <w:rsid w:val="009B414B"/>
    <w:rsid w:val="009C5EBC"/>
    <w:rsid w:val="009E4C1D"/>
    <w:rsid w:val="00A32671"/>
    <w:rsid w:val="00B95B3B"/>
    <w:rsid w:val="00BF2CBA"/>
    <w:rsid w:val="00D12EA2"/>
    <w:rsid w:val="00D9691A"/>
    <w:rsid w:val="00DA5174"/>
    <w:rsid w:val="00E41C97"/>
    <w:rsid w:val="00E77323"/>
    <w:rsid w:val="00EC0D10"/>
    <w:rsid w:val="00EF2E06"/>
    <w:rsid w:val="00FF4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AA9237-22FA-4720-A49D-671E88105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32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2BF"/>
    <w:rPr>
      <w:rFonts w:ascii="Tahoma" w:hAnsi="Tahoma" w:cs="Tahoma"/>
      <w:sz w:val="16"/>
      <w:szCs w:val="16"/>
    </w:rPr>
  </w:style>
  <w:style w:type="paragraph" w:styleId="Header">
    <w:name w:val="header"/>
    <w:basedOn w:val="Normal"/>
    <w:link w:val="HeaderChar"/>
    <w:uiPriority w:val="99"/>
    <w:unhideWhenUsed/>
    <w:rsid w:val="001174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7405"/>
  </w:style>
  <w:style w:type="paragraph" w:styleId="Footer">
    <w:name w:val="footer"/>
    <w:basedOn w:val="Normal"/>
    <w:link w:val="FooterChar"/>
    <w:uiPriority w:val="99"/>
    <w:unhideWhenUsed/>
    <w:rsid w:val="001174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7405"/>
  </w:style>
  <w:style w:type="table" w:styleId="TableGrid">
    <w:name w:val="Table Grid"/>
    <w:basedOn w:val="TableNormal"/>
    <w:uiPriority w:val="59"/>
    <w:rsid w:val="007F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ira.armane\Desktop\//Users/ismiltin/AppData/Local/Temp/ST_veidlapa_WORD_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ST_veidlapa_WORD_2021.dotx</Template>
  <TotalTime>2</TotalTime>
  <Pages>5</Pages>
  <Words>10964</Words>
  <Characters>6250</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17180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 Smiltiņa</dc:creator>
  <cp:lastModifiedBy>Daira Armane</cp:lastModifiedBy>
  <cp:revision>2</cp:revision>
  <dcterms:created xsi:type="dcterms:W3CDTF">2021-09-01T14:58:00Z</dcterms:created>
  <dcterms:modified xsi:type="dcterms:W3CDTF">2021-09-01T14:58:00Z</dcterms:modified>
</cp:coreProperties>
</file>