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35E8" w14:textId="77777777" w:rsidR="008F1BD3" w:rsidRDefault="008F1BD3" w:rsidP="008F1BD3">
      <w:pPr>
        <w:spacing w:after="0" w:line="240" w:lineRule="auto"/>
        <w:ind w:left="714" w:hanging="357"/>
        <w:jc w:val="right"/>
        <w:rPr>
          <w:rFonts w:ascii="Times New Roman" w:eastAsiaTheme="minorEastAsia" w:hAnsi="Times New Roman"/>
          <w:b/>
          <w:bCs/>
          <w:sz w:val="24"/>
          <w:szCs w:val="24"/>
          <w:lang w:eastAsia="lv-LV"/>
        </w:rPr>
      </w:pPr>
      <w:bookmarkStart w:id="0" w:name="_Hlk63159736"/>
      <w:bookmarkStart w:id="1" w:name="_GoBack"/>
      <w:bookmarkEnd w:id="1"/>
      <w:r>
        <w:rPr>
          <w:rFonts w:ascii="Times New Roman" w:eastAsiaTheme="minorEastAsia" w:hAnsi="Times New Roman"/>
          <w:b/>
          <w:bCs/>
          <w:sz w:val="24"/>
          <w:szCs w:val="24"/>
          <w:lang w:eastAsia="lv-LV"/>
        </w:rPr>
        <w:t>Valsts kancelejai</w:t>
      </w:r>
    </w:p>
    <w:p w14:paraId="5B5022DB" w14:textId="69001FD9" w:rsidR="008F1BD3" w:rsidRPr="00F95272" w:rsidRDefault="001D2816" w:rsidP="008F1BD3">
      <w:pPr>
        <w:spacing w:after="0" w:line="240" w:lineRule="auto"/>
        <w:ind w:left="714" w:hanging="357"/>
        <w:jc w:val="right"/>
        <w:rPr>
          <w:rFonts w:ascii="Times New Roman" w:eastAsiaTheme="minorEastAsia" w:hAnsi="Times New Roman"/>
          <w:sz w:val="24"/>
          <w:szCs w:val="24"/>
          <w:lang w:eastAsia="lv-LV"/>
        </w:rPr>
      </w:pPr>
      <w:hyperlink r:id="rId8" w:history="1">
        <w:r w:rsidR="00F95272" w:rsidRPr="00F95272">
          <w:rPr>
            <w:rStyle w:val="Hyperlink"/>
            <w:rFonts w:ascii="Times New Roman" w:eastAsiaTheme="minorEastAsia" w:hAnsi="Times New Roman"/>
            <w:color w:val="auto"/>
            <w:sz w:val="24"/>
            <w:szCs w:val="24"/>
            <w:lang w:eastAsia="lv-LV"/>
          </w:rPr>
          <w:t>vk@mk.gov.lv</w:t>
        </w:r>
      </w:hyperlink>
      <w:r w:rsidR="00F95272" w:rsidRPr="00F95272">
        <w:rPr>
          <w:rFonts w:ascii="Times New Roman" w:eastAsiaTheme="minorEastAsia" w:hAnsi="Times New Roman"/>
          <w:sz w:val="24"/>
          <w:szCs w:val="24"/>
          <w:lang w:eastAsia="lv-LV"/>
        </w:rPr>
        <w:t xml:space="preserve"> </w:t>
      </w:r>
    </w:p>
    <w:p w14:paraId="6387E330" w14:textId="3DBEAFED" w:rsidR="008F1BD3" w:rsidRPr="008F1BD3" w:rsidRDefault="008F1BD3" w:rsidP="008F1BD3">
      <w:pPr>
        <w:spacing w:after="0" w:line="240" w:lineRule="auto"/>
        <w:ind w:left="714" w:hanging="357"/>
        <w:jc w:val="right"/>
        <w:rPr>
          <w:rFonts w:ascii="Times New Roman" w:eastAsiaTheme="minorEastAsia" w:hAnsi="Times New Roman"/>
          <w:b/>
          <w:bCs/>
          <w:sz w:val="24"/>
          <w:szCs w:val="24"/>
          <w:lang w:eastAsia="lv-LV"/>
        </w:rPr>
      </w:pPr>
      <w:r w:rsidRPr="008F1BD3">
        <w:rPr>
          <w:rFonts w:ascii="Times New Roman" w:eastAsiaTheme="minorEastAsia" w:hAnsi="Times New Roman"/>
          <w:b/>
          <w:bCs/>
          <w:sz w:val="24"/>
          <w:szCs w:val="24"/>
          <w:lang w:eastAsia="lv-LV"/>
        </w:rPr>
        <w:t>Ekonomikas ministrijai</w:t>
      </w:r>
    </w:p>
    <w:p w14:paraId="6F23892B" w14:textId="77777777" w:rsidR="008F1BD3" w:rsidRPr="008F1BD3" w:rsidRDefault="001D2816" w:rsidP="008F1BD3">
      <w:pPr>
        <w:spacing w:after="120" w:line="240" w:lineRule="auto"/>
        <w:ind w:left="714" w:hanging="357"/>
        <w:jc w:val="right"/>
        <w:rPr>
          <w:rFonts w:ascii="Times New Roman" w:eastAsiaTheme="minorEastAsia" w:hAnsi="Times New Roman"/>
          <w:sz w:val="24"/>
          <w:szCs w:val="24"/>
          <w:lang w:eastAsia="lv-LV"/>
        </w:rPr>
      </w:pPr>
      <w:hyperlink r:id="rId9" w:history="1">
        <w:r w:rsidR="008F1BD3" w:rsidRPr="008F1BD3">
          <w:rPr>
            <w:rFonts w:ascii="Times New Roman" w:eastAsiaTheme="minorEastAsia" w:hAnsi="Times New Roman"/>
            <w:sz w:val="24"/>
            <w:szCs w:val="24"/>
            <w:u w:val="single"/>
            <w:lang w:eastAsia="lv-LV"/>
          </w:rPr>
          <w:t>pasts@em.gov.lv</w:t>
        </w:r>
      </w:hyperlink>
      <w:r w:rsidR="008F1BD3" w:rsidRPr="008F1BD3">
        <w:rPr>
          <w:rFonts w:ascii="Times New Roman" w:eastAsiaTheme="minorEastAsia" w:hAnsi="Times New Roman"/>
          <w:sz w:val="24"/>
          <w:szCs w:val="24"/>
          <w:lang w:eastAsia="lv-LV"/>
        </w:rPr>
        <w:t xml:space="preserve"> </w:t>
      </w:r>
    </w:p>
    <w:p w14:paraId="41522391" w14:textId="77777777" w:rsidR="008F1BD3" w:rsidRPr="008F1BD3" w:rsidRDefault="008F1BD3" w:rsidP="008F1BD3">
      <w:pPr>
        <w:spacing w:after="0" w:line="240" w:lineRule="auto"/>
        <w:jc w:val="right"/>
        <w:rPr>
          <w:rFonts w:ascii="Times New Roman" w:eastAsiaTheme="minorEastAsia" w:hAnsi="Times New Roman"/>
          <w:b/>
          <w:iCs/>
          <w:sz w:val="24"/>
          <w:szCs w:val="24"/>
          <w:lang w:eastAsia="lv-LV"/>
        </w:rPr>
      </w:pPr>
      <w:r w:rsidRPr="008F1BD3">
        <w:rPr>
          <w:rFonts w:ascii="Times New Roman" w:eastAsiaTheme="minorEastAsia" w:hAnsi="Times New Roman"/>
          <w:b/>
          <w:iCs/>
          <w:sz w:val="24"/>
          <w:szCs w:val="24"/>
          <w:lang w:eastAsia="lv-LV"/>
        </w:rPr>
        <w:t>Finanšu ministrijai</w:t>
      </w:r>
    </w:p>
    <w:p w14:paraId="072B4FB7" w14:textId="77777777" w:rsidR="008F1BD3" w:rsidRPr="008F1BD3" w:rsidRDefault="008F1BD3" w:rsidP="008F1BD3">
      <w:pPr>
        <w:spacing w:after="120" w:line="240" w:lineRule="auto"/>
        <w:jc w:val="right"/>
        <w:rPr>
          <w:rFonts w:ascii="Times New Roman" w:eastAsiaTheme="minorEastAsia" w:hAnsi="Times New Roman"/>
          <w:bCs/>
          <w:iCs/>
          <w:sz w:val="24"/>
          <w:szCs w:val="24"/>
          <w:u w:val="single"/>
          <w:lang w:eastAsia="lv-LV"/>
        </w:rPr>
      </w:pPr>
      <w:r w:rsidRPr="008F1BD3">
        <w:rPr>
          <w:rFonts w:ascii="Times New Roman" w:eastAsiaTheme="minorEastAsia" w:hAnsi="Times New Roman"/>
          <w:bCs/>
          <w:iCs/>
          <w:sz w:val="24"/>
          <w:szCs w:val="24"/>
          <w:u w:val="single"/>
          <w:lang w:eastAsia="lv-LV"/>
        </w:rPr>
        <w:t>pasts@fm.gov.lv</w:t>
      </w:r>
    </w:p>
    <w:p w14:paraId="239DD163" w14:textId="77777777" w:rsidR="008F1BD3" w:rsidRPr="008F1BD3" w:rsidRDefault="008F1BD3" w:rsidP="008F1BD3">
      <w:pPr>
        <w:spacing w:after="0" w:line="240" w:lineRule="auto"/>
        <w:jc w:val="right"/>
        <w:rPr>
          <w:rFonts w:ascii="Times New Roman" w:eastAsiaTheme="minorEastAsia" w:hAnsi="Times New Roman"/>
          <w:b/>
          <w:iCs/>
          <w:sz w:val="24"/>
          <w:szCs w:val="24"/>
          <w:lang w:eastAsia="lv-LV"/>
        </w:rPr>
      </w:pPr>
      <w:r w:rsidRPr="008F1BD3">
        <w:rPr>
          <w:rFonts w:ascii="Times New Roman" w:eastAsiaTheme="minorEastAsia" w:hAnsi="Times New Roman"/>
          <w:b/>
          <w:iCs/>
          <w:sz w:val="24"/>
          <w:szCs w:val="24"/>
          <w:lang w:eastAsia="lv-LV"/>
        </w:rPr>
        <w:t>Zemkopības ministrijai</w:t>
      </w:r>
    </w:p>
    <w:p w14:paraId="78767563" w14:textId="77777777" w:rsidR="008F1BD3" w:rsidRPr="008F1BD3" w:rsidRDefault="008F1BD3" w:rsidP="008F1BD3">
      <w:pPr>
        <w:spacing w:after="120" w:line="240" w:lineRule="auto"/>
        <w:jc w:val="right"/>
        <w:rPr>
          <w:rFonts w:ascii="Times New Roman" w:eastAsiaTheme="minorEastAsia" w:hAnsi="Times New Roman"/>
          <w:bCs/>
          <w:iCs/>
          <w:sz w:val="24"/>
          <w:szCs w:val="24"/>
          <w:u w:val="single"/>
          <w:lang w:eastAsia="lv-LV"/>
        </w:rPr>
      </w:pPr>
      <w:r w:rsidRPr="008F1BD3">
        <w:rPr>
          <w:rFonts w:ascii="Times New Roman" w:eastAsiaTheme="minorEastAsia" w:hAnsi="Times New Roman"/>
          <w:bCs/>
          <w:iCs/>
          <w:sz w:val="24"/>
          <w:szCs w:val="24"/>
          <w:u w:val="single"/>
          <w:lang w:eastAsia="lv-LV"/>
        </w:rPr>
        <w:t>pasts@zm.gov.lv</w:t>
      </w:r>
    </w:p>
    <w:p w14:paraId="73826088" w14:textId="77777777" w:rsidR="008F1BD3" w:rsidRPr="008F1BD3" w:rsidRDefault="008F1BD3" w:rsidP="008F1BD3">
      <w:pPr>
        <w:spacing w:after="0" w:line="240" w:lineRule="auto"/>
        <w:jc w:val="right"/>
        <w:rPr>
          <w:rFonts w:ascii="Times New Roman" w:eastAsiaTheme="minorEastAsia" w:hAnsi="Times New Roman"/>
          <w:b/>
          <w:iCs/>
          <w:sz w:val="24"/>
          <w:szCs w:val="24"/>
          <w:lang w:eastAsia="lv-LV"/>
        </w:rPr>
      </w:pPr>
      <w:r w:rsidRPr="008F1BD3">
        <w:rPr>
          <w:rFonts w:ascii="Times New Roman" w:eastAsiaTheme="minorEastAsia" w:hAnsi="Times New Roman"/>
          <w:b/>
          <w:iCs/>
          <w:sz w:val="24"/>
          <w:szCs w:val="24"/>
          <w:lang w:eastAsia="lv-LV"/>
        </w:rPr>
        <w:t>Tieslietu ministrijai</w:t>
      </w:r>
    </w:p>
    <w:p w14:paraId="6BBE2E20" w14:textId="77777777" w:rsidR="008F1BD3" w:rsidRPr="008F1BD3" w:rsidRDefault="008F1BD3" w:rsidP="008F1BD3">
      <w:pPr>
        <w:spacing w:after="120" w:line="240" w:lineRule="auto"/>
        <w:jc w:val="right"/>
        <w:rPr>
          <w:rFonts w:ascii="Times New Roman" w:eastAsiaTheme="minorEastAsia" w:hAnsi="Times New Roman"/>
          <w:bCs/>
          <w:iCs/>
          <w:sz w:val="24"/>
          <w:szCs w:val="24"/>
          <w:u w:val="single"/>
          <w:lang w:eastAsia="lv-LV"/>
        </w:rPr>
      </w:pPr>
      <w:r w:rsidRPr="008F1BD3">
        <w:rPr>
          <w:rFonts w:ascii="Times New Roman" w:eastAsiaTheme="minorEastAsia" w:hAnsi="Times New Roman"/>
          <w:bCs/>
          <w:iCs/>
          <w:sz w:val="24"/>
          <w:szCs w:val="24"/>
          <w:u w:val="single"/>
          <w:lang w:eastAsia="lv-LV"/>
        </w:rPr>
        <w:t>tm.kanceleja@tm.gov.lv</w:t>
      </w:r>
    </w:p>
    <w:p w14:paraId="79FC710A" w14:textId="77777777" w:rsidR="008F1BD3" w:rsidRPr="008F1BD3" w:rsidRDefault="008F1BD3" w:rsidP="008F1BD3">
      <w:pPr>
        <w:spacing w:after="0" w:line="240" w:lineRule="auto"/>
        <w:jc w:val="right"/>
        <w:rPr>
          <w:rFonts w:ascii="Times New Roman" w:eastAsiaTheme="minorEastAsia" w:hAnsi="Times New Roman"/>
          <w:b/>
          <w:iCs/>
          <w:sz w:val="24"/>
          <w:szCs w:val="24"/>
          <w:lang w:eastAsia="lv-LV"/>
        </w:rPr>
      </w:pPr>
      <w:r w:rsidRPr="008F1BD3">
        <w:rPr>
          <w:rFonts w:ascii="Times New Roman" w:eastAsiaTheme="minorEastAsia" w:hAnsi="Times New Roman"/>
          <w:b/>
          <w:iCs/>
          <w:sz w:val="24"/>
          <w:szCs w:val="24"/>
          <w:lang w:eastAsia="lv-LV"/>
        </w:rPr>
        <w:t>Vides aizsardzības un reģionālās attīstības ministrijai</w:t>
      </w:r>
    </w:p>
    <w:p w14:paraId="648990BB" w14:textId="77777777" w:rsidR="008F1BD3" w:rsidRPr="008F1BD3" w:rsidRDefault="008F1BD3" w:rsidP="008F1BD3">
      <w:pPr>
        <w:spacing w:after="120" w:line="240" w:lineRule="auto"/>
        <w:jc w:val="right"/>
        <w:rPr>
          <w:rFonts w:ascii="Times New Roman" w:eastAsiaTheme="minorEastAsia" w:hAnsi="Times New Roman"/>
          <w:bCs/>
          <w:iCs/>
          <w:sz w:val="24"/>
          <w:szCs w:val="24"/>
          <w:u w:val="single"/>
          <w:lang w:eastAsia="lv-LV"/>
        </w:rPr>
      </w:pPr>
      <w:r w:rsidRPr="008F1BD3">
        <w:rPr>
          <w:rFonts w:ascii="Times New Roman" w:eastAsiaTheme="minorEastAsia" w:hAnsi="Times New Roman"/>
          <w:bCs/>
          <w:iCs/>
          <w:sz w:val="24"/>
          <w:szCs w:val="24"/>
          <w:u w:val="single"/>
          <w:lang w:eastAsia="lv-LV"/>
        </w:rPr>
        <w:t>pasts@varam.gov.lv</w:t>
      </w:r>
    </w:p>
    <w:bookmarkEnd w:id="0"/>
    <w:p w14:paraId="54A38B7B" w14:textId="33339AF3" w:rsidR="00600A40" w:rsidRDefault="00600A40" w:rsidP="00A349D2">
      <w:pPr>
        <w:spacing w:after="0" w:line="240" w:lineRule="auto"/>
        <w:jc w:val="right"/>
        <w:rPr>
          <w:rFonts w:ascii="Times New Roman" w:hAnsi="Times New Roman"/>
          <w:bCs/>
          <w:sz w:val="24"/>
          <w:szCs w:val="24"/>
        </w:rPr>
      </w:pPr>
    </w:p>
    <w:p w14:paraId="5DCC34D8" w14:textId="77777777" w:rsidR="003F0791" w:rsidRDefault="003F0791" w:rsidP="00A349D2">
      <w:pPr>
        <w:spacing w:after="0" w:line="240" w:lineRule="auto"/>
        <w:jc w:val="right"/>
        <w:rPr>
          <w:rFonts w:ascii="Times New Roman" w:hAnsi="Times New Roman"/>
          <w:bCs/>
          <w:sz w:val="24"/>
          <w:szCs w:val="24"/>
        </w:rPr>
      </w:pPr>
    </w:p>
    <w:p w14:paraId="1D267F94" w14:textId="69D60B69" w:rsidR="002D508A" w:rsidRPr="00AD7D2C" w:rsidRDefault="00600A40" w:rsidP="002D508A">
      <w:pPr>
        <w:spacing w:after="0" w:line="240" w:lineRule="auto"/>
        <w:jc w:val="both"/>
        <w:rPr>
          <w:rFonts w:ascii="Times New Roman" w:hAnsi="Times New Roman"/>
          <w:sz w:val="24"/>
          <w:szCs w:val="24"/>
        </w:rPr>
      </w:pPr>
      <w:r w:rsidRPr="00F95272">
        <w:rPr>
          <w:rFonts w:ascii="Times New Roman" w:hAnsi="Times New Roman"/>
          <w:sz w:val="24"/>
          <w:szCs w:val="24"/>
        </w:rPr>
        <w:t>Rīgā, 202</w:t>
      </w:r>
      <w:r w:rsidR="008A79AF" w:rsidRPr="00F95272">
        <w:rPr>
          <w:rFonts w:ascii="Times New Roman" w:hAnsi="Times New Roman"/>
          <w:sz w:val="24"/>
          <w:szCs w:val="24"/>
        </w:rPr>
        <w:t>1</w:t>
      </w:r>
      <w:r w:rsidRPr="00F95272">
        <w:rPr>
          <w:rFonts w:ascii="Times New Roman" w:hAnsi="Times New Roman"/>
          <w:sz w:val="24"/>
          <w:szCs w:val="24"/>
        </w:rPr>
        <w:t xml:space="preserve">. gada </w:t>
      </w:r>
      <w:r w:rsidR="00AA7C58">
        <w:rPr>
          <w:rFonts w:ascii="Times New Roman" w:hAnsi="Times New Roman"/>
          <w:sz w:val="24"/>
          <w:szCs w:val="24"/>
        </w:rPr>
        <w:t>2</w:t>
      </w:r>
      <w:r w:rsidRPr="00F95272">
        <w:rPr>
          <w:rFonts w:ascii="Times New Roman" w:hAnsi="Times New Roman"/>
          <w:sz w:val="24"/>
          <w:szCs w:val="24"/>
        </w:rPr>
        <w:t>. </w:t>
      </w:r>
      <w:r w:rsidR="00F95272" w:rsidRPr="00F95272">
        <w:rPr>
          <w:rFonts w:ascii="Times New Roman" w:hAnsi="Times New Roman"/>
          <w:sz w:val="24"/>
          <w:szCs w:val="24"/>
        </w:rPr>
        <w:t>februārī</w:t>
      </w:r>
      <w:r w:rsidRPr="00F95272">
        <w:rPr>
          <w:rFonts w:ascii="Times New Roman" w:hAnsi="Times New Roman"/>
          <w:sz w:val="24"/>
          <w:szCs w:val="24"/>
        </w:rPr>
        <w:tab/>
      </w:r>
      <w:r w:rsidRPr="00F95272">
        <w:rPr>
          <w:rFonts w:ascii="Times New Roman" w:hAnsi="Times New Roman"/>
          <w:sz w:val="24"/>
          <w:szCs w:val="24"/>
        </w:rPr>
        <w:tab/>
      </w:r>
      <w:r w:rsidRPr="00F95272">
        <w:rPr>
          <w:rFonts w:ascii="Times New Roman" w:hAnsi="Times New Roman"/>
          <w:sz w:val="24"/>
          <w:szCs w:val="24"/>
        </w:rPr>
        <w:tab/>
      </w:r>
      <w:r w:rsidRPr="00F95272">
        <w:rPr>
          <w:rFonts w:ascii="Times New Roman" w:hAnsi="Times New Roman"/>
          <w:sz w:val="24"/>
          <w:szCs w:val="24"/>
        </w:rPr>
        <w:tab/>
      </w:r>
      <w:r w:rsidRPr="00F95272">
        <w:rPr>
          <w:rFonts w:ascii="Times New Roman" w:hAnsi="Times New Roman"/>
          <w:sz w:val="24"/>
          <w:szCs w:val="24"/>
        </w:rPr>
        <w:tab/>
      </w:r>
      <w:r w:rsidRPr="00F95272">
        <w:rPr>
          <w:rFonts w:ascii="Times New Roman" w:hAnsi="Times New Roman"/>
          <w:sz w:val="24"/>
          <w:szCs w:val="24"/>
        </w:rPr>
        <w:tab/>
        <w:t xml:space="preserve">         </w:t>
      </w:r>
      <w:r w:rsidR="008A79AF" w:rsidRPr="00F95272">
        <w:rPr>
          <w:rFonts w:ascii="Times New Roman" w:hAnsi="Times New Roman"/>
          <w:sz w:val="24"/>
          <w:szCs w:val="24"/>
        </w:rPr>
        <w:tab/>
        <w:t xml:space="preserve">        </w:t>
      </w:r>
      <w:r w:rsidR="00DF2885" w:rsidRPr="00F95272">
        <w:rPr>
          <w:rFonts w:ascii="Times New Roman" w:hAnsi="Times New Roman"/>
          <w:sz w:val="24"/>
          <w:szCs w:val="24"/>
        </w:rPr>
        <w:t>Nr.</w:t>
      </w:r>
      <w:r w:rsidR="00260830" w:rsidRPr="00F95272">
        <w:rPr>
          <w:rFonts w:ascii="Times New Roman" w:hAnsi="Times New Roman"/>
          <w:sz w:val="24"/>
          <w:szCs w:val="24"/>
        </w:rPr>
        <w:t> </w:t>
      </w:r>
      <w:r w:rsidR="00F95272" w:rsidRPr="00F95272">
        <w:rPr>
          <w:rFonts w:ascii="Times New Roman" w:hAnsi="Times New Roman"/>
          <w:sz w:val="24"/>
          <w:szCs w:val="24"/>
        </w:rPr>
        <w:t>1</w:t>
      </w:r>
      <w:r w:rsidR="00DF2885" w:rsidRPr="00F95272">
        <w:rPr>
          <w:rFonts w:ascii="Times New Roman" w:hAnsi="Times New Roman"/>
          <w:sz w:val="24"/>
          <w:szCs w:val="24"/>
        </w:rPr>
        <w:t>-</w:t>
      </w:r>
      <w:r w:rsidR="008A79AF" w:rsidRPr="00F95272">
        <w:rPr>
          <w:rFonts w:ascii="Times New Roman" w:hAnsi="Times New Roman"/>
          <w:sz w:val="24"/>
          <w:szCs w:val="24"/>
        </w:rPr>
        <w:t>0</w:t>
      </w:r>
      <w:r w:rsidR="00F95272" w:rsidRPr="00F95272">
        <w:rPr>
          <w:rFonts w:ascii="Times New Roman" w:hAnsi="Times New Roman"/>
          <w:sz w:val="24"/>
          <w:szCs w:val="24"/>
        </w:rPr>
        <w:t>2</w:t>
      </w:r>
      <w:r w:rsidR="00DF2885" w:rsidRPr="00F95272">
        <w:rPr>
          <w:rFonts w:ascii="Times New Roman" w:hAnsi="Times New Roman"/>
          <w:sz w:val="24"/>
          <w:szCs w:val="24"/>
        </w:rPr>
        <w:t>-202</w:t>
      </w:r>
      <w:r w:rsidR="008A79AF" w:rsidRPr="00F95272">
        <w:rPr>
          <w:rFonts w:ascii="Times New Roman" w:hAnsi="Times New Roman"/>
          <w:sz w:val="24"/>
          <w:szCs w:val="24"/>
        </w:rPr>
        <w:t>1</w:t>
      </w:r>
    </w:p>
    <w:p w14:paraId="0A0E197C" w14:textId="77777777" w:rsidR="007674A2" w:rsidRDefault="007674A2" w:rsidP="00AB2923">
      <w:pPr>
        <w:spacing w:after="0" w:line="240" w:lineRule="auto"/>
        <w:jc w:val="center"/>
        <w:rPr>
          <w:rFonts w:ascii="Times New Roman" w:hAnsi="Times New Roman"/>
          <w:b/>
          <w:sz w:val="28"/>
          <w:szCs w:val="28"/>
        </w:rPr>
      </w:pPr>
    </w:p>
    <w:p w14:paraId="68B25574" w14:textId="01D24EC2" w:rsidR="00600A40" w:rsidRPr="00E168ED" w:rsidRDefault="00F95272" w:rsidP="00600A40">
      <w:pPr>
        <w:spacing w:after="0" w:line="240" w:lineRule="auto"/>
        <w:jc w:val="center"/>
        <w:rPr>
          <w:rFonts w:ascii="Times New Roman" w:hAnsi="Times New Roman"/>
          <w:b/>
          <w:bCs/>
          <w:caps/>
          <w:sz w:val="28"/>
          <w:szCs w:val="28"/>
        </w:rPr>
      </w:pPr>
      <w:r w:rsidRPr="00F95272">
        <w:rPr>
          <w:rFonts w:ascii="Times New Roman" w:hAnsi="Times New Roman"/>
          <w:b/>
          <w:bCs/>
          <w:caps/>
          <w:sz w:val="28"/>
          <w:szCs w:val="28"/>
        </w:rPr>
        <w:t>Atzinums</w:t>
      </w:r>
    </w:p>
    <w:p w14:paraId="3DE00AE0" w14:textId="77777777" w:rsidR="00600A40" w:rsidRPr="00600A40" w:rsidRDefault="00600A40" w:rsidP="00600A40">
      <w:pPr>
        <w:spacing w:after="0" w:line="240" w:lineRule="auto"/>
        <w:jc w:val="center"/>
        <w:rPr>
          <w:rFonts w:ascii="Times New Roman" w:hAnsi="Times New Roman"/>
          <w:b/>
          <w:bCs/>
          <w:sz w:val="24"/>
          <w:szCs w:val="24"/>
        </w:rPr>
      </w:pPr>
    </w:p>
    <w:p w14:paraId="36D5EDFA" w14:textId="38F3BABD" w:rsidR="00EB40DA" w:rsidRPr="00600A40" w:rsidRDefault="00F95272" w:rsidP="00600A40">
      <w:pPr>
        <w:spacing w:after="0" w:line="240" w:lineRule="auto"/>
        <w:rPr>
          <w:rFonts w:ascii="Times New Roman" w:hAnsi="Times New Roman"/>
          <w:b/>
          <w:bCs/>
          <w:i/>
          <w:iCs/>
          <w:sz w:val="24"/>
          <w:szCs w:val="24"/>
        </w:rPr>
      </w:pPr>
      <w:r w:rsidRPr="00F95272">
        <w:rPr>
          <w:rFonts w:ascii="Times New Roman" w:hAnsi="Times New Roman"/>
          <w:b/>
          <w:bCs/>
          <w:i/>
          <w:iCs/>
          <w:sz w:val="24"/>
          <w:szCs w:val="24"/>
        </w:rPr>
        <w:t>P</w:t>
      </w:r>
      <w:r w:rsidR="008A79AF" w:rsidRPr="00F95272">
        <w:rPr>
          <w:rFonts w:ascii="Times New Roman" w:hAnsi="Times New Roman"/>
          <w:b/>
          <w:bCs/>
          <w:i/>
          <w:iCs/>
          <w:sz w:val="24"/>
          <w:szCs w:val="24"/>
        </w:rPr>
        <w:t xml:space="preserve">ar </w:t>
      </w:r>
      <w:bookmarkStart w:id="2" w:name="_Hlk63159811"/>
      <w:r w:rsidR="008A79AF" w:rsidRPr="00F95272">
        <w:rPr>
          <w:rFonts w:ascii="Times New Roman" w:hAnsi="Times New Roman"/>
          <w:b/>
          <w:bCs/>
          <w:i/>
          <w:iCs/>
          <w:sz w:val="24"/>
          <w:szCs w:val="24"/>
        </w:rPr>
        <w:t>Ministru kabineta noteikumu projekt</w:t>
      </w:r>
      <w:r w:rsidRPr="00F95272">
        <w:rPr>
          <w:rFonts w:ascii="Times New Roman" w:hAnsi="Times New Roman"/>
          <w:b/>
          <w:bCs/>
          <w:i/>
          <w:iCs/>
          <w:sz w:val="24"/>
          <w:szCs w:val="24"/>
        </w:rPr>
        <w:t>u</w:t>
      </w:r>
      <w:r w:rsidR="008A79AF" w:rsidRPr="00F95272">
        <w:rPr>
          <w:rFonts w:ascii="Times New Roman" w:hAnsi="Times New Roman"/>
          <w:b/>
          <w:bCs/>
          <w:i/>
          <w:iCs/>
          <w:sz w:val="24"/>
          <w:szCs w:val="24"/>
        </w:rPr>
        <w:t xml:space="preserve"> “Grozījumi Ministru kabineta 2020. gada 2. septembra noteikumos Nr. 560 “Noteikumi par elektroenerģijas ražošanu, izmantojot atjaunojamos energoresursus, kā arī par cenu noteikšanas kārtību un uzraudzību””</w:t>
      </w:r>
      <w:bookmarkEnd w:id="2"/>
      <w:r w:rsidR="00EB40DA" w:rsidRPr="00F95272">
        <w:rPr>
          <w:rFonts w:ascii="Times New Roman" w:hAnsi="Times New Roman"/>
          <w:b/>
          <w:bCs/>
          <w:i/>
          <w:iCs/>
          <w:sz w:val="24"/>
          <w:szCs w:val="24"/>
        </w:rPr>
        <w:t xml:space="preserve"> </w:t>
      </w:r>
      <w:r w:rsidR="00260830" w:rsidRPr="00F95272">
        <w:rPr>
          <w:rFonts w:ascii="Times New Roman" w:hAnsi="Times New Roman"/>
          <w:b/>
          <w:bCs/>
          <w:i/>
          <w:iCs/>
          <w:sz w:val="24"/>
          <w:szCs w:val="24"/>
        </w:rPr>
        <w:t>un “Grozījumi Ministru kabineta 2020. gada 2. septembra noteikumos Nr. 561 “Noteikumi par elektroenerģijas ražošanu, uzraudzību un cenu noteikšanu, ražojot elektroenerģiju</w:t>
      </w:r>
      <w:r w:rsidR="00980802">
        <w:rPr>
          <w:rFonts w:ascii="Times New Roman" w:hAnsi="Times New Roman"/>
          <w:b/>
          <w:bCs/>
          <w:i/>
          <w:iCs/>
          <w:sz w:val="24"/>
          <w:szCs w:val="24"/>
        </w:rPr>
        <w:t xml:space="preserve"> </w:t>
      </w:r>
      <w:r w:rsidR="00260830" w:rsidRPr="00F95272">
        <w:rPr>
          <w:rFonts w:ascii="Times New Roman" w:hAnsi="Times New Roman"/>
          <w:b/>
          <w:bCs/>
          <w:i/>
          <w:iCs/>
          <w:sz w:val="24"/>
          <w:szCs w:val="24"/>
        </w:rPr>
        <w:t>koģenerācijā””</w:t>
      </w:r>
      <w:r w:rsidRPr="00F95272">
        <w:rPr>
          <w:rFonts w:ascii="Times New Roman" w:hAnsi="Times New Roman"/>
          <w:b/>
          <w:bCs/>
          <w:i/>
          <w:iCs/>
          <w:sz w:val="24"/>
          <w:szCs w:val="24"/>
        </w:rPr>
        <w:t xml:space="preserve"> </w:t>
      </w:r>
      <w:bookmarkStart w:id="3" w:name="_Hlk63159839"/>
      <w:r w:rsidR="00C336FB" w:rsidRPr="00F95272">
        <w:rPr>
          <w:rFonts w:ascii="Times New Roman" w:hAnsi="Times New Roman"/>
          <w:b/>
          <w:bCs/>
          <w:i/>
          <w:iCs/>
          <w:sz w:val="24"/>
          <w:szCs w:val="24"/>
        </w:rPr>
        <w:t>redakciju</w:t>
      </w:r>
      <w:r w:rsidR="00EB40DA" w:rsidRPr="00F95272">
        <w:rPr>
          <w:rFonts w:ascii="Times New Roman" w:hAnsi="Times New Roman"/>
          <w:b/>
          <w:bCs/>
          <w:i/>
          <w:iCs/>
          <w:sz w:val="24"/>
          <w:szCs w:val="24"/>
        </w:rPr>
        <w:t xml:space="preserve">, </w:t>
      </w:r>
      <w:r w:rsidR="00C336FB" w:rsidRPr="00F95272">
        <w:rPr>
          <w:rFonts w:ascii="Times New Roman" w:hAnsi="Times New Roman"/>
          <w:b/>
          <w:bCs/>
          <w:i/>
          <w:iCs/>
          <w:sz w:val="24"/>
          <w:szCs w:val="24"/>
        </w:rPr>
        <w:t>kas izsludināta Valsts sekretāru sanāksmē 2021. gada 14. janvārī</w:t>
      </w:r>
      <w:bookmarkEnd w:id="3"/>
    </w:p>
    <w:p w14:paraId="3EE6CA5A" w14:textId="77777777" w:rsidR="00600A40" w:rsidRDefault="00600A40" w:rsidP="00AB2923">
      <w:pPr>
        <w:spacing w:after="0" w:line="240" w:lineRule="auto"/>
        <w:jc w:val="both"/>
        <w:rPr>
          <w:rFonts w:ascii="Times New Roman" w:hAnsi="Times New Roman"/>
          <w:sz w:val="24"/>
          <w:szCs w:val="24"/>
        </w:rPr>
      </w:pPr>
    </w:p>
    <w:p w14:paraId="1863BB25" w14:textId="62A0FF71" w:rsidR="00A035C5" w:rsidRDefault="00F95272" w:rsidP="00166F60">
      <w:pPr>
        <w:spacing w:before="120" w:after="0" w:line="240" w:lineRule="auto"/>
        <w:jc w:val="both"/>
        <w:rPr>
          <w:rFonts w:ascii="Times New Roman" w:hAnsi="Times New Roman"/>
          <w:sz w:val="24"/>
          <w:szCs w:val="24"/>
        </w:rPr>
      </w:pPr>
      <w:r>
        <w:rPr>
          <w:rFonts w:ascii="Times New Roman" w:hAnsi="Times New Roman"/>
          <w:sz w:val="24"/>
          <w:szCs w:val="24"/>
        </w:rPr>
        <w:t xml:space="preserve">2020. gada 14. decembrī </w:t>
      </w:r>
      <w:r w:rsidR="008F1BD3">
        <w:rPr>
          <w:rFonts w:ascii="Times New Roman" w:hAnsi="Times New Roman"/>
          <w:sz w:val="24"/>
          <w:szCs w:val="24"/>
        </w:rPr>
        <w:t>Latvijas Atjaunojamās enerģijas federācija</w:t>
      </w:r>
      <w:r w:rsidR="00B44830" w:rsidRPr="00AD7D2C">
        <w:rPr>
          <w:rFonts w:ascii="Times New Roman" w:hAnsi="Times New Roman"/>
          <w:sz w:val="24"/>
          <w:szCs w:val="24"/>
        </w:rPr>
        <w:t xml:space="preserve"> (</w:t>
      </w:r>
      <w:r w:rsidR="008F1BD3">
        <w:rPr>
          <w:rFonts w:ascii="Times New Roman" w:hAnsi="Times New Roman"/>
          <w:sz w:val="24"/>
          <w:szCs w:val="24"/>
        </w:rPr>
        <w:t>LAEF</w:t>
      </w:r>
      <w:r w:rsidR="0014206C" w:rsidRPr="00AD7D2C">
        <w:rPr>
          <w:rFonts w:ascii="Times New Roman" w:hAnsi="Times New Roman"/>
          <w:sz w:val="24"/>
          <w:szCs w:val="24"/>
        </w:rPr>
        <w:t xml:space="preserve">) </w:t>
      </w:r>
      <w:r>
        <w:rPr>
          <w:rFonts w:ascii="Times New Roman" w:hAnsi="Times New Roman"/>
          <w:sz w:val="24"/>
          <w:szCs w:val="24"/>
        </w:rPr>
        <w:t xml:space="preserve">jau sniedza viedokli par </w:t>
      </w:r>
      <w:r w:rsidR="008A79AF" w:rsidRPr="00A035C5">
        <w:rPr>
          <w:rFonts w:ascii="Times New Roman" w:hAnsi="Times New Roman"/>
          <w:sz w:val="24"/>
          <w:szCs w:val="24"/>
        </w:rPr>
        <w:t>Ministru kabineta noteikumu projekt</w:t>
      </w:r>
      <w:r w:rsidR="00EB40DA" w:rsidRPr="00A035C5">
        <w:rPr>
          <w:rFonts w:ascii="Times New Roman" w:hAnsi="Times New Roman"/>
          <w:sz w:val="24"/>
          <w:szCs w:val="24"/>
        </w:rPr>
        <w:t>a</w:t>
      </w:r>
      <w:r w:rsidR="008A79AF" w:rsidRPr="008A79AF">
        <w:rPr>
          <w:rFonts w:ascii="Times New Roman" w:hAnsi="Times New Roman"/>
          <w:sz w:val="24"/>
          <w:szCs w:val="24"/>
        </w:rPr>
        <w:t xml:space="preserve"> “Grozījumi Ministru kabineta 2020. gada 2. septembra noteikumos Nr. 560 “Noteikumi par elektroenerģijas ražošanu, izmantojot atjaunojamos energoresursus, kā arī par cenu noteikšanas kārtību un uzraudzību””</w:t>
      </w:r>
      <w:r w:rsidR="008A79AF">
        <w:rPr>
          <w:rFonts w:ascii="Times New Roman" w:hAnsi="Times New Roman"/>
          <w:sz w:val="24"/>
          <w:szCs w:val="24"/>
        </w:rPr>
        <w:t xml:space="preserve"> (turpmāk – Noteikumu projekts)</w:t>
      </w:r>
      <w:r w:rsidR="00EB40DA">
        <w:rPr>
          <w:rFonts w:ascii="Times New Roman" w:hAnsi="Times New Roman"/>
          <w:sz w:val="24"/>
          <w:szCs w:val="24"/>
        </w:rPr>
        <w:t xml:space="preserve"> </w:t>
      </w:r>
      <w:r>
        <w:rPr>
          <w:rFonts w:ascii="Times New Roman" w:hAnsi="Times New Roman"/>
          <w:sz w:val="24"/>
          <w:szCs w:val="24"/>
        </w:rPr>
        <w:t xml:space="preserve">un </w:t>
      </w:r>
      <w:r w:rsidRPr="00A035C5">
        <w:rPr>
          <w:rFonts w:ascii="Times New Roman" w:hAnsi="Times New Roman"/>
          <w:sz w:val="24"/>
          <w:szCs w:val="24"/>
        </w:rPr>
        <w:t xml:space="preserve">Ministru kabineta </w:t>
      </w:r>
      <w:r>
        <w:rPr>
          <w:rFonts w:ascii="Times New Roman" w:hAnsi="Times New Roman"/>
          <w:sz w:val="24"/>
          <w:szCs w:val="24"/>
        </w:rPr>
        <w:t xml:space="preserve">noteikumu projekta </w:t>
      </w:r>
      <w:r w:rsidRPr="00F95272">
        <w:rPr>
          <w:rFonts w:ascii="Times New Roman" w:hAnsi="Times New Roman"/>
          <w:sz w:val="24"/>
          <w:szCs w:val="24"/>
        </w:rPr>
        <w:t>“Grozījumi Ministru kabineta 2020. gada 2. septembra noteikumos Nr. 561 “Noteikumi par elektroenerģijas ražošanu, uzraudzību un cenu noteikšanu, ražojot elektroenerģiju koģenerācijā””</w:t>
      </w:r>
      <w:r w:rsidR="00980802">
        <w:rPr>
          <w:rFonts w:ascii="Times New Roman" w:hAnsi="Times New Roman"/>
          <w:sz w:val="24"/>
          <w:szCs w:val="24"/>
        </w:rPr>
        <w:t xml:space="preserve"> (turpmāk – Noteikumu Nr. 561 projekts)</w:t>
      </w:r>
      <w:r>
        <w:rPr>
          <w:rFonts w:ascii="Times New Roman" w:hAnsi="Times New Roman"/>
          <w:sz w:val="24"/>
          <w:szCs w:val="24"/>
        </w:rPr>
        <w:t xml:space="preserve"> </w:t>
      </w:r>
      <w:r w:rsidR="00EB40DA">
        <w:rPr>
          <w:rFonts w:ascii="Times New Roman" w:hAnsi="Times New Roman"/>
          <w:sz w:val="24"/>
          <w:szCs w:val="24"/>
        </w:rPr>
        <w:t>redakcij</w:t>
      </w:r>
      <w:r>
        <w:rPr>
          <w:rFonts w:ascii="Times New Roman" w:hAnsi="Times New Roman"/>
          <w:sz w:val="24"/>
          <w:szCs w:val="24"/>
        </w:rPr>
        <w:t>ām</w:t>
      </w:r>
      <w:r w:rsidR="008A79AF">
        <w:rPr>
          <w:rFonts w:ascii="Times New Roman" w:hAnsi="Times New Roman"/>
          <w:sz w:val="24"/>
          <w:szCs w:val="24"/>
        </w:rPr>
        <w:t>,</w:t>
      </w:r>
      <w:r w:rsidR="00600A40">
        <w:rPr>
          <w:rFonts w:ascii="Times New Roman" w:hAnsi="Times New Roman"/>
          <w:sz w:val="24"/>
          <w:szCs w:val="24"/>
        </w:rPr>
        <w:t xml:space="preserve"> </w:t>
      </w:r>
      <w:r w:rsidR="00EB40DA">
        <w:rPr>
          <w:rFonts w:ascii="Times New Roman" w:hAnsi="Times New Roman"/>
          <w:sz w:val="24"/>
          <w:szCs w:val="24"/>
        </w:rPr>
        <w:t>kāda</w:t>
      </w:r>
      <w:r>
        <w:rPr>
          <w:rFonts w:ascii="Times New Roman" w:hAnsi="Times New Roman"/>
          <w:sz w:val="24"/>
          <w:szCs w:val="24"/>
        </w:rPr>
        <w:t>s</w:t>
      </w:r>
      <w:r w:rsidR="00EB40DA">
        <w:rPr>
          <w:rFonts w:ascii="Times New Roman" w:hAnsi="Times New Roman"/>
          <w:sz w:val="24"/>
          <w:szCs w:val="24"/>
        </w:rPr>
        <w:t xml:space="preserve"> tā</w:t>
      </w:r>
      <w:r>
        <w:rPr>
          <w:rFonts w:ascii="Times New Roman" w:hAnsi="Times New Roman"/>
          <w:sz w:val="24"/>
          <w:szCs w:val="24"/>
        </w:rPr>
        <w:t>s</w:t>
      </w:r>
      <w:r w:rsidR="00EB40DA">
        <w:rPr>
          <w:rFonts w:ascii="Times New Roman" w:hAnsi="Times New Roman"/>
          <w:sz w:val="24"/>
          <w:szCs w:val="24"/>
        </w:rPr>
        <w:t xml:space="preserve"> tika nodota</w:t>
      </w:r>
      <w:r w:rsidR="00217CA8">
        <w:rPr>
          <w:rFonts w:ascii="Times New Roman" w:hAnsi="Times New Roman"/>
          <w:sz w:val="24"/>
          <w:szCs w:val="24"/>
        </w:rPr>
        <w:t>s</w:t>
      </w:r>
      <w:r w:rsidR="00EB40DA">
        <w:rPr>
          <w:rFonts w:ascii="Times New Roman" w:hAnsi="Times New Roman"/>
          <w:sz w:val="24"/>
          <w:szCs w:val="24"/>
        </w:rPr>
        <w:t xml:space="preserve"> sabiedrības apspriešanai 2020. gada decembrī.</w:t>
      </w:r>
      <w:r>
        <w:rPr>
          <w:rFonts w:ascii="Times New Roman" w:hAnsi="Times New Roman"/>
          <w:sz w:val="24"/>
          <w:szCs w:val="24"/>
        </w:rPr>
        <w:t xml:space="preserve"> Uz </w:t>
      </w:r>
      <w:r w:rsidR="00217CA8">
        <w:rPr>
          <w:rFonts w:ascii="Times New Roman" w:hAnsi="Times New Roman"/>
          <w:sz w:val="24"/>
          <w:szCs w:val="24"/>
        </w:rPr>
        <w:t>minētajā</w:t>
      </w:r>
      <w:r>
        <w:rPr>
          <w:rFonts w:ascii="Times New Roman" w:hAnsi="Times New Roman"/>
          <w:sz w:val="24"/>
          <w:szCs w:val="24"/>
        </w:rPr>
        <w:t xml:space="preserve"> viedoklī uzdotajiem jautājumiem LAEF nav saņēmusi tikpat kā nevienu atbildi.</w:t>
      </w:r>
    </w:p>
    <w:p w14:paraId="1473A5A0" w14:textId="554D25F3" w:rsidR="008A79AF" w:rsidRPr="00CB0F77" w:rsidRDefault="00EB40DA" w:rsidP="00166F60">
      <w:pPr>
        <w:spacing w:before="120" w:after="0" w:line="240" w:lineRule="auto"/>
        <w:jc w:val="both"/>
        <w:rPr>
          <w:rFonts w:ascii="Times New Roman" w:hAnsi="Times New Roman"/>
          <w:sz w:val="24"/>
          <w:szCs w:val="24"/>
        </w:rPr>
      </w:pPr>
      <w:r>
        <w:rPr>
          <w:rFonts w:ascii="Times New Roman" w:hAnsi="Times New Roman"/>
          <w:sz w:val="24"/>
          <w:szCs w:val="24"/>
        </w:rPr>
        <w:t xml:space="preserve">Šobrīd </w:t>
      </w:r>
      <w:r w:rsidR="00F95272">
        <w:rPr>
          <w:rFonts w:ascii="Times New Roman" w:hAnsi="Times New Roman"/>
          <w:sz w:val="24"/>
          <w:szCs w:val="24"/>
        </w:rPr>
        <w:t xml:space="preserve">LAEF </w:t>
      </w:r>
      <w:r>
        <w:rPr>
          <w:rFonts w:ascii="Times New Roman" w:hAnsi="Times New Roman"/>
          <w:sz w:val="24"/>
          <w:szCs w:val="24"/>
        </w:rPr>
        <w:t xml:space="preserve">sniedz </w:t>
      </w:r>
      <w:r w:rsidR="00217CA8">
        <w:rPr>
          <w:rFonts w:ascii="Times New Roman" w:hAnsi="Times New Roman"/>
          <w:sz w:val="24"/>
          <w:szCs w:val="24"/>
        </w:rPr>
        <w:t>atzinumu</w:t>
      </w:r>
      <w:r>
        <w:rPr>
          <w:rFonts w:ascii="Times New Roman" w:hAnsi="Times New Roman"/>
          <w:sz w:val="24"/>
          <w:szCs w:val="24"/>
        </w:rPr>
        <w:t xml:space="preserve"> par Noteikumu projektu redakcijā, </w:t>
      </w:r>
      <w:r w:rsidRPr="00CB0F77">
        <w:rPr>
          <w:rFonts w:ascii="Times New Roman" w:hAnsi="Times New Roman"/>
          <w:sz w:val="24"/>
          <w:szCs w:val="24"/>
        </w:rPr>
        <w:t xml:space="preserve">kāda </w:t>
      </w:r>
      <w:r w:rsidR="00C336FB" w:rsidRPr="00CB0F77">
        <w:rPr>
          <w:rFonts w:ascii="Times New Roman" w:hAnsi="Times New Roman"/>
          <w:sz w:val="24"/>
          <w:szCs w:val="24"/>
        </w:rPr>
        <w:t>izsludināta</w:t>
      </w:r>
      <w:r w:rsidRPr="00CB0F77">
        <w:rPr>
          <w:rFonts w:ascii="Times New Roman" w:hAnsi="Times New Roman"/>
          <w:sz w:val="24"/>
          <w:szCs w:val="24"/>
        </w:rPr>
        <w:t xml:space="preserve"> </w:t>
      </w:r>
      <w:r w:rsidR="00C336FB" w:rsidRPr="00CB0F77">
        <w:rPr>
          <w:rFonts w:ascii="Times New Roman" w:hAnsi="Times New Roman"/>
          <w:sz w:val="24"/>
          <w:szCs w:val="24"/>
        </w:rPr>
        <w:t xml:space="preserve">Valsts sekretāru sanāksmē (VSS) </w:t>
      </w:r>
      <w:r w:rsidRPr="00CB0F77">
        <w:rPr>
          <w:rFonts w:ascii="Times New Roman" w:hAnsi="Times New Roman"/>
          <w:sz w:val="24"/>
          <w:szCs w:val="24"/>
        </w:rPr>
        <w:t>2021. gada 1</w:t>
      </w:r>
      <w:r w:rsidR="00C336FB" w:rsidRPr="00CB0F77">
        <w:rPr>
          <w:rFonts w:ascii="Times New Roman" w:hAnsi="Times New Roman"/>
          <w:sz w:val="24"/>
          <w:szCs w:val="24"/>
        </w:rPr>
        <w:t>4</w:t>
      </w:r>
      <w:r w:rsidRPr="00CB0F77">
        <w:rPr>
          <w:rFonts w:ascii="Times New Roman" w:hAnsi="Times New Roman"/>
          <w:sz w:val="24"/>
          <w:szCs w:val="24"/>
        </w:rPr>
        <w:t>. </w:t>
      </w:r>
      <w:r w:rsidR="00C336FB" w:rsidRPr="00CB0F77">
        <w:rPr>
          <w:rFonts w:ascii="Times New Roman" w:hAnsi="Times New Roman"/>
          <w:sz w:val="24"/>
          <w:szCs w:val="24"/>
        </w:rPr>
        <w:t>janvārī</w:t>
      </w:r>
      <w:r w:rsidRPr="00CB0F77">
        <w:rPr>
          <w:rFonts w:ascii="Times New Roman" w:hAnsi="Times New Roman"/>
          <w:sz w:val="24"/>
          <w:szCs w:val="24"/>
        </w:rPr>
        <w:t>.</w:t>
      </w:r>
      <w:r w:rsidR="00A035C5" w:rsidRPr="00CB0F77">
        <w:rPr>
          <w:rFonts w:ascii="Times New Roman" w:hAnsi="Times New Roman"/>
          <w:sz w:val="24"/>
          <w:szCs w:val="24"/>
        </w:rPr>
        <w:t xml:space="preserve"> </w:t>
      </w:r>
      <w:r w:rsidR="00166F60" w:rsidRPr="00CB0F77">
        <w:rPr>
          <w:rFonts w:ascii="Times New Roman" w:hAnsi="Times New Roman"/>
          <w:bCs/>
          <w:sz w:val="24"/>
          <w:szCs w:val="24"/>
        </w:rPr>
        <w:t>Ši</w:t>
      </w:r>
      <w:r w:rsidR="00217CA8">
        <w:rPr>
          <w:rFonts w:ascii="Times New Roman" w:hAnsi="Times New Roman"/>
          <w:bCs/>
          <w:sz w:val="24"/>
          <w:szCs w:val="24"/>
        </w:rPr>
        <w:t>s</w:t>
      </w:r>
      <w:r w:rsidR="00166F60" w:rsidRPr="00CB0F77">
        <w:rPr>
          <w:rFonts w:ascii="Times New Roman" w:hAnsi="Times New Roman"/>
          <w:bCs/>
          <w:sz w:val="24"/>
          <w:szCs w:val="24"/>
        </w:rPr>
        <w:t xml:space="preserve"> </w:t>
      </w:r>
      <w:r w:rsidR="00F95272">
        <w:rPr>
          <w:rFonts w:ascii="Times New Roman" w:hAnsi="Times New Roman"/>
          <w:bCs/>
          <w:sz w:val="24"/>
          <w:szCs w:val="24"/>
        </w:rPr>
        <w:t>LAEF</w:t>
      </w:r>
      <w:r w:rsidR="00166F60" w:rsidRPr="00CB0F77">
        <w:rPr>
          <w:rFonts w:ascii="Times New Roman" w:hAnsi="Times New Roman"/>
          <w:bCs/>
          <w:sz w:val="24"/>
          <w:szCs w:val="24"/>
        </w:rPr>
        <w:t xml:space="preserve"> </w:t>
      </w:r>
      <w:r w:rsidR="00217CA8">
        <w:rPr>
          <w:rFonts w:ascii="Times New Roman" w:hAnsi="Times New Roman"/>
          <w:bCs/>
          <w:sz w:val="24"/>
          <w:szCs w:val="24"/>
        </w:rPr>
        <w:t>atzinums</w:t>
      </w:r>
      <w:r w:rsidR="00166F60" w:rsidRPr="00CB0F77">
        <w:rPr>
          <w:rFonts w:ascii="Times New Roman" w:hAnsi="Times New Roman"/>
          <w:bCs/>
          <w:sz w:val="24"/>
          <w:szCs w:val="24"/>
        </w:rPr>
        <w:t xml:space="preserve"> būtu skatām</w:t>
      </w:r>
      <w:r w:rsidR="00217CA8">
        <w:rPr>
          <w:rFonts w:ascii="Times New Roman" w:hAnsi="Times New Roman"/>
          <w:bCs/>
          <w:sz w:val="24"/>
          <w:szCs w:val="24"/>
        </w:rPr>
        <w:t>s</w:t>
      </w:r>
      <w:r w:rsidR="00166F60" w:rsidRPr="00CB0F77">
        <w:rPr>
          <w:rFonts w:ascii="Times New Roman" w:hAnsi="Times New Roman"/>
          <w:bCs/>
          <w:sz w:val="24"/>
          <w:szCs w:val="24"/>
        </w:rPr>
        <w:t xml:space="preserve"> kopsakarā ar M</w:t>
      </w:r>
      <w:r w:rsidR="00F95272">
        <w:rPr>
          <w:rFonts w:ascii="Times New Roman" w:hAnsi="Times New Roman"/>
          <w:bCs/>
          <w:sz w:val="24"/>
          <w:szCs w:val="24"/>
        </w:rPr>
        <w:t xml:space="preserve">azās </w:t>
      </w:r>
      <w:proofErr w:type="spellStart"/>
      <w:r w:rsidR="00F95272">
        <w:rPr>
          <w:rFonts w:ascii="Times New Roman" w:hAnsi="Times New Roman"/>
          <w:bCs/>
          <w:sz w:val="24"/>
          <w:szCs w:val="24"/>
        </w:rPr>
        <w:t>hidroenerģētikas</w:t>
      </w:r>
      <w:proofErr w:type="spellEnd"/>
      <w:r w:rsidR="00F95272">
        <w:rPr>
          <w:rFonts w:ascii="Times New Roman" w:hAnsi="Times New Roman"/>
          <w:bCs/>
          <w:sz w:val="24"/>
          <w:szCs w:val="24"/>
        </w:rPr>
        <w:t xml:space="preserve"> asociācijas (MHEA)</w:t>
      </w:r>
      <w:r w:rsidR="00166F60" w:rsidRPr="00CB0F77">
        <w:rPr>
          <w:rFonts w:ascii="Times New Roman" w:hAnsi="Times New Roman"/>
          <w:bCs/>
          <w:sz w:val="24"/>
          <w:szCs w:val="24"/>
        </w:rPr>
        <w:t xml:space="preserve"> 202</w:t>
      </w:r>
      <w:r w:rsidR="00F95272">
        <w:rPr>
          <w:rFonts w:ascii="Times New Roman" w:hAnsi="Times New Roman"/>
          <w:bCs/>
          <w:sz w:val="24"/>
          <w:szCs w:val="24"/>
        </w:rPr>
        <w:t>1</w:t>
      </w:r>
      <w:r w:rsidR="00166F60" w:rsidRPr="00CB0F77">
        <w:rPr>
          <w:rFonts w:ascii="Times New Roman" w:hAnsi="Times New Roman"/>
          <w:bCs/>
          <w:sz w:val="24"/>
          <w:szCs w:val="24"/>
        </w:rPr>
        <w:t xml:space="preserve">. gada </w:t>
      </w:r>
      <w:r w:rsidR="00F95272">
        <w:rPr>
          <w:rFonts w:ascii="Times New Roman" w:hAnsi="Times New Roman"/>
          <w:bCs/>
          <w:sz w:val="24"/>
          <w:szCs w:val="24"/>
        </w:rPr>
        <w:t>12</w:t>
      </w:r>
      <w:r w:rsidR="00166F60" w:rsidRPr="00CB0F77">
        <w:rPr>
          <w:rFonts w:ascii="Times New Roman" w:hAnsi="Times New Roman"/>
          <w:bCs/>
          <w:sz w:val="24"/>
          <w:szCs w:val="24"/>
        </w:rPr>
        <w:t>. </w:t>
      </w:r>
      <w:r w:rsidR="00F95272">
        <w:rPr>
          <w:rFonts w:ascii="Times New Roman" w:hAnsi="Times New Roman"/>
          <w:bCs/>
          <w:sz w:val="24"/>
          <w:szCs w:val="24"/>
        </w:rPr>
        <w:t>janvārī</w:t>
      </w:r>
      <w:r w:rsidR="00166F60" w:rsidRPr="00CB0F77">
        <w:rPr>
          <w:rFonts w:ascii="Times New Roman" w:hAnsi="Times New Roman"/>
          <w:bCs/>
          <w:sz w:val="24"/>
          <w:szCs w:val="24"/>
        </w:rPr>
        <w:t xml:space="preserve"> </w:t>
      </w:r>
      <w:r w:rsidR="00A25AAC" w:rsidRPr="00CB0F77">
        <w:rPr>
          <w:rFonts w:ascii="Times New Roman" w:hAnsi="Times New Roman"/>
          <w:bCs/>
          <w:sz w:val="24"/>
          <w:szCs w:val="24"/>
        </w:rPr>
        <w:t xml:space="preserve">EM </w:t>
      </w:r>
      <w:r w:rsidR="00166F60" w:rsidRPr="00CB0F77">
        <w:rPr>
          <w:rFonts w:ascii="Times New Roman" w:hAnsi="Times New Roman"/>
          <w:bCs/>
          <w:sz w:val="24"/>
          <w:szCs w:val="24"/>
        </w:rPr>
        <w:t>iesniegt</w:t>
      </w:r>
      <w:r w:rsidR="00980802">
        <w:rPr>
          <w:rFonts w:ascii="Times New Roman" w:hAnsi="Times New Roman"/>
          <w:bCs/>
          <w:sz w:val="24"/>
          <w:szCs w:val="24"/>
        </w:rPr>
        <w:t>ajiem priekšlikumiem un jautājumiem par Noteikumu projektu</w:t>
      </w:r>
      <w:r w:rsidR="00B75B3C" w:rsidRPr="00CB0F77">
        <w:rPr>
          <w:rFonts w:ascii="Times New Roman" w:hAnsi="Times New Roman"/>
          <w:bCs/>
          <w:sz w:val="24"/>
          <w:szCs w:val="24"/>
        </w:rPr>
        <w:t xml:space="preserve">, kā arī </w:t>
      </w:r>
      <w:proofErr w:type="spellStart"/>
      <w:r w:rsidR="00217CA8">
        <w:rPr>
          <w:rFonts w:ascii="Times New Roman" w:hAnsi="Times New Roman"/>
          <w:bCs/>
          <w:sz w:val="24"/>
          <w:szCs w:val="24"/>
        </w:rPr>
        <w:t>auditorkompānijas</w:t>
      </w:r>
      <w:proofErr w:type="spellEnd"/>
      <w:r w:rsidR="00217CA8">
        <w:rPr>
          <w:rFonts w:ascii="Times New Roman" w:hAnsi="Times New Roman"/>
          <w:bCs/>
          <w:sz w:val="24"/>
          <w:szCs w:val="24"/>
        </w:rPr>
        <w:t xml:space="preserve"> </w:t>
      </w:r>
      <w:r w:rsidR="004E6231">
        <w:rPr>
          <w:rFonts w:ascii="Times New Roman" w:hAnsi="Times New Roman"/>
          <w:bCs/>
          <w:sz w:val="24"/>
          <w:szCs w:val="24"/>
        </w:rPr>
        <w:t>“</w:t>
      </w:r>
      <w:r w:rsidR="004E6231" w:rsidRPr="004E6231">
        <w:rPr>
          <w:rFonts w:ascii="Times New Roman" w:hAnsi="Times New Roman"/>
          <w:bCs/>
          <w:sz w:val="24"/>
          <w:szCs w:val="24"/>
        </w:rPr>
        <w:t>KPMG Baltics AS</w:t>
      </w:r>
      <w:r w:rsidR="004E6231">
        <w:rPr>
          <w:rFonts w:ascii="Times New Roman" w:hAnsi="Times New Roman"/>
          <w:bCs/>
          <w:sz w:val="24"/>
          <w:szCs w:val="24"/>
        </w:rPr>
        <w:t>”</w:t>
      </w:r>
      <w:r w:rsidR="004E6231" w:rsidRPr="004E6231">
        <w:rPr>
          <w:rFonts w:ascii="Times New Roman" w:hAnsi="Times New Roman"/>
          <w:bCs/>
          <w:sz w:val="24"/>
          <w:szCs w:val="24"/>
        </w:rPr>
        <w:t xml:space="preserve"> </w:t>
      </w:r>
      <w:r w:rsidR="00217CA8">
        <w:rPr>
          <w:rFonts w:ascii="Times New Roman" w:hAnsi="Times New Roman"/>
          <w:bCs/>
          <w:sz w:val="24"/>
          <w:szCs w:val="24"/>
        </w:rPr>
        <w:t>sagatavoto dokumentu “</w:t>
      </w:r>
      <w:r w:rsidR="00217CA8" w:rsidRPr="00FB57AE">
        <w:rPr>
          <w:rFonts w:ascii="Times New Roman" w:hAnsi="Times New Roman"/>
          <w:bCs/>
          <w:i/>
          <w:iCs/>
          <w:sz w:val="24"/>
          <w:szCs w:val="24"/>
        </w:rPr>
        <w:t xml:space="preserve">Neatkarīgs vērtējums par Ekonomikas Ministrijas plānoto Ministru kabineta noteikumu Nr. 560 un Nr. 561 izmaiņu pamatotību un ietekmi uz kopējo kapitālieguldījumu iekšējās peļņas normas un cenas diferencēšanas koeficientu </w:t>
      </w:r>
      <w:proofErr w:type="spellStart"/>
      <w:r w:rsidR="00217CA8" w:rsidRPr="00FB57AE">
        <w:rPr>
          <w:rFonts w:ascii="Times New Roman" w:hAnsi="Times New Roman"/>
          <w:bCs/>
          <w:i/>
          <w:iCs/>
          <w:sz w:val="24"/>
          <w:szCs w:val="24"/>
        </w:rPr>
        <w:t>pārkompensācijas</w:t>
      </w:r>
      <w:proofErr w:type="spellEnd"/>
      <w:r w:rsidR="00217CA8" w:rsidRPr="00FB57AE">
        <w:rPr>
          <w:rFonts w:ascii="Times New Roman" w:hAnsi="Times New Roman"/>
          <w:bCs/>
          <w:i/>
          <w:iCs/>
          <w:sz w:val="24"/>
          <w:szCs w:val="24"/>
        </w:rPr>
        <w:t xml:space="preserve"> novēršanai aprēķinu  elektrības ražošanā koģenerācijas procesā un elektrības ražošanā izmantojot atjaunojamos energoresursus</w:t>
      </w:r>
      <w:r w:rsidR="00217CA8">
        <w:rPr>
          <w:rFonts w:ascii="Times New Roman" w:hAnsi="Times New Roman"/>
          <w:bCs/>
          <w:sz w:val="24"/>
          <w:szCs w:val="24"/>
        </w:rPr>
        <w:t>”</w:t>
      </w:r>
      <w:r w:rsidR="00B75B3C" w:rsidRPr="00CB0F77">
        <w:rPr>
          <w:rFonts w:ascii="Times New Roman" w:hAnsi="Times New Roman"/>
          <w:bCs/>
          <w:sz w:val="24"/>
          <w:szCs w:val="24"/>
        </w:rPr>
        <w:t xml:space="preserve"> par Noteikumu projektu</w:t>
      </w:r>
      <w:r w:rsidR="00E710EC" w:rsidRPr="00CB0F77">
        <w:rPr>
          <w:rFonts w:ascii="Times New Roman" w:hAnsi="Times New Roman"/>
          <w:bCs/>
          <w:sz w:val="24"/>
          <w:szCs w:val="24"/>
        </w:rPr>
        <w:t xml:space="preserve">, jo šajos </w:t>
      </w:r>
      <w:r w:rsidR="00E710EC" w:rsidRPr="00CB0F77">
        <w:rPr>
          <w:rFonts w:ascii="Times New Roman" w:hAnsi="Times New Roman"/>
          <w:bCs/>
          <w:sz w:val="24"/>
          <w:szCs w:val="24"/>
        </w:rPr>
        <w:lastRenderedPageBreak/>
        <w:t>divos minētajos dokumentos ir ietverts vēl sīkāks pamatojums daudziem no šaj</w:t>
      </w:r>
      <w:r w:rsidR="00980802">
        <w:rPr>
          <w:rFonts w:ascii="Times New Roman" w:hAnsi="Times New Roman"/>
          <w:bCs/>
          <w:sz w:val="24"/>
          <w:szCs w:val="24"/>
        </w:rPr>
        <w:t>ā LAEF atzinumā</w:t>
      </w:r>
      <w:r w:rsidR="00E710EC" w:rsidRPr="00CB0F77">
        <w:rPr>
          <w:rFonts w:ascii="Times New Roman" w:hAnsi="Times New Roman"/>
          <w:bCs/>
          <w:sz w:val="24"/>
          <w:szCs w:val="24"/>
        </w:rPr>
        <w:t xml:space="preserve"> </w:t>
      </w:r>
      <w:r w:rsidR="00A25AAC" w:rsidRPr="00CB0F77">
        <w:rPr>
          <w:rFonts w:ascii="Times New Roman" w:hAnsi="Times New Roman"/>
          <w:bCs/>
          <w:sz w:val="24"/>
          <w:szCs w:val="24"/>
        </w:rPr>
        <w:t>apskatītajiem</w:t>
      </w:r>
      <w:r w:rsidR="00E710EC" w:rsidRPr="00CB0F77">
        <w:rPr>
          <w:rFonts w:ascii="Times New Roman" w:hAnsi="Times New Roman"/>
          <w:bCs/>
          <w:sz w:val="24"/>
          <w:szCs w:val="24"/>
        </w:rPr>
        <w:t xml:space="preserve"> </w:t>
      </w:r>
      <w:proofErr w:type="spellStart"/>
      <w:r w:rsidR="00E710EC" w:rsidRPr="00CB0F77">
        <w:rPr>
          <w:rFonts w:ascii="Times New Roman" w:hAnsi="Times New Roman"/>
          <w:bCs/>
          <w:sz w:val="24"/>
          <w:szCs w:val="24"/>
        </w:rPr>
        <w:t>problēmpunktiem</w:t>
      </w:r>
      <w:proofErr w:type="spellEnd"/>
      <w:r w:rsidR="00166F60" w:rsidRPr="00CB0F77">
        <w:rPr>
          <w:rFonts w:ascii="Times New Roman" w:hAnsi="Times New Roman"/>
          <w:bCs/>
          <w:sz w:val="24"/>
          <w:szCs w:val="24"/>
        </w:rPr>
        <w:t>.</w:t>
      </w:r>
    </w:p>
    <w:p w14:paraId="2C899545" w14:textId="117D35A4" w:rsidR="006D7FCC" w:rsidRDefault="00217CA8" w:rsidP="00166F60">
      <w:pPr>
        <w:spacing w:before="120" w:after="0" w:line="240" w:lineRule="auto"/>
        <w:jc w:val="both"/>
        <w:rPr>
          <w:rFonts w:ascii="Times New Roman" w:hAnsi="Times New Roman"/>
          <w:bCs/>
          <w:sz w:val="24"/>
          <w:szCs w:val="24"/>
        </w:rPr>
      </w:pPr>
      <w:r>
        <w:rPr>
          <w:rFonts w:ascii="Times New Roman" w:hAnsi="Times New Roman"/>
          <w:bCs/>
          <w:sz w:val="24"/>
          <w:szCs w:val="24"/>
        </w:rPr>
        <w:t>Jāatzīmē arī, ka š</w:t>
      </w:r>
      <w:r w:rsidR="00980802">
        <w:rPr>
          <w:rFonts w:ascii="Times New Roman" w:hAnsi="Times New Roman"/>
          <w:bCs/>
          <w:sz w:val="24"/>
          <w:szCs w:val="24"/>
        </w:rPr>
        <w:t>ajā atzinumā norādītais attiecībā uz Noteikumu projektu ir vienlīdz attiecināms arī uz identiskajām normām Noteikumu Nr.</w:t>
      </w:r>
      <w:r>
        <w:rPr>
          <w:rFonts w:ascii="Times New Roman" w:hAnsi="Times New Roman"/>
          <w:bCs/>
          <w:sz w:val="24"/>
          <w:szCs w:val="24"/>
        </w:rPr>
        <w:t> </w:t>
      </w:r>
      <w:r w:rsidR="00980802">
        <w:rPr>
          <w:rFonts w:ascii="Times New Roman" w:hAnsi="Times New Roman"/>
          <w:bCs/>
          <w:sz w:val="24"/>
          <w:szCs w:val="24"/>
        </w:rPr>
        <w:t>561 projektā.</w:t>
      </w:r>
    </w:p>
    <w:p w14:paraId="401C38C3" w14:textId="0FCBAF69" w:rsidR="0031369F" w:rsidRDefault="0031369F" w:rsidP="0031369F">
      <w:pPr>
        <w:pStyle w:val="ListParagraph"/>
        <w:spacing w:after="120" w:line="240" w:lineRule="auto"/>
        <w:ind w:left="924"/>
        <w:contextualSpacing w:val="0"/>
        <w:jc w:val="both"/>
        <w:rPr>
          <w:rFonts w:ascii="Times New Roman" w:hAnsi="Times New Roman"/>
          <w:b/>
          <w:sz w:val="24"/>
          <w:szCs w:val="24"/>
          <w:u w:val="single"/>
        </w:rPr>
      </w:pPr>
    </w:p>
    <w:p w14:paraId="269AC808" w14:textId="107D8DFB" w:rsidR="004C1F03" w:rsidRDefault="00490B5F" w:rsidP="004C1F03">
      <w:pPr>
        <w:pStyle w:val="ListParagraph"/>
        <w:numPr>
          <w:ilvl w:val="0"/>
          <w:numId w:val="21"/>
        </w:numPr>
        <w:spacing w:after="120" w:line="240" w:lineRule="auto"/>
        <w:ind w:left="924" w:hanging="357"/>
        <w:contextualSpacing w:val="0"/>
        <w:jc w:val="both"/>
        <w:rPr>
          <w:rFonts w:ascii="Times New Roman" w:hAnsi="Times New Roman"/>
          <w:b/>
          <w:sz w:val="24"/>
          <w:szCs w:val="24"/>
        </w:rPr>
      </w:pPr>
      <w:r>
        <w:rPr>
          <w:rFonts w:ascii="Times New Roman" w:hAnsi="Times New Roman"/>
          <w:b/>
          <w:sz w:val="24"/>
          <w:szCs w:val="24"/>
        </w:rPr>
        <w:t>Noteikumu projekta 11.</w:t>
      </w:r>
      <w:r w:rsidRPr="00A401A7">
        <w:rPr>
          <w:rFonts w:ascii="Times New Roman" w:hAnsi="Times New Roman"/>
          <w:b/>
          <w:sz w:val="24"/>
          <w:szCs w:val="24"/>
          <w:vertAlign w:val="superscript"/>
        </w:rPr>
        <w:t>1</w:t>
      </w:r>
      <w:r>
        <w:rPr>
          <w:rFonts w:ascii="Times New Roman" w:hAnsi="Times New Roman"/>
          <w:b/>
          <w:sz w:val="24"/>
          <w:szCs w:val="24"/>
        </w:rPr>
        <w:t xml:space="preserve"> punkts un </w:t>
      </w:r>
      <w:r w:rsidR="00A401A7" w:rsidRPr="00A401A7">
        <w:rPr>
          <w:rFonts w:ascii="Times New Roman" w:hAnsi="Times New Roman"/>
          <w:b/>
          <w:sz w:val="24"/>
          <w:szCs w:val="24"/>
        </w:rPr>
        <w:t>59.</w:t>
      </w:r>
      <w:r w:rsidR="00A401A7" w:rsidRPr="00A401A7">
        <w:rPr>
          <w:rFonts w:ascii="Times New Roman" w:hAnsi="Times New Roman"/>
          <w:b/>
          <w:sz w:val="24"/>
          <w:szCs w:val="24"/>
          <w:vertAlign w:val="superscript"/>
        </w:rPr>
        <w:t>8</w:t>
      </w:r>
      <w:r w:rsidR="00A401A7" w:rsidRPr="00A401A7">
        <w:rPr>
          <w:rFonts w:ascii="Times New Roman" w:hAnsi="Times New Roman"/>
          <w:b/>
          <w:sz w:val="24"/>
          <w:szCs w:val="24"/>
        </w:rPr>
        <w:t xml:space="preserve"> 7.</w:t>
      </w:r>
      <w:r w:rsidR="00A401A7">
        <w:rPr>
          <w:rFonts w:ascii="Times New Roman" w:hAnsi="Times New Roman"/>
          <w:b/>
          <w:sz w:val="24"/>
          <w:szCs w:val="24"/>
        </w:rPr>
        <w:t> punkts</w:t>
      </w:r>
      <w:r w:rsidR="00A401A7" w:rsidRPr="00A401A7">
        <w:rPr>
          <w:rFonts w:ascii="Times New Roman" w:hAnsi="Times New Roman"/>
          <w:b/>
          <w:sz w:val="24"/>
          <w:szCs w:val="24"/>
        </w:rPr>
        <w:t> </w:t>
      </w:r>
    </w:p>
    <w:p w14:paraId="74901087" w14:textId="12DD5038" w:rsidR="00490B5F" w:rsidRDefault="00490B5F" w:rsidP="009B01B4">
      <w:pPr>
        <w:spacing w:before="120" w:after="0" w:line="240" w:lineRule="auto"/>
        <w:jc w:val="both"/>
        <w:rPr>
          <w:rFonts w:ascii="Times New Roman" w:hAnsi="Times New Roman"/>
          <w:sz w:val="24"/>
          <w:szCs w:val="24"/>
        </w:rPr>
      </w:pPr>
      <w:r>
        <w:rPr>
          <w:rFonts w:ascii="Times New Roman" w:hAnsi="Times New Roman"/>
          <w:sz w:val="24"/>
          <w:szCs w:val="24"/>
        </w:rPr>
        <w:t>No spēkā esošās Noteikumu Nr. 560 redakcijas 11. punkta un no Noteikumu projekta 11.</w:t>
      </w:r>
      <w:r w:rsidRPr="00490B5F">
        <w:rPr>
          <w:rFonts w:ascii="Times New Roman" w:hAnsi="Times New Roman"/>
          <w:sz w:val="24"/>
          <w:szCs w:val="24"/>
          <w:vertAlign w:val="superscript"/>
        </w:rPr>
        <w:t>1</w:t>
      </w:r>
      <w:r>
        <w:rPr>
          <w:rFonts w:ascii="Times New Roman" w:hAnsi="Times New Roman"/>
          <w:sz w:val="24"/>
          <w:szCs w:val="24"/>
        </w:rPr>
        <w:t xml:space="preserve"> punkta izriet, ka pēc </w:t>
      </w:r>
      <w:r w:rsidR="00980802">
        <w:rPr>
          <w:rFonts w:ascii="Times New Roman" w:hAnsi="Times New Roman"/>
          <w:sz w:val="24"/>
          <w:szCs w:val="24"/>
        </w:rPr>
        <w:t>elektrostacijas</w:t>
      </w:r>
      <w:r>
        <w:rPr>
          <w:rFonts w:ascii="Times New Roman" w:hAnsi="Times New Roman"/>
          <w:sz w:val="24"/>
          <w:szCs w:val="24"/>
        </w:rPr>
        <w:t xml:space="preserve"> </w:t>
      </w:r>
      <w:r w:rsidRPr="00873375">
        <w:rPr>
          <w:rFonts w:ascii="Times New Roman" w:hAnsi="Times New Roman"/>
          <w:sz w:val="24"/>
          <w:szCs w:val="24"/>
          <w:shd w:val="clear" w:color="auto" w:fill="FFFFFF"/>
        </w:rPr>
        <w:t>pamatlīdzekļu pilna nolietojuma saskaņā ar normatīvajiem aktiem par grāmatvedības prasībām</w:t>
      </w:r>
      <w:r w:rsidRPr="003E6712">
        <w:rPr>
          <w:rFonts w:ascii="Times New Roman" w:hAnsi="Times New Roman"/>
          <w:sz w:val="24"/>
          <w:szCs w:val="24"/>
        </w:rPr>
        <w:t xml:space="preserve"> </w:t>
      </w:r>
      <w:r>
        <w:rPr>
          <w:rFonts w:ascii="Times New Roman" w:hAnsi="Times New Roman"/>
          <w:sz w:val="24"/>
          <w:szCs w:val="24"/>
        </w:rPr>
        <w:t>obligātā iepirkuma</w:t>
      </w:r>
      <w:r w:rsidR="00980802">
        <w:rPr>
          <w:rFonts w:ascii="Times New Roman" w:hAnsi="Times New Roman"/>
          <w:sz w:val="24"/>
          <w:szCs w:val="24"/>
        </w:rPr>
        <w:t xml:space="preserve"> (turpmāk – OI)</w:t>
      </w:r>
      <w:r>
        <w:rPr>
          <w:rFonts w:ascii="Times New Roman" w:hAnsi="Times New Roman"/>
          <w:sz w:val="24"/>
          <w:szCs w:val="24"/>
        </w:rPr>
        <w:t xml:space="preserve"> tiesības </w:t>
      </w:r>
      <w:r w:rsidR="00980802">
        <w:rPr>
          <w:rFonts w:ascii="Times New Roman" w:hAnsi="Times New Roman"/>
          <w:sz w:val="24"/>
          <w:szCs w:val="24"/>
        </w:rPr>
        <w:t>elektrostacijai</w:t>
      </w:r>
      <w:r>
        <w:rPr>
          <w:rFonts w:ascii="Times New Roman" w:hAnsi="Times New Roman"/>
          <w:sz w:val="24"/>
          <w:szCs w:val="24"/>
        </w:rPr>
        <w:t xml:space="preserve"> tiek pārtrauktas, turklāt vēl paredzot pienākumu atmaksāt visu saņemto atbalstu kopš brīža, kad pamatlīdzekļu nolietojums iestājies. </w:t>
      </w:r>
      <w:r w:rsidR="00A401A7">
        <w:rPr>
          <w:rFonts w:ascii="Times New Roman" w:hAnsi="Times New Roman"/>
          <w:sz w:val="24"/>
          <w:szCs w:val="24"/>
        </w:rPr>
        <w:t xml:space="preserve">Turklāt saskaņā ar Noteikumu projekta </w:t>
      </w:r>
      <w:r w:rsidR="00A401A7" w:rsidRPr="00A401A7">
        <w:rPr>
          <w:rFonts w:ascii="Times New Roman" w:hAnsi="Times New Roman"/>
          <w:sz w:val="24"/>
          <w:szCs w:val="24"/>
        </w:rPr>
        <w:t>59.</w:t>
      </w:r>
      <w:r w:rsidR="00A401A7" w:rsidRPr="00A401A7">
        <w:rPr>
          <w:rFonts w:ascii="Times New Roman" w:hAnsi="Times New Roman"/>
          <w:sz w:val="24"/>
          <w:szCs w:val="24"/>
          <w:vertAlign w:val="superscript"/>
        </w:rPr>
        <w:t>8</w:t>
      </w:r>
      <w:r w:rsidR="00980802">
        <w:rPr>
          <w:rFonts w:ascii="Times New Roman" w:hAnsi="Times New Roman"/>
          <w:sz w:val="24"/>
          <w:szCs w:val="24"/>
        </w:rPr>
        <w:t> </w:t>
      </w:r>
      <w:r w:rsidR="00A401A7" w:rsidRPr="00A401A7">
        <w:rPr>
          <w:rFonts w:ascii="Times New Roman" w:hAnsi="Times New Roman"/>
          <w:sz w:val="24"/>
          <w:szCs w:val="24"/>
        </w:rPr>
        <w:t>7.</w:t>
      </w:r>
      <w:r w:rsidR="00A401A7">
        <w:rPr>
          <w:rFonts w:ascii="Times New Roman" w:hAnsi="Times New Roman"/>
          <w:sz w:val="24"/>
          <w:szCs w:val="24"/>
        </w:rPr>
        <w:t xml:space="preserve"> punktu, </w:t>
      </w:r>
      <w:r w:rsidR="00A401A7" w:rsidRPr="00A401A7">
        <w:rPr>
          <w:rFonts w:ascii="Times New Roman" w:hAnsi="Times New Roman"/>
          <w:sz w:val="24"/>
          <w:szCs w:val="24"/>
        </w:rPr>
        <w:t>ja komersants saskaņā ar šo noteikumu 19. punktu ir atteicies no obligātā iepirkuma tiesībām vai minētās tiesības komersantam ir atceltas pirms obligātā iepirkuma tiesību beigu datuma, elektrostacijas ieņēmumos</w:t>
      </w:r>
      <w:r w:rsidR="00777E43">
        <w:rPr>
          <w:rFonts w:ascii="Times New Roman" w:hAnsi="Times New Roman"/>
          <w:sz w:val="24"/>
          <w:szCs w:val="24"/>
        </w:rPr>
        <w:t xml:space="preserve">, veicot </w:t>
      </w:r>
      <w:r w:rsidR="00777E43">
        <w:rPr>
          <w:rFonts w:ascii="Times New Roman" w:eastAsia="Times New Roman" w:hAnsi="Times New Roman"/>
          <w:sz w:val="24"/>
          <w:szCs w:val="24"/>
          <w:lang w:eastAsia="lv-LV"/>
        </w:rPr>
        <w:t>ie</w:t>
      </w:r>
      <w:r w:rsidR="00777E43" w:rsidRPr="00777E43">
        <w:rPr>
          <w:rFonts w:ascii="Times New Roman" w:eastAsia="Times New Roman" w:hAnsi="Times New Roman"/>
          <w:sz w:val="24"/>
          <w:szCs w:val="24"/>
          <w:lang w:eastAsia="lv-LV"/>
        </w:rPr>
        <w:t>kšējās peļņas normas aprēķin</w:t>
      </w:r>
      <w:r w:rsidR="00777E43">
        <w:rPr>
          <w:rFonts w:ascii="Times New Roman" w:eastAsia="Times New Roman" w:hAnsi="Times New Roman"/>
          <w:sz w:val="24"/>
          <w:szCs w:val="24"/>
          <w:lang w:eastAsia="lv-LV"/>
        </w:rPr>
        <w:t>u (turpmāk – IRR),</w:t>
      </w:r>
      <w:r w:rsidR="00777E43">
        <w:rPr>
          <w:rFonts w:ascii="Times New Roman" w:hAnsi="Times New Roman"/>
          <w:sz w:val="24"/>
          <w:szCs w:val="24"/>
        </w:rPr>
        <w:t xml:space="preserve"> </w:t>
      </w:r>
      <w:r w:rsidR="00A401A7" w:rsidRPr="00A401A7">
        <w:rPr>
          <w:rFonts w:ascii="Times New Roman" w:hAnsi="Times New Roman"/>
          <w:sz w:val="24"/>
          <w:szCs w:val="24"/>
        </w:rPr>
        <w:t xml:space="preserve"> ieskaita elektrostacijas pamatlīdzekļu atlikušo vērtību</w:t>
      </w:r>
      <w:r w:rsidR="00A401A7">
        <w:rPr>
          <w:rFonts w:ascii="Times New Roman" w:hAnsi="Times New Roman"/>
          <w:sz w:val="24"/>
          <w:szCs w:val="24"/>
        </w:rPr>
        <w:t xml:space="preserve">. </w:t>
      </w:r>
      <w:r>
        <w:rPr>
          <w:rFonts w:ascii="Times New Roman" w:hAnsi="Times New Roman"/>
          <w:sz w:val="24"/>
          <w:szCs w:val="24"/>
        </w:rPr>
        <w:t xml:space="preserve">Šajā ziņā </w:t>
      </w:r>
      <w:r w:rsidR="00980802">
        <w:rPr>
          <w:rFonts w:ascii="Times New Roman" w:hAnsi="Times New Roman"/>
          <w:sz w:val="24"/>
          <w:szCs w:val="24"/>
        </w:rPr>
        <w:t>LAEF</w:t>
      </w:r>
      <w:r>
        <w:rPr>
          <w:rFonts w:ascii="Times New Roman" w:hAnsi="Times New Roman"/>
          <w:sz w:val="24"/>
          <w:szCs w:val="24"/>
        </w:rPr>
        <w:t xml:space="preserve"> vērš uzmanību uz šādiem būtiskiem </w:t>
      </w:r>
      <w:r w:rsidR="00A401A7">
        <w:rPr>
          <w:rFonts w:ascii="Times New Roman" w:hAnsi="Times New Roman"/>
          <w:sz w:val="24"/>
          <w:szCs w:val="24"/>
        </w:rPr>
        <w:t>apstākļiem</w:t>
      </w:r>
      <w:r>
        <w:rPr>
          <w:rFonts w:ascii="Times New Roman" w:hAnsi="Times New Roman"/>
          <w:sz w:val="24"/>
          <w:szCs w:val="24"/>
        </w:rPr>
        <w:t>:</w:t>
      </w:r>
    </w:p>
    <w:p w14:paraId="24909236" w14:textId="442803B9" w:rsidR="00490B5F" w:rsidRPr="00217CA8" w:rsidRDefault="00490B5F" w:rsidP="009B01B4">
      <w:pPr>
        <w:spacing w:before="120" w:after="0" w:line="240" w:lineRule="auto"/>
        <w:jc w:val="both"/>
        <w:rPr>
          <w:rFonts w:ascii="Times New Roman" w:hAnsi="Times New Roman"/>
          <w:sz w:val="24"/>
          <w:szCs w:val="24"/>
        </w:rPr>
      </w:pPr>
      <w:r w:rsidRPr="00217CA8">
        <w:rPr>
          <w:rFonts w:ascii="Times New Roman" w:hAnsi="Times New Roman"/>
          <w:sz w:val="24"/>
          <w:szCs w:val="24"/>
        </w:rPr>
        <w:t xml:space="preserve">Pirmkārt, </w:t>
      </w:r>
      <w:r w:rsidR="00227598" w:rsidRPr="00217CA8">
        <w:rPr>
          <w:rFonts w:ascii="Times New Roman" w:eastAsia="Times New Roman" w:hAnsi="Times New Roman"/>
          <w:sz w:val="24"/>
          <w:szCs w:val="24"/>
        </w:rPr>
        <w:t>Elektroenerģijas tirgus likumā nav atrodama neviena norma, kas runātu par pamatlīdzekļiem un to nolietojumu kā kritēriju OI tiesību saglabāšanai vai atcelšanai</w:t>
      </w:r>
    </w:p>
    <w:p w14:paraId="7F75047A" w14:textId="19F4A667" w:rsidR="00490B5F" w:rsidRPr="00217CA8" w:rsidRDefault="00490B5F" w:rsidP="009B01B4">
      <w:pPr>
        <w:spacing w:before="120" w:after="0" w:line="240" w:lineRule="auto"/>
        <w:jc w:val="both"/>
        <w:rPr>
          <w:rFonts w:ascii="Times New Roman" w:eastAsia="Times New Roman" w:hAnsi="Times New Roman"/>
          <w:sz w:val="24"/>
          <w:szCs w:val="24"/>
        </w:rPr>
      </w:pPr>
      <w:r w:rsidRPr="00217CA8">
        <w:rPr>
          <w:rFonts w:ascii="Times New Roman" w:hAnsi="Times New Roman"/>
          <w:sz w:val="24"/>
          <w:szCs w:val="24"/>
        </w:rPr>
        <w:t xml:space="preserve">Otrkārt, </w:t>
      </w:r>
      <w:r w:rsidR="00227598" w:rsidRPr="00217CA8">
        <w:rPr>
          <w:rFonts w:ascii="Times New Roman" w:eastAsia="Times New Roman" w:hAnsi="Times New Roman"/>
          <w:sz w:val="24"/>
          <w:szCs w:val="24"/>
        </w:rPr>
        <w:t xml:space="preserve">šo normu iecerēts piemērot ar </w:t>
      </w:r>
      <w:proofErr w:type="spellStart"/>
      <w:r w:rsidR="00227598" w:rsidRPr="00217CA8">
        <w:rPr>
          <w:rFonts w:ascii="Times New Roman" w:eastAsia="Times New Roman" w:hAnsi="Times New Roman"/>
          <w:sz w:val="24"/>
          <w:szCs w:val="24"/>
        </w:rPr>
        <w:t>atpakaļvērstu</w:t>
      </w:r>
      <w:proofErr w:type="spellEnd"/>
      <w:r w:rsidR="00227598" w:rsidRPr="00217CA8">
        <w:rPr>
          <w:rFonts w:ascii="Times New Roman" w:eastAsia="Times New Roman" w:hAnsi="Times New Roman"/>
          <w:sz w:val="24"/>
          <w:szCs w:val="24"/>
        </w:rPr>
        <w:t xml:space="preserve"> spēku, tādējādi principiāli izmainot līdzšinējos OI atbalsta saņemšanas nosacījumus un līdz ar to pārkāpjot </w:t>
      </w:r>
      <w:r w:rsidR="00217CA8">
        <w:rPr>
          <w:rFonts w:ascii="Times New Roman" w:eastAsia="Times New Roman" w:hAnsi="Times New Roman"/>
          <w:sz w:val="24"/>
          <w:szCs w:val="24"/>
        </w:rPr>
        <w:t>AER ražotāju</w:t>
      </w:r>
      <w:r w:rsidR="00227598" w:rsidRPr="00217CA8">
        <w:rPr>
          <w:rFonts w:ascii="Times New Roman" w:eastAsia="Times New Roman" w:hAnsi="Times New Roman"/>
          <w:sz w:val="24"/>
          <w:szCs w:val="24"/>
        </w:rPr>
        <w:t xml:space="preserve"> leģitīmo paļaušanos uz savulaik ar valsti slēgto līgumu noteikumiem un no tiem izrietošo izvēlēto pamatlīdzekļu nolietojuma kārtību, kalpošanas laiku utt.</w:t>
      </w:r>
    </w:p>
    <w:p w14:paraId="11E9CCCD" w14:textId="25412846" w:rsidR="00227598" w:rsidRPr="00217CA8" w:rsidRDefault="00227598" w:rsidP="009B01B4">
      <w:pPr>
        <w:spacing w:before="120" w:after="0" w:line="240" w:lineRule="auto"/>
        <w:jc w:val="both"/>
        <w:rPr>
          <w:rFonts w:ascii="Times New Roman" w:eastAsia="Times New Roman" w:hAnsi="Times New Roman"/>
          <w:sz w:val="24"/>
          <w:szCs w:val="24"/>
        </w:rPr>
      </w:pPr>
      <w:r w:rsidRPr="00217CA8">
        <w:rPr>
          <w:rFonts w:ascii="Times New Roman" w:eastAsia="Times New Roman" w:hAnsi="Times New Roman"/>
          <w:sz w:val="24"/>
          <w:szCs w:val="24"/>
        </w:rPr>
        <w:t xml:space="preserve">Treškārt, uzskatām, ka šādu normu – ja to vispār iespējams atzīt par atbilstošu likumam – ir pieļaujams piemērot tikai no 2020. gada 11. septembra un tātad sākt attiecināt uz </w:t>
      </w:r>
      <w:r w:rsidR="00217CA8">
        <w:rPr>
          <w:rFonts w:ascii="Times New Roman" w:eastAsia="Times New Roman" w:hAnsi="Times New Roman"/>
          <w:sz w:val="24"/>
          <w:szCs w:val="24"/>
        </w:rPr>
        <w:t>AER elektrostaciju</w:t>
      </w:r>
      <w:r w:rsidRPr="00217CA8">
        <w:rPr>
          <w:rFonts w:ascii="Times New Roman" w:eastAsia="Times New Roman" w:hAnsi="Times New Roman"/>
          <w:sz w:val="24"/>
          <w:szCs w:val="24"/>
        </w:rPr>
        <w:t xml:space="preserve"> pamatlīdzekļu nolietojumu tikai 2020. gada beigās, neskarot agrākus grāmatvedības periodus.</w:t>
      </w:r>
    </w:p>
    <w:p w14:paraId="1A94F3DE" w14:textId="1C4B05BA" w:rsidR="00227598" w:rsidRDefault="00227598" w:rsidP="009B01B4">
      <w:pPr>
        <w:spacing w:before="120" w:after="0" w:line="240" w:lineRule="auto"/>
        <w:jc w:val="both"/>
        <w:rPr>
          <w:rFonts w:ascii="Times New Roman" w:eastAsia="Times New Roman" w:hAnsi="Times New Roman"/>
          <w:sz w:val="24"/>
          <w:szCs w:val="24"/>
        </w:rPr>
      </w:pPr>
      <w:r w:rsidRPr="00217CA8">
        <w:rPr>
          <w:rFonts w:ascii="Times New Roman" w:eastAsia="Times New Roman" w:hAnsi="Times New Roman"/>
          <w:sz w:val="24"/>
          <w:szCs w:val="24"/>
        </w:rPr>
        <w:t xml:space="preserve">Ceturtkārt, </w:t>
      </w:r>
      <w:r w:rsidR="00217CA8">
        <w:rPr>
          <w:rFonts w:ascii="Times New Roman" w:eastAsia="Times New Roman" w:hAnsi="Times New Roman"/>
          <w:sz w:val="24"/>
          <w:szCs w:val="24"/>
        </w:rPr>
        <w:t>u</w:t>
      </w:r>
      <w:r w:rsidRPr="00217CA8">
        <w:rPr>
          <w:rFonts w:ascii="Times New Roman" w:eastAsia="Times New Roman" w:hAnsi="Times New Roman"/>
          <w:sz w:val="24"/>
          <w:szCs w:val="24"/>
        </w:rPr>
        <w:t xml:space="preserve">zskatām arī, ka, lai šādu normu piemērotu korekti, tad ar tās spēkā stāšanās brīdi bija jāparedz (vai vismaz šobrīd būtu jāparedz), ka </w:t>
      </w:r>
      <w:r w:rsidR="00217CA8">
        <w:rPr>
          <w:rFonts w:ascii="Times New Roman" w:eastAsia="Times New Roman" w:hAnsi="Times New Roman"/>
          <w:sz w:val="24"/>
          <w:szCs w:val="24"/>
        </w:rPr>
        <w:t>AER ražotājam</w:t>
      </w:r>
      <w:r w:rsidRPr="00217CA8">
        <w:rPr>
          <w:rFonts w:ascii="Times New Roman" w:eastAsia="Times New Roman" w:hAnsi="Times New Roman"/>
          <w:sz w:val="24"/>
          <w:szCs w:val="24"/>
        </w:rPr>
        <w:t xml:space="preserve"> ir jāaktualizē </w:t>
      </w:r>
      <w:r w:rsidR="00217CA8">
        <w:rPr>
          <w:rFonts w:ascii="Times New Roman" w:eastAsia="Times New Roman" w:hAnsi="Times New Roman"/>
          <w:sz w:val="24"/>
          <w:szCs w:val="24"/>
        </w:rPr>
        <w:t>elektrostacijas</w:t>
      </w:r>
      <w:r w:rsidRPr="00217CA8">
        <w:rPr>
          <w:rFonts w:ascii="Times New Roman" w:eastAsia="Times New Roman" w:hAnsi="Times New Roman"/>
          <w:sz w:val="24"/>
          <w:szCs w:val="24"/>
        </w:rPr>
        <w:t xml:space="preserve"> pamatlīdzekļu nolietojums atbilstoši to faktiskajai vērtībai un arī jābūt noteiktam saprātīgam pārejas periodam, kurā tas ir jāizdara</w:t>
      </w:r>
      <w:r w:rsidR="00217CA8">
        <w:rPr>
          <w:rFonts w:ascii="Times New Roman" w:eastAsia="Times New Roman" w:hAnsi="Times New Roman"/>
          <w:sz w:val="24"/>
          <w:szCs w:val="24"/>
        </w:rPr>
        <w:t>.</w:t>
      </w:r>
    </w:p>
    <w:p w14:paraId="3B65A18E" w14:textId="2D8ADE8D" w:rsidR="00733BE1" w:rsidRDefault="00733BE1" w:rsidP="009B01B4">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Piektkārt, ietvertais nosacījums par to, ka </w:t>
      </w:r>
      <w:r w:rsidRPr="00873375">
        <w:rPr>
          <w:rFonts w:ascii="Times New Roman" w:eastAsia="Times New Roman" w:hAnsi="Times New Roman"/>
          <w:sz w:val="24"/>
          <w:szCs w:val="24"/>
          <w:lang w:eastAsia="lv-LV"/>
        </w:rPr>
        <w:t>elektrostacijas ieņēmumos ieskaita elektrostacijas</w:t>
      </w:r>
      <w:r>
        <w:rPr>
          <w:rFonts w:ascii="Times New Roman" w:eastAsia="Times New Roman" w:hAnsi="Times New Roman"/>
          <w:sz w:val="24"/>
          <w:szCs w:val="24"/>
          <w:lang w:eastAsia="lv-LV"/>
        </w:rPr>
        <w:t xml:space="preserve"> pamatlīdzekļu atlikušo vērtību ir kategoriski nepieņem</w:t>
      </w:r>
      <w:r w:rsidR="00217CA8">
        <w:rPr>
          <w:rFonts w:ascii="Times New Roman" w:eastAsia="Times New Roman" w:hAnsi="Times New Roman"/>
          <w:sz w:val="24"/>
          <w:szCs w:val="24"/>
          <w:lang w:eastAsia="lv-LV"/>
        </w:rPr>
        <w:t>am</w:t>
      </w:r>
      <w:r>
        <w:rPr>
          <w:rFonts w:ascii="Times New Roman" w:eastAsia="Times New Roman" w:hAnsi="Times New Roman"/>
          <w:sz w:val="24"/>
          <w:szCs w:val="24"/>
          <w:lang w:eastAsia="lv-LV"/>
        </w:rPr>
        <w:t xml:space="preserve">s, jo šādu </w:t>
      </w:r>
      <w:r w:rsidR="00217CA8">
        <w:rPr>
          <w:rFonts w:ascii="Times New Roman" w:eastAsia="Times New Roman" w:hAnsi="Times New Roman"/>
          <w:sz w:val="24"/>
          <w:szCs w:val="24"/>
          <w:lang w:eastAsia="lv-LV"/>
        </w:rPr>
        <w:t>formulējumu autoriem acīmredzot</w:t>
      </w:r>
      <w:r>
        <w:rPr>
          <w:rFonts w:ascii="Times New Roman" w:eastAsia="Times New Roman" w:hAnsi="Times New Roman"/>
          <w:sz w:val="24"/>
          <w:szCs w:val="24"/>
          <w:lang w:eastAsia="lv-LV"/>
        </w:rPr>
        <w:t xml:space="preserve"> nav vispār </w:t>
      </w:r>
      <w:r w:rsidR="00217CA8">
        <w:rPr>
          <w:rFonts w:ascii="Times New Roman" w:eastAsia="Times New Roman" w:hAnsi="Times New Roman"/>
          <w:sz w:val="24"/>
          <w:szCs w:val="24"/>
          <w:lang w:eastAsia="lv-LV"/>
        </w:rPr>
        <w:t>nekādas izpratnes</w:t>
      </w:r>
      <w:r>
        <w:rPr>
          <w:rFonts w:ascii="Times New Roman" w:eastAsia="Times New Roman" w:hAnsi="Times New Roman"/>
          <w:sz w:val="24"/>
          <w:szCs w:val="24"/>
          <w:lang w:eastAsia="lv-LV"/>
        </w:rPr>
        <w:t xml:space="preserve"> par uzņēmējdarbības pamatprincipiem!</w:t>
      </w:r>
      <w:r w:rsidR="00777E43">
        <w:rPr>
          <w:rFonts w:ascii="Times New Roman" w:eastAsia="Times New Roman" w:hAnsi="Times New Roman"/>
          <w:sz w:val="24"/>
          <w:szCs w:val="24"/>
          <w:lang w:eastAsia="lv-LV"/>
        </w:rPr>
        <w:t xml:space="preserve"> </w:t>
      </w:r>
      <w:r w:rsidR="00777E43" w:rsidRPr="00B16F05">
        <w:rPr>
          <w:rFonts w:ascii="Times New Roman" w:eastAsia="Times New Roman" w:hAnsi="Times New Roman"/>
          <w:sz w:val="24"/>
          <w:szCs w:val="24"/>
          <w:u w:val="single"/>
          <w:lang w:eastAsia="lv-LV"/>
        </w:rPr>
        <w:t>Šajā ziņā skaidrojam Ekonomikas ministrijai sekojošo:</w:t>
      </w:r>
    </w:p>
    <w:p w14:paraId="43888B42" w14:textId="68AAF949" w:rsidR="00777E43" w:rsidRDefault="00777E43" w:rsidP="00A1295B">
      <w:pPr>
        <w:pStyle w:val="ListParagraph"/>
        <w:numPr>
          <w:ilvl w:val="0"/>
          <w:numId w:val="47"/>
        </w:numPr>
        <w:spacing w:before="120" w:after="0" w:line="240" w:lineRule="auto"/>
        <w:ind w:left="714" w:hanging="357"/>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IRR</w:t>
      </w:r>
      <w:r w:rsidRPr="00777E43">
        <w:rPr>
          <w:rFonts w:ascii="Times New Roman" w:eastAsia="Times New Roman" w:hAnsi="Times New Roman"/>
          <w:sz w:val="24"/>
          <w:szCs w:val="24"/>
          <w:lang w:eastAsia="lv-LV"/>
        </w:rPr>
        <w:t xml:space="preserve"> aprēķins ņem vērā visus ekonomiskos aspektus ienākuma noteikšanā, tai skaitā investīcijas. Tāpēc vēlreiz iesaistot izvērtēšanā nolietojumu tiek iegūts nepareizs priekšstats</w:t>
      </w:r>
      <w:r>
        <w:rPr>
          <w:rFonts w:ascii="Times New Roman" w:eastAsia="Times New Roman" w:hAnsi="Times New Roman"/>
          <w:sz w:val="24"/>
          <w:szCs w:val="24"/>
          <w:lang w:eastAsia="lv-LV"/>
        </w:rPr>
        <w:t xml:space="preserve"> </w:t>
      </w:r>
      <w:r w:rsidRPr="00777E43">
        <w:rPr>
          <w:rFonts w:ascii="Times New Roman" w:eastAsia="Times New Roman" w:hAnsi="Times New Roman"/>
          <w:sz w:val="24"/>
          <w:szCs w:val="24"/>
          <w:lang w:eastAsia="lv-LV"/>
        </w:rPr>
        <w:t>par patieso iekšējās peļņas lielumu</w:t>
      </w:r>
      <w:r>
        <w:rPr>
          <w:rFonts w:ascii="Times New Roman" w:eastAsia="Times New Roman" w:hAnsi="Times New Roman"/>
          <w:sz w:val="24"/>
          <w:szCs w:val="24"/>
          <w:lang w:eastAsia="lv-LV"/>
        </w:rPr>
        <w:t>;</w:t>
      </w:r>
    </w:p>
    <w:p w14:paraId="022A58D7" w14:textId="1A73D208" w:rsidR="00777E43" w:rsidRDefault="00777E43" w:rsidP="00A1295B">
      <w:pPr>
        <w:pStyle w:val="ListParagraph"/>
        <w:numPr>
          <w:ilvl w:val="0"/>
          <w:numId w:val="47"/>
        </w:numPr>
        <w:spacing w:before="120" w:after="0" w:line="240" w:lineRule="auto"/>
        <w:ind w:left="714" w:hanging="357"/>
        <w:contextualSpacing w:val="0"/>
        <w:jc w:val="both"/>
        <w:rPr>
          <w:rFonts w:ascii="Times New Roman" w:eastAsia="Times New Roman" w:hAnsi="Times New Roman"/>
          <w:sz w:val="24"/>
          <w:szCs w:val="24"/>
          <w:lang w:eastAsia="lv-LV"/>
        </w:rPr>
      </w:pPr>
      <w:r w:rsidRPr="00777E43">
        <w:rPr>
          <w:rFonts w:ascii="Times New Roman" w:eastAsia="Times New Roman" w:hAnsi="Times New Roman"/>
          <w:sz w:val="24"/>
          <w:szCs w:val="24"/>
          <w:lang w:eastAsia="lv-LV"/>
        </w:rPr>
        <w:t>Pamatlīdzekļu nolietojuma lielums nevar tikt uzskatīts par objektīvu lielumu, jo nolietojuma normas uzņēmumos netiek regulētas normatīvo aktu ietvaros. Likums regulē tikai nolietojuma likmes nodokļu vajadzībām.</w:t>
      </w:r>
      <w:r>
        <w:rPr>
          <w:rFonts w:ascii="Times New Roman" w:eastAsia="Times New Roman" w:hAnsi="Times New Roman"/>
          <w:sz w:val="24"/>
          <w:szCs w:val="24"/>
          <w:lang w:eastAsia="lv-LV"/>
        </w:rPr>
        <w:t xml:space="preserve"> </w:t>
      </w:r>
      <w:r w:rsidRPr="00777E43">
        <w:rPr>
          <w:rFonts w:ascii="Times New Roman" w:eastAsia="Times New Roman" w:hAnsi="Times New Roman"/>
          <w:sz w:val="24"/>
          <w:szCs w:val="24"/>
          <w:lang w:eastAsia="lv-LV"/>
        </w:rPr>
        <w:t xml:space="preserve">Katra uzņēmuma valde lemj par nolietojuma periodu, taču normatīvo aktu prasības prasa, lai uzņēmuma pamatlīdzekļi tiktu novērtēti iespējami tuvu tirgus vērtībai. Tas nozīmē, ka parasta prakse ir pamatlīdzekļu pārvērtēšana. Taču praksē ne visi uzņēmumi to dara. Optimālajā </w:t>
      </w:r>
      <w:r w:rsidRPr="00777E43">
        <w:rPr>
          <w:rFonts w:ascii="Times New Roman" w:eastAsia="Times New Roman" w:hAnsi="Times New Roman"/>
          <w:sz w:val="24"/>
          <w:szCs w:val="24"/>
          <w:lang w:eastAsia="lv-LV"/>
        </w:rPr>
        <w:lastRenderedPageBreak/>
        <w:t>gadījumā nolietojuma periodam  jāsakrīt ar pamatlīdzekļa plānoto darbības ilgumu, vai plānoto biznesa darbības laiku un ir saprotams, ka šajā laikā pamatlīdzeklis ir jānoraksta</w:t>
      </w:r>
      <w:r>
        <w:rPr>
          <w:rFonts w:ascii="Times New Roman" w:eastAsia="Times New Roman" w:hAnsi="Times New Roman"/>
          <w:sz w:val="24"/>
          <w:szCs w:val="24"/>
          <w:lang w:eastAsia="lv-LV"/>
        </w:rPr>
        <w:t xml:space="preserve"> </w:t>
      </w:r>
      <w:r w:rsidRPr="00777E43">
        <w:rPr>
          <w:rFonts w:ascii="Times New Roman" w:eastAsia="Times New Roman" w:hAnsi="Times New Roman"/>
          <w:sz w:val="24"/>
          <w:szCs w:val="24"/>
          <w:lang w:eastAsia="lv-LV"/>
        </w:rPr>
        <w:t>uz izmaksām. Nolietojuma periods būs atkarīgs no uzņēmumu ieskatiem par sava biznesa nākotni. Piemēram, divi pilnīgi vienādi uzņēmumi</w:t>
      </w:r>
      <w:r>
        <w:rPr>
          <w:rFonts w:ascii="Times New Roman" w:eastAsia="Times New Roman" w:hAnsi="Times New Roman"/>
          <w:sz w:val="24"/>
          <w:szCs w:val="24"/>
          <w:lang w:eastAsia="lv-LV"/>
        </w:rPr>
        <w:t> –</w:t>
      </w:r>
      <w:r w:rsidRPr="00777E43">
        <w:rPr>
          <w:rFonts w:ascii="Times New Roman" w:eastAsia="Times New Roman" w:hAnsi="Times New Roman"/>
          <w:sz w:val="24"/>
          <w:szCs w:val="24"/>
          <w:lang w:eastAsia="lv-LV"/>
        </w:rPr>
        <w:t xml:space="preserve"> viens uzņēmums nolieto pamatlīdzekli 10</w:t>
      </w:r>
      <w:r>
        <w:rPr>
          <w:rFonts w:ascii="Times New Roman" w:eastAsia="Times New Roman" w:hAnsi="Times New Roman"/>
          <w:sz w:val="24"/>
          <w:szCs w:val="24"/>
          <w:lang w:eastAsia="lv-LV"/>
        </w:rPr>
        <w:t> </w:t>
      </w:r>
      <w:r w:rsidRPr="00777E43">
        <w:rPr>
          <w:rFonts w:ascii="Times New Roman" w:eastAsia="Times New Roman" w:hAnsi="Times New Roman"/>
          <w:sz w:val="24"/>
          <w:szCs w:val="24"/>
          <w:lang w:eastAsia="lv-LV"/>
        </w:rPr>
        <w:t xml:space="preserve">gados, otrs </w:t>
      </w:r>
      <w:r>
        <w:rPr>
          <w:rFonts w:ascii="Times New Roman" w:eastAsia="Times New Roman" w:hAnsi="Times New Roman"/>
          <w:sz w:val="24"/>
          <w:szCs w:val="24"/>
          <w:lang w:eastAsia="lv-LV"/>
        </w:rPr>
        <w:t>20 </w:t>
      </w:r>
      <w:r w:rsidRPr="00777E43">
        <w:rPr>
          <w:rFonts w:ascii="Times New Roman" w:eastAsia="Times New Roman" w:hAnsi="Times New Roman"/>
          <w:sz w:val="24"/>
          <w:szCs w:val="24"/>
          <w:lang w:eastAsia="lv-LV"/>
        </w:rPr>
        <w:t xml:space="preserve">gados. Pirmajā gadījumā pirmos </w:t>
      </w:r>
      <w:r>
        <w:rPr>
          <w:rFonts w:ascii="Times New Roman" w:eastAsia="Times New Roman" w:hAnsi="Times New Roman"/>
          <w:sz w:val="24"/>
          <w:szCs w:val="24"/>
          <w:lang w:eastAsia="lv-LV"/>
        </w:rPr>
        <w:t>10 </w:t>
      </w:r>
      <w:r w:rsidRPr="00777E43">
        <w:rPr>
          <w:rFonts w:ascii="Times New Roman" w:eastAsia="Times New Roman" w:hAnsi="Times New Roman"/>
          <w:sz w:val="24"/>
          <w:szCs w:val="24"/>
          <w:lang w:eastAsia="lv-LV"/>
        </w:rPr>
        <w:t xml:space="preserve">gadus ir lielākas izmaksas un mazāka peļņa, līdz ar to arī īpašnieku dividendes, bet otrajos </w:t>
      </w:r>
      <w:r>
        <w:rPr>
          <w:rFonts w:ascii="Times New Roman" w:eastAsia="Times New Roman" w:hAnsi="Times New Roman"/>
          <w:sz w:val="24"/>
          <w:szCs w:val="24"/>
          <w:lang w:eastAsia="lv-LV"/>
        </w:rPr>
        <w:t>10 </w:t>
      </w:r>
      <w:r w:rsidRPr="00777E43">
        <w:rPr>
          <w:rFonts w:ascii="Times New Roman" w:eastAsia="Times New Roman" w:hAnsi="Times New Roman"/>
          <w:sz w:val="24"/>
          <w:szCs w:val="24"/>
          <w:lang w:eastAsia="lv-LV"/>
        </w:rPr>
        <w:t>gados peļņa un dividendes izlīdzinās. Turklāt EBITDA (naudas plūsma pirms nolietojuma) abiem uzņēmumiem visā periodā būs vienāda.</w:t>
      </w:r>
      <w:r>
        <w:rPr>
          <w:rFonts w:ascii="Times New Roman" w:eastAsia="Times New Roman" w:hAnsi="Times New Roman"/>
          <w:sz w:val="24"/>
          <w:szCs w:val="24"/>
          <w:lang w:eastAsia="lv-LV"/>
        </w:rPr>
        <w:t xml:space="preserve"> Tāpēc m</w:t>
      </w:r>
      <w:r w:rsidRPr="00777E43">
        <w:rPr>
          <w:rFonts w:ascii="Times New Roman" w:eastAsia="Times New Roman" w:hAnsi="Times New Roman"/>
          <w:sz w:val="24"/>
          <w:szCs w:val="24"/>
          <w:lang w:eastAsia="lv-LV"/>
        </w:rPr>
        <w:t xml:space="preserve">ēģinājums caur nolietojumu papildus vērtēt uzņēmumu ienesīgumu, zinot, ka investīciju izmaksas jau ir vērtētas </w:t>
      </w:r>
      <w:r>
        <w:rPr>
          <w:rFonts w:ascii="Times New Roman" w:eastAsia="Times New Roman" w:hAnsi="Times New Roman"/>
          <w:sz w:val="24"/>
          <w:szCs w:val="24"/>
          <w:lang w:eastAsia="lv-LV"/>
        </w:rPr>
        <w:t>IRR</w:t>
      </w:r>
      <w:r w:rsidRPr="00777E43">
        <w:rPr>
          <w:rFonts w:ascii="Times New Roman" w:eastAsia="Times New Roman" w:hAnsi="Times New Roman"/>
          <w:sz w:val="24"/>
          <w:szCs w:val="24"/>
          <w:lang w:eastAsia="lv-LV"/>
        </w:rPr>
        <w:t xml:space="preserve">, ir </w:t>
      </w:r>
      <w:r>
        <w:rPr>
          <w:rFonts w:ascii="Times New Roman" w:eastAsia="Times New Roman" w:hAnsi="Times New Roman"/>
          <w:sz w:val="24"/>
          <w:szCs w:val="24"/>
          <w:lang w:eastAsia="lv-LV"/>
        </w:rPr>
        <w:t xml:space="preserve">pilnīgi </w:t>
      </w:r>
      <w:r w:rsidRPr="00777E43">
        <w:rPr>
          <w:rFonts w:ascii="Times New Roman" w:eastAsia="Times New Roman" w:hAnsi="Times New Roman"/>
          <w:sz w:val="24"/>
          <w:szCs w:val="24"/>
          <w:lang w:eastAsia="lv-LV"/>
        </w:rPr>
        <w:t>nesaprotams</w:t>
      </w:r>
      <w:r>
        <w:rPr>
          <w:rFonts w:ascii="Times New Roman" w:eastAsia="Times New Roman" w:hAnsi="Times New Roman"/>
          <w:sz w:val="24"/>
          <w:szCs w:val="24"/>
          <w:lang w:eastAsia="lv-LV"/>
        </w:rPr>
        <w:t>;</w:t>
      </w:r>
    </w:p>
    <w:p w14:paraId="684D4A15" w14:textId="46F836EB" w:rsidR="00777E43" w:rsidRDefault="00777E43" w:rsidP="00A1295B">
      <w:pPr>
        <w:pStyle w:val="ListParagraph"/>
        <w:numPr>
          <w:ilvl w:val="0"/>
          <w:numId w:val="47"/>
        </w:numPr>
        <w:spacing w:before="120" w:after="0" w:line="240" w:lineRule="auto"/>
        <w:ind w:left="714" w:hanging="357"/>
        <w:contextualSpacing w:val="0"/>
        <w:jc w:val="both"/>
        <w:rPr>
          <w:rFonts w:ascii="Times New Roman" w:eastAsia="Times New Roman" w:hAnsi="Times New Roman"/>
          <w:sz w:val="24"/>
          <w:szCs w:val="24"/>
          <w:lang w:eastAsia="lv-LV"/>
        </w:rPr>
      </w:pPr>
      <w:r w:rsidRPr="00777E43">
        <w:rPr>
          <w:rFonts w:ascii="Times New Roman" w:eastAsia="Times New Roman" w:hAnsi="Times New Roman"/>
          <w:sz w:val="24"/>
          <w:szCs w:val="24"/>
          <w:lang w:eastAsia="lv-LV"/>
        </w:rPr>
        <w:t xml:space="preserve">Piedāvājums ieņēmumos ieskaitīt pamatlīdzekļu nenolietoto vērtību ir absurds. Tās ir divas dažādas ekonomiskas kategorijas, kas savā starpa nekad nesaistās. Kas ir </w:t>
      </w:r>
      <w:r w:rsidR="00A1295B">
        <w:rPr>
          <w:rFonts w:ascii="Times New Roman" w:eastAsia="Times New Roman" w:hAnsi="Times New Roman"/>
          <w:sz w:val="24"/>
          <w:szCs w:val="24"/>
          <w:lang w:eastAsia="lv-LV"/>
        </w:rPr>
        <w:t>i</w:t>
      </w:r>
      <w:r w:rsidRPr="00777E43">
        <w:rPr>
          <w:rFonts w:ascii="Times New Roman" w:eastAsia="Times New Roman" w:hAnsi="Times New Roman"/>
          <w:sz w:val="24"/>
          <w:szCs w:val="24"/>
          <w:lang w:eastAsia="lv-LV"/>
        </w:rPr>
        <w:t>eņēmumi</w:t>
      </w:r>
      <w:r w:rsidR="00A1295B">
        <w:rPr>
          <w:rFonts w:ascii="Times New Roman" w:eastAsia="Times New Roman" w:hAnsi="Times New Roman"/>
          <w:sz w:val="24"/>
          <w:szCs w:val="24"/>
          <w:lang w:eastAsia="lv-LV"/>
        </w:rPr>
        <w:t>,</w:t>
      </w:r>
      <w:r w:rsidRPr="00777E43">
        <w:rPr>
          <w:rFonts w:ascii="Times New Roman" w:eastAsia="Times New Roman" w:hAnsi="Times New Roman"/>
          <w:sz w:val="24"/>
          <w:szCs w:val="24"/>
          <w:lang w:eastAsia="lv-LV"/>
        </w:rPr>
        <w:t xml:space="preserve"> ir definēts normatīvajos aktos. Tāds gadījums, kad kaut kādu iemeslu dēļ par ieņēmumiem atzīst paša uzņēmuma pamatlīdzekļus nav zināms (nejaukt ar pārvērtēšanas rezervi). Nolietojums, kā to redzam no skaidrojuma</w:t>
      </w:r>
      <w:r w:rsidR="00A1295B">
        <w:rPr>
          <w:rFonts w:ascii="Times New Roman" w:eastAsia="Times New Roman" w:hAnsi="Times New Roman"/>
          <w:sz w:val="24"/>
          <w:szCs w:val="24"/>
          <w:lang w:eastAsia="lv-LV"/>
        </w:rPr>
        <w:t xml:space="preserve"> iepriekšējā punktā 2)</w:t>
      </w:r>
      <w:r w:rsidRPr="00777E43">
        <w:rPr>
          <w:rFonts w:ascii="Times New Roman" w:eastAsia="Times New Roman" w:hAnsi="Times New Roman"/>
          <w:sz w:val="24"/>
          <w:szCs w:val="24"/>
          <w:lang w:eastAsia="lv-LV"/>
        </w:rPr>
        <w:t>, vispār ir subjektīvs jēdziens. Uzņēmuma pamatlīdzekļi praktiski vienmēr sākotnējai darbībai tiek iegādāti pirms darbības uzsākšanas par akcionāru vai kredīta līdzekļiem. Nav saprotama loģika</w:t>
      </w:r>
      <w:r w:rsidR="00A1295B">
        <w:rPr>
          <w:rFonts w:ascii="Times New Roman" w:eastAsia="Times New Roman" w:hAnsi="Times New Roman"/>
          <w:sz w:val="24"/>
          <w:szCs w:val="24"/>
          <w:lang w:eastAsia="lv-LV"/>
        </w:rPr>
        <w:t>,</w:t>
      </w:r>
      <w:r w:rsidRPr="00777E43">
        <w:rPr>
          <w:rFonts w:ascii="Times New Roman" w:eastAsia="Times New Roman" w:hAnsi="Times New Roman"/>
          <w:sz w:val="24"/>
          <w:szCs w:val="24"/>
          <w:lang w:eastAsia="lv-LV"/>
        </w:rPr>
        <w:t xml:space="preserve"> kāpēc nenolietotie pamatlīdzekļi būtu jāskaita klāt ienākumiem, sevišķi, ja pa vidu ir notikusi pārvērtēšana un </w:t>
      </w:r>
      <w:r w:rsidR="00A1295B">
        <w:rPr>
          <w:rFonts w:ascii="Times New Roman" w:eastAsia="Times New Roman" w:hAnsi="Times New Roman"/>
          <w:sz w:val="24"/>
          <w:szCs w:val="24"/>
          <w:lang w:eastAsia="lv-LV"/>
        </w:rPr>
        <w:t>IRR</w:t>
      </w:r>
      <w:r w:rsidRPr="00777E43">
        <w:rPr>
          <w:rFonts w:ascii="Times New Roman" w:eastAsia="Times New Roman" w:hAnsi="Times New Roman"/>
          <w:sz w:val="24"/>
          <w:szCs w:val="24"/>
          <w:lang w:eastAsia="lv-LV"/>
        </w:rPr>
        <w:t xml:space="preserve"> kontekstā. </w:t>
      </w:r>
      <w:r w:rsidR="00A1295B">
        <w:rPr>
          <w:rFonts w:ascii="Times New Roman" w:eastAsia="Times New Roman" w:hAnsi="Times New Roman"/>
          <w:sz w:val="24"/>
          <w:szCs w:val="24"/>
          <w:lang w:eastAsia="lv-LV"/>
        </w:rPr>
        <w:t xml:space="preserve">Šis izskatā kā vāji slēpts </w:t>
      </w:r>
      <w:r w:rsidRPr="00777E43">
        <w:rPr>
          <w:rFonts w:ascii="Times New Roman" w:eastAsia="Times New Roman" w:hAnsi="Times New Roman"/>
          <w:sz w:val="24"/>
          <w:szCs w:val="24"/>
          <w:lang w:eastAsia="lv-LV"/>
        </w:rPr>
        <w:t xml:space="preserve">mēģinājums piespiest </w:t>
      </w:r>
      <w:r w:rsidR="00A1295B">
        <w:rPr>
          <w:rFonts w:ascii="Times New Roman" w:eastAsia="Times New Roman" w:hAnsi="Times New Roman"/>
          <w:sz w:val="24"/>
          <w:szCs w:val="24"/>
          <w:lang w:eastAsia="lv-LV"/>
        </w:rPr>
        <w:t>AER nozares</w:t>
      </w:r>
      <w:r w:rsidRPr="00777E43">
        <w:rPr>
          <w:rFonts w:ascii="Times New Roman" w:eastAsia="Times New Roman" w:hAnsi="Times New Roman"/>
          <w:sz w:val="24"/>
          <w:szCs w:val="24"/>
          <w:lang w:eastAsia="lv-LV"/>
        </w:rPr>
        <w:t xml:space="preserve"> uzņēmumus strādāt neizdevīgos nosacījumos. Kas savukārt ir pretrunā ar tiesībām brīvi nodarboties ar uzņēmējdarbību.</w:t>
      </w:r>
    </w:p>
    <w:p w14:paraId="03FF3D0B" w14:textId="77777777" w:rsidR="003F0791" w:rsidRPr="00895FD8" w:rsidRDefault="003F0791" w:rsidP="00DE1E4D">
      <w:pPr>
        <w:pStyle w:val="ListParagraph"/>
        <w:numPr>
          <w:ilvl w:val="0"/>
          <w:numId w:val="40"/>
        </w:numPr>
        <w:spacing w:before="120" w:after="0" w:line="240" w:lineRule="auto"/>
        <w:ind w:left="714" w:hanging="357"/>
        <w:contextualSpacing w:val="0"/>
        <w:jc w:val="both"/>
        <w:rPr>
          <w:rFonts w:ascii="Times New Roman" w:eastAsia="Times New Roman" w:hAnsi="Times New Roman"/>
          <w:b/>
          <w:bCs/>
          <w:i/>
          <w:iCs/>
          <w:sz w:val="24"/>
          <w:szCs w:val="24"/>
          <w:lang w:eastAsia="lv-LV"/>
        </w:rPr>
      </w:pPr>
      <w:r w:rsidRPr="003F0791">
        <w:rPr>
          <w:rFonts w:ascii="Times New Roman" w:eastAsia="Times New Roman" w:hAnsi="Times New Roman"/>
          <w:b/>
          <w:bCs/>
          <w:i/>
          <w:iCs/>
          <w:sz w:val="24"/>
          <w:szCs w:val="24"/>
          <w:lang w:eastAsia="lv-LV"/>
        </w:rPr>
        <w:t xml:space="preserve">Aicinām Noteikumu projektā neietvert acīmredzami prettiesiskas normas, turklāt vēl </w:t>
      </w:r>
      <w:r w:rsidRPr="00895FD8">
        <w:rPr>
          <w:rFonts w:ascii="Times New Roman" w:eastAsia="Times New Roman" w:hAnsi="Times New Roman"/>
          <w:b/>
          <w:bCs/>
          <w:i/>
          <w:iCs/>
          <w:sz w:val="24"/>
          <w:szCs w:val="24"/>
          <w:lang w:eastAsia="lv-LV"/>
        </w:rPr>
        <w:t xml:space="preserve">ar </w:t>
      </w:r>
      <w:proofErr w:type="spellStart"/>
      <w:r w:rsidRPr="00895FD8">
        <w:rPr>
          <w:rFonts w:ascii="Times New Roman" w:eastAsia="Times New Roman" w:hAnsi="Times New Roman"/>
          <w:b/>
          <w:bCs/>
          <w:i/>
          <w:iCs/>
          <w:sz w:val="24"/>
          <w:szCs w:val="24"/>
          <w:lang w:eastAsia="lv-LV"/>
        </w:rPr>
        <w:t>atpakaļvērstu</w:t>
      </w:r>
      <w:proofErr w:type="spellEnd"/>
      <w:r w:rsidRPr="00895FD8">
        <w:rPr>
          <w:rFonts w:ascii="Times New Roman" w:eastAsia="Times New Roman" w:hAnsi="Times New Roman"/>
          <w:b/>
          <w:bCs/>
          <w:i/>
          <w:iCs/>
          <w:sz w:val="24"/>
          <w:szCs w:val="24"/>
          <w:lang w:eastAsia="lv-LV"/>
        </w:rPr>
        <w:t xml:space="preserve"> spēku!</w:t>
      </w:r>
    </w:p>
    <w:p w14:paraId="339CAB97" w14:textId="0507B37A" w:rsidR="002649FD" w:rsidRPr="00895FD8" w:rsidRDefault="00A1295B" w:rsidP="00DE1E4D">
      <w:pPr>
        <w:pStyle w:val="ListParagraph"/>
        <w:numPr>
          <w:ilvl w:val="0"/>
          <w:numId w:val="40"/>
        </w:numPr>
        <w:spacing w:before="120" w:after="0" w:line="240" w:lineRule="auto"/>
        <w:ind w:left="714" w:hanging="357"/>
        <w:contextualSpacing w:val="0"/>
        <w:jc w:val="both"/>
        <w:rPr>
          <w:rFonts w:ascii="Times New Roman" w:hAnsi="Times New Roman"/>
          <w:b/>
          <w:bCs/>
          <w:i/>
          <w:iCs/>
          <w:color w:val="FF0000"/>
          <w:sz w:val="24"/>
          <w:szCs w:val="24"/>
        </w:rPr>
      </w:pPr>
      <w:r w:rsidRPr="00895FD8">
        <w:rPr>
          <w:rFonts w:ascii="Times New Roman" w:eastAsia="Times New Roman" w:hAnsi="Times New Roman"/>
          <w:b/>
          <w:bCs/>
          <w:i/>
          <w:iCs/>
          <w:color w:val="FF0000"/>
          <w:sz w:val="24"/>
          <w:szCs w:val="24"/>
          <w:lang w:eastAsia="lv-LV"/>
        </w:rPr>
        <w:t>Kā minimums – a</w:t>
      </w:r>
      <w:r w:rsidR="003F0791" w:rsidRPr="00895FD8">
        <w:rPr>
          <w:rFonts w:ascii="Times New Roman" w:eastAsia="Times New Roman" w:hAnsi="Times New Roman"/>
          <w:b/>
          <w:bCs/>
          <w:i/>
          <w:iCs/>
          <w:color w:val="FF0000"/>
          <w:sz w:val="24"/>
          <w:szCs w:val="24"/>
          <w:lang w:eastAsia="lv-LV"/>
        </w:rPr>
        <w:t>icinām nodrošināt vismaz pārejas periodu jauno prasību attiecībā uz pamatlīdzekļ</w:t>
      </w:r>
      <w:r w:rsidR="002649FD" w:rsidRPr="00895FD8">
        <w:rPr>
          <w:rFonts w:ascii="Times New Roman" w:eastAsia="Times New Roman" w:hAnsi="Times New Roman"/>
          <w:b/>
          <w:bCs/>
          <w:i/>
          <w:iCs/>
          <w:color w:val="FF0000"/>
          <w:sz w:val="24"/>
          <w:szCs w:val="24"/>
          <w:lang w:eastAsia="lv-LV"/>
        </w:rPr>
        <w:t>u nolietojumu</w:t>
      </w:r>
      <w:r w:rsidR="003F0791" w:rsidRPr="00895FD8">
        <w:rPr>
          <w:rFonts w:ascii="Times New Roman" w:eastAsia="Times New Roman" w:hAnsi="Times New Roman"/>
          <w:b/>
          <w:bCs/>
          <w:i/>
          <w:iCs/>
          <w:color w:val="FF0000"/>
          <w:sz w:val="24"/>
          <w:szCs w:val="24"/>
          <w:lang w:eastAsia="lv-LV"/>
        </w:rPr>
        <w:t xml:space="preserve"> ieviešanai</w:t>
      </w:r>
      <w:r w:rsidR="002649FD" w:rsidRPr="00895FD8">
        <w:rPr>
          <w:rFonts w:ascii="Times New Roman" w:eastAsia="Times New Roman" w:hAnsi="Times New Roman"/>
          <w:b/>
          <w:bCs/>
          <w:i/>
          <w:iCs/>
          <w:color w:val="FF0000"/>
          <w:sz w:val="24"/>
          <w:szCs w:val="24"/>
          <w:lang w:eastAsia="lv-LV"/>
        </w:rPr>
        <w:t>!</w:t>
      </w:r>
    </w:p>
    <w:p w14:paraId="1C3C24DD" w14:textId="753B130B" w:rsidR="003F0791" w:rsidRPr="00895FD8" w:rsidRDefault="002649FD" w:rsidP="00DE1E4D">
      <w:pPr>
        <w:pStyle w:val="ListParagraph"/>
        <w:numPr>
          <w:ilvl w:val="0"/>
          <w:numId w:val="40"/>
        </w:numPr>
        <w:spacing w:before="120" w:after="0" w:line="240" w:lineRule="auto"/>
        <w:ind w:left="714" w:hanging="357"/>
        <w:contextualSpacing w:val="0"/>
        <w:jc w:val="both"/>
        <w:rPr>
          <w:rFonts w:ascii="Times New Roman" w:hAnsi="Times New Roman"/>
          <w:b/>
          <w:bCs/>
          <w:i/>
          <w:iCs/>
          <w:color w:val="FF0000"/>
          <w:sz w:val="24"/>
          <w:szCs w:val="24"/>
        </w:rPr>
      </w:pPr>
      <w:r w:rsidRPr="00895FD8">
        <w:rPr>
          <w:rFonts w:ascii="Times New Roman" w:eastAsia="Times New Roman" w:hAnsi="Times New Roman"/>
          <w:b/>
          <w:bCs/>
          <w:i/>
          <w:iCs/>
          <w:color w:val="FF0000"/>
          <w:sz w:val="24"/>
          <w:szCs w:val="24"/>
          <w:lang w:eastAsia="lv-LV"/>
        </w:rPr>
        <w:t>Kategoriski iebilstam pret elektrostacijas pamatlīdzekļu vērtības pieskaitīšanu elektrostacijas ieņēmumiem attiecīga IRR aprēķina gadījumā!</w:t>
      </w:r>
      <w:r w:rsidR="003F0791" w:rsidRPr="00895FD8">
        <w:rPr>
          <w:rFonts w:ascii="Times New Roman" w:eastAsia="Times New Roman" w:hAnsi="Times New Roman"/>
          <w:b/>
          <w:bCs/>
          <w:i/>
          <w:iCs/>
          <w:color w:val="FF0000"/>
          <w:sz w:val="24"/>
          <w:szCs w:val="24"/>
          <w:lang w:eastAsia="lv-LV"/>
        </w:rPr>
        <w:t xml:space="preserve"> </w:t>
      </w:r>
    </w:p>
    <w:p w14:paraId="7817E642" w14:textId="77777777" w:rsidR="003F0791" w:rsidRDefault="003F0791" w:rsidP="009B01B4">
      <w:pPr>
        <w:spacing w:before="120" w:after="0" w:line="240" w:lineRule="auto"/>
        <w:jc w:val="both"/>
        <w:rPr>
          <w:rFonts w:ascii="Times New Roman" w:eastAsia="Times New Roman" w:hAnsi="Times New Roman"/>
          <w:bCs/>
          <w:iCs/>
          <w:sz w:val="24"/>
          <w:szCs w:val="24"/>
        </w:rPr>
      </w:pPr>
    </w:p>
    <w:p w14:paraId="4F5DDAED" w14:textId="77551956" w:rsidR="009D52C9" w:rsidRDefault="00A401A7" w:rsidP="009D52C9">
      <w:pPr>
        <w:pStyle w:val="ListParagraph"/>
        <w:numPr>
          <w:ilvl w:val="0"/>
          <w:numId w:val="21"/>
        </w:numPr>
        <w:spacing w:after="120" w:line="240" w:lineRule="auto"/>
        <w:contextualSpacing w:val="0"/>
        <w:jc w:val="both"/>
        <w:rPr>
          <w:rFonts w:ascii="Times New Roman" w:hAnsi="Times New Roman"/>
          <w:b/>
          <w:sz w:val="24"/>
          <w:szCs w:val="24"/>
        </w:rPr>
      </w:pPr>
      <w:r>
        <w:rPr>
          <w:rFonts w:ascii="Times New Roman" w:hAnsi="Times New Roman"/>
          <w:b/>
          <w:sz w:val="24"/>
          <w:szCs w:val="24"/>
        </w:rPr>
        <w:t xml:space="preserve">Noteikumu projekta </w:t>
      </w:r>
      <w:r w:rsidRPr="00A401A7">
        <w:rPr>
          <w:rFonts w:ascii="Times New Roman" w:hAnsi="Times New Roman"/>
          <w:b/>
          <w:sz w:val="24"/>
          <w:szCs w:val="24"/>
        </w:rPr>
        <w:t>30.</w:t>
      </w:r>
      <w:r w:rsidRPr="00A401A7">
        <w:rPr>
          <w:rFonts w:ascii="Times New Roman" w:hAnsi="Times New Roman"/>
          <w:b/>
          <w:sz w:val="24"/>
          <w:szCs w:val="24"/>
          <w:vertAlign w:val="superscript"/>
        </w:rPr>
        <w:t>1</w:t>
      </w:r>
      <w:r w:rsidRPr="00A401A7">
        <w:rPr>
          <w:rFonts w:ascii="Times New Roman" w:hAnsi="Times New Roman"/>
          <w:b/>
          <w:sz w:val="24"/>
          <w:szCs w:val="24"/>
        </w:rPr>
        <w:t xml:space="preserve"> un 30.</w:t>
      </w:r>
      <w:r w:rsidRPr="00A401A7">
        <w:rPr>
          <w:rFonts w:ascii="Times New Roman" w:hAnsi="Times New Roman"/>
          <w:b/>
          <w:sz w:val="24"/>
          <w:szCs w:val="24"/>
          <w:vertAlign w:val="superscript"/>
        </w:rPr>
        <w:t>2</w:t>
      </w:r>
      <w:r w:rsidRPr="00A401A7">
        <w:rPr>
          <w:rFonts w:ascii="Times New Roman" w:hAnsi="Times New Roman"/>
          <w:b/>
          <w:sz w:val="24"/>
          <w:szCs w:val="24"/>
        </w:rPr>
        <w:t xml:space="preserve"> punkt</w:t>
      </w:r>
      <w:r>
        <w:rPr>
          <w:rFonts w:ascii="Times New Roman" w:hAnsi="Times New Roman"/>
          <w:b/>
          <w:sz w:val="24"/>
          <w:szCs w:val="24"/>
        </w:rPr>
        <w:t>s</w:t>
      </w:r>
      <w:r w:rsidRPr="00A401A7">
        <w:rPr>
          <w:rFonts w:ascii="Times New Roman" w:hAnsi="Times New Roman"/>
          <w:b/>
          <w:sz w:val="24"/>
          <w:szCs w:val="24"/>
        </w:rPr>
        <w:t xml:space="preserve"> </w:t>
      </w:r>
    </w:p>
    <w:p w14:paraId="1BE6B647" w14:textId="6F3FD41D" w:rsidR="004D5D99" w:rsidRDefault="00A401A7" w:rsidP="009B01B4">
      <w:pPr>
        <w:spacing w:before="120"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Šie Noteikumu projekta punkti paredz </w:t>
      </w:r>
      <w:r w:rsidR="00980802">
        <w:rPr>
          <w:rFonts w:ascii="Times New Roman" w:eastAsia="Times New Roman" w:hAnsi="Times New Roman"/>
          <w:bCs/>
          <w:iCs/>
          <w:sz w:val="24"/>
          <w:szCs w:val="24"/>
        </w:rPr>
        <w:t>Būvniecības valsts kontroles biroja (BVKB) tiesības apturēt atbalsta izmaksu</w:t>
      </w:r>
      <w:r>
        <w:rPr>
          <w:rFonts w:ascii="Times New Roman" w:eastAsia="Times New Roman" w:hAnsi="Times New Roman"/>
          <w:bCs/>
          <w:iCs/>
          <w:sz w:val="24"/>
          <w:szCs w:val="24"/>
        </w:rPr>
        <w:t xml:space="preserve"> </w:t>
      </w:r>
      <w:r w:rsidR="004D5D99">
        <w:rPr>
          <w:rFonts w:ascii="Times New Roman" w:eastAsia="Times New Roman" w:hAnsi="Times New Roman"/>
          <w:bCs/>
          <w:iCs/>
          <w:sz w:val="24"/>
          <w:szCs w:val="24"/>
        </w:rPr>
        <w:t>uz “</w:t>
      </w:r>
      <w:proofErr w:type="spellStart"/>
      <w:r w:rsidR="00980802">
        <w:rPr>
          <w:rFonts w:ascii="Times New Roman" w:eastAsia="Times New Roman" w:hAnsi="Times New Roman"/>
          <w:bCs/>
          <w:iCs/>
          <w:sz w:val="24"/>
          <w:szCs w:val="24"/>
        </w:rPr>
        <w:t>pirmsšķietamu</w:t>
      </w:r>
      <w:proofErr w:type="spellEnd"/>
      <w:r w:rsidR="00980802">
        <w:rPr>
          <w:rFonts w:ascii="Times New Roman" w:eastAsia="Times New Roman" w:hAnsi="Times New Roman"/>
          <w:bCs/>
          <w:iCs/>
          <w:sz w:val="24"/>
          <w:szCs w:val="24"/>
        </w:rPr>
        <w:t xml:space="preserve"> </w:t>
      </w:r>
      <w:r w:rsidR="004D5D99">
        <w:rPr>
          <w:rFonts w:ascii="Times New Roman" w:eastAsia="Times New Roman" w:hAnsi="Times New Roman"/>
          <w:bCs/>
          <w:iCs/>
          <w:sz w:val="24"/>
          <w:szCs w:val="24"/>
        </w:rPr>
        <w:t xml:space="preserve">aizdomu” pamata, uz kuru prettiesiskumu </w:t>
      </w:r>
      <w:r w:rsidR="00980802">
        <w:rPr>
          <w:rFonts w:ascii="Times New Roman" w:eastAsia="Times New Roman" w:hAnsi="Times New Roman"/>
          <w:bCs/>
          <w:iCs/>
          <w:sz w:val="24"/>
          <w:szCs w:val="24"/>
        </w:rPr>
        <w:t>LAEF</w:t>
      </w:r>
      <w:r w:rsidR="004D5D99">
        <w:rPr>
          <w:rFonts w:ascii="Times New Roman" w:eastAsia="Times New Roman" w:hAnsi="Times New Roman"/>
          <w:bCs/>
          <w:iCs/>
          <w:sz w:val="24"/>
          <w:szCs w:val="24"/>
        </w:rPr>
        <w:t xml:space="preserve"> norādījusi jau tās </w:t>
      </w:r>
      <w:r w:rsidR="00980802">
        <w:rPr>
          <w:rFonts w:ascii="Times New Roman" w:eastAsia="Times New Roman" w:hAnsi="Times New Roman"/>
          <w:bCs/>
          <w:iCs/>
          <w:sz w:val="24"/>
          <w:szCs w:val="24"/>
        </w:rPr>
        <w:t>14</w:t>
      </w:r>
      <w:r w:rsidR="004D5D99">
        <w:rPr>
          <w:rFonts w:ascii="Times New Roman" w:eastAsia="Times New Roman" w:hAnsi="Times New Roman"/>
          <w:bCs/>
          <w:iCs/>
          <w:sz w:val="24"/>
          <w:szCs w:val="24"/>
        </w:rPr>
        <w:t>. </w:t>
      </w:r>
      <w:r w:rsidR="00980802">
        <w:rPr>
          <w:rFonts w:ascii="Times New Roman" w:eastAsia="Times New Roman" w:hAnsi="Times New Roman"/>
          <w:bCs/>
          <w:iCs/>
          <w:sz w:val="24"/>
          <w:szCs w:val="24"/>
        </w:rPr>
        <w:t>decembra</w:t>
      </w:r>
      <w:r w:rsidR="004D5D99">
        <w:rPr>
          <w:rFonts w:ascii="Times New Roman" w:eastAsia="Times New Roman" w:hAnsi="Times New Roman"/>
          <w:bCs/>
          <w:iCs/>
          <w:sz w:val="24"/>
          <w:szCs w:val="24"/>
        </w:rPr>
        <w:t xml:space="preserve"> viedoklī.</w:t>
      </w:r>
    </w:p>
    <w:p w14:paraId="2884A7E1" w14:textId="139B905F" w:rsidR="00DB3340" w:rsidRPr="00DE1E4D" w:rsidRDefault="00DE1E4D" w:rsidP="00DE1E4D">
      <w:pPr>
        <w:pStyle w:val="ListParagraph"/>
        <w:numPr>
          <w:ilvl w:val="0"/>
          <w:numId w:val="46"/>
        </w:numPr>
        <w:spacing w:before="120" w:after="0" w:line="240" w:lineRule="auto"/>
        <w:ind w:left="714" w:hanging="357"/>
        <w:contextualSpacing w:val="0"/>
        <w:jc w:val="both"/>
        <w:rPr>
          <w:rFonts w:ascii="Times New Roman" w:eastAsia="Times New Roman" w:hAnsi="Times New Roman"/>
          <w:b/>
          <w:i/>
          <w:sz w:val="24"/>
          <w:szCs w:val="24"/>
        </w:rPr>
      </w:pPr>
      <w:r>
        <w:rPr>
          <w:rFonts w:ascii="Times New Roman" w:eastAsia="Times New Roman" w:hAnsi="Times New Roman"/>
          <w:b/>
          <w:i/>
          <w:sz w:val="24"/>
          <w:szCs w:val="24"/>
        </w:rPr>
        <w:t>A</w:t>
      </w:r>
      <w:r w:rsidR="00AC2009" w:rsidRPr="00DE1E4D">
        <w:rPr>
          <w:rFonts w:ascii="Times New Roman" w:eastAsia="Times New Roman" w:hAnsi="Times New Roman"/>
          <w:b/>
          <w:i/>
          <w:sz w:val="24"/>
          <w:szCs w:val="24"/>
        </w:rPr>
        <w:t>tkārtoti aicinām atturēties no šādu izplūdušu pilnvaru piešķiršanas BVKB!</w:t>
      </w:r>
    </w:p>
    <w:p w14:paraId="22693128" w14:textId="2322F07D" w:rsidR="004D5D99" w:rsidRPr="00DE1E4D" w:rsidRDefault="00DE1E4D" w:rsidP="00DE1E4D">
      <w:pPr>
        <w:pStyle w:val="ListParagraph"/>
        <w:numPr>
          <w:ilvl w:val="0"/>
          <w:numId w:val="46"/>
        </w:numPr>
        <w:spacing w:before="120" w:after="0" w:line="240" w:lineRule="auto"/>
        <w:ind w:left="714" w:hanging="357"/>
        <w:contextualSpacing w:val="0"/>
        <w:jc w:val="both"/>
        <w:rPr>
          <w:rFonts w:ascii="Times New Roman" w:eastAsia="Times New Roman" w:hAnsi="Times New Roman"/>
          <w:b/>
          <w:i/>
          <w:sz w:val="24"/>
          <w:szCs w:val="24"/>
          <w:lang w:eastAsia="lv-LV"/>
        </w:rPr>
      </w:pPr>
      <w:r>
        <w:rPr>
          <w:rFonts w:ascii="Times New Roman" w:eastAsia="Times New Roman" w:hAnsi="Times New Roman"/>
          <w:b/>
          <w:i/>
          <w:sz w:val="24"/>
          <w:szCs w:val="24"/>
        </w:rPr>
        <w:t>J</w:t>
      </w:r>
      <w:r w:rsidR="00AC2009" w:rsidRPr="00DE1E4D">
        <w:rPr>
          <w:rFonts w:ascii="Times New Roman" w:eastAsia="Times New Roman" w:hAnsi="Times New Roman"/>
          <w:b/>
          <w:i/>
          <w:sz w:val="24"/>
          <w:szCs w:val="24"/>
        </w:rPr>
        <w:t xml:space="preserve">a </w:t>
      </w:r>
      <w:r w:rsidR="004D5D99" w:rsidRPr="00DE1E4D">
        <w:rPr>
          <w:rFonts w:ascii="Times New Roman" w:eastAsia="Times New Roman" w:hAnsi="Times New Roman"/>
          <w:b/>
          <w:i/>
          <w:sz w:val="24"/>
          <w:szCs w:val="24"/>
        </w:rPr>
        <w:t>Noteikumu projekt</w:t>
      </w:r>
      <w:r w:rsidR="00AC2009" w:rsidRPr="00DE1E4D">
        <w:rPr>
          <w:rFonts w:ascii="Times New Roman" w:eastAsia="Times New Roman" w:hAnsi="Times New Roman"/>
          <w:b/>
          <w:i/>
          <w:sz w:val="24"/>
          <w:szCs w:val="24"/>
        </w:rPr>
        <w:t>s šajā ziņā netiek grozīts</w:t>
      </w:r>
      <w:r w:rsidR="004D5D99" w:rsidRPr="00DE1E4D">
        <w:rPr>
          <w:rFonts w:ascii="Times New Roman" w:eastAsia="Times New Roman" w:hAnsi="Times New Roman"/>
          <w:b/>
          <w:i/>
          <w:sz w:val="24"/>
          <w:szCs w:val="24"/>
        </w:rPr>
        <w:t xml:space="preserve">, aicinām </w:t>
      </w:r>
      <w:r w:rsidR="00AC2009" w:rsidRPr="00DE1E4D">
        <w:rPr>
          <w:rFonts w:ascii="Times New Roman" w:eastAsia="Times New Roman" w:hAnsi="Times New Roman"/>
          <w:b/>
          <w:i/>
          <w:sz w:val="24"/>
          <w:szCs w:val="24"/>
        </w:rPr>
        <w:t xml:space="preserve">vismaz </w:t>
      </w:r>
      <w:r w:rsidR="004D5D99" w:rsidRPr="00DE1E4D">
        <w:rPr>
          <w:rFonts w:ascii="Times New Roman" w:eastAsia="Times New Roman" w:hAnsi="Times New Roman"/>
          <w:b/>
          <w:i/>
          <w:sz w:val="24"/>
          <w:szCs w:val="24"/>
        </w:rPr>
        <w:t xml:space="preserve">precizēt, kādā konkrētā </w:t>
      </w:r>
      <w:r w:rsidR="003F0791" w:rsidRPr="00DE1E4D">
        <w:rPr>
          <w:rFonts w:ascii="Times New Roman" w:eastAsia="Times New Roman" w:hAnsi="Times New Roman"/>
          <w:b/>
          <w:i/>
          <w:sz w:val="24"/>
          <w:szCs w:val="24"/>
        </w:rPr>
        <w:t xml:space="preserve">(bet saprātīgi īsā!) </w:t>
      </w:r>
      <w:r w:rsidR="004D5D99" w:rsidRPr="00DE1E4D">
        <w:rPr>
          <w:rFonts w:ascii="Times New Roman" w:eastAsia="Times New Roman" w:hAnsi="Times New Roman"/>
          <w:b/>
          <w:i/>
          <w:sz w:val="24"/>
          <w:szCs w:val="24"/>
        </w:rPr>
        <w:t xml:space="preserve">termiņā BVKB pieņem šajos punktos </w:t>
      </w:r>
      <w:r w:rsidR="00AC2009" w:rsidRPr="00DE1E4D">
        <w:rPr>
          <w:rFonts w:ascii="Times New Roman" w:eastAsia="Times New Roman" w:hAnsi="Times New Roman"/>
          <w:b/>
          <w:i/>
          <w:sz w:val="24"/>
          <w:szCs w:val="24"/>
        </w:rPr>
        <w:t>(30.</w:t>
      </w:r>
      <w:r w:rsidR="00AC2009" w:rsidRPr="00DE1E4D">
        <w:rPr>
          <w:rFonts w:ascii="Times New Roman" w:eastAsia="Times New Roman" w:hAnsi="Times New Roman"/>
          <w:b/>
          <w:i/>
          <w:sz w:val="24"/>
          <w:szCs w:val="24"/>
          <w:vertAlign w:val="superscript"/>
        </w:rPr>
        <w:t>2</w:t>
      </w:r>
      <w:r w:rsidR="00AC2009" w:rsidRPr="00DE1E4D">
        <w:rPr>
          <w:rFonts w:ascii="Times New Roman" w:eastAsia="Times New Roman" w:hAnsi="Times New Roman"/>
          <w:b/>
          <w:i/>
          <w:sz w:val="24"/>
          <w:szCs w:val="24"/>
        </w:rPr>
        <w:t> 1. un 30.</w:t>
      </w:r>
      <w:r w:rsidR="00AC2009" w:rsidRPr="00DE1E4D">
        <w:rPr>
          <w:rFonts w:ascii="Times New Roman" w:eastAsia="Times New Roman" w:hAnsi="Times New Roman"/>
          <w:b/>
          <w:i/>
          <w:sz w:val="24"/>
          <w:szCs w:val="24"/>
          <w:vertAlign w:val="superscript"/>
        </w:rPr>
        <w:t>2</w:t>
      </w:r>
      <w:r w:rsidR="00AC2009" w:rsidRPr="00DE1E4D">
        <w:rPr>
          <w:rFonts w:ascii="Times New Roman" w:eastAsia="Times New Roman" w:hAnsi="Times New Roman"/>
          <w:b/>
          <w:i/>
          <w:sz w:val="24"/>
          <w:szCs w:val="24"/>
        </w:rPr>
        <w:t xml:space="preserve"> 2. punktā) </w:t>
      </w:r>
      <w:r w:rsidR="004D5D99" w:rsidRPr="00DE1E4D">
        <w:rPr>
          <w:rFonts w:ascii="Times New Roman" w:eastAsia="Times New Roman" w:hAnsi="Times New Roman"/>
          <w:b/>
          <w:i/>
          <w:sz w:val="24"/>
          <w:szCs w:val="24"/>
        </w:rPr>
        <w:t>minētos lēmumu</w:t>
      </w:r>
      <w:r w:rsidR="005D0EDC" w:rsidRPr="00DE1E4D">
        <w:rPr>
          <w:rFonts w:ascii="Times New Roman" w:eastAsia="Times New Roman" w:hAnsi="Times New Roman"/>
          <w:b/>
          <w:i/>
          <w:sz w:val="24"/>
          <w:szCs w:val="24"/>
        </w:rPr>
        <w:t>s</w:t>
      </w:r>
      <w:r w:rsidR="004D5D99" w:rsidRPr="00DE1E4D">
        <w:rPr>
          <w:rFonts w:ascii="Times New Roman" w:eastAsia="Times New Roman" w:hAnsi="Times New Roman"/>
          <w:b/>
          <w:i/>
          <w:sz w:val="24"/>
          <w:szCs w:val="24"/>
        </w:rPr>
        <w:t xml:space="preserve"> attiecīgi par atbalsta izmaksas atsākšanu vai iepirkuma tiesību atcelšanu.</w:t>
      </w:r>
    </w:p>
    <w:p w14:paraId="678DFEC1" w14:textId="77777777" w:rsidR="002B1ECB" w:rsidRDefault="002B1ECB" w:rsidP="009B01B4">
      <w:pPr>
        <w:spacing w:before="120" w:after="0" w:line="240" w:lineRule="auto"/>
        <w:jc w:val="both"/>
        <w:rPr>
          <w:rFonts w:ascii="Times New Roman" w:eastAsia="Times New Roman" w:hAnsi="Times New Roman"/>
          <w:bCs/>
          <w:iCs/>
          <w:sz w:val="24"/>
          <w:szCs w:val="24"/>
        </w:rPr>
      </w:pPr>
    </w:p>
    <w:p w14:paraId="606B35B9" w14:textId="1EA0F1B5" w:rsidR="002B1ECB" w:rsidRPr="00777CBC" w:rsidRDefault="005D0EDC" w:rsidP="002B1ECB">
      <w:pPr>
        <w:pStyle w:val="ListParagraph"/>
        <w:numPr>
          <w:ilvl w:val="0"/>
          <w:numId w:val="21"/>
        </w:numPr>
        <w:spacing w:after="120" w:line="240" w:lineRule="auto"/>
        <w:contextualSpacing w:val="0"/>
        <w:jc w:val="both"/>
        <w:rPr>
          <w:rFonts w:ascii="Times New Roman" w:hAnsi="Times New Roman"/>
          <w:b/>
          <w:sz w:val="24"/>
          <w:szCs w:val="24"/>
        </w:rPr>
      </w:pPr>
      <w:r>
        <w:rPr>
          <w:rFonts w:ascii="Times New Roman" w:hAnsi="Times New Roman"/>
          <w:b/>
          <w:sz w:val="24"/>
          <w:szCs w:val="24"/>
        </w:rPr>
        <w:t>Noteikumu projekta 35.</w:t>
      </w:r>
      <w:r w:rsidRPr="005D0EDC">
        <w:rPr>
          <w:rFonts w:ascii="Times New Roman" w:hAnsi="Times New Roman"/>
          <w:b/>
          <w:sz w:val="24"/>
          <w:szCs w:val="24"/>
          <w:vertAlign w:val="superscript"/>
        </w:rPr>
        <w:t>1</w:t>
      </w:r>
      <w:r>
        <w:rPr>
          <w:rFonts w:ascii="Times New Roman" w:hAnsi="Times New Roman"/>
          <w:b/>
          <w:sz w:val="24"/>
          <w:szCs w:val="24"/>
        </w:rPr>
        <w:t> punkts</w:t>
      </w:r>
    </w:p>
    <w:p w14:paraId="33CCCA28" w14:textId="14194D71" w:rsidR="009875BF" w:rsidRDefault="009875BF" w:rsidP="009B01B4">
      <w:pPr>
        <w:spacing w:before="120"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Noteikumu </w:t>
      </w:r>
      <w:r w:rsidRPr="009875BF">
        <w:rPr>
          <w:rFonts w:ascii="Times New Roman" w:eastAsia="Times New Roman" w:hAnsi="Times New Roman"/>
          <w:bCs/>
          <w:iCs/>
          <w:sz w:val="24"/>
          <w:szCs w:val="24"/>
        </w:rPr>
        <w:t>projekt</w:t>
      </w:r>
      <w:r w:rsidR="005D0EDC">
        <w:rPr>
          <w:rFonts w:ascii="Times New Roman" w:eastAsia="Times New Roman" w:hAnsi="Times New Roman"/>
          <w:bCs/>
          <w:iCs/>
          <w:sz w:val="24"/>
          <w:szCs w:val="24"/>
        </w:rPr>
        <w:t xml:space="preserve">a </w:t>
      </w:r>
      <w:r w:rsidR="005D0EDC" w:rsidRPr="005D0EDC">
        <w:rPr>
          <w:rFonts w:ascii="Times New Roman" w:hAnsi="Times New Roman"/>
          <w:bCs/>
          <w:sz w:val="24"/>
          <w:szCs w:val="24"/>
        </w:rPr>
        <w:t>35.</w:t>
      </w:r>
      <w:r w:rsidR="005D0EDC" w:rsidRPr="005D0EDC">
        <w:rPr>
          <w:rFonts w:ascii="Times New Roman" w:hAnsi="Times New Roman"/>
          <w:bCs/>
          <w:sz w:val="24"/>
          <w:szCs w:val="24"/>
          <w:vertAlign w:val="superscript"/>
        </w:rPr>
        <w:t>1</w:t>
      </w:r>
      <w:r w:rsidR="005D0EDC" w:rsidRPr="005D0EDC">
        <w:rPr>
          <w:rFonts w:ascii="Times New Roman" w:hAnsi="Times New Roman"/>
          <w:bCs/>
          <w:sz w:val="24"/>
          <w:szCs w:val="24"/>
        </w:rPr>
        <w:t> punkts</w:t>
      </w:r>
      <w:r w:rsidR="005D0EDC" w:rsidRPr="00873375">
        <w:rPr>
          <w:rFonts w:ascii="Times New Roman" w:hAnsi="Times New Roman"/>
          <w:sz w:val="24"/>
          <w:szCs w:val="24"/>
        </w:rPr>
        <w:t xml:space="preserve"> </w:t>
      </w:r>
      <w:r w:rsidR="005D0EDC">
        <w:rPr>
          <w:rFonts w:ascii="Times New Roman" w:hAnsi="Times New Roman"/>
          <w:sz w:val="24"/>
          <w:szCs w:val="24"/>
        </w:rPr>
        <w:t>noteic, ka e</w:t>
      </w:r>
      <w:r w:rsidR="005D0EDC" w:rsidRPr="00873375">
        <w:rPr>
          <w:rFonts w:ascii="Times New Roman" w:hAnsi="Times New Roman"/>
          <w:sz w:val="24"/>
          <w:szCs w:val="24"/>
        </w:rPr>
        <w:t xml:space="preserve">lektroenerģijas daudzumu, kas elektrostacijā saražots un nodots sistēmas operatora tīklā periodā, kurā </w:t>
      </w:r>
      <w:r w:rsidR="005D0EDC" w:rsidRPr="00873375">
        <w:rPr>
          <w:rFonts w:ascii="Times New Roman" w:hAnsi="Times New Roman"/>
          <w:vanish/>
          <w:sz w:val="24"/>
          <w:szCs w:val="24"/>
        </w:rPr>
        <w:t>ārtraucams iepirkt par OI cenu.</w:t>
      </w:r>
      <w:r w:rsidR="005D0EDC" w:rsidRPr="00873375">
        <w:rPr>
          <w:rFonts w:ascii="Times New Roman" w:hAnsi="Times New Roman"/>
          <w:vanish/>
          <w:sz w:val="24"/>
          <w:szCs w:val="24"/>
        </w:rPr>
        <w:pgNum/>
      </w:r>
      <w:r w:rsidR="005D0EDC" w:rsidRPr="00873375">
        <w:rPr>
          <w:rFonts w:ascii="Times New Roman" w:hAnsi="Times New Roman"/>
          <w:vanish/>
          <w:sz w:val="24"/>
          <w:szCs w:val="24"/>
        </w:rPr>
        <w:t>urETL PN 52.punkt</w:t>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vanish/>
          <w:sz w:val="24"/>
          <w:szCs w:val="24"/>
        </w:rPr>
        <w:pgNum/>
      </w:r>
      <w:r w:rsidR="005D0EDC" w:rsidRPr="00873375">
        <w:rPr>
          <w:rFonts w:ascii="Times New Roman" w:hAnsi="Times New Roman"/>
          <w:sz w:val="24"/>
          <w:szCs w:val="24"/>
        </w:rPr>
        <w:t>ticis apturēts valsts atbalsts, komersants pārdod publiskajam tirgotājam par vienošanās cenu</w:t>
      </w:r>
      <w:r w:rsidR="005D0EDC">
        <w:rPr>
          <w:rFonts w:ascii="Times New Roman" w:eastAsia="Times New Roman" w:hAnsi="Times New Roman"/>
          <w:bCs/>
          <w:iCs/>
          <w:sz w:val="24"/>
          <w:szCs w:val="24"/>
        </w:rPr>
        <w:t>.</w:t>
      </w:r>
    </w:p>
    <w:p w14:paraId="557FF1AA" w14:textId="2A3DDFB3" w:rsidR="00DB3340" w:rsidRPr="00DE1E4D" w:rsidRDefault="00AC2009" w:rsidP="00DE1E4D">
      <w:pPr>
        <w:pStyle w:val="ListParagraph"/>
        <w:numPr>
          <w:ilvl w:val="0"/>
          <w:numId w:val="46"/>
        </w:numPr>
        <w:spacing w:before="120" w:after="0" w:line="240" w:lineRule="auto"/>
        <w:ind w:left="714" w:hanging="357"/>
        <w:contextualSpacing w:val="0"/>
        <w:jc w:val="both"/>
        <w:rPr>
          <w:rFonts w:ascii="Times New Roman" w:eastAsia="Times New Roman" w:hAnsi="Times New Roman"/>
          <w:b/>
          <w:i/>
          <w:sz w:val="24"/>
          <w:szCs w:val="24"/>
        </w:rPr>
      </w:pPr>
      <w:r w:rsidRPr="00DE1E4D">
        <w:rPr>
          <w:rFonts w:ascii="Times New Roman" w:eastAsia="Times New Roman" w:hAnsi="Times New Roman"/>
          <w:b/>
          <w:i/>
          <w:sz w:val="24"/>
          <w:szCs w:val="24"/>
        </w:rPr>
        <w:lastRenderedPageBreak/>
        <w:t>Lūdzam</w:t>
      </w:r>
      <w:r w:rsidR="005D0EDC" w:rsidRPr="00DE1E4D">
        <w:rPr>
          <w:rFonts w:ascii="Times New Roman" w:eastAsia="Times New Roman" w:hAnsi="Times New Roman"/>
          <w:b/>
          <w:i/>
          <w:sz w:val="24"/>
          <w:szCs w:val="24"/>
        </w:rPr>
        <w:t xml:space="preserve"> skaidrot, kas saprotams ar jēdzienu “vienošanās cena”</w:t>
      </w:r>
      <w:r w:rsidRPr="00DE1E4D">
        <w:rPr>
          <w:rFonts w:ascii="Times New Roman" w:eastAsia="Times New Roman" w:hAnsi="Times New Roman"/>
          <w:b/>
          <w:i/>
          <w:sz w:val="24"/>
          <w:szCs w:val="24"/>
        </w:rPr>
        <w:t>? Vai tā ir cena līgumā ar publisko tirgotāju? Ja tā ir kāda cita cena, k</w:t>
      </w:r>
      <w:r w:rsidR="005D0EDC" w:rsidRPr="00DE1E4D">
        <w:rPr>
          <w:rFonts w:ascii="Times New Roman" w:eastAsia="Times New Roman" w:hAnsi="Times New Roman"/>
          <w:b/>
          <w:i/>
          <w:sz w:val="24"/>
          <w:szCs w:val="24"/>
        </w:rPr>
        <w:t>ā par šo cenu paredzēts “vienoties”</w:t>
      </w:r>
      <w:r w:rsidRPr="00DE1E4D">
        <w:rPr>
          <w:rFonts w:ascii="Times New Roman" w:eastAsia="Times New Roman" w:hAnsi="Times New Roman"/>
          <w:b/>
          <w:i/>
          <w:sz w:val="24"/>
          <w:szCs w:val="24"/>
        </w:rPr>
        <w:t>?</w:t>
      </w:r>
    </w:p>
    <w:p w14:paraId="22BB9BF0" w14:textId="43099ECC" w:rsidR="003F0791" w:rsidRPr="00DE1E4D" w:rsidRDefault="003F0791" w:rsidP="00DE1E4D">
      <w:pPr>
        <w:pStyle w:val="ListParagraph"/>
        <w:numPr>
          <w:ilvl w:val="0"/>
          <w:numId w:val="46"/>
        </w:numPr>
        <w:spacing w:before="120" w:after="0" w:line="240" w:lineRule="auto"/>
        <w:ind w:left="714" w:hanging="357"/>
        <w:contextualSpacing w:val="0"/>
        <w:jc w:val="both"/>
        <w:rPr>
          <w:rFonts w:ascii="Times New Roman" w:eastAsia="Times New Roman" w:hAnsi="Times New Roman"/>
          <w:b/>
          <w:i/>
          <w:sz w:val="24"/>
          <w:szCs w:val="24"/>
        </w:rPr>
      </w:pPr>
      <w:r w:rsidRPr="00DE1E4D">
        <w:rPr>
          <w:rFonts w:ascii="Times New Roman" w:eastAsia="Times New Roman" w:hAnsi="Times New Roman"/>
          <w:b/>
          <w:i/>
          <w:sz w:val="24"/>
          <w:szCs w:val="24"/>
        </w:rPr>
        <w:t xml:space="preserve">Aicinām Noteikumu projektā skaidri paredzēt, ka pēc atbalsta apturēšanas un līdz tā atjaunošanai AER ražotājs ir tiesīgs pārdot saražoto elektroenerģiju ikvienam citam licencētam elektroenerģijas tirgotājam. </w:t>
      </w:r>
    </w:p>
    <w:p w14:paraId="29BCA9B1" w14:textId="0725F04A" w:rsidR="005D0EDC" w:rsidRPr="00DE1E4D" w:rsidRDefault="00AC2009" w:rsidP="00DE1E4D">
      <w:pPr>
        <w:pStyle w:val="ListParagraph"/>
        <w:numPr>
          <w:ilvl w:val="0"/>
          <w:numId w:val="46"/>
        </w:numPr>
        <w:spacing w:before="120" w:after="0" w:line="240" w:lineRule="auto"/>
        <w:ind w:left="714" w:hanging="357"/>
        <w:contextualSpacing w:val="0"/>
        <w:jc w:val="both"/>
        <w:rPr>
          <w:rFonts w:ascii="Times New Roman" w:eastAsia="Times New Roman" w:hAnsi="Times New Roman"/>
          <w:b/>
          <w:i/>
          <w:sz w:val="24"/>
          <w:szCs w:val="24"/>
        </w:rPr>
      </w:pPr>
      <w:r w:rsidRPr="00DE1E4D">
        <w:rPr>
          <w:rFonts w:ascii="Times New Roman" w:eastAsia="Times New Roman" w:hAnsi="Times New Roman"/>
          <w:b/>
          <w:i/>
          <w:sz w:val="24"/>
          <w:szCs w:val="24"/>
        </w:rPr>
        <w:t>Aicinām paredzēt, ka</w:t>
      </w:r>
      <w:r w:rsidR="005D0EDC" w:rsidRPr="00DE1E4D">
        <w:rPr>
          <w:rFonts w:ascii="Times New Roman" w:eastAsia="Times New Roman" w:hAnsi="Times New Roman"/>
          <w:b/>
          <w:i/>
          <w:sz w:val="24"/>
          <w:szCs w:val="24"/>
        </w:rPr>
        <w:t xml:space="preserve"> tad, ja </w:t>
      </w:r>
      <w:r w:rsidRPr="00DE1E4D">
        <w:rPr>
          <w:rFonts w:ascii="Times New Roman" w:eastAsia="Times New Roman" w:hAnsi="Times New Roman"/>
          <w:b/>
          <w:i/>
          <w:sz w:val="24"/>
          <w:szCs w:val="24"/>
        </w:rPr>
        <w:t>AER ražotājs</w:t>
      </w:r>
      <w:r w:rsidR="005D0EDC" w:rsidRPr="00DE1E4D">
        <w:rPr>
          <w:rFonts w:ascii="Times New Roman" w:eastAsia="Times New Roman" w:hAnsi="Times New Roman"/>
          <w:b/>
          <w:i/>
          <w:sz w:val="24"/>
          <w:szCs w:val="24"/>
        </w:rPr>
        <w:t xml:space="preserve"> ir pierādīj</w:t>
      </w:r>
      <w:r w:rsidRPr="00DE1E4D">
        <w:rPr>
          <w:rFonts w:ascii="Times New Roman" w:eastAsia="Times New Roman" w:hAnsi="Times New Roman"/>
          <w:b/>
          <w:i/>
          <w:sz w:val="24"/>
          <w:szCs w:val="24"/>
        </w:rPr>
        <w:t>is</w:t>
      </w:r>
      <w:r w:rsidR="005D0EDC" w:rsidRPr="00DE1E4D">
        <w:rPr>
          <w:rFonts w:ascii="Times New Roman" w:eastAsia="Times New Roman" w:hAnsi="Times New Roman"/>
          <w:b/>
          <w:i/>
          <w:sz w:val="24"/>
          <w:szCs w:val="24"/>
        </w:rPr>
        <w:t>, ka atbalsts ta</w:t>
      </w:r>
      <w:r w:rsidRPr="00DE1E4D">
        <w:rPr>
          <w:rFonts w:ascii="Times New Roman" w:eastAsia="Times New Roman" w:hAnsi="Times New Roman"/>
          <w:b/>
          <w:i/>
          <w:sz w:val="24"/>
          <w:szCs w:val="24"/>
        </w:rPr>
        <w:t>m</w:t>
      </w:r>
      <w:r w:rsidR="005D0EDC" w:rsidRPr="00DE1E4D">
        <w:rPr>
          <w:rFonts w:ascii="Times New Roman" w:eastAsia="Times New Roman" w:hAnsi="Times New Roman"/>
          <w:b/>
          <w:i/>
          <w:sz w:val="24"/>
          <w:szCs w:val="24"/>
        </w:rPr>
        <w:t xml:space="preserve"> bijis apturēts nepamatoti (tai skaitā uz Noteikumu projekta 30.</w:t>
      </w:r>
      <w:r w:rsidR="005D0EDC" w:rsidRPr="00DE1E4D">
        <w:rPr>
          <w:rFonts w:ascii="Times New Roman" w:eastAsia="Times New Roman" w:hAnsi="Times New Roman"/>
          <w:b/>
          <w:i/>
          <w:sz w:val="24"/>
          <w:szCs w:val="24"/>
          <w:vertAlign w:val="superscript"/>
        </w:rPr>
        <w:t>1</w:t>
      </w:r>
      <w:r w:rsidR="005D0EDC" w:rsidRPr="00DE1E4D">
        <w:rPr>
          <w:rFonts w:ascii="Times New Roman" w:eastAsia="Times New Roman" w:hAnsi="Times New Roman"/>
          <w:b/>
          <w:i/>
          <w:sz w:val="24"/>
          <w:szCs w:val="24"/>
        </w:rPr>
        <w:t> punktā minēto “aizdomu” pamata), ta</w:t>
      </w:r>
      <w:r w:rsidRPr="00DE1E4D">
        <w:rPr>
          <w:rFonts w:ascii="Times New Roman" w:eastAsia="Times New Roman" w:hAnsi="Times New Roman"/>
          <w:b/>
          <w:i/>
          <w:sz w:val="24"/>
          <w:szCs w:val="24"/>
        </w:rPr>
        <w:t>m</w:t>
      </w:r>
      <w:r w:rsidR="005D0EDC" w:rsidRPr="00DE1E4D">
        <w:rPr>
          <w:rFonts w:ascii="Times New Roman" w:eastAsia="Times New Roman" w:hAnsi="Times New Roman"/>
          <w:b/>
          <w:i/>
          <w:sz w:val="24"/>
          <w:szCs w:val="24"/>
        </w:rPr>
        <w:t xml:space="preserve"> </w:t>
      </w:r>
      <w:r w:rsidRPr="00DE1E4D">
        <w:rPr>
          <w:rFonts w:ascii="Times New Roman" w:eastAsia="Times New Roman" w:hAnsi="Times New Roman"/>
          <w:b/>
          <w:i/>
          <w:sz w:val="24"/>
          <w:szCs w:val="24"/>
        </w:rPr>
        <w:t>tiek nodrošināta</w:t>
      </w:r>
      <w:r w:rsidR="005D0EDC" w:rsidRPr="00DE1E4D">
        <w:rPr>
          <w:rFonts w:ascii="Times New Roman" w:eastAsia="Times New Roman" w:hAnsi="Times New Roman"/>
          <w:b/>
          <w:i/>
          <w:sz w:val="24"/>
          <w:szCs w:val="24"/>
        </w:rPr>
        <w:t xml:space="preserve"> pilna valsts atbalsta izmaksa</w:t>
      </w:r>
      <w:r w:rsidR="00DB3340" w:rsidRPr="00DE1E4D">
        <w:rPr>
          <w:rFonts w:ascii="Times New Roman" w:eastAsia="Times New Roman" w:hAnsi="Times New Roman"/>
          <w:b/>
          <w:i/>
          <w:sz w:val="24"/>
          <w:szCs w:val="24"/>
        </w:rPr>
        <w:t xml:space="preserve">, nevis tikai </w:t>
      </w:r>
      <w:r w:rsidR="005D0EDC" w:rsidRPr="00DE1E4D">
        <w:rPr>
          <w:rFonts w:ascii="Times New Roman" w:eastAsia="Times New Roman" w:hAnsi="Times New Roman"/>
          <w:b/>
          <w:i/>
          <w:sz w:val="24"/>
          <w:szCs w:val="24"/>
        </w:rPr>
        <w:t>“vienošanās cena”</w:t>
      </w:r>
      <w:r w:rsidR="00DB3340" w:rsidRPr="00DE1E4D">
        <w:rPr>
          <w:rFonts w:ascii="Times New Roman" w:eastAsia="Times New Roman" w:hAnsi="Times New Roman"/>
          <w:b/>
          <w:i/>
          <w:sz w:val="24"/>
          <w:szCs w:val="24"/>
        </w:rPr>
        <w:t>!</w:t>
      </w:r>
    </w:p>
    <w:p w14:paraId="77F93400" w14:textId="7148E28A" w:rsidR="005A4DF4" w:rsidRDefault="009875BF" w:rsidP="009B01B4">
      <w:pPr>
        <w:spacing w:before="120" w:after="0" w:line="240" w:lineRule="auto"/>
        <w:jc w:val="both"/>
        <w:rPr>
          <w:rFonts w:ascii="Times New Roman" w:eastAsia="Times New Roman" w:hAnsi="Times New Roman"/>
          <w:bCs/>
          <w:iCs/>
          <w:sz w:val="24"/>
          <w:szCs w:val="24"/>
        </w:rPr>
      </w:pPr>
      <w:r w:rsidRPr="009875BF">
        <w:rPr>
          <w:rFonts w:ascii="Times New Roman" w:eastAsia="Times New Roman" w:hAnsi="Times New Roman"/>
          <w:bCs/>
          <w:iCs/>
          <w:sz w:val="24"/>
          <w:szCs w:val="24"/>
        </w:rPr>
        <w:t xml:space="preserve">  </w:t>
      </w:r>
    </w:p>
    <w:p w14:paraId="290FCB5D" w14:textId="712854C9" w:rsidR="00BC40EF" w:rsidRPr="00A76380" w:rsidRDefault="005D7C3F" w:rsidP="002B1ECB">
      <w:pPr>
        <w:pStyle w:val="ListParagraph"/>
        <w:numPr>
          <w:ilvl w:val="0"/>
          <w:numId w:val="21"/>
        </w:numPr>
        <w:spacing w:after="120" w:line="240" w:lineRule="auto"/>
        <w:contextualSpacing w:val="0"/>
        <w:jc w:val="both"/>
        <w:rPr>
          <w:rFonts w:ascii="Times New Roman" w:hAnsi="Times New Roman"/>
          <w:b/>
          <w:sz w:val="24"/>
          <w:szCs w:val="24"/>
        </w:rPr>
      </w:pPr>
      <w:r>
        <w:rPr>
          <w:rFonts w:ascii="Times New Roman" w:hAnsi="Times New Roman"/>
          <w:b/>
          <w:sz w:val="24"/>
          <w:szCs w:val="24"/>
        </w:rPr>
        <w:t>Noteikumu projekta 45. punkts</w:t>
      </w:r>
    </w:p>
    <w:p w14:paraId="2E97414D" w14:textId="16B555AA" w:rsidR="00B54AFB" w:rsidRPr="005D7C3F" w:rsidRDefault="00A76380" w:rsidP="009B01B4">
      <w:pPr>
        <w:spacing w:after="120" w:line="240" w:lineRule="auto"/>
        <w:jc w:val="both"/>
        <w:rPr>
          <w:rFonts w:ascii="Times New Roman" w:hAnsi="Times New Roman"/>
          <w:bCs/>
          <w:sz w:val="24"/>
          <w:szCs w:val="24"/>
        </w:rPr>
      </w:pPr>
      <w:r>
        <w:rPr>
          <w:rFonts w:ascii="Times New Roman" w:hAnsi="Times New Roman"/>
          <w:bCs/>
          <w:sz w:val="24"/>
          <w:szCs w:val="24"/>
        </w:rPr>
        <w:t>Noteikumu projekts</w:t>
      </w:r>
      <w:r w:rsidRPr="00A76380">
        <w:rPr>
          <w:rFonts w:ascii="Times New Roman" w:hAnsi="Times New Roman"/>
          <w:bCs/>
          <w:sz w:val="24"/>
          <w:szCs w:val="24"/>
        </w:rPr>
        <w:t xml:space="preserve"> paredz </w:t>
      </w:r>
      <w:r w:rsidR="005D7C3F">
        <w:rPr>
          <w:rFonts w:ascii="Times New Roman" w:hAnsi="Times New Roman"/>
          <w:bCs/>
          <w:sz w:val="24"/>
          <w:szCs w:val="24"/>
        </w:rPr>
        <w:t xml:space="preserve">papildināt 45. punktu, paredzot, ka, ja </w:t>
      </w:r>
      <w:r w:rsidR="005D7C3F" w:rsidRPr="00873375">
        <w:rPr>
          <w:rFonts w:ascii="Times New Roman" w:hAnsi="Times New Roman"/>
          <w:sz w:val="24"/>
          <w:szCs w:val="24"/>
          <w:shd w:val="clear" w:color="auto" w:fill="FFFFFF"/>
        </w:rPr>
        <w:t xml:space="preserve">komersants 10 darbdienu laikā nesniedz pieprasīto informāciju, </w:t>
      </w:r>
      <w:r w:rsidR="00AC2009">
        <w:rPr>
          <w:rFonts w:ascii="Times New Roman" w:hAnsi="Times New Roman"/>
          <w:sz w:val="24"/>
          <w:szCs w:val="24"/>
          <w:shd w:val="clear" w:color="auto" w:fill="FFFFFF"/>
        </w:rPr>
        <w:t>BVKB</w:t>
      </w:r>
      <w:r w:rsidR="005D7C3F" w:rsidRPr="00873375">
        <w:rPr>
          <w:rFonts w:ascii="Times New Roman" w:hAnsi="Times New Roman"/>
          <w:sz w:val="24"/>
          <w:szCs w:val="24"/>
          <w:shd w:val="clear" w:color="auto" w:fill="FFFFFF"/>
        </w:rPr>
        <w:t xml:space="preserve"> pieņem lēmumu par komersantam piešķirto </w:t>
      </w:r>
      <w:r w:rsidR="00AC2009">
        <w:rPr>
          <w:rFonts w:ascii="Times New Roman" w:hAnsi="Times New Roman"/>
          <w:sz w:val="24"/>
          <w:szCs w:val="24"/>
          <w:shd w:val="clear" w:color="auto" w:fill="FFFFFF"/>
        </w:rPr>
        <w:t>OI</w:t>
      </w:r>
      <w:r w:rsidR="005D7C3F" w:rsidRPr="00873375">
        <w:rPr>
          <w:rFonts w:ascii="Times New Roman" w:hAnsi="Times New Roman"/>
          <w:sz w:val="24"/>
          <w:szCs w:val="24"/>
          <w:shd w:val="clear" w:color="auto" w:fill="FFFFFF"/>
        </w:rPr>
        <w:t xml:space="preserve"> tiesību atcelšanu</w:t>
      </w:r>
      <w:r w:rsidRPr="00A76380">
        <w:rPr>
          <w:rFonts w:ascii="Times New Roman" w:hAnsi="Times New Roman"/>
          <w:bCs/>
          <w:sz w:val="24"/>
          <w:szCs w:val="24"/>
        </w:rPr>
        <w:t>.</w:t>
      </w:r>
    </w:p>
    <w:p w14:paraId="2DCE3005" w14:textId="2287354F" w:rsidR="00870216" w:rsidRPr="003F0791" w:rsidRDefault="00AC2009" w:rsidP="00DE1E4D">
      <w:pPr>
        <w:pStyle w:val="ListParagraph"/>
        <w:numPr>
          <w:ilvl w:val="0"/>
          <w:numId w:val="41"/>
        </w:numPr>
        <w:spacing w:before="120" w:after="120" w:line="240" w:lineRule="auto"/>
        <w:ind w:left="714" w:hanging="357"/>
        <w:contextualSpacing w:val="0"/>
        <w:jc w:val="both"/>
        <w:rPr>
          <w:rFonts w:ascii="Times New Roman" w:hAnsi="Times New Roman"/>
          <w:b/>
          <w:bCs/>
          <w:i/>
          <w:iCs/>
          <w:sz w:val="24"/>
          <w:szCs w:val="24"/>
        </w:rPr>
      </w:pPr>
      <w:r w:rsidRPr="003F0791">
        <w:rPr>
          <w:rFonts w:ascii="Times New Roman" w:hAnsi="Times New Roman"/>
          <w:b/>
          <w:bCs/>
          <w:i/>
          <w:iCs/>
          <w:sz w:val="24"/>
          <w:szCs w:val="24"/>
        </w:rPr>
        <w:t>Lūdzam skaidrot</w:t>
      </w:r>
      <w:r w:rsidR="005D7C3F" w:rsidRPr="003F0791">
        <w:rPr>
          <w:rFonts w:ascii="Times New Roman" w:hAnsi="Times New Roman"/>
          <w:b/>
          <w:bCs/>
          <w:i/>
          <w:iCs/>
          <w:sz w:val="24"/>
          <w:szCs w:val="24"/>
        </w:rPr>
        <w:t xml:space="preserve">, kāda rakstura informācija tā varētu būt (bet ir skaidrs, ka tā nevarēs būt tikai </w:t>
      </w:r>
      <w:r w:rsidRPr="003F0791">
        <w:rPr>
          <w:rFonts w:ascii="Times New Roman" w:hAnsi="Times New Roman"/>
          <w:b/>
          <w:bCs/>
          <w:i/>
          <w:iCs/>
          <w:sz w:val="24"/>
          <w:szCs w:val="24"/>
        </w:rPr>
        <w:t>AER ražotāja</w:t>
      </w:r>
      <w:r w:rsidR="005D7C3F" w:rsidRPr="003F0791">
        <w:rPr>
          <w:rFonts w:ascii="Times New Roman" w:hAnsi="Times New Roman"/>
          <w:b/>
          <w:bCs/>
          <w:i/>
          <w:iCs/>
          <w:sz w:val="24"/>
          <w:szCs w:val="24"/>
        </w:rPr>
        <w:t xml:space="preserve"> “skaidrojumi”, skat. 45. punkta otro teikumu). </w:t>
      </w:r>
      <w:r w:rsidRPr="003F0791">
        <w:rPr>
          <w:rFonts w:ascii="Times New Roman" w:hAnsi="Times New Roman"/>
          <w:b/>
          <w:bCs/>
          <w:i/>
          <w:iCs/>
          <w:sz w:val="24"/>
          <w:szCs w:val="24"/>
        </w:rPr>
        <w:t>Kāda BVKB rīcība seko gadījumā</w:t>
      </w:r>
      <w:r w:rsidR="005D7C3F" w:rsidRPr="003F0791">
        <w:rPr>
          <w:rFonts w:ascii="Times New Roman" w:hAnsi="Times New Roman"/>
          <w:b/>
          <w:bCs/>
          <w:i/>
          <w:iCs/>
          <w:sz w:val="24"/>
          <w:szCs w:val="24"/>
        </w:rPr>
        <w:t xml:space="preserve">, ja </w:t>
      </w:r>
      <w:r w:rsidRPr="003F0791">
        <w:rPr>
          <w:rFonts w:ascii="Times New Roman" w:hAnsi="Times New Roman"/>
          <w:b/>
          <w:bCs/>
          <w:i/>
          <w:iCs/>
          <w:sz w:val="24"/>
          <w:szCs w:val="24"/>
        </w:rPr>
        <w:t>AER ražotāja</w:t>
      </w:r>
      <w:r w:rsidR="005D7C3F" w:rsidRPr="003F0791">
        <w:rPr>
          <w:rFonts w:ascii="Times New Roman" w:hAnsi="Times New Roman"/>
          <w:b/>
          <w:bCs/>
          <w:i/>
          <w:iCs/>
          <w:sz w:val="24"/>
          <w:szCs w:val="24"/>
        </w:rPr>
        <w:t xml:space="preserve"> rīcībā nav (vai pat nevar būt) visa prasītā informācija – vai arī tādā gadījumā </w:t>
      </w:r>
      <w:r w:rsidRPr="003F0791">
        <w:rPr>
          <w:rFonts w:ascii="Times New Roman" w:hAnsi="Times New Roman"/>
          <w:b/>
          <w:bCs/>
          <w:i/>
          <w:iCs/>
          <w:sz w:val="24"/>
          <w:szCs w:val="24"/>
        </w:rPr>
        <w:t>OI</w:t>
      </w:r>
      <w:r w:rsidR="005D7C3F" w:rsidRPr="003F0791">
        <w:rPr>
          <w:rFonts w:ascii="Times New Roman" w:hAnsi="Times New Roman"/>
          <w:b/>
          <w:bCs/>
          <w:i/>
          <w:iCs/>
          <w:sz w:val="24"/>
          <w:szCs w:val="24"/>
        </w:rPr>
        <w:t xml:space="preserve"> tiesības tiek atceltas?</w:t>
      </w:r>
    </w:p>
    <w:p w14:paraId="38E3FB08" w14:textId="017B14FF" w:rsidR="00DB3340" w:rsidRPr="003F0791" w:rsidRDefault="00DB3340" w:rsidP="00DE1E4D">
      <w:pPr>
        <w:pStyle w:val="ListParagraph"/>
        <w:numPr>
          <w:ilvl w:val="0"/>
          <w:numId w:val="41"/>
        </w:numPr>
        <w:spacing w:before="120" w:after="120" w:line="240" w:lineRule="auto"/>
        <w:ind w:left="714" w:hanging="357"/>
        <w:contextualSpacing w:val="0"/>
        <w:jc w:val="both"/>
        <w:rPr>
          <w:rFonts w:ascii="Times New Roman" w:hAnsi="Times New Roman"/>
          <w:b/>
          <w:bCs/>
          <w:i/>
          <w:iCs/>
          <w:sz w:val="24"/>
          <w:szCs w:val="24"/>
        </w:rPr>
      </w:pPr>
      <w:r w:rsidRPr="003F0791">
        <w:rPr>
          <w:rFonts w:ascii="Times New Roman" w:hAnsi="Times New Roman"/>
          <w:b/>
          <w:bCs/>
          <w:i/>
          <w:iCs/>
          <w:sz w:val="24"/>
          <w:szCs w:val="24"/>
        </w:rPr>
        <w:t xml:space="preserve">Aicinām noteikt termiņu </w:t>
      </w:r>
      <w:r w:rsidRPr="003F0791">
        <w:rPr>
          <w:rFonts w:ascii="Times New Roman" w:hAnsi="Times New Roman"/>
          <w:b/>
          <w:bCs/>
          <w:i/>
          <w:iCs/>
          <w:sz w:val="24"/>
          <w:szCs w:val="24"/>
          <w:u w:val="single"/>
        </w:rPr>
        <w:t>ne mazāk</w:t>
      </w:r>
      <w:r w:rsidR="003F0791" w:rsidRPr="003F0791">
        <w:rPr>
          <w:rFonts w:ascii="Times New Roman" w:hAnsi="Times New Roman"/>
          <w:b/>
          <w:bCs/>
          <w:i/>
          <w:iCs/>
          <w:sz w:val="24"/>
          <w:szCs w:val="24"/>
          <w:u w:val="single"/>
        </w:rPr>
        <w:t>u</w:t>
      </w:r>
      <w:r w:rsidRPr="003F0791">
        <w:rPr>
          <w:rFonts w:ascii="Times New Roman" w:hAnsi="Times New Roman"/>
          <w:b/>
          <w:bCs/>
          <w:i/>
          <w:iCs/>
          <w:sz w:val="24"/>
          <w:szCs w:val="24"/>
          <w:u w:val="single"/>
        </w:rPr>
        <w:t xml:space="preserve"> kā 20 darbdienas (1 mēnesis)</w:t>
      </w:r>
      <w:r w:rsidRPr="003F0791">
        <w:rPr>
          <w:rFonts w:ascii="Times New Roman" w:hAnsi="Times New Roman"/>
          <w:b/>
          <w:bCs/>
          <w:i/>
          <w:iCs/>
          <w:sz w:val="24"/>
          <w:szCs w:val="24"/>
        </w:rPr>
        <w:t>, jo tas ir minimālais laiks, kādā AER ražotājam iespējams iegūt BVKB prasīto informāciju, ja tā ir kādas citas valsts iestādes rīcībā un jāizprasa no tās ar attiecīgu iesniegumu.</w:t>
      </w:r>
    </w:p>
    <w:p w14:paraId="76CDDA46" w14:textId="7BC9BA62" w:rsidR="00DA1A1B" w:rsidRPr="00DA1A1B" w:rsidRDefault="00DA1A1B" w:rsidP="00251B75">
      <w:pPr>
        <w:spacing w:after="120" w:line="240" w:lineRule="auto"/>
        <w:jc w:val="both"/>
        <w:rPr>
          <w:rFonts w:ascii="Times New Roman" w:hAnsi="Times New Roman"/>
          <w:b/>
          <w:bCs/>
          <w:sz w:val="24"/>
          <w:szCs w:val="24"/>
          <w:u w:val="single"/>
        </w:rPr>
      </w:pPr>
    </w:p>
    <w:p w14:paraId="0CA7EBE4" w14:textId="193AA0DB" w:rsidR="00DB3340" w:rsidRDefault="00DB3340" w:rsidP="00B23919">
      <w:pPr>
        <w:pStyle w:val="ListParagraph"/>
        <w:numPr>
          <w:ilvl w:val="0"/>
          <w:numId w:val="21"/>
        </w:numPr>
        <w:spacing w:after="120" w:line="240" w:lineRule="auto"/>
        <w:contextualSpacing w:val="0"/>
        <w:jc w:val="both"/>
        <w:rPr>
          <w:rFonts w:ascii="Times New Roman" w:hAnsi="Times New Roman"/>
          <w:b/>
          <w:sz w:val="24"/>
          <w:szCs w:val="24"/>
        </w:rPr>
      </w:pPr>
      <w:r>
        <w:rPr>
          <w:rFonts w:ascii="Times New Roman" w:hAnsi="Times New Roman"/>
          <w:b/>
          <w:sz w:val="24"/>
          <w:szCs w:val="24"/>
        </w:rPr>
        <w:t>Noteikumu projekta 47.</w:t>
      </w:r>
      <w:r w:rsidRPr="00DB3340">
        <w:rPr>
          <w:rFonts w:ascii="Times New Roman" w:hAnsi="Times New Roman"/>
          <w:b/>
          <w:sz w:val="24"/>
          <w:szCs w:val="24"/>
          <w:vertAlign w:val="superscript"/>
        </w:rPr>
        <w:t>1</w:t>
      </w:r>
      <w:r>
        <w:rPr>
          <w:rFonts w:ascii="Times New Roman" w:hAnsi="Times New Roman"/>
          <w:b/>
          <w:sz w:val="24"/>
          <w:szCs w:val="24"/>
        </w:rPr>
        <w:t> punkts</w:t>
      </w:r>
    </w:p>
    <w:p w14:paraId="7939C3D4" w14:textId="2438F76B" w:rsidR="00DB3340" w:rsidRDefault="00DB3340" w:rsidP="00DB3340">
      <w:pPr>
        <w:spacing w:after="120" w:line="240" w:lineRule="auto"/>
        <w:jc w:val="both"/>
        <w:rPr>
          <w:rFonts w:ascii="Times New Roman" w:hAnsi="Times New Roman"/>
          <w:bCs/>
          <w:sz w:val="24"/>
          <w:szCs w:val="24"/>
        </w:rPr>
      </w:pPr>
      <w:r w:rsidRPr="00DB3340">
        <w:rPr>
          <w:rFonts w:ascii="Times New Roman" w:hAnsi="Times New Roman"/>
          <w:bCs/>
          <w:sz w:val="24"/>
          <w:szCs w:val="24"/>
        </w:rPr>
        <w:t>Noteikumu projekta 47.</w:t>
      </w:r>
      <w:r w:rsidRPr="00DB3340">
        <w:rPr>
          <w:rFonts w:ascii="Times New Roman" w:hAnsi="Times New Roman"/>
          <w:bCs/>
          <w:sz w:val="24"/>
          <w:szCs w:val="24"/>
          <w:vertAlign w:val="superscript"/>
        </w:rPr>
        <w:t>1</w:t>
      </w:r>
      <w:r w:rsidRPr="00DB3340">
        <w:rPr>
          <w:rFonts w:ascii="Times New Roman" w:hAnsi="Times New Roman"/>
          <w:bCs/>
          <w:sz w:val="24"/>
          <w:szCs w:val="24"/>
        </w:rPr>
        <w:t> punkts paredz noteikt, ka</w:t>
      </w:r>
      <w:r>
        <w:rPr>
          <w:rFonts w:ascii="Times New Roman" w:hAnsi="Times New Roman"/>
          <w:bCs/>
          <w:sz w:val="24"/>
          <w:szCs w:val="24"/>
        </w:rPr>
        <w:t>, j</w:t>
      </w:r>
      <w:r w:rsidRPr="00DB3340">
        <w:rPr>
          <w:rFonts w:ascii="Times New Roman" w:hAnsi="Times New Roman"/>
          <w:bCs/>
          <w:sz w:val="24"/>
          <w:szCs w:val="24"/>
        </w:rPr>
        <w:t xml:space="preserve">a </w:t>
      </w:r>
      <w:r>
        <w:rPr>
          <w:rFonts w:ascii="Times New Roman" w:hAnsi="Times New Roman"/>
          <w:bCs/>
          <w:sz w:val="24"/>
          <w:szCs w:val="24"/>
        </w:rPr>
        <w:t xml:space="preserve">AER ražotājs </w:t>
      </w:r>
      <w:r w:rsidRPr="00DB3340">
        <w:rPr>
          <w:rFonts w:ascii="Times New Roman" w:hAnsi="Times New Roman"/>
          <w:bCs/>
          <w:sz w:val="24"/>
          <w:szCs w:val="24"/>
        </w:rPr>
        <w:t xml:space="preserve">nav nodrošinājis </w:t>
      </w:r>
      <w:r>
        <w:rPr>
          <w:rFonts w:ascii="Times New Roman" w:hAnsi="Times New Roman"/>
          <w:bCs/>
          <w:sz w:val="24"/>
          <w:szCs w:val="24"/>
        </w:rPr>
        <w:t>BVKB</w:t>
      </w:r>
      <w:r w:rsidRPr="00DB3340">
        <w:rPr>
          <w:rFonts w:ascii="Times New Roman" w:hAnsi="Times New Roman"/>
          <w:bCs/>
          <w:sz w:val="24"/>
          <w:szCs w:val="24"/>
        </w:rPr>
        <w:t xml:space="preserve"> pārstāvjiem iespēju veikt elektrostacijas pārbaudi, </w:t>
      </w:r>
      <w:r>
        <w:rPr>
          <w:rFonts w:ascii="Times New Roman" w:hAnsi="Times New Roman"/>
          <w:bCs/>
          <w:sz w:val="24"/>
          <w:szCs w:val="24"/>
        </w:rPr>
        <w:t>BVKB</w:t>
      </w:r>
      <w:r w:rsidRPr="00DB3340">
        <w:rPr>
          <w:rFonts w:ascii="Times New Roman" w:hAnsi="Times New Roman"/>
          <w:bCs/>
          <w:sz w:val="24"/>
          <w:szCs w:val="24"/>
        </w:rPr>
        <w:t xml:space="preserve"> nekavējoties pieņem lēmumu apturēt valsts atbalsta izmaksu</w:t>
      </w:r>
      <w:r>
        <w:rPr>
          <w:rFonts w:ascii="Times New Roman" w:hAnsi="Times New Roman"/>
          <w:bCs/>
          <w:sz w:val="24"/>
          <w:szCs w:val="24"/>
        </w:rPr>
        <w:t>.</w:t>
      </w:r>
    </w:p>
    <w:p w14:paraId="38787852" w14:textId="209D1D5D" w:rsidR="00DB3340" w:rsidRPr="003F0791" w:rsidRDefault="00DB3340" w:rsidP="00DE1E4D">
      <w:pPr>
        <w:pStyle w:val="ListParagraph"/>
        <w:numPr>
          <w:ilvl w:val="0"/>
          <w:numId w:val="42"/>
        </w:numPr>
        <w:spacing w:before="120" w:after="120" w:line="240" w:lineRule="auto"/>
        <w:ind w:left="714" w:hanging="357"/>
        <w:contextualSpacing w:val="0"/>
        <w:jc w:val="both"/>
        <w:rPr>
          <w:rFonts w:ascii="Times New Roman" w:hAnsi="Times New Roman"/>
          <w:b/>
          <w:i/>
          <w:iCs/>
          <w:sz w:val="24"/>
          <w:szCs w:val="24"/>
        </w:rPr>
      </w:pPr>
      <w:r w:rsidRPr="003F0791">
        <w:rPr>
          <w:rFonts w:ascii="Times New Roman" w:hAnsi="Times New Roman"/>
          <w:b/>
          <w:i/>
          <w:iCs/>
          <w:sz w:val="24"/>
          <w:szCs w:val="24"/>
        </w:rPr>
        <w:t>Lūdzam skaidrot, vai šis punkts darbosies arī attiecībā uz gadījumiem, kad BVKB ierodas iepriekš nepieteiktā kontrolē?</w:t>
      </w:r>
    </w:p>
    <w:p w14:paraId="467C31E1" w14:textId="6DC85FD5" w:rsidR="00DB3340" w:rsidRPr="003F0791" w:rsidRDefault="00DB3340" w:rsidP="00DE1E4D">
      <w:pPr>
        <w:pStyle w:val="ListParagraph"/>
        <w:numPr>
          <w:ilvl w:val="0"/>
          <w:numId w:val="42"/>
        </w:numPr>
        <w:spacing w:before="120" w:after="120" w:line="240" w:lineRule="auto"/>
        <w:ind w:left="714" w:hanging="357"/>
        <w:contextualSpacing w:val="0"/>
        <w:jc w:val="both"/>
        <w:rPr>
          <w:rFonts w:ascii="Times New Roman" w:hAnsi="Times New Roman"/>
          <w:b/>
          <w:i/>
          <w:iCs/>
          <w:sz w:val="24"/>
          <w:szCs w:val="24"/>
        </w:rPr>
      </w:pPr>
      <w:r w:rsidRPr="003F0791">
        <w:rPr>
          <w:rFonts w:ascii="Times New Roman" w:hAnsi="Times New Roman"/>
          <w:b/>
          <w:i/>
          <w:iCs/>
          <w:sz w:val="24"/>
          <w:szCs w:val="24"/>
        </w:rPr>
        <w:t>Aicinām skaidri norādīt, ka tas attiecas tikai uz pieteiktas kontroles gadījumiem, jo pretējā gadījumā sods OI tiesību atcelšana ir nesamērīgi bargs.</w:t>
      </w:r>
    </w:p>
    <w:p w14:paraId="3B11640E" w14:textId="77777777" w:rsidR="00A718F4" w:rsidRPr="00DB3340" w:rsidRDefault="00A718F4" w:rsidP="00DB3340">
      <w:pPr>
        <w:spacing w:after="120" w:line="240" w:lineRule="auto"/>
        <w:jc w:val="both"/>
        <w:rPr>
          <w:rFonts w:ascii="Times New Roman" w:hAnsi="Times New Roman"/>
          <w:b/>
          <w:sz w:val="24"/>
          <w:szCs w:val="24"/>
        </w:rPr>
      </w:pPr>
    </w:p>
    <w:p w14:paraId="0958243A" w14:textId="3E543736" w:rsidR="005D7C3F" w:rsidRDefault="00B82801" w:rsidP="00B23919">
      <w:pPr>
        <w:pStyle w:val="ListParagraph"/>
        <w:numPr>
          <w:ilvl w:val="0"/>
          <w:numId w:val="21"/>
        </w:numPr>
        <w:spacing w:after="120" w:line="240" w:lineRule="auto"/>
        <w:contextualSpacing w:val="0"/>
        <w:jc w:val="both"/>
        <w:rPr>
          <w:rFonts w:ascii="Times New Roman" w:hAnsi="Times New Roman"/>
          <w:b/>
          <w:sz w:val="24"/>
          <w:szCs w:val="24"/>
        </w:rPr>
      </w:pPr>
      <w:r>
        <w:rPr>
          <w:rFonts w:ascii="Times New Roman" w:hAnsi="Times New Roman"/>
          <w:b/>
          <w:sz w:val="24"/>
          <w:szCs w:val="24"/>
        </w:rPr>
        <w:t xml:space="preserve">Noteikumu projekta </w:t>
      </w:r>
      <w:r w:rsidR="0019154B" w:rsidRPr="0019154B">
        <w:rPr>
          <w:rFonts w:ascii="Times New Roman" w:hAnsi="Times New Roman"/>
          <w:b/>
          <w:bCs/>
          <w:sz w:val="24"/>
          <w:szCs w:val="24"/>
        </w:rPr>
        <w:t>IV.</w:t>
      </w:r>
      <w:r w:rsidR="0019154B" w:rsidRPr="0019154B">
        <w:rPr>
          <w:rFonts w:ascii="Times New Roman" w:hAnsi="Times New Roman"/>
          <w:b/>
          <w:bCs/>
          <w:sz w:val="24"/>
          <w:szCs w:val="24"/>
          <w:vertAlign w:val="superscript"/>
        </w:rPr>
        <w:t>1</w:t>
      </w:r>
      <w:r w:rsidR="0019154B" w:rsidRPr="0019154B">
        <w:rPr>
          <w:rFonts w:ascii="Times New Roman" w:hAnsi="Times New Roman"/>
          <w:b/>
          <w:bCs/>
          <w:sz w:val="24"/>
          <w:szCs w:val="24"/>
        </w:rPr>
        <w:t> nodaļa par kopēj</w:t>
      </w:r>
      <w:r w:rsidR="00A718F4">
        <w:rPr>
          <w:rFonts w:ascii="Times New Roman" w:hAnsi="Times New Roman"/>
          <w:b/>
          <w:bCs/>
          <w:sz w:val="24"/>
          <w:szCs w:val="24"/>
        </w:rPr>
        <w:t>o</w:t>
      </w:r>
      <w:r w:rsidR="0019154B" w:rsidRPr="0019154B">
        <w:rPr>
          <w:rFonts w:ascii="Times New Roman" w:hAnsi="Times New Roman"/>
          <w:b/>
          <w:bCs/>
          <w:sz w:val="24"/>
          <w:szCs w:val="24"/>
        </w:rPr>
        <w:t xml:space="preserve"> kapitālieguldījum</w:t>
      </w:r>
      <w:r w:rsidR="00A718F4">
        <w:rPr>
          <w:rFonts w:ascii="Times New Roman" w:hAnsi="Times New Roman"/>
          <w:b/>
          <w:bCs/>
          <w:sz w:val="24"/>
          <w:szCs w:val="24"/>
        </w:rPr>
        <w:t>u</w:t>
      </w:r>
      <w:r w:rsidR="0019154B" w:rsidRPr="0019154B">
        <w:rPr>
          <w:rFonts w:ascii="Times New Roman" w:hAnsi="Times New Roman"/>
          <w:b/>
          <w:bCs/>
          <w:sz w:val="24"/>
          <w:szCs w:val="24"/>
        </w:rPr>
        <w:t xml:space="preserve"> iekšējās peļņas normas (IRR) noteikšanu </w:t>
      </w:r>
      <w:proofErr w:type="spellStart"/>
      <w:r w:rsidR="0019154B" w:rsidRPr="0019154B">
        <w:rPr>
          <w:rFonts w:ascii="Times New Roman" w:hAnsi="Times New Roman"/>
          <w:b/>
          <w:bCs/>
          <w:sz w:val="24"/>
          <w:szCs w:val="24"/>
        </w:rPr>
        <w:t>pārkompensācijas</w:t>
      </w:r>
      <w:proofErr w:type="spellEnd"/>
      <w:r w:rsidR="0019154B" w:rsidRPr="0019154B">
        <w:rPr>
          <w:rFonts w:ascii="Times New Roman" w:hAnsi="Times New Roman"/>
          <w:b/>
          <w:bCs/>
          <w:sz w:val="24"/>
          <w:szCs w:val="24"/>
        </w:rPr>
        <w:t xml:space="preserve"> izvērtēšanai un novēršanai</w:t>
      </w:r>
    </w:p>
    <w:p w14:paraId="7B8D66F6" w14:textId="59DF2BC2" w:rsidR="0019154B" w:rsidRPr="00870CF9" w:rsidRDefault="0019154B" w:rsidP="0019154B">
      <w:pPr>
        <w:spacing w:after="120" w:line="240" w:lineRule="auto"/>
        <w:jc w:val="both"/>
        <w:rPr>
          <w:rFonts w:ascii="Times New Roman" w:hAnsi="Times New Roman"/>
          <w:bCs/>
          <w:sz w:val="24"/>
          <w:szCs w:val="24"/>
        </w:rPr>
      </w:pPr>
      <w:r w:rsidRPr="00870CF9">
        <w:rPr>
          <w:rFonts w:ascii="Times New Roman" w:hAnsi="Times New Roman"/>
          <w:bCs/>
          <w:sz w:val="24"/>
          <w:szCs w:val="24"/>
        </w:rPr>
        <w:t xml:space="preserve">Noteikumu projekta </w:t>
      </w:r>
      <w:r w:rsidRPr="00870CF9">
        <w:rPr>
          <w:rFonts w:ascii="Times New Roman" w:eastAsia="Times New Roman" w:hAnsi="Times New Roman"/>
          <w:bCs/>
          <w:sz w:val="24"/>
          <w:szCs w:val="24"/>
          <w:lang w:eastAsia="lv-LV"/>
        </w:rPr>
        <w:t>IV.</w:t>
      </w:r>
      <w:r w:rsidRPr="00870CF9">
        <w:rPr>
          <w:rFonts w:ascii="Times New Roman" w:eastAsia="Times New Roman" w:hAnsi="Times New Roman"/>
          <w:bCs/>
          <w:sz w:val="24"/>
          <w:szCs w:val="24"/>
          <w:vertAlign w:val="superscript"/>
          <w:lang w:eastAsia="lv-LV"/>
        </w:rPr>
        <w:t>1</w:t>
      </w:r>
      <w:r w:rsidRPr="00870CF9">
        <w:rPr>
          <w:rFonts w:ascii="Times New Roman" w:eastAsia="Times New Roman" w:hAnsi="Times New Roman"/>
          <w:bCs/>
          <w:sz w:val="24"/>
          <w:szCs w:val="24"/>
          <w:lang w:eastAsia="lv-LV"/>
        </w:rPr>
        <w:t xml:space="preserve"> nodaļa satur tik daudz tiesiski apšaubāmu risinājumu, ka visus uzskaitīt nemaz nav iespējams. Zemāk </w:t>
      </w:r>
      <w:r w:rsidR="0048736C" w:rsidRPr="00A718F4">
        <w:rPr>
          <w:rFonts w:ascii="Times New Roman" w:eastAsia="Times New Roman" w:hAnsi="Times New Roman"/>
          <w:bCs/>
          <w:sz w:val="24"/>
          <w:szCs w:val="24"/>
          <w:lang w:eastAsia="lv-LV"/>
        </w:rPr>
        <w:t>LAEF</w:t>
      </w:r>
      <w:r w:rsidRPr="00870CF9">
        <w:rPr>
          <w:rFonts w:ascii="Times New Roman" w:eastAsia="Times New Roman" w:hAnsi="Times New Roman"/>
          <w:bCs/>
          <w:sz w:val="24"/>
          <w:szCs w:val="24"/>
          <w:lang w:eastAsia="lv-LV"/>
        </w:rPr>
        <w:t xml:space="preserve"> norāda būtiskākos no tiem:</w:t>
      </w:r>
    </w:p>
    <w:p w14:paraId="7AB3E9D8" w14:textId="132749A5" w:rsidR="0019154B" w:rsidRDefault="0019154B" w:rsidP="0019154B">
      <w:pPr>
        <w:pStyle w:val="ListParagraph"/>
        <w:numPr>
          <w:ilvl w:val="0"/>
          <w:numId w:val="30"/>
        </w:numPr>
        <w:spacing w:after="120" w:line="240" w:lineRule="auto"/>
        <w:contextualSpacing w:val="0"/>
        <w:jc w:val="both"/>
        <w:rPr>
          <w:rFonts w:ascii="Times New Roman" w:hAnsi="Times New Roman"/>
          <w:bCs/>
          <w:sz w:val="24"/>
          <w:szCs w:val="24"/>
        </w:rPr>
      </w:pPr>
      <w:r>
        <w:rPr>
          <w:rFonts w:ascii="Times New Roman" w:hAnsi="Times New Roman"/>
          <w:bCs/>
          <w:sz w:val="24"/>
          <w:szCs w:val="24"/>
        </w:rPr>
        <w:t>Noteikumu projekta 59.</w:t>
      </w:r>
      <w:r w:rsidRPr="00870CF9">
        <w:rPr>
          <w:rFonts w:ascii="Times New Roman" w:hAnsi="Times New Roman"/>
          <w:bCs/>
          <w:sz w:val="24"/>
          <w:szCs w:val="24"/>
          <w:vertAlign w:val="superscript"/>
        </w:rPr>
        <w:t>3</w:t>
      </w:r>
      <w:r>
        <w:rPr>
          <w:rFonts w:ascii="Times New Roman" w:hAnsi="Times New Roman"/>
          <w:bCs/>
          <w:sz w:val="24"/>
          <w:szCs w:val="24"/>
        </w:rPr>
        <w:t> punkts paredz, ka IRR aprēķinu BVKB veic gan noteiktos gadījumos, gan arī “</w:t>
      </w:r>
      <w:r w:rsidRPr="00C75751">
        <w:rPr>
          <w:rFonts w:ascii="Times New Roman" w:hAnsi="Times New Roman"/>
          <w:bCs/>
          <w:i/>
          <w:iCs/>
          <w:sz w:val="24"/>
          <w:szCs w:val="24"/>
        </w:rPr>
        <w:t>pēc nepieciešamības</w:t>
      </w:r>
      <w:r>
        <w:rPr>
          <w:rFonts w:ascii="Times New Roman" w:hAnsi="Times New Roman"/>
          <w:bCs/>
          <w:sz w:val="24"/>
          <w:szCs w:val="24"/>
        </w:rPr>
        <w:t>”</w:t>
      </w:r>
      <w:r w:rsidR="00DE1E4D">
        <w:rPr>
          <w:rFonts w:ascii="Times New Roman" w:hAnsi="Times New Roman"/>
          <w:bCs/>
          <w:sz w:val="24"/>
          <w:szCs w:val="24"/>
        </w:rPr>
        <w:t>:</w:t>
      </w:r>
    </w:p>
    <w:p w14:paraId="4202C48A" w14:textId="7CB287D7" w:rsidR="0019154B" w:rsidRDefault="00C75751" w:rsidP="0019154B">
      <w:pPr>
        <w:pStyle w:val="ListParagraph"/>
        <w:numPr>
          <w:ilvl w:val="0"/>
          <w:numId w:val="31"/>
        </w:numPr>
        <w:spacing w:after="120" w:line="240" w:lineRule="auto"/>
        <w:contextualSpacing w:val="0"/>
        <w:jc w:val="both"/>
        <w:rPr>
          <w:rFonts w:ascii="Times New Roman" w:hAnsi="Times New Roman"/>
          <w:bCs/>
          <w:sz w:val="24"/>
          <w:szCs w:val="24"/>
        </w:rPr>
      </w:pPr>
      <w:r>
        <w:rPr>
          <w:rFonts w:ascii="Times New Roman" w:hAnsi="Times New Roman"/>
          <w:bCs/>
          <w:sz w:val="24"/>
          <w:szCs w:val="24"/>
        </w:rPr>
        <w:t>v</w:t>
      </w:r>
      <w:r w:rsidR="0019154B" w:rsidRPr="0019154B">
        <w:rPr>
          <w:rFonts w:ascii="Times New Roman" w:hAnsi="Times New Roman"/>
          <w:bCs/>
          <w:sz w:val="24"/>
          <w:szCs w:val="24"/>
        </w:rPr>
        <w:t xml:space="preserve">ēršam uzmanību, ka šāds regulējums vairs vispār neļauj runāt par jebkādu </w:t>
      </w:r>
      <w:r>
        <w:rPr>
          <w:rFonts w:ascii="Times New Roman" w:hAnsi="Times New Roman"/>
          <w:bCs/>
          <w:sz w:val="24"/>
          <w:szCs w:val="24"/>
        </w:rPr>
        <w:t>AER ražotāja</w:t>
      </w:r>
      <w:r w:rsidR="0019154B" w:rsidRPr="0019154B">
        <w:rPr>
          <w:rFonts w:ascii="Times New Roman" w:hAnsi="Times New Roman"/>
          <w:bCs/>
          <w:sz w:val="24"/>
          <w:szCs w:val="24"/>
        </w:rPr>
        <w:t xml:space="preserve"> saimnieciskās darbības plānošanu un stabilitāti</w:t>
      </w:r>
      <w:r>
        <w:rPr>
          <w:rFonts w:ascii="Times New Roman" w:hAnsi="Times New Roman"/>
          <w:bCs/>
          <w:sz w:val="24"/>
          <w:szCs w:val="24"/>
        </w:rPr>
        <w:t>;</w:t>
      </w:r>
    </w:p>
    <w:p w14:paraId="631EF4AF" w14:textId="53584742" w:rsidR="0019154B" w:rsidRPr="003F0791" w:rsidRDefault="00C75751" w:rsidP="0019154B">
      <w:pPr>
        <w:pStyle w:val="ListParagraph"/>
        <w:numPr>
          <w:ilvl w:val="0"/>
          <w:numId w:val="31"/>
        </w:numPr>
        <w:spacing w:after="120" w:line="240" w:lineRule="auto"/>
        <w:contextualSpacing w:val="0"/>
        <w:jc w:val="both"/>
        <w:rPr>
          <w:rFonts w:ascii="Times New Roman" w:hAnsi="Times New Roman"/>
          <w:b/>
          <w:i/>
          <w:iCs/>
          <w:sz w:val="24"/>
          <w:szCs w:val="24"/>
        </w:rPr>
      </w:pPr>
      <w:r w:rsidRPr="003F0791">
        <w:rPr>
          <w:rFonts w:ascii="Times New Roman" w:hAnsi="Times New Roman"/>
          <w:b/>
          <w:i/>
          <w:iCs/>
          <w:sz w:val="24"/>
          <w:szCs w:val="24"/>
        </w:rPr>
        <w:lastRenderedPageBreak/>
        <w:t>t</w:t>
      </w:r>
      <w:r w:rsidR="0019154B" w:rsidRPr="003F0791">
        <w:rPr>
          <w:rFonts w:ascii="Times New Roman" w:hAnsi="Times New Roman"/>
          <w:b/>
          <w:i/>
          <w:iCs/>
          <w:sz w:val="24"/>
          <w:szCs w:val="24"/>
        </w:rPr>
        <w:t xml:space="preserve">āpēc aicinām </w:t>
      </w:r>
      <w:r w:rsidR="0019154B" w:rsidRPr="003F0791">
        <w:rPr>
          <w:rFonts w:ascii="Times New Roman" w:hAnsi="Times New Roman"/>
          <w:b/>
          <w:i/>
          <w:iCs/>
          <w:sz w:val="24"/>
          <w:szCs w:val="24"/>
          <w:u w:val="single"/>
        </w:rPr>
        <w:t>aprobežoties ar izsmeļošu uzskaitījumu</w:t>
      </w:r>
      <w:r w:rsidR="0019154B" w:rsidRPr="003F0791">
        <w:rPr>
          <w:rFonts w:ascii="Times New Roman" w:hAnsi="Times New Roman"/>
          <w:b/>
          <w:i/>
          <w:iCs/>
          <w:sz w:val="24"/>
          <w:szCs w:val="24"/>
        </w:rPr>
        <w:t xml:space="preserve"> gadījumiem, kad BVKB ir tiesīgs veikt IRR aprēķinu</w:t>
      </w:r>
      <w:r w:rsidRPr="003F0791">
        <w:rPr>
          <w:rFonts w:ascii="Times New Roman" w:hAnsi="Times New Roman"/>
          <w:b/>
          <w:i/>
          <w:iCs/>
          <w:sz w:val="24"/>
          <w:szCs w:val="24"/>
        </w:rPr>
        <w:t xml:space="preserve"> pēc savas iniciatīvas</w:t>
      </w:r>
      <w:r w:rsidR="0019154B" w:rsidRPr="003F0791">
        <w:rPr>
          <w:rFonts w:ascii="Times New Roman" w:hAnsi="Times New Roman"/>
          <w:b/>
          <w:i/>
          <w:iCs/>
          <w:sz w:val="24"/>
          <w:szCs w:val="24"/>
        </w:rPr>
        <w:t>.</w:t>
      </w:r>
    </w:p>
    <w:p w14:paraId="359DC919" w14:textId="0B3B7B08" w:rsidR="0019154B" w:rsidRDefault="0019154B" w:rsidP="0019154B">
      <w:pPr>
        <w:pStyle w:val="ListParagraph"/>
        <w:numPr>
          <w:ilvl w:val="0"/>
          <w:numId w:val="30"/>
        </w:numPr>
        <w:spacing w:after="120" w:line="240" w:lineRule="auto"/>
        <w:contextualSpacing w:val="0"/>
        <w:jc w:val="both"/>
        <w:rPr>
          <w:rFonts w:ascii="Times New Roman" w:hAnsi="Times New Roman"/>
          <w:bCs/>
          <w:sz w:val="24"/>
          <w:szCs w:val="24"/>
        </w:rPr>
      </w:pPr>
      <w:r w:rsidRPr="00870CF9">
        <w:rPr>
          <w:rFonts w:ascii="Times New Roman" w:hAnsi="Times New Roman"/>
          <w:bCs/>
          <w:sz w:val="24"/>
          <w:szCs w:val="24"/>
        </w:rPr>
        <w:t>Noteikumu projekta 59.</w:t>
      </w:r>
      <w:r w:rsidRPr="00870CF9">
        <w:rPr>
          <w:rFonts w:ascii="Times New Roman" w:hAnsi="Times New Roman"/>
          <w:bCs/>
          <w:sz w:val="24"/>
          <w:szCs w:val="24"/>
          <w:vertAlign w:val="superscript"/>
        </w:rPr>
        <w:t>3</w:t>
      </w:r>
      <w:r>
        <w:rPr>
          <w:rFonts w:ascii="Times New Roman" w:hAnsi="Times New Roman"/>
          <w:bCs/>
          <w:sz w:val="24"/>
          <w:szCs w:val="24"/>
        </w:rPr>
        <w:t> 1 līdz 59.</w:t>
      </w:r>
      <w:r w:rsidRPr="00870CF9">
        <w:rPr>
          <w:rFonts w:ascii="Times New Roman" w:hAnsi="Times New Roman"/>
          <w:bCs/>
          <w:sz w:val="24"/>
          <w:szCs w:val="24"/>
          <w:vertAlign w:val="superscript"/>
        </w:rPr>
        <w:t>3</w:t>
      </w:r>
      <w:r>
        <w:rPr>
          <w:rFonts w:ascii="Times New Roman" w:hAnsi="Times New Roman"/>
          <w:bCs/>
          <w:sz w:val="24"/>
          <w:szCs w:val="24"/>
        </w:rPr>
        <w:t> 6 </w:t>
      </w:r>
      <w:r w:rsidRPr="00870CF9">
        <w:rPr>
          <w:rFonts w:ascii="Times New Roman" w:hAnsi="Times New Roman"/>
          <w:bCs/>
          <w:sz w:val="24"/>
          <w:szCs w:val="24"/>
        </w:rPr>
        <w:t>punkts paredz</w:t>
      </w:r>
      <w:r>
        <w:rPr>
          <w:rFonts w:ascii="Times New Roman" w:hAnsi="Times New Roman"/>
          <w:bCs/>
          <w:sz w:val="24"/>
          <w:szCs w:val="24"/>
        </w:rPr>
        <w:t xml:space="preserve"> dažādus termiņus, kādos BVKB veic IRR aprēķinus.</w:t>
      </w:r>
      <w:r w:rsidR="00C75751">
        <w:rPr>
          <w:rFonts w:ascii="Times New Roman" w:hAnsi="Times New Roman"/>
          <w:bCs/>
          <w:sz w:val="24"/>
          <w:szCs w:val="24"/>
        </w:rPr>
        <w:t xml:space="preserve"> Savukārt 59.</w:t>
      </w:r>
      <w:r w:rsidR="00C75751" w:rsidRPr="00C75751">
        <w:rPr>
          <w:rFonts w:ascii="Times New Roman" w:hAnsi="Times New Roman"/>
          <w:bCs/>
          <w:sz w:val="24"/>
          <w:szCs w:val="24"/>
          <w:vertAlign w:val="superscript"/>
        </w:rPr>
        <w:t>4</w:t>
      </w:r>
      <w:r w:rsidR="00C75751">
        <w:rPr>
          <w:rFonts w:ascii="Times New Roman" w:hAnsi="Times New Roman"/>
          <w:bCs/>
          <w:sz w:val="24"/>
          <w:szCs w:val="24"/>
        </w:rPr>
        <w:t> punkts paredz, ka AER ražotājs</w:t>
      </w:r>
      <w:r w:rsidR="00C75751" w:rsidRPr="00C75751">
        <w:rPr>
          <w:rFonts w:ascii="Times New Roman" w:hAnsi="Times New Roman"/>
          <w:bCs/>
          <w:sz w:val="24"/>
          <w:szCs w:val="24"/>
        </w:rPr>
        <w:t xml:space="preserve"> ir tiesīgs lūgt </w:t>
      </w:r>
      <w:r w:rsidR="00A718F4">
        <w:rPr>
          <w:rFonts w:ascii="Times New Roman" w:hAnsi="Times New Roman"/>
          <w:bCs/>
          <w:sz w:val="24"/>
          <w:szCs w:val="24"/>
        </w:rPr>
        <w:t>BVKB</w:t>
      </w:r>
      <w:r w:rsidR="00C75751" w:rsidRPr="00C75751">
        <w:rPr>
          <w:rFonts w:ascii="Times New Roman" w:hAnsi="Times New Roman"/>
          <w:bCs/>
          <w:sz w:val="24"/>
          <w:szCs w:val="24"/>
        </w:rPr>
        <w:t xml:space="preserve"> veikt šo noteikumu 59.</w:t>
      </w:r>
      <w:r w:rsidR="00C75751" w:rsidRPr="00C75751">
        <w:rPr>
          <w:rFonts w:ascii="Times New Roman" w:hAnsi="Times New Roman"/>
          <w:bCs/>
          <w:sz w:val="24"/>
          <w:szCs w:val="24"/>
          <w:vertAlign w:val="superscript"/>
        </w:rPr>
        <w:t>3</w:t>
      </w:r>
      <w:r w:rsidR="00C75751" w:rsidRPr="00C75751">
        <w:rPr>
          <w:rFonts w:ascii="Times New Roman" w:hAnsi="Times New Roman"/>
          <w:bCs/>
          <w:sz w:val="24"/>
          <w:szCs w:val="24"/>
        </w:rPr>
        <w:t> punktā minētā aprēķina pārrēķinu ne agrāk kā 3 mēnešus pēc šo noteikumu 59.</w:t>
      </w:r>
      <w:r w:rsidR="00C75751" w:rsidRPr="00C75751">
        <w:rPr>
          <w:rFonts w:ascii="Times New Roman" w:hAnsi="Times New Roman"/>
          <w:bCs/>
          <w:sz w:val="24"/>
          <w:szCs w:val="24"/>
          <w:vertAlign w:val="superscript"/>
        </w:rPr>
        <w:t>3</w:t>
      </w:r>
      <w:r w:rsidR="00C75751" w:rsidRPr="00C75751">
        <w:rPr>
          <w:rFonts w:ascii="Times New Roman" w:hAnsi="Times New Roman"/>
          <w:bCs/>
          <w:sz w:val="24"/>
          <w:szCs w:val="24"/>
        </w:rPr>
        <w:t> punktā minētā aprēķina veikšanas</w:t>
      </w:r>
      <w:r w:rsidR="00DE1E4D">
        <w:rPr>
          <w:rFonts w:ascii="Times New Roman" w:hAnsi="Times New Roman"/>
          <w:bCs/>
          <w:sz w:val="24"/>
          <w:szCs w:val="24"/>
        </w:rPr>
        <w:t>:</w:t>
      </w:r>
    </w:p>
    <w:p w14:paraId="75E0E70C" w14:textId="78BF34F3" w:rsidR="0019154B" w:rsidRDefault="00C75751" w:rsidP="0019154B">
      <w:pPr>
        <w:pStyle w:val="ListParagraph"/>
        <w:numPr>
          <w:ilvl w:val="0"/>
          <w:numId w:val="32"/>
        </w:numPr>
        <w:spacing w:after="120" w:line="240" w:lineRule="auto"/>
        <w:contextualSpacing w:val="0"/>
        <w:jc w:val="both"/>
        <w:rPr>
          <w:rFonts w:ascii="Times New Roman" w:hAnsi="Times New Roman"/>
          <w:bCs/>
          <w:sz w:val="24"/>
          <w:szCs w:val="24"/>
        </w:rPr>
      </w:pPr>
      <w:r>
        <w:rPr>
          <w:rFonts w:ascii="Times New Roman" w:hAnsi="Times New Roman"/>
          <w:bCs/>
          <w:sz w:val="24"/>
          <w:szCs w:val="24"/>
        </w:rPr>
        <w:t xml:space="preserve">vēršam uzmanību, ka tādējādi AER ražotājs pēc savas iniciatīvas var saņemt IRR aprēķinu ne ātrāk kā pēc 6 mēnešiem, kas ir </w:t>
      </w:r>
      <w:r w:rsidR="00763944">
        <w:rPr>
          <w:rFonts w:ascii="Times New Roman" w:hAnsi="Times New Roman"/>
          <w:bCs/>
          <w:sz w:val="24"/>
          <w:szCs w:val="24"/>
        </w:rPr>
        <w:t>nepamatoti</w:t>
      </w:r>
      <w:r>
        <w:rPr>
          <w:rFonts w:ascii="Times New Roman" w:hAnsi="Times New Roman"/>
          <w:bCs/>
          <w:sz w:val="24"/>
          <w:szCs w:val="24"/>
        </w:rPr>
        <w:t xml:space="preserve"> ilgs</w:t>
      </w:r>
      <w:r w:rsidR="00763944">
        <w:rPr>
          <w:rFonts w:ascii="Times New Roman" w:hAnsi="Times New Roman"/>
          <w:bCs/>
          <w:sz w:val="24"/>
          <w:szCs w:val="24"/>
        </w:rPr>
        <w:t xml:space="preserve"> un atšķirīgs</w:t>
      </w:r>
      <w:r>
        <w:rPr>
          <w:rFonts w:ascii="Times New Roman" w:hAnsi="Times New Roman"/>
          <w:bCs/>
          <w:sz w:val="24"/>
          <w:szCs w:val="24"/>
        </w:rPr>
        <w:t xml:space="preserve"> laiks, salīdzinot ar citiem </w:t>
      </w:r>
      <w:r w:rsidRPr="00870CF9">
        <w:rPr>
          <w:rFonts w:ascii="Times New Roman" w:hAnsi="Times New Roman"/>
          <w:bCs/>
          <w:sz w:val="24"/>
          <w:szCs w:val="24"/>
        </w:rPr>
        <w:t>59.</w:t>
      </w:r>
      <w:r w:rsidRPr="00870CF9">
        <w:rPr>
          <w:rFonts w:ascii="Times New Roman" w:hAnsi="Times New Roman"/>
          <w:bCs/>
          <w:sz w:val="24"/>
          <w:szCs w:val="24"/>
          <w:vertAlign w:val="superscript"/>
        </w:rPr>
        <w:t>3</w:t>
      </w:r>
      <w:r>
        <w:rPr>
          <w:rFonts w:ascii="Times New Roman" w:hAnsi="Times New Roman"/>
          <w:bCs/>
          <w:sz w:val="24"/>
          <w:szCs w:val="24"/>
        </w:rPr>
        <w:t> 1 līdz 59.</w:t>
      </w:r>
      <w:r w:rsidRPr="00870CF9">
        <w:rPr>
          <w:rFonts w:ascii="Times New Roman" w:hAnsi="Times New Roman"/>
          <w:bCs/>
          <w:sz w:val="24"/>
          <w:szCs w:val="24"/>
          <w:vertAlign w:val="superscript"/>
        </w:rPr>
        <w:t>3</w:t>
      </w:r>
      <w:r>
        <w:rPr>
          <w:rFonts w:ascii="Times New Roman" w:hAnsi="Times New Roman"/>
          <w:bCs/>
          <w:sz w:val="24"/>
          <w:szCs w:val="24"/>
        </w:rPr>
        <w:t> 6 </w:t>
      </w:r>
      <w:r w:rsidRPr="00870CF9">
        <w:rPr>
          <w:rFonts w:ascii="Times New Roman" w:hAnsi="Times New Roman"/>
          <w:bCs/>
          <w:sz w:val="24"/>
          <w:szCs w:val="24"/>
        </w:rPr>
        <w:t>punkt</w:t>
      </w:r>
      <w:r>
        <w:rPr>
          <w:rFonts w:ascii="Times New Roman" w:hAnsi="Times New Roman"/>
          <w:bCs/>
          <w:sz w:val="24"/>
          <w:szCs w:val="24"/>
        </w:rPr>
        <w:t>ā minētajiem gadījumiem;</w:t>
      </w:r>
    </w:p>
    <w:p w14:paraId="190ABEAC" w14:textId="60893D60" w:rsidR="00C75751" w:rsidRPr="003F0791" w:rsidRDefault="00C75751" w:rsidP="0019154B">
      <w:pPr>
        <w:pStyle w:val="ListParagraph"/>
        <w:numPr>
          <w:ilvl w:val="0"/>
          <w:numId w:val="32"/>
        </w:numPr>
        <w:spacing w:after="120" w:line="240" w:lineRule="auto"/>
        <w:contextualSpacing w:val="0"/>
        <w:jc w:val="both"/>
        <w:rPr>
          <w:rFonts w:ascii="Times New Roman" w:hAnsi="Times New Roman"/>
          <w:b/>
          <w:i/>
          <w:iCs/>
          <w:sz w:val="24"/>
          <w:szCs w:val="24"/>
        </w:rPr>
      </w:pPr>
      <w:r w:rsidRPr="003F0791">
        <w:rPr>
          <w:rFonts w:ascii="Times New Roman" w:hAnsi="Times New Roman"/>
          <w:b/>
          <w:i/>
          <w:iCs/>
          <w:sz w:val="24"/>
          <w:szCs w:val="24"/>
        </w:rPr>
        <w:t>tāpēc aicinām 59.</w:t>
      </w:r>
      <w:r w:rsidRPr="003F0791">
        <w:rPr>
          <w:rFonts w:ascii="Times New Roman" w:hAnsi="Times New Roman"/>
          <w:b/>
          <w:i/>
          <w:iCs/>
          <w:sz w:val="24"/>
          <w:szCs w:val="24"/>
          <w:vertAlign w:val="superscript"/>
        </w:rPr>
        <w:t>3</w:t>
      </w:r>
      <w:r w:rsidRPr="003F0791">
        <w:rPr>
          <w:rFonts w:ascii="Times New Roman" w:hAnsi="Times New Roman"/>
          <w:b/>
          <w:i/>
          <w:iCs/>
          <w:sz w:val="24"/>
          <w:szCs w:val="24"/>
        </w:rPr>
        <w:t> 6 punktā paredzēt, ka BVKB veic aprēķinu 1 mēneša laikā kopš AER ražotāja iesnieguma saņemšanas, bet 59.</w:t>
      </w:r>
      <w:r w:rsidRPr="003F0791">
        <w:rPr>
          <w:rFonts w:ascii="Times New Roman" w:hAnsi="Times New Roman"/>
          <w:b/>
          <w:i/>
          <w:iCs/>
          <w:sz w:val="24"/>
          <w:szCs w:val="24"/>
          <w:vertAlign w:val="superscript"/>
        </w:rPr>
        <w:t>4</w:t>
      </w:r>
      <w:r w:rsidRPr="003F0791">
        <w:rPr>
          <w:rFonts w:ascii="Times New Roman" w:hAnsi="Times New Roman"/>
          <w:b/>
          <w:i/>
          <w:iCs/>
          <w:sz w:val="24"/>
          <w:szCs w:val="24"/>
        </w:rPr>
        <w:t xml:space="preserve"> punktā minēto termiņu noteikt </w:t>
      </w:r>
      <w:r w:rsidRPr="003F0791">
        <w:rPr>
          <w:rFonts w:ascii="Times New Roman" w:hAnsi="Times New Roman"/>
          <w:b/>
          <w:i/>
          <w:iCs/>
          <w:sz w:val="24"/>
          <w:szCs w:val="24"/>
          <w:u w:val="single"/>
        </w:rPr>
        <w:t>1 mēnesis esošo 3 mēnešu vietā</w:t>
      </w:r>
      <w:r w:rsidRPr="003F0791">
        <w:rPr>
          <w:rFonts w:ascii="Times New Roman" w:hAnsi="Times New Roman"/>
          <w:b/>
          <w:i/>
          <w:iCs/>
          <w:sz w:val="24"/>
          <w:szCs w:val="24"/>
        </w:rPr>
        <w:t>.</w:t>
      </w:r>
    </w:p>
    <w:p w14:paraId="7618AF8A" w14:textId="02B720C8" w:rsidR="0019154B" w:rsidRPr="00CF349A" w:rsidRDefault="00CF349A" w:rsidP="0019154B">
      <w:pPr>
        <w:pStyle w:val="ListParagraph"/>
        <w:numPr>
          <w:ilvl w:val="0"/>
          <w:numId w:val="30"/>
        </w:numPr>
        <w:spacing w:after="120" w:line="240" w:lineRule="auto"/>
        <w:contextualSpacing w:val="0"/>
        <w:jc w:val="both"/>
        <w:rPr>
          <w:rFonts w:ascii="Times New Roman" w:hAnsi="Times New Roman"/>
          <w:bCs/>
          <w:sz w:val="24"/>
          <w:szCs w:val="24"/>
        </w:rPr>
      </w:pPr>
      <w:r>
        <w:rPr>
          <w:rFonts w:ascii="Times New Roman" w:eastAsia="Times New Roman" w:hAnsi="Times New Roman"/>
          <w:sz w:val="24"/>
          <w:szCs w:val="24"/>
          <w:lang w:eastAsia="lv-LV"/>
        </w:rPr>
        <w:t xml:space="preserve">Noteikumu projekta </w:t>
      </w:r>
      <w:r w:rsidRPr="00873375">
        <w:rPr>
          <w:rFonts w:ascii="Times New Roman" w:eastAsia="Times New Roman" w:hAnsi="Times New Roman"/>
          <w:sz w:val="24"/>
          <w:szCs w:val="24"/>
          <w:lang w:eastAsia="lv-LV"/>
        </w:rPr>
        <w:t>59.</w:t>
      </w:r>
      <w:r w:rsidRPr="00873375">
        <w:rPr>
          <w:rFonts w:ascii="Times New Roman" w:eastAsia="Times New Roman" w:hAnsi="Times New Roman"/>
          <w:sz w:val="24"/>
          <w:szCs w:val="24"/>
          <w:vertAlign w:val="superscript"/>
          <w:lang w:eastAsia="lv-LV"/>
        </w:rPr>
        <w:t>5</w:t>
      </w:r>
      <w:r w:rsidRPr="00873375">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punkts nosaka, ka BVKB </w:t>
      </w:r>
      <w:r w:rsidRPr="00873375">
        <w:rPr>
          <w:rFonts w:ascii="Times New Roman" w:eastAsia="Times New Roman" w:hAnsi="Times New Roman"/>
          <w:sz w:val="24"/>
          <w:szCs w:val="24"/>
          <w:lang w:eastAsia="lv-LV"/>
        </w:rPr>
        <w:t xml:space="preserve">ir tiesīgs pieprasīt, lai </w:t>
      </w:r>
      <w:r w:rsidR="00A718F4">
        <w:rPr>
          <w:rFonts w:ascii="Times New Roman" w:hAnsi="Times New Roman"/>
          <w:bCs/>
          <w:sz w:val="24"/>
          <w:szCs w:val="24"/>
        </w:rPr>
        <w:t>AER ražotājs</w:t>
      </w:r>
      <w:r w:rsidR="00A718F4" w:rsidRPr="00C75751">
        <w:rPr>
          <w:rFonts w:ascii="Times New Roman" w:hAnsi="Times New Roman"/>
          <w:bCs/>
          <w:sz w:val="24"/>
          <w:szCs w:val="24"/>
        </w:rPr>
        <w:t xml:space="preserve"> </w:t>
      </w:r>
      <w:r w:rsidRPr="00873375">
        <w:rPr>
          <w:rFonts w:ascii="Times New Roman" w:eastAsia="Times New Roman" w:hAnsi="Times New Roman"/>
          <w:sz w:val="24"/>
          <w:szCs w:val="24"/>
          <w:lang w:eastAsia="lv-LV"/>
        </w:rPr>
        <w:t xml:space="preserve">iesniedz informāciju un dokumentus, kas nepieciešami </w:t>
      </w:r>
      <w:r>
        <w:rPr>
          <w:rFonts w:ascii="Times New Roman" w:eastAsia="Times New Roman" w:hAnsi="Times New Roman"/>
          <w:sz w:val="24"/>
          <w:szCs w:val="24"/>
          <w:lang w:eastAsia="lv-LV"/>
        </w:rPr>
        <w:t>IRR</w:t>
      </w:r>
      <w:r w:rsidRPr="00873375">
        <w:rPr>
          <w:rFonts w:ascii="Times New Roman" w:eastAsia="Times New Roman" w:hAnsi="Times New Roman"/>
          <w:sz w:val="24"/>
          <w:szCs w:val="24"/>
          <w:lang w:eastAsia="lv-LV"/>
        </w:rPr>
        <w:t xml:space="preserve"> aprēķina veikšanai</w:t>
      </w:r>
      <w:r>
        <w:rPr>
          <w:rFonts w:ascii="Times New Roman" w:eastAsia="Times New Roman" w:hAnsi="Times New Roman"/>
          <w:sz w:val="24"/>
          <w:szCs w:val="24"/>
          <w:lang w:eastAsia="lv-LV"/>
        </w:rPr>
        <w:t>, un ka k</w:t>
      </w:r>
      <w:r w:rsidRPr="00873375">
        <w:rPr>
          <w:rFonts w:ascii="Times New Roman" w:eastAsia="Times New Roman" w:hAnsi="Times New Roman"/>
          <w:sz w:val="24"/>
          <w:szCs w:val="24"/>
          <w:lang w:eastAsia="lv-LV"/>
        </w:rPr>
        <w:t>omersantam ir pienākums 10</w:t>
      </w:r>
      <w:r w:rsidR="00A718F4">
        <w:rPr>
          <w:rFonts w:ascii="Times New Roman" w:eastAsia="Times New Roman" w:hAnsi="Times New Roman"/>
          <w:sz w:val="24"/>
          <w:szCs w:val="24"/>
          <w:lang w:eastAsia="lv-LV"/>
        </w:rPr>
        <w:t> </w:t>
      </w:r>
      <w:r w:rsidRPr="00873375">
        <w:rPr>
          <w:rFonts w:ascii="Times New Roman" w:eastAsia="Times New Roman" w:hAnsi="Times New Roman"/>
          <w:sz w:val="24"/>
          <w:szCs w:val="24"/>
          <w:lang w:eastAsia="lv-LV"/>
        </w:rPr>
        <w:t xml:space="preserve">darbdienu </w:t>
      </w:r>
      <w:r>
        <w:rPr>
          <w:rFonts w:ascii="Times New Roman" w:eastAsia="Times New Roman" w:hAnsi="Times New Roman"/>
          <w:sz w:val="24"/>
          <w:szCs w:val="24"/>
          <w:lang w:eastAsia="lv-LV"/>
        </w:rPr>
        <w:t>laikā iesniegt visu prasīto. Saskaņā ar 59.</w:t>
      </w:r>
      <w:r w:rsidRPr="00763944">
        <w:rPr>
          <w:rFonts w:ascii="Times New Roman" w:eastAsia="Times New Roman" w:hAnsi="Times New Roman"/>
          <w:sz w:val="24"/>
          <w:szCs w:val="24"/>
          <w:vertAlign w:val="superscript"/>
          <w:lang w:eastAsia="lv-LV"/>
        </w:rPr>
        <w:t>6</w:t>
      </w:r>
      <w:r>
        <w:rPr>
          <w:rFonts w:ascii="Times New Roman" w:eastAsia="Times New Roman" w:hAnsi="Times New Roman"/>
          <w:sz w:val="24"/>
          <w:szCs w:val="24"/>
          <w:lang w:eastAsia="lv-LV"/>
        </w:rPr>
        <w:t xml:space="preserve"> punktu, ja </w:t>
      </w:r>
      <w:r w:rsidR="00A718F4">
        <w:rPr>
          <w:rFonts w:ascii="Times New Roman" w:hAnsi="Times New Roman"/>
          <w:bCs/>
          <w:sz w:val="24"/>
          <w:szCs w:val="24"/>
        </w:rPr>
        <w:t>AER ražotājs</w:t>
      </w:r>
      <w:r w:rsidR="00A718F4" w:rsidRPr="00C75751">
        <w:rPr>
          <w:rFonts w:ascii="Times New Roman" w:hAnsi="Times New Roman"/>
          <w:bCs/>
          <w:sz w:val="24"/>
          <w:szCs w:val="24"/>
        </w:rPr>
        <w:t xml:space="preserve"> </w:t>
      </w:r>
      <w:r>
        <w:rPr>
          <w:rFonts w:ascii="Times New Roman" w:eastAsia="Times New Roman" w:hAnsi="Times New Roman"/>
          <w:sz w:val="24"/>
          <w:szCs w:val="24"/>
          <w:lang w:eastAsia="lv-LV"/>
        </w:rPr>
        <w:t>neiesniedz visu prasīto informāciju vai ja tā BVKB ieskatā nesasniedz “</w:t>
      </w:r>
      <w:r w:rsidRPr="00CF349A">
        <w:rPr>
          <w:rFonts w:ascii="Times New Roman" w:eastAsia="Times New Roman" w:hAnsi="Times New Roman"/>
          <w:i/>
          <w:iCs/>
          <w:sz w:val="24"/>
          <w:szCs w:val="24"/>
          <w:lang w:eastAsia="lv-LV"/>
        </w:rPr>
        <w:t>tiesisku pierādījumu pakāpi</w:t>
      </w:r>
      <w:r>
        <w:rPr>
          <w:rFonts w:ascii="Times New Roman" w:eastAsia="Times New Roman" w:hAnsi="Times New Roman"/>
          <w:sz w:val="24"/>
          <w:szCs w:val="24"/>
          <w:lang w:eastAsia="lv-LV"/>
        </w:rPr>
        <w:t>”, atbalsta izmaksa tiek apturēta. Saskaņā ar 59.</w:t>
      </w:r>
      <w:r w:rsidRPr="00763944">
        <w:rPr>
          <w:rFonts w:ascii="Times New Roman" w:eastAsia="Times New Roman" w:hAnsi="Times New Roman"/>
          <w:sz w:val="24"/>
          <w:szCs w:val="24"/>
          <w:vertAlign w:val="superscript"/>
          <w:lang w:eastAsia="lv-LV"/>
        </w:rPr>
        <w:t>7</w:t>
      </w:r>
      <w:r>
        <w:rPr>
          <w:rFonts w:ascii="Times New Roman" w:eastAsia="Times New Roman" w:hAnsi="Times New Roman"/>
          <w:sz w:val="24"/>
          <w:szCs w:val="24"/>
          <w:lang w:eastAsia="lv-LV"/>
        </w:rPr>
        <w:t xml:space="preserve"> punktu, ja divu mēnešu laikā kopš atbalsta apturēšanas </w:t>
      </w:r>
      <w:r w:rsidR="00A718F4">
        <w:rPr>
          <w:rFonts w:ascii="Times New Roman" w:hAnsi="Times New Roman"/>
          <w:bCs/>
          <w:sz w:val="24"/>
          <w:szCs w:val="24"/>
        </w:rPr>
        <w:t>AER ražotājs</w:t>
      </w:r>
      <w:r w:rsidR="00A718F4" w:rsidRPr="00C75751">
        <w:rPr>
          <w:rFonts w:ascii="Times New Roman" w:hAnsi="Times New Roman"/>
          <w:bCs/>
          <w:sz w:val="24"/>
          <w:szCs w:val="24"/>
        </w:rPr>
        <w:t xml:space="preserve"> </w:t>
      </w:r>
      <w:r>
        <w:rPr>
          <w:rFonts w:ascii="Times New Roman" w:eastAsia="Times New Roman" w:hAnsi="Times New Roman"/>
          <w:sz w:val="24"/>
          <w:szCs w:val="24"/>
          <w:lang w:eastAsia="lv-LV"/>
        </w:rPr>
        <w:t>joprojām nevar iesniegt visu prasīto informāciju ar “</w:t>
      </w:r>
      <w:r w:rsidRPr="00CF349A">
        <w:rPr>
          <w:rFonts w:ascii="Times New Roman" w:eastAsia="Times New Roman" w:hAnsi="Times New Roman"/>
          <w:i/>
          <w:iCs/>
          <w:sz w:val="24"/>
          <w:szCs w:val="24"/>
          <w:lang w:eastAsia="lv-LV"/>
        </w:rPr>
        <w:t>tiesisku pierādījumu pakāpi</w:t>
      </w:r>
      <w:r>
        <w:rPr>
          <w:rFonts w:ascii="Times New Roman" w:eastAsia="Times New Roman" w:hAnsi="Times New Roman"/>
          <w:sz w:val="24"/>
          <w:szCs w:val="24"/>
          <w:lang w:eastAsia="lv-LV"/>
        </w:rPr>
        <w:t>”, OI tiesības tiek atņemtas</w:t>
      </w:r>
      <w:r w:rsidR="00DE1E4D">
        <w:rPr>
          <w:rFonts w:ascii="Times New Roman" w:eastAsia="Times New Roman" w:hAnsi="Times New Roman"/>
          <w:sz w:val="24"/>
          <w:szCs w:val="24"/>
          <w:lang w:eastAsia="lv-LV"/>
        </w:rPr>
        <w:t>:</w:t>
      </w:r>
    </w:p>
    <w:p w14:paraId="14D446D9" w14:textId="51B916A3" w:rsidR="00763944" w:rsidRPr="003F0791" w:rsidRDefault="00763944" w:rsidP="00763944">
      <w:pPr>
        <w:pStyle w:val="ListParagraph"/>
        <w:numPr>
          <w:ilvl w:val="0"/>
          <w:numId w:val="33"/>
        </w:numPr>
        <w:spacing w:after="120" w:line="240" w:lineRule="auto"/>
        <w:contextualSpacing w:val="0"/>
        <w:jc w:val="both"/>
        <w:rPr>
          <w:rFonts w:ascii="Times New Roman" w:hAnsi="Times New Roman"/>
          <w:bCs/>
          <w:sz w:val="24"/>
          <w:szCs w:val="24"/>
          <w:u w:val="single"/>
        </w:rPr>
      </w:pPr>
      <w:r>
        <w:rPr>
          <w:rFonts w:ascii="Times New Roman" w:hAnsi="Times New Roman"/>
          <w:bCs/>
          <w:sz w:val="24"/>
          <w:szCs w:val="24"/>
        </w:rPr>
        <w:t xml:space="preserve">vispirms vēršam uzmanību, ka nav skaidrs, vai šīs normas darbojas tikai </w:t>
      </w:r>
      <w:r w:rsidR="00EA5460">
        <w:rPr>
          <w:rFonts w:ascii="Times New Roman" w:hAnsi="Times New Roman"/>
          <w:bCs/>
          <w:sz w:val="24"/>
          <w:szCs w:val="24"/>
        </w:rPr>
        <w:t>59.</w:t>
      </w:r>
      <w:r w:rsidR="00EA5460" w:rsidRPr="00A718F4">
        <w:rPr>
          <w:rFonts w:ascii="Times New Roman" w:hAnsi="Times New Roman"/>
          <w:bCs/>
          <w:sz w:val="24"/>
          <w:szCs w:val="24"/>
          <w:vertAlign w:val="superscript"/>
        </w:rPr>
        <w:t>4</w:t>
      </w:r>
      <w:r w:rsidR="00EA5460">
        <w:rPr>
          <w:rFonts w:ascii="Times New Roman" w:hAnsi="Times New Roman"/>
          <w:bCs/>
          <w:sz w:val="24"/>
          <w:szCs w:val="24"/>
        </w:rPr>
        <w:t xml:space="preserve"> punktā minētajā gadījumā, </w:t>
      </w:r>
      <w:r w:rsidR="00A718F4">
        <w:rPr>
          <w:rFonts w:ascii="Times New Roman" w:hAnsi="Times New Roman"/>
          <w:bCs/>
          <w:sz w:val="24"/>
          <w:szCs w:val="24"/>
        </w:rPr>
        <w:t xml:space="preserve">proti, </w:t>
      </w:r>
      <w:r w:rsidR="00EA5460">
        <w:rPr>
          <w:rFonts w:ascii="Times New Roman" w:hAnsi="Times New Roman"/>
          <w:bCs/>
          <w:sz w:val="24"/>
          <w:szCs w:val="24"/>
        </w:rPr>
        <w:t xml:space="preserve">kad veikt IRR aprēķinu BVKB lūdz </w:t>
      </w:r>
      <w:r w:rsidR="00A718F4">
        <w:rPr>
          <w:rFonts w:ascii="Times New Roman" w:hAnsi="Times New Roman"/>
          <w:bCs/>
          <w:sz w:val="24"/>
          <w:szCs w:val="24"/>
        </w:rPr>
        <w:t>AER ražotājs</w:t>
      </w:r>
      <w:r w:rsidR="00EA5460">
        <w:rPr>
          <w:rFonts w:ascii="Times New Roman" w:hAnsi="Times New Roman"/>
          <w:bCs/>
          <w:sz w:val="24"/>
          <w:szCs w:val="24"/>
        </w:rPr>
        <w:t xml:space="preserve">, vai pilnīgi visos </w:t>
      </w:r>
      <w:r w:rsidR="00A718F4">
        <w:rPr>
          <w:rFonts w:ascii="Times New Roman" w:hAnsi="Times New Roman"/>
          <w:bCs/>
          <w:sz w:val="24"/>
          <w:szCs w:val="24"/>
        </w:rPr>
        <w:t>MK n</w:t>
      </w:r>
      <w:r w:rsidR="00EA5460">
        <w:rPr>
          <w:rFonts w:ascii="Times New Roman" w:hAnsi="Times New Roman"/>
          <w:bCs/>
          <w:sz w:val="24"/>
          <w:szCs w:val="24"/>
        </w:rPr>
        <w:t>oteikum</w:t>
      </w:r>
      <w:r w:rsidR="00A718F4">
        <w:rPr>
          <w:rFonts w:ascii="Times New Roman" w:hAnsi="Times New Roman"/>
          <w:bCs/>
          <w:sz w:val="24"/>
          <w:szCs w:val="24"/>
        </w:rPr>
        <w:t xml:space="preserve">os Nr. 560 paredzētajos </w:t>
      </w:r>
      <w:r w:rsidR="00EA5460">
        <w:rPr>
          <w:rFonts w:ascii="Times New Roman" w:hAnsi="Times New Roman"/>
          <w:bCs/>
          <w:sz w:val="24"/>
          <w:szCs w:val="24"/>
        </w:rPr>
        <w:t>gadījumos</w:t>
      </w:r>
      <w:r w:rsidR="00A718F4">
        <w:rPr>
          <w:rFonts w:ascii="Times New Roman" w:hAnsi="Times New Roman"/>
          <w:bCs/>
          <w:sz w:val="24"/>
          <w:szCs w:val="24"/>
        </w:rPr>
        <w:t>, kad kādu iemeslu dēļ ir veicams IRR aprēķins</w:t>
      </w:r>
      <w:r w:rsidR="00EA5460">
        <w:rPr>
          <w:rFonts w:ascii="Times New Roman" w:hAnsi="Times New Roman"/>
          <w:bCs/>
          <w:sz w:val="24"/>
          <w:szCs w:val="24"/>
        </w:rPr>
        <w:t xml:space="preserve">? </w:t>
      </w:r>
      <w:r w:rsidR="00EA5460" w:rsidRPr="003F0791">
        <w:rPr>
          <w:rFonts w:ascii="Times New Roman" w:hAnsi="Times New Roman"/>
          <w:bCs/>
          <w:sz w:val="24"/>
          <w:szCs w:val="24"/>
          <w:u w:val="single"/>
        </w:rPr>
        <w:t>Lūdzam to skaidri noformulēt!</w:t>
      </w:r>
    </w:p>
    <w:p w14:paraId="5B4A29A9" w14:textId="46A265EF" w:rsidR="00CF349A" w:rsidRDefault="00EA5460" w:rsidP="00763944">
      <w:pPr>
        <w:pStyle w:val="ListParagraph"/>
        <w:numPr>
          <w:ilvl w:val="0"/>
          <w:numId w:val="33"/>
        </w:numPr>
        <w:spacing w:after="120" w:line="240" w:lineRule="auto"/>
        <w:contextualSpacing w:val="0"/>
        <w:jc w:val="both"/>
        <w:rPr>
          <w:rFonts w:ascii="Times New Roman" w:hAnsi="Times New Roman"/>
          <w:bCs/>
          <w:sz w:val="24"/>
          <w:szCs w:val="24"/>
        </w:rPr>
      </w:pPr>
      <w:r>
        <w:rPr>
          <w:rFonts w:ascii="Times New Roman" w:hAnsi="Times New Roman"/>
          <w:bCs/>
          <w:sz w:val="24"/>
          <w:szCs w:val="24"/>
        </w:rPr>
        <w:t xml:space="preserve">tālāk, </w:t>
      </w:r>
      <w:r w:rsidR="00CF349A">
        <w:rPr>
          <w:rFonts w:ascii="Times New Roman" w:hAnsi="Times New Roman"/>
          <w:bCs/>
          <w:sz w:val="24"/>
          <w:szCs w:val="24"/>
        </w:rPr>
        <w:t xml:space="preserve">vēršam uzmanību, </w:t>
      </w:r>
      <w:r w:rsidR="00763944">
        <w:rPr>
          <w:rFonts w:ascii="Times New Roman" w:hAnsi="Times New Roman"/>
          <w:bCs/>
          <w:sz w:val="24"/>
          <w:szCs w:val="24"/>
        </w:rPr>
        <w:t xml:space="preserve">pirmkārt, </w:t>
      </w:r>
      <w:r w:rsidR="00CF349A">
        <w:rPr>
          <w:rFonts w:ascii="Times New Roman" w:hAnsi="Times New Roman"/>
          <w:bCs/>
          <w:sz w:val="24"/>
          <w:szCs w:val="24"/>
        </w:rPr>
        <w:t>ka</w:t>
      </w:r>
      <w:r w:rsidR="00763944">
        <w:rPr>
          <w:rFonts w:ascii="Times New Roman" w:hAnsi="Times New Roman"/>
          <w:bCs/>
          <w:sz w:val="24"/>
          <w:szCs w:val="24"/>
        </w:rPr>
        <w:t xml:space="preserve"> termiņš 10 darba dienas ir neadekvāti īss, jo runa ir par nekonkretizētu “informāciju un dokumentiem”, kādi vispār var nebūt komersanta rīcībā un var būt jāpieprasa no valsts iestādēm, arhīviem vai citiem uzņēmumiem. Var būt nepieciešama iesniegumu iesniegšana un atbildes sagaidīšana uz tiem likumos noteiktajā termiņā, kas parastā gadījumā ir 1 mēnesis</w:t>
      </w:r>
      <w:r>
        <w:rPr>
          <w:rFonts w:ascii="Times New Roman" w:hAnsi="Times New Roman"/>
          <w:bCs/>
          <w:sz w:val="24"/>
          <w:szCs w:val="24"/>
        </w:rPr>
        <w:t>, saņemtās informācijas apkopošana iesniegšanai utt.</w:t>
      </w:r>
      <w:r w:rsidR="00763944">
        <w:rPr>
          <w:rFonts w:ascii="Times New Roman" w:hAnsi="Times New Roman"/>
          <w:bCs/>
          <w:sz w:val="24"/>
          <w:szCs w:val="24"/>
        </w:rPr>
        <w:t xml:space="preserve">; </w:t>
      </w:r>
      <w:r w:rsidR="00763944" w:rsidRPr="00763944">
        <w:rPr>
          <w:rFonts w:ascii="Times New Roman" w:hAnsi="Times New Roman"/>
          <w:bCs/>
          <w:sz w:val="24"/>
          <w:szCs w:val="24"/>
        </w:rPr>
        <w:t>otrkārt, ļoti plašais formulējums “tiesisku pierādījumu pakāpe”</w:t>
      </w:r>
      <w:r w:rsidR="00CF349A" w:rsidRPr="00763944">
        <w:rPr>
          <w:rFonts w:ascii="Times New Roman" w:hAnsi="Times New Roman"/>
          <w:bCs/>
          <w:sz w:val="24"/>
          <w:szCs w:val="24"/>
        </w:rPr>
        <w:t xml:space="preserve"> </w:t>
      </w:r>
      <w:r w:rsidR="00763944" w:rsidRPr="00763944">
        <w:rPr>
          <w:rFonts w:ascii="Times New Roman" w:hAnsi="Times New Roman"/>
          <w:bCs/>
          <w:sz w:val="24"/>
          <w:szCs w:val="24"/>
        </w:rPr>
        <w:t>ir lietots jau ETL</w:t>
      </w:r>
      <w:r>
        <w:rPr>
          <w:rFonts w:ascii="Times New Roman" w:hAnsi="Times New Roman"/>
          <w:bCs/>
          <w:sz w:val="24"/>
          <w:szCs w:val="24"/>
        </w:rPr>
        <w:t xml:space="preserve"> 31.</w:t>
      </w:r>
      <w:r w:rsidRPr="00EA5460">
        <w:rPr>
          <w:rFonts w:ascii="Times New Roman" w:hAnsi="Times New Roman"/>
          <w:bCs/>
          <w:sz w:val="24"/>
          <w:szCs w:val="24"/>
          <w:vertAlign w:val="superscript"/>
        </w:rPr>
        <w:t>2</w:t>
      </w:r>
      <w:r>
        <w:rPr>
          <w:rFonts w:ascii="Times New Roman" w:hAnsi="Times New Roman"/>
          <w:bCs/>
          <w:sz w:val="24"/>
          <w:szCs w:val="24"/>
        </w:rPr>
        <w:t> panta trešajā daļā</w:t>
      </w:r>
      <w:r w:rsidR="00763944" w:rsidRPr="00763944">
        <w:rPr>
          <w:rFonts w:ascii="Times New Roman" w:hAnsi="Times New Roman"/>
          <w:bCs/>
          <w:sz w:val="24"/>
          <w:szCs w:val="24"/>
        </w:rPr>
        <w:t xml:space="preserve">, līdz ar to </w:t>
      </w:r>
      <w:r w:rsidR="00763944" w:rsidRPr="00146C5E">
        <w:rPr>
          <w:rFonts w:ascii="Times New Roman" w:hAnsi="Times New Roman"/>
          <w:bCs/>
          <w:sz w:val="24"/>
          <w:szCs w:val="24"/>
          <w:u w:val="single"/>
        </w:rPr>
        <w:t xml:space="preserve">Noteikumu projektā tas ir </w:t>
      </w:r>
      <w:r w:rsidR="00A718F4" w:rsidRPr="00146C5E">
        <w:rPr>
          <w:rFonts w:ascii="Times New Roman" w:hAnsi="Times New Roman"/>
          <w:bCs/>
          <w:sz w:val="24"/>
          <w:szCs w:val="24"/>
          <w:u w:val="single"/>
        </w:rPr>
        <w:t>jā</w:t>
      </w:r>
      <w:r w:rsidR="00763944" w:rsidRPr="00146C5E">
        <w:rPr>
          <w:rFonts w:ascii="Times New Roman" w:hAnsi="Times New Roman"/>
          <w:bCs/>
          <w:sz w:val="24"/>
          <w:szCs w:val="24"/>
          <w:u w:val="single"/>
        </w:rPr>
        <w:t>konkretizē</w:t>
      </w:r>
      <w:r w:rsidR="00A718F4" w:rsidRPr="00146C5E">
        <w:rPr>
          <w:rFonts w:ascii="Times New Roman" w:hAnsi="Times New Roman"/>
          <w:bCs/>
          <w:sz w:val="24"/>
          <w:szCs w:val="24"/>
          <w:u w:val="single"/>
        </w:rPr>
        <w:t xml:space="preserve"> sīkāk</w:t>
      </w:r>
      <w:r w:rsidR="00763944" w:rsidRPr="00763944">
        <w:rPr>
          <w:rFonts w:ascii="Times New Roman" w:hAnsi="Times New Roman"/>
          <w:bCs/>
          <w:sz w:val="24"/>
          <w:szCs w:val="24"/>
        </w:rPr>
        <w:t>, lai AER ražotājiem varētu būt kaut nojausma par nepieciešamo pierādīšanas standartu</w:t>
      </w:r>
      <w:r w:rsidR="00763944">
        <w:rPr>
          <w:rFonts w:ascii="Times New Roman" w:hAnsi="Times New Roman"/>
          <w:bCs/>
          <w:sz w:val="24"/>
          <w:szCs w:val="24"/>
        </w:rPr>
        <w:t>;</w:t>
      </w:r>
    </w:p>
    <w:p w14:paraId="6298D00F" w14:textId="35AE6E54" w:rsidR="00763944" w:rsidRPr="00880652" w:rsidRDefault="00763944" w:rsidP="00763944">
      <w:pPr>
        <w:pStyle w:val="ListParagraph"/>
        <w:numPr>
          <w:ilvl w:val="0"/>
          <w:numId w:val="33"/>
        </w:numPr>
        <w:spacing w:after="120" w:line="240" w:lineRule="auto"/>
        <w:contextualSpacing w:val="0"/>
        <w:jc w:val="both"/>
        <w:rPr>
          <w:rFonts w:ascii="Times New Roman" w:hAnsi="Times New Roman"/>
          <w:b/>
          <w:i/>
          <w:iCs/>
          <w:sz w:val="24"/>
          <w:szCs w:val="24"/>
        </w:rPr>
      </w:pPr>
      <w:r w:rsidRPr="00880652">
        <w:rPr>
          <w:rFonts w:ascii="Times New Roman" w:hAnsi="Times New Roman"/>
          <w:b/>
          <w:i/>
          <w:iCs/>
          <w:sz w:val="24"/>
          <w:szCs w:val="24"/>
        </w:rPr>
        <w:t xml:space="preserve">tāpēc aicinām noteikt termiņu </w:t>
      </w:r>
      <w:r w:rsidRPr="00880652">
        <w:rPr>
          <w:rFonts w:ascii="Times New Roman" w:hAnsi="Times New Roman"/>
          <w:b/>
          <w:i/>
          <w:iCs/>
          <w:sz w:val="24"/>
          <w:szCs w:val="24"/>
          <w:u w:val="single"/>
        </w:rPr>
        <w:t xml:space="preserve">ne īsāku kā </w:t>
      </w:r>
      <w:r w:rsidR="00EA5460" w:rsidRPr="00880652">
        <w:rPr>
          <w:rFonts w:ascii="Times New Roman" w:hAnsi="Times New Roman"/>
          <w:b/>
          <w:i/>
          <w:iCs/>
          <w:sz w:val="24"/>
          <w:szCs w:val="24"/>
          <w:u w:val="single"/>
        </w:rPr>
        <w:t>40</w:t>
      </w:r>
      <w:r w:rsidRPr="00880652">
        <w:rPr>
          <w:rFonts w:ascii="Times New Roman" w:hAnsi="Times New Roman"/>
          <w:b/>
          <w:i/>
          <w:iCs/>
          <w:sz w:val="24"/>
          <w:szCs w:val="24"/>
          <w:u w:val="single"/>
        </w:rPr>
        <w:t> darba dienas</w:t>
      </w:r>
      <w:r w:rsidRPr="00880652">
        <w:rPr>
          <w:rFonts w:ascii="Times New Roman" w:hAnsi="Times New Roman"/>
          <w:b/>
          <w:i/>
          <w:iCs/>
          <w:sz w:val="24"/>
          <w:szCs w:val="24"/>
        </w:rPr>
        <w:t xml:space="preserve"> un Noteikumu projektā konkretizēt formulējumu “tiesisku pierādījumu pakāpe”, vai arī atteikties no tā lietojuma;</w:t>
      </w:r>
    </w:p>
    <w:p w14:paraId="1B43A96F" w14:textId="200D2462" w:rsidR="00763944" w:rsidRPr="00FE371B" w:rsidRDefault="00763944" w:rsidP="00763944">
      <w:pPr>
        <w:pStyle w:val="ListParagraph"/>
        <w:numPr>
          <w:ilvl w:val="0"/>
          <w:numId w:val="33"/>
        </w:numPr>
        <w:spacing w:after="120" w:line="240" w:lineRule="auto"/>
        <w:contextualSpacing w:val="0"/>
        <w:jc w:val="both"/>
        <w:rPr>
          <w:rFonts w:ascii="Times New Roman" w:hAnsi="Times New Roman"/>
          <w:b/>
          <w:i/>
          <w:iCs/>
          <w:color w:val="FF0000"/>
          <w:sz w:val="24"/>
          <w:szCs w:val="24"/>
        </w:rPr>
      </w:pPr>
      <w:r w:rsidRPr="00FE371B">
        <w:rPr>
          <w:rFonts w:ascii="Times New Roman" w:hAnsi="Times New Roman"/>
          <w:b/>
          <w:i/>
          <w:iCs/>
          <w:color w:val="FF0000"/>
          <w:sz w:val="24"/>
          <w:szCs w:val="24"/>
        </w:rPr>
        <w:t xml:space="preserve">tāpat </w:t>
      </w:r>
      <w:r w:rsidR="00880652" w:rsidRPr="00FE371B">
        <w:rPr>
          <w:rFonts w:ascii="Times New Roman" w:hAnsi="Times New Roman"/>
          <w:b/>
          <w:i/>
          <w:iCs/>
          <w:color w:val="FF0000"/>
          <w:sz w:val="24"/>
          <w:szCs w:val="24"/>
        </w:rPr>
        <w:t xml:space="preserve">šajā ziņā </w:t>
      </w:r>
      <w:r w:rsidRPr="00FE371B">
        <w:rPr>
          <w:rFonts w:ascii="Times New Roman" w:hAnsi="Times New Roman"/>
          <w:b/>
          <w:i/>
          <w:iCs/>
          <w:color w:val="FF0000"/>
          <w:sz w:val="24"/>
          <w:szCs w:val="24"/>
        </w:rPr>
        <w:t>aicinām izslēgt</w:t>
      </w:r>
      <w:r w:rsidR="00EA5460" w:rsidRPr="00FE371B">
        <w:rPr>
          <w:rFonts w:ascii="Times New Roman" w:hAnsi="Times New Roman"/>
          <w:b/>
          <w:i/>
          <w:iCs/>
          <w:color w:val="FF0000"/>
          <w:sz w:val="24"/>
          <w:szCs w:val="24"/>
        </w:rPr>
        <w:t xml:space="preserve"> no Noteikumu projekta konceptu par atbalsta izmaksas apturēšanu un, attiecīgā gadījumā, OI tiesību atcelšanu gadījumos, ja komersants ir tik vien kā lūdzis jau spēkā esoša IRR aprēķina pārrēķinu</w:t>
      </w:r>
      <w:r w:rsidR="00146C5E" w:rsidRPr="00FE371B">
        <w:rPr>
          <w:rFonts w:ascii="Times New Roman" w:hAnsi="Times New Roman"/>
          <w:b/>
          <w:i/>
          <w:iCs/>
          <w:color w:val="FF0000"/>
          <w:sz w:val="24"/>
          <w:szCs w:val="24"/>
        </w:rPr>
        <w:t>.</w:t>
      </w:r>
    </w:p>
    <w:p w14:paraId="3FE696C3" w14:textId="0476DB09" w:rsidR="0019154B" w:rsidRPr="00EA5460" w:rsidRDefault="00EA5460" w:rsidP="0019154B">
      <w:pPr>
        <w:pStyle w:val="ListParagraph"/>
        <w:numPr>
          <w:ilvl w:val="0"/>
          <w:numId w:val="30"/>
        </w:numPr>
        <w:spacing w:after="120" w:line="240" w:lineRule="auto"/>
        <w:contextualSpacing w:val="0"/>
        <w:jc w:val="both"/>
        <w:rPr>
          <w:rFonts w:ascii="Times New Roman" w:hAnsi="Times New Roman"/>
          <w:bCs/>
          <w:sz w:val="24"/>
          <w:szCs w:val="24"/>
        </w:rPr>
      </w:pPr>
      <w:r>
        <w:rPr>
          <w:rFonts w:ascii="Times New Roman" w:hAnsi="Times New Roman"/>
          <w:bCs/>
          <w:sz w:val="24"/>
          <w:szCs w:val="24"/>
        </w:rPr>
        <w:t>Noteikumu projekta 59.</w:t>
      </w:r>
      <w:r w:rsidRPr="00EA5460">
        <w:rPr>
          <w:rFonts w:ascii="Times New Roman" w:hAnsi="Times New Roman"/>
          <w:bCs/>
          <w:sz w:val="24"/>
          <w:szCs w:val="24"/>
          <w:vertAlign w:val="superscript"/>
        </w:rPr>
        <w:t>8</w:t>
      </w:r>
      <w:r>
        <w:rPr>
          <w:rFonts w:ascii="Times New Roman" w:hAnsi="Times New Roman"/>
          <w:bCs/>
          <w:sz w:val="24"/>
          <w:szCs w:val="24"/>
        </w:rPr>
        <w:t xml:space="preserve"> 2. punkts paredz, ka atšķirībā no pilnīgi visiem citiem </w:t>
      </w:r>
      <w:r w:rsidRPr="00873375">
        <w:rPr>
          <w:rFonts w:ascii="Times New Roman" w:eastAsia="Times New Roman" w:hAnsi="Times New Roman"/>
          <w:sz w:val="24"/>
          <w:szCs w:val="24"/>
          <w:lang w:eastAsia="lv-LV"/>
        </w:rPr>
        <w:t>elektrostacijas darbību raksturojoš</w:t>
      </w:r>
      <w:r>
        <w:rPr>
          <w:rFonts w:ascii="Times New Roman" w:eastAsia="Times New Roman" w:hAnsi="Times New Roman"/>
          <w:sz w:val="24"/>
          <w:szCs w:val="24"/>
          <w:lang w:eastAsia="lv-LV"/>
        </w:rPr>
        <w:t>ajiem</w:t>
      </w:r>
      <w:r w:rsidRPr="00873375">
        <w:rPr>
          <w:rFonts w:ascii="Times New Roman" w:eastAsia="Times New Roman" w:hAnsi="Times New Roman"/>
          <w:sz w:val="24"/>
          <w:szCs w:val="24"/>
          <w:lang w:eastAsia="lv-LV"/>
        </w:rPr>
        <w:t xml:space="preserve"> rādītāj</w:t>
      </w:r>
      <w:r>
        <w:rPr>
          <w:rFonts w:ascii="Times New Roman" w:eastAsia="Times New Roman" w:hAnsi="Times New Roman"/>
          <w:sz w:val="24"/>
          <w:szCs w:val="24"/>
          <w:lang w:eastAsia="lv-LV"/>
        </w:rPr>
        <w:t>iem, ko nosaka pēc faktiskajām vērtībām gan ieņēmumu, gan izdevumu daļā,</w:t>
      </w:r>
      <w:r w:rsidRPr="00873375">
        <w:rPr>
          <w:rFonts w:ascii="Times New Roman" w:eastAsia="Times New Roman" w:hAnsi="Times New Roman"/>
          <w:sz w:val="24"/>
          <w:szCs w:val="24"/>
          <w:lang w:eastAsia="lv-LV"/>
        </w:rPr>
        <w:t xml:space="preserve"> elektrostacijas ekspluatācijas izmaksu vērtības</w:t>
      </w:r>
      <w:r>
        <w:rPr>
          <w:rFonts w:ascii="Times New Roman" w:eastAsia="Times New Roman" w:hAnsi="Times New Roman"/>
          <w:sz w:val="24"/>
          <w:szCs w:val="24"/>
          <w:lang w:eastAsia="lv-LV"/>
        </w:rPr>
        <w:t xml:space="preserve"> </w:t>
      </w:r>
      <w:r w:rsidRPr="00873375">
        <w:rPr>
          <w:rFonts w:ascii="Times New Roman" w:eastAsia="Times New Roman" w:hAnsi="Times New Roman"/>
          <w:sz w:val="24"/>
          <w:szCs w:val="24"/>
          <w:lang w:eastAsia="lv-LV"/>
        </w:rPr>
        <w:t xml:space="preserve">nosaka atbilstoši šo noteikumu 6. pielikumā minētajām </w:t>
      </w:r>
      <w:proofErr w:type="spellStart"/>
      <w:r w:rsidRPr="00873375">
        <w:rPr>
          <w:rFonts w:ascii="Times New Roman" w:eastAsia="Times New Roman" w:hAnsi="Times New Roman"/>
          <w:sz w:val="24"/>
          <w:szCs w:val="24"/>
          <w:lang w:eastAsia="lv-LV"/>
        </w:rPr>
        <w:t>līmeņatzīmēm</w:t>
      </w:r>
      <w:proofErr w:type="spellEnd"/>
      <w:r>
        <w:rPr>
          <w:rFonts w:ascii="Times New Roman" w:eastAsia="Times New Roman" w:hAnsi="Times New Roman"/>
          <w:sz w:val="24"/>
          <w:szCs w:val="24"/>
          <w:lang w:eastAsia="lv-LV"/>
        </w:rPr>
        <w:t>, proti, kā procentuālu vērtību no elektrostacijā veiktajām investīcijām gadā</w:t>
      </w:r>
      <w:r w:rsidR="00DE1E4D">
        <w:rPr>
          <w:rFonts w:ascii="Times New Roman" w:eastAsia="Times New Roman" w:hAnsi="Times New Roman"/>
          <w:sz w:val="24"/>
          <w:szCs w:val="24"/>
          <w:lang w:eastAsia="lv-LV"/>
        </w:rPr>
        <w:t>:</w:t>
      </w:r>
    </w:p>
    <w:p w14:paraId="42BB51C2" w14:textId="3A02D095" w:rsidR="00741579" w:rsidRDefault="00EA5460" w:rsidP="00741579">
      <w:pPr>
        <w:pStyle w:val="ListParagraph"/>
        <w:numPr>
          <w:ilvl w:val="0"/>
          <w:numId w:val="34"/>
        </w:numPr>
        <w:spacing w:after="120" w:line="240" w:lineRule="auto"/>
        <w:contextualSpacing w:val="0"/>
        <w:jc w:val="both"/>
        <w:rPr>
          <w:rFonts w:ascii="Times New Roman" w:hAnsi="Times New Roman"/>
          <w:bCs/>
          <w:sz w:val="24"/>
          <w:szCs w:val="24"/>
        </w:rPr>
      </w:pPr>
      <w:r>
        <w:rPr>
          <w:rFonts w:ascii="Times New Roman" w:hAnsi="Times New Roman"/>
          <w:bCs/>
          <w:sz w:val="24"/>
          <w:szCs w:val="24"/>
        </w:rPr>
        <w:lastRenderedPageBreak/>
        <w:t>vēršam uzmanību vispirms jau uz to, ka šādi dažādotai pieejai nav nekāda loģiska un konkrēta pamatojuma ne Noteikumu projektā, ne tā anotācijā</w:t>
      </w:r>
      <w:r w:rsidR="00681E8B">
        <w:rPr>
          <w:rFonts w:ascii="Times New Roman" w:hAnsi="Times New Roman"/>
          <w:bCs/>
          <w:sz w:val="24"/>
          <w:szCs w:val="24"/>
        </w:rPr>
        <w:t xml:space="preserve">. Proti, </w:t>
      </w:r>
      <w:r w:rsidR="00146C5E">
        <w:rPr>
          <w:rFonts w:ascii="Times New Roman" w:hAnsi="Times New Roman"/>
          <w:bCs/>
          <w:sz w:val="24"/>
          <w:szCs w:val="24"/>
        </w:rPr>
        <w:t xml:space="preserve">no vienas puses, </w:t>
      </w:r>
      <w:r w:rsidR="00681E8B">
        <w:rPr>
          <w:rFonts w:ascii="Times New Roman" w:hAnsi="Times New Roman"/>
          <w:bCs/>
          <w:sz w:val="24"/>
          <w:szCs w:val="24"/>
        </w:rPr>
        <w:t>attiecībā uz faktiskajiem datiem</w:t>
      </w:r>
      <w:r w:rsidR="00146C5E">
        <w:rPr>
          <w:rFonts w:ascii="Times New Roman" w:hAnsi="Times New Roman"/>
          <w:bCs/>
          <w:sz w:val="24"/>
          <w:szCs w:val="24"/>
        </w:rPr>
        <w:t xml:space="preserve"> (</w:t>
      </w:r>
      <w:r w:rsidR="00681E8B">
        <w:rPr>
          <w:rFonts w:ascii="Times New Roman" w:hAnsi="Times New Roman"/>
          <w:bCs/>
          <w:sz w:val="24"/>
          <w:szCs w:val="24"/>
        </w:rPr>
        <w:t xml:space="preserve">kas </w:t>
      </w:r>
      <w:r w:rsidR="00C15169">
        <w:rPr>
          <w:rFonts w:ascii="Times New Roman" w:hAnsi="Times New Roman"/>
          <w:bCs/>
          <w:sz w:val="24"/>
          <w:szCs w:val="24"/>
        </w:rPr>
        <w:t xml:space="preserve">maksimāli </w:t>
      </w:r>
      <w:r w:rsidR="00681E8B">
        <w:rPr>
          <w:rFonts w:ascii="Times New Roman" w:hAnsi="Times New Roman"/>
          <w:bCs/>
          <w:sz w:val="24"/>
          <w:szCs w:val="24"/>
        </w:rPr>
        <w:t>objektīvi atspoguļo AER ražotāja elektrostacijas situāciju</w:t>
      </w:r>
      <w:r w:rsidR="00544F23">
        <w:rPr>
          <w:rFonts w:ascii="Times New Roman" w:hAnsi="Times New Roman"/>
          <w:bCs/>
          <w:sz w:val="24"/>
          <w:szCs w:val="24"/>
        </w:rPr>
        <w:t>)</w:t>
      </w:r>
      <w:r w:rsidR="00681E8B">
        <w:rPr>
          <w:rFonts w:ascii="Times New Roman" w:hAnsi="Times New Roman"/>
          <w:bCs/>
          <w:sz w:val="24"/>
          <w:szCs w:val="24"/>
        </w:rPr>
        <w:t xml:space="preserve">, tiek aicināts iesniegt 20 un pat vairāk gadus senus datus, kas, visticamāk, vairs nav </w:t>
      </w:r>
      <w:r w:rsidR="00544F23">
        <w:rPr>
          <w:rFonts w:ascii="Times New Roman" w:hAnsi="Times New Roman"/>
          <w:bCs/>
          <w:sz w:val="24"/>
          <w:szCs w:val="24"/>
        </w:rPr>
        <w:t xml:space="preserve">un nevar būt </w:t>
      </w:r>
      <w:r w:rsidR="00681E8B">
        <w:rPr>
          <w:rFonts w:ascii="Times New Roman" w:hAnsi="Times New Roman"/>
          <w:bCs/>
          <w:sz w:val="24"/>
          <w:szCs w:val="24"/>
        </w:rPr>
        <w:t>AER ražotāja rīcībā (jo īpaši tāpēc, ka AER ražotājam nebija un nevarēja būt zināms, ka kādreiz nākotnē šādi tik seni dati no tā tiks pieprasīti, lai veiktu</w:t>
      </w:r>
      <w:r w:rsidR="00880652">
        <w:rPr>
          <w:rFonts w:ascii="Times New Roman" w:hAnsi="Times New Roman"/>
          <w:bCs/>
          <w:sz w:val="24"/>
          <w:szCs w:val="24"/>
        </w:rPr>
        <w:t xml:space="preserve"> jau vienreiz veikta</w:t>
      </w:r>
      <w:r w:rsidR="00681E8B">
        <w:rPr>
          <w:rFonts w:ascii="Times New Roman" w:hAnsi="Times New Roman"/>
          <w:bCs/>
          <w:sz w:val="24"/>
          <w:szCs w:val="24"/>
        </w:rPr>
        <w:t xml:space="preserve"> IRR aprēķin</w:t>
      </w:r>
      <w:r w:rsidR="00880652">
        <w:rPr>
          <w:rFonts w:ascii="Times New Roman" w:hAnsi="Times New Roman"/>
          <w:bCs/>
          <w:sz w:val="24"/>
          <w:szCs w:val="24"/>
        </w:rPr>
        <w:t>a pārrēķinu</w:t>
      </w:r>
      <w:r w:rsidR="00681E8B">
        <w:rPr>
          <w:rFonts w:ascii="Times New Roman" w:hAnsi="Times New Roman"/>
          <w:bCs/>
          <w:sz w:val="24"/>
          <w:szCs w:val="24"/>
        </w:rPr>
        <w:t xml:space="preserve">). </w:t>
      </w:r>
      <w:r w:rsidR="005B53A0">
        <w:rPr>
          <w:rFonts w:ascii="Times New Roman" w:hAnsi="Times New Roman"/>
          <w:bCs/>
          <w:sz w:val="24"/>
          <w:szCs w:val="24"/>
        </w:rPr>
        <w:t>No otras puses,</w:t>
      </w:r>
      <w:r w:rsidR="00681E8B">
        <w:rPr>
          <w:rFonts w:ascii="Times New Roman" w:hAnsi="Times New Roman"/>
          <w:bCs/>
          <w:sz w:val="24"/>
          <w:szCs w:val="24"/>
        </w:rPr>
        <w:t xml:space="preserve"> attiecībā uz ekspluatācijas izmaksām AER ražotājam tiek liegts izmantot </w:t>
      </w:r>
      <w:r w:rsidR="00C15169">
        <w:rPr>
          <w:rFonts w:ascii="Times New Roman" w:hAnsi="Times New Roman"/>
          <w:bCs/>
          <w:sz w:val="24"/>
          <w:szCs w:val="24"/>
        </w:rPr>
        <w:t xml:space="preserve">objektīvos </w:t>
      </w:r>
      <w:r w:rsidR="00681E8B">
        <w:rPr>
          <w:rFonts w:ascii="Times New Roman" w:hAnsi="Times New Roman"/>
          <w:bCs/>
          <w:sz w:val="24"/>
          <w:szCs w:val="24"/>
        </w:rPr>
        <w:t>faktiskos datus kā tādus, pat ja tādi ir viņa rīcībā</w:t>
      </w:r>
      <w:r>
        <w:rPr>
          <w:rFonts w:ascii="Times New Roman" w:hAnsi="Times New Roman"/>
          <w:bCs/>
          <w:sz w:val="24"/>
          <w:szCs w:val="24"/>
        </w:rPr>
        <w:t>;</w:t>
      </w:r>
    </w:p>
    <w:p w14:paraId="49633A32" w14:textId="7F2F6599" w:rsidR="00880652" w:rsidRDefault="0040172B" w:rsidP="00741579">
      <w:pPr>
        <w:pStyle w:val="ListParagraph"/>
        <w:numPr>
          <w:ilvl w:val="0"/>
          <w:numId w:val="34"/>
        </w:numPr>
        <w:spacing w:after="120" w:line="240" w:lineRule="auto"/>
        <w:contextualSpacing w:val="0"/>
        <w:jc w:val="both"/>
        <w:rPr>
          <w:rFonts w:ascii="Times New Roman" w:hAnsi="Times New Roman"/>
          <w:bCs/>
          <w:sz w:val="24"/>
          <w:szCs w:val="24"/>
        </w:rPr>
      </w:pPr>
      <w:r w:rsidRPr="00741579">
        <w:rPr>
          <w:rFonts w:ascii="Times New Roman" w:hAnsi="Times New Roman"/>
          <w:bCs/>
          <w:sz w:val="24"/>
          <w:szCs w:val="24"/>
        </w:rPr>
        <w:t>Noteikumu projektā nav definēts jēdziena “ekspluatācijas izmaksas” saturs, un var saprast, ka ar to tiek mēģināts apzīmēt pilnīgi visus elektrostacijas izdevumus, izņemot</w:t>
      </w:r>
      <w:r w:rsidR="00880652">
        <w:rPr>
          <w:rFonts w:ascii="Times New Roman" w:hAnsi="Times New Roman"/>
          <w:bCs/>
          <w:sz w:val="24"/>
          <w:szCs w:val="24"/>
        </w:rPr>
        <w:t xml:space="preserve"> tomēr pavisam dažas atsevišķas pozīcijas</w:t>
      </w:r>
      <w:r w:rsidRPr="00741579">
        <w:rPr>
          <w:rFonts w:ascii="Times New Roman" w:hAnsi="Times New Roman"/>
          <w:bCs/>
          <w:sz w:val="24"/>
          <w:szCs w:val="24"/>
        </w:rPr>
        <w:t xml:space="preserve">, piemēram, HES gadījumā – dabas resursu nodokli un ikgadējo uzraudzības nodevu. Nav saprotams, vai tiešām domāts, ka šajā jēdzienā un atbilstošajā niecīgajā </w:t>
      </w:r>
      <w:proofErr w:type="spellStart"/>
      <w:r w:rsidRPr="00741579">
        <w:rPr>
          <w:rFonts w:ascii="Times New Roman" w:hAnsi="Times New Roman"/>
          <w:bCs/>
          <w:sz w:val="24"/>
          <w:szCs w:val="24"/>
        </w:rPr>
        <w:t>līmeņatzīmē</w:t>
      </w:r>
      <w:proofErr w:type="spellEnd"/>
      <w:r w:rsidRPr="00741579">
        <w:rPr>
          <w:rFonts w:ascii="Times New Roman" w:hAnsi="Times New Roman"/>
          <w:bCs/>
          <w:sz w:val="24"/>
          <w:szCs w:val="24"/>
        </w:rPr>
        <w:t xml:space="preserve"> </w:t>
      </w:r>
      <w:r w:rsidR="00A7693A" w:rsidRPr="00741579">
        <w:rPr>
          <w:rFonts w:ascii="Times New Roman" w:hAnsi="Times New Roman"/>
          <w:bCs/>
          <w:sz w:val="24"/>
          <w:szCs w:val="24"/>
        </w:rPr>
        <w:t>j</w:t>
      </w:r>
      <w:r w:rsidR="00741579">
        <w:rPr>
          <w:rFonts w:ascii="Times New Roman" w:hAnsi="Times New Roman"/>
          <w:bCs/>
          <w:sz w:val="24"/>
          <w:szCs w:val="24"/>
        </w:rPr>
        <w:t>ā</w:t>
      </w:r>
      <w:r w:rsidR="00A7693A" w:rsidRPr="00741579">
        <w:rPr>
          <w:rFonts w:ascii="Times New Roman" w:hAnsi="Times New Roman"/>
          <w:bCs/>
          <w:sz w:val="24"/>
          <w:szCs w:val="24"/>
        </w:rPr>
        <w:t>ietilpina</w:t>
      </w:r>
      <w:r w:rsidRPr="00741579">
        <w:rPr>
          <w:rFonts w:ascii="Times New Roman" w:hAnsi="Times New Roman"/>
          <w:bCs/>
          <w:sz w:val="24"/>
          <w:szCs w:val="24"/>
        </w:rPr>
        <w:t xml:space="preserve"> visi </w:t>
      </w:r>
      <w:r w:rsidR="005B53A0" w:rsidRPr="00741579">
        <w:rPr>
          <w:rFonts w:ascii="Times New Roman" w:hAnsi="Times New Roman"/>
          <w:bCs/>
          <w:sz w:val="24"/>
          <w:szCs w:val="24"/>
        </w:rPr>
        <w:t xml:space="preserve">elektrostacijas </w:t>
      </w:r>
      <w:r w:rsidRPr="00741579">
        <w:rPr>
          <w:rFonts w:ascii="Times New Roman" w:hAnsi="Times New Roman"/>
          <w:bCs/>
          <w:sz w:val="24"/>
          <w:szCs w:val="24"/>
        </w:rPr>
        <w:t>izdevumi, tostarp</w:t>
      </w:r>
      <w:r w:rsidR="00880652">
        <w:rPr>
          <w:rFonts w:ascii="Times New Roman" w:hAnsi="Times New Roman"/>
          <w:bCs/>
          <w:sz w:val="24"/>
          <w:szCs w:val="24"/>
        </w:rPr>
        <w:t>, bet ne tikai</w:t>
      </w:r>
      <w:r w:rsidRPr="00741579">
        <w:rPr>
          <w:rFonts w:ascii="Times New Roman" w:hAnsi="Times New Roman"/>
          <w:bCs/>
          <w:sz w:val="24"/>
          <w:szCs w:val="24"/>
        </w:rPr>
        <w:t>:</w:t>
      </w:r>
    </w:p>
    <w:p w14:paraId="1121B3F3" w14:textId="77777777" w:rsidR="00880652" w:rsidRDefault="0040172B" w:rsidP="00DE1E4D">
      <w:pPr>
        <w:pStyle w:val="ListParagraph"/>
        <w:numPr>
          <w:ilvl w:val="0"/>
          <w:numId w:val="43"/>
        </w:numPr>
        <w:spacing w:after="120" w:line="240" w:lineRule="auto"/>
        <w:ind w:left="2268"/>
        <w:contextualSpacing w:val="0"/>
        <w:jc w:val="both"/>
        <w:rPr>
          <w:rFonts w:ascii="Times New Roman" w:hAnsi="Times New Roman"/>
          <w:bCs/>
          <w:sz w:val="24"/>
          <w:szCs w:val="24"/>
        </w:rPr>
      </w:pPr>
      <w:r w:rsidRPr="00741579">
        <w:rPr>
          <w:rFonts w:ascii="Times New Roman" w:hAnsi="Times New Roman"/>
          <w:bCs/>
          <w:sz w:val="24"/>
          <w:szCs w:val="24"/>
        </w:rPr>
        <w:t>darba alga un ar to saistītie nodokļi un sociālās iemaksas</w:t>
      </w:r>
      <w:r w:rsidR="00741579">
        <w:rPr>
          <w:rFonts w:ascii="Times New Roman" w:hAnsi="Times New Roman"/>
          <w:bCs/>
          <w:sz w:val="24"/>
          <w:szCs w:val="24"/>
        </w:rPr>
        <w:t>;</w:t>
      </w:r>
    </w:p>
    <w:p w14:paraId="2811EB8C" w14:textId="1F5B7D19" w:rsidR="00880652" w:rsidRDefault="0040172B" w:rsidP="00DE1E4D">
      <w:pPr>
        <w:pStyle w:val="ListParagraph"/>
        <w:numPr>
          <w:ilvl w:val="0"/>
          <w:numId w:val="43"/>
        </w:numPr>
        <w:spacing w:after="120" w:line="240" w:lineRule="auto"/>
        <w:ind w:left="2268"/>
        <w:contextualSpacing w:val="0"/>
        <w:jc w:val="both"/>
        <w:rPr>
          <w:rFonts w:ascii="Times New Roman" w:hAnsi="Times New Roman"/>
          <w:bCs/>
          <w:sz w:val="24"/>
          <w:szCs w:val="24"/>
        </w:rPr>
      </w:pPr>
      <w:r w:rsidRPr="00741579">
        <w:rPr>
          <w:rFonts w:ascii="Times New Roman" w:hAnsi="Times New Roman"/>
          <w:bCs/>
          <w:sz w:val="24"/>
          <w:szCs w:val="24"/>
        </w:rPr>
        <w:t>administratīvās izmaksas</w:t>
      </w:r>
      <w:r w:rsidR="005B53A0" w:rsidRPr="00741579">
        <w:rPr>
          <w:rFonts w:ascii="Times New Roman" w:hAnsi="Times New Roman"/>
          <w:bCs/>
          <w:sz w:val="24"/>
          <w:szCs w:val="24"/>
        </w:rPr>
        <w:t xml:space="preserve"> (</w:t>
      </w:r>
      <w:r w:rsidR="00880652">
        <w:rPr>
          <w:rFonts w:ascii="Times New Roman" w:hAnsi="Times New Roman"/>
          <w:bCs/>
          <w:sz w:val="24"/>
          <w:szCs w:val="24"/>
        </w:rPr>
        <w:t xml:space="preserve">biroja telpas, </w:t>
      </w:r>
      <w:r w:rsidR="005B53A0" w:rsidRPr="00741579">
        <w:rPr>
          <w:rFonts w:ascii="Times New Roman" w:hAnsi="Times New Roman"/>
          <w:bCs/>
          <w:sz w:val="24"/>
          <w:szCs w:val="24"/>
        </w:rPr>
        <w:t>sakaru un kancelejas izdevumi, u.c.);</w:t>
      </w:r>
    </w:p>
    <w:p w14:paraId="030F4B5B" w14:textId="77777777" w:rsidR="00880652" w:rsidRDefault="0040172B" w:rsidP="00DE1E4D">
      <w:pPr>
        <w:pStyle w:val="ListParagraph"/>
        <w:numPr>
          <w:ilvl w:val="0"/>
          <w:numId w:val="43"/>
        </w:numPr>
        <w:spacing w:after="120" w:line="240" w:lineRule="auto"/>
        <w:ind w:left="2268"/>
        <w:contextualSpacing w:val="0"/>
        <w:jc w:val="both"/>
        <w:rPr>
          <w:rFonts w:ascii="Times New Roman" w:hAnsi="Times New Roman"/>
          <w:bCs/>
          <w:sz w:val="24"/>
          <w:szCs w:val="24"/>
        </w:rPr>
      </w:pPr>
      <w:r w:rsidRPr="00741579">
        <w:rPr>
          <w:rFonts w:ascii="Times New Roman" w:hAnsi="Times New Roman"/>
          <w:bCs/>
          <w:sz w:val="24"/>
          <w:szCs w:val="24"/>
        </w:rPr>
        <w:t>transporta</w:t>
      </w:r>
      <w:r w:rsidR="00D2792E" w:rsidRPr="00741579">
        <w:rPr>
          <w:rFonts w:ascii="Times New Roman" w:hAnsi="Times New Roman"/>
          <w:bCs/>
          <w:sz w:val="24"/>
          <w:szCs w:val="24"/>
        </w:rPr>
        <w:t xml:space="preserve"> izmaksas;</w:t>
      </w:r>
    </w:p>
    <w:p w14:paraId="4A92B7F7" w14:textId="0D975E74" w:rsidR="00880652" w:rsidRDefault="00D2792E" w:rsidP="00DE1E4D">
      <w:pPr>
        <w:pStyle w:val="ListParagraph"/>
        <w:numPr>
          <w:ilvl w:val="0"/>
          <w:numId w:val="43"/>
        </w:numPr>
        <w:spacing w:after="120" w:line="240" w:lineRule="auto"/>
        <w:ind w:left="2268"/>
        <w:contextualSpacing w:val="0"/>
        <w:jc w:val="both"/>
        <w:rPr>
          <w:rFonts w:ascii="Times New Roman" w:hAnsi="Times New Roman"/>
          <w:bCs/>
          <w:sz w:val="24"/>
          <w:szCs w:val="24"/>
        </w:rPr>
      </w:pPr>
      <w:r w:rsidRPr="00741579">
        <w:rPr>
          <w:rFonts w:ascii="Times New Roman" w:hAnsi="Times New Roman"/>
          <w:bCs/>
          <w:sz w:val="24"/>
          <w:szCs w:val="24"/>
        </w:rPr>
        <w:t xml:space="preserve">nekustamā īpašuma nodoklis un, attiecīgā gadījumā, </w:t>
      </w:r>
      <w:r w:rsidR="0040172B" w:rsidRPr="00741579">
        <w:rPr>
          <w:rFonts w:ascii="Times New Roman" w:hAnsi="Times New Roman"/>
          <w:bCs/>
          <w:sz w:val="24"/>
          <w:szCs w:val="24"/>
        </w:rPr>
        <w:t xml:space="preserve">zemes </w:t>
      </w:r>
      <w:r w:rsidRPr="00741579">
        <w:rPr>
          <w:rFonts w:ascii="Times New Roman" w:hAnsi="Times New Roman"/>
          <w:bCs/>
          <w:sz w:val="24"/>
          <w:szCs w:val="24"/>
        </w:rPr>
        <w:t>nomas izmaksas;</w:t>
      </w:r>
    </w:p>
    <w:p w14:paraId="27F6240F" w14:textId="77777777" w:rsidR="00880652" w:rsidRDefault="0040172B" w:rsidP="00DE1E4D">
      <w:pPr>
        <w:pStyle w:val="ListParagraph"/>
        <w:numPr>
          <w:ilvl w:val="0"/>
          <w:numId w:val="43"/>
        </w:numPr>
        <w:spacing w:after="120" w:line="240" w:lineRule="auto"/>
        <w:ind w:left="2268"/>
        <w:contextualSpacing w:val="0"/>
        <w:jc w:val="both"/>
        <w:rPr>
          <w:rFonts w:ascii="Times New Roman" w:hAnsi="Times New Roman"/>
          <w:bCs/>
          <w:sz w:val="24"/>
          <w:szCs w:val="24"/>
        </w:rPr>
      </w:pPr>
      <w:r w:rsidRPr="00741579">
        <w:rPr>
          <w:rFonts w:ascii="Times New Roman" w:hAnsi="Times New Roman"/>
          <w:bCs/>
          <w:sz w:val="24"/>
          <w:szCs w:val="24"/>
        </w:rPr>
        <w:t xml:space="preserve">apdrošināšanas </w:t>
      </w:r>
      <w:r w:rsidR="00D2792E" w:rsidRPr="00741579">
        <w:rPr>
          <w:rFonts w:ascii="Times New Roman" w:hAnsi="Times New Roman"/>
          <w:bCs/>
          <w:sz w:val="24"/>
          <w:szCs w:val="24"/>
        </w:rPr>
        <w:t>izmaksas;</w:t>
      </w:r>
    </w:p>
    <w:p w14:paraId="25E8D452" w14:textId="77777777" w:rsidR="00880652" w:rsidRDefault="00D2792E" w:rsidP="00DE1E4D">
      <w:pPr>
        <w:pStyle w:val="ListParagraph"/>
        <w:numPr>
          <w:ilvl w:val="0"/>
          <w:numId w:val="43"/>
        </w:numPr>
        <w:spacing w:after="120" w:line="240" w:lineRule="auto"/>
        <w:ind w:left="2268"/>
        <w:contextualSpacing w:val="0"/>
        <w:jc w:val="both"/>
        <w:rPr>
          <w:rFonts w:ascii="Times New Roman" w:hAnsi="Times New Roman"/>
          <w:bCs/>
          <w:sz w:val="24"/>
          <w:szCs w:val="24"/>
        </w:rPr>
      </w:pPr>
      <w:r w:rsidRPr="00741579">
        <w:rPr>
          <w:rFonts w:ascii="Times New Roman" w:hAnsi="Times New Roman"/>
          <w:bCs/>
          <w:sz w:val="24"/>
          <w:szCs w:val="24"/>
        </w:rPr>
        <w:t>ikgadēj</w:t>
      </w:r>
      <w:r w:rsidR="00880652">
        <w:rPr>
          <w:rFonts w:ascii="Times New Roman" w:hAnsi="Times New Roman"/>
          <w:bCs/>
          <w:sz w:val="24"/>
          <w:szCs w:val="24"/>
        </w:rPr>
        <w:t>o</w:t>
      </w:r>
      <w:r w:rsidRPr="00741579">
        <w:rPr>
          <w:rFonts w:ascii="Times New Roman" w:hAnsi="Times New Roman"/>
          <w:bCs/>
          <w:sz w:val="24"/>
          <w:szCs w:val="24"/>
        </w:rPr>
        <w:t xml:space="preserve"> </w:t>
      </w:r>
      <w:r w:rsidR="00880652">
        <w:rPr>
          <w:rFonts w:ascii="Times New Roman" w:hAnsi="Times New Roman"/>
          <w:bCs/>
          <w:sz w:val="24"/>
          <w:szCs w:val="24"/>
        </w:rPr>
        <w:t xml:space="preserve">iekārtu </w:t>
      </w:r>
      <w:r w:rsidRPr="00741579">
        <w:rPr>
          <w:rFonts w:ascii="Times New Roman" w:hAnsi="Times New Roman"/>
          <w:bCs/>
          <w:sz w:val="24"/>
          <w:szCs w:val="24"/>
        </w:rPr>
        <w:t>apkop</w:t>
      </w:r>
      <w:r w:rsidR="00880652">
        <w:rPr>
          <w:rFonts w:ascii="Times New Roman" w:hAnsi="Times New Roman"/>
          <w:bCs/>
          <w:sz w:val="24"/>
          <w:szCs w:val="24"/>
        </w:rPr>
        <w:t>ju</w:t>
      </w:r>
      <w:r w:rsidRPr="00741579">
        <w:rPr>
          <w:rFonts w:ascii="Times New Roman" w:hAnsi="Times New Roman"/>
          <w:bCs/>
          <w:sz w:val="24"/>
          <w:szCs w:val="24"/>
        </w:rPr>
        <w:t xml:space="preserve"> </w:t>
      </w:r>
      <w:r w:rsidR="00880652">
        <w:rPr>
          <w:rFonts w:ascii="Times New Roman" w:hAnsi="Times New Roman"/>
          <w:bCs/>
          <w:sz w:val="24"/>
          <w:szCs w:val="24"/>
        </w:rPr>
        <w:t xml:space="preserve">un būvju uzturēšanas, kā arī tām nepieciešamo materiālu </w:t>
      </w:r>
      <w:r w:rsidRPr="00741579">
        <w:rPr>
          <w:rFonts w:ascii="Times New Roman" w:hAnsi="Times New Roman"/>
          <w:bCs/>
          <w:sz w:val="24"/>
          <w:szCs w:val="24"/>
        </w:rPr>
        <w:t>izmaksas;</w:t>
      </w:r>
    </w:p>
    <w:p w14:paraId="76FD7274" w14:textId="77777777" w:rsidR="00880652" w:rsidRDefault="00741579" w:rsidP="00DE1E4D">
      <w:pPr>
        <w:pStyle w:val="ListParagraph"/>
        <w:numPr>
          <w:ilvl w:val="0"/>
          <w:numId w:val="43"/>
        </w:numPr>
        <w:spacing w:after="120" w:line="240" w:lineRule="auto"/>
        <w:ind w:left="2268"/>
        <w:contextualSpacing w:val="0"/>
        <w:jc w:val="both"/>
        <w:rPr>
          <w:rFonts w:ascii="Times New Roman" w:hAnsi="Times New Roman"/>
          <w:bCs/>
          <w:sz w:val="24"/>
          <w:szCs w:val="24"/>
        </w:rPr>
      </w:pPr>
      <w:r>
        <w:rPr>
          <w:rFonts w:ascii="Times New Roman" w:hAnsi="Times New Roman"/>
          <w:bCs/>
          <w:sz w:val="24"/>
          <w:szCs w:val="24"/>
        </w:rPr>
        <w:t>izdevumi par pirkto elektrību (t.sk. </w:t>
      </w:r>
      <w:proofErr w:type="spellStart"/>
      <w:r>
        <w:rPr>
          <w:rFonts w:ascii="Times New Roman" w:hAnsi="Times New Roman"/>
          <w:bCs/>
          <w:sz w:val="24"/>
          <w:szCs w:val="24"/>
        </w:rPr>
        <w:t>pieslēguma</w:t>
      </w:r>
      <w:proofErr w:type="spellEnd"/>
      <w:r>
        <w:rPr>
          <w:rFonts w:ascii="Times New Roman" w:hAnsi="Times New Roman"/>
          <w:bCs/>
          <w:sz w:val="24"/>
          <w:szCs w:val="24"/>
        </w:rPr>
        <w:t xml:space="preserve"> maksa</w:t>
      </w:r>
      <w:r w:rsidR="00880652">
        <w:rPr>
          <w:rFonts w:ascii="Times New Roman" w:hAnsi="Times New Roman"/>
          <w:bCs/>
          <w:sz w:val="24"/>
          <w:szCs w:val="24"/>
        </w:rPr>
        <w:t xml:space="preserve"> gan kā patērētājam, gan – no 2021. gada janvāra – arī kā ražotājam</w:t>
      </w:r>
      <w:r>
        <w:rPr>
          <w:rFonts w:ascii="Times New Roman" w:hAnsi="Times New Roman"/>
          <w:bCs/>
          <w:sz w:val="24"/>
          <w:szCs w:val="24"/>
        </w:rPr>
        <w:t>), apkuri, telpu un teritorijas apsardzi, atkritumu izvešanu</w:t>
      </w:r>
      <w:r w:rsidR="00880652">
        <w:rPr>
          <w:rFonts w:ascii="Times New Roman" w:hAnsi="Times New Roman"/>
          <w:bCs/>
          <w:sz w:val="24"/>
          <w:szCs w:val="24"/>
        </w:rPr>
        <w:t>, tehnikas nomu</w:t>
      </w:r>
      <w:r>
        <w:rPr>
          <w:rFonts w:ascii="Times New Roman" w:hAnsi="Times New Roman"/>
          <w:bCs/>
          <w:sz w:val="24"/>
          <w:szCs w:val="24"/>
        </w:rPr>
        <w:t>;</w:t>
      </w:r>
    </w:p>
    <w:p w14:paraId="5191AC09" w14:textId="6D68B2F9" w:rsidR="00880652" w:rsidRDefault="00D2792E" w:rsidP="00DE1E4D">
      <w:pPr>
        <w:pStyle w:val="ListParagraph"/>
        <w:numPr>
          <w:ilvl w:val="0"/>
          <w:numId w:val="43"/>
        </w:numPr>
        <w:spacing w:after="120" w:line="240" w:lineRule="auto"/>
        <w:ind w:left="2268"/>
        <w:contextualSpacing w:val="0"/>
        <w:jc w:val="both"/>
        <w:rPr>
          <w:rFonts w:ascii="Times New Roman" w:hAnsi="Times New Roman"/>
          <w:bCs/>
          <w:sz w:val="24"/>
          <w:szCs w:val="24"/>
        </w:rPr>
      </w:pPr>
      <w:r w:rsidRPr="00741579">
        <w:rPr>
          <w:rFonts w:ascii="Times New Roman" w:hAnsi="Times New Roman"/>
          <w:bCs/>
          <w:sz w:val="24"/>
          <w:szCs w:val="24"/>
        </w:rPr>
        <w:t>inflācija;</w:t>
      </w:r>
      <w:r w:rsidR="00880652">
        <w:rPr>
          <w:rFonts w:ascii="Times New Roman" w:hAnsi="Times New Roman"/>
          <w:bCs/>
          <w:sz w:val="24"/>
          <w:szCs w:val="24"/>
        </w:rPr>
        <w:t xml:space="preserve"> u.c.</w:t>
      </w:r>
    </w:p>
    <w:p w14:paraId="5668445E" w14:textId="6F35A17B" w:rsidR="005E52D4" w:rsidRDefault="00DE1E4D" w:rsidP="005E52D4">
      <w:pPr>
        <w:pStyle w:val="ListParagraph"/>
        <w:numPr>
          <w:ilvl w:val="0"/>
          <w:numId w:val="34"/>
        </w:numPr>
        <w:spacing w:after="120" w:line="240" w:lineRule="auto"/>
        <w:contextualSpacing w:val="0"/>
        <w:jc w:val="both"/>
        <w:rPr>
          <w:rFonts w:ascii="Times New Roman" w:hAnsi="Times New Roman"/>
          <w:bCs/>
          <w:sz w:val="24"/>
          <w:szCs w:val="24"/>
        </w:rPr>
      </w:pPr>
      <w:r>
        <w:rPr>
          <w:rFonts w:ascii="Times New Roman" w:hAnsi="Times New Roman"/>
          <w:bCs/>
          <w:sz w:val="24"/>
          <w:szCs w:val="24"/>
        </w:rPr>
        <w:t>v</w:t>
      </w:r>
      <w:r w:rsidR="00681E8B">
        <w:rPr>
          <w:rFonts w:ascii="Times New Roman" w:hAnsi="Times New Roman"/>
          <w:bCs/>
          <w:sz w:val="24"/>
          <w:szCs w:val="24"/>
        </w:rPr>
        <w:t xml:space="preserve">ēršam uzmanību arī uz to, ka nav skaidra </w:t>
      </w:r>
      <w:r w:rsidR="00C15169">
        <w:rPr>
          <w:rFonts w:ascii="Times New Roman" w:hAnsi="Times New Roman"/>
          <w:bCs/>
          <w:sz w:val="24"/>
          <w:szCs w:val="24"/>
        </w:rPr>
        <w:t xml:space="preserve">ekspluatācijas izmaksu </w:t>
      </w:r>
      <w:r w:rsidR="00741579" w:rsidRPr="00741579">
        <w:rPr>
          <w:rFonts w:ascii="Times New Roman" w:hAnsi="Times New Roman"/>
          <w:bCs/>
          <w:sz w:val="24"/>
          <w:szCs w:val="24"/>
          <w:u w:val="single"/>
        </w:rPr>
        <w:t xml:space="preserve">skaitliskās </w:t>
      </w:r>
      <w:r w:rsidR="00C15169" w:rsidRPr="00741579">
        <w:rPr>
          <w:rFonts w:ascii="Times New Roman" w:hAnsi="Times New Roman"/>
          <w:bCs/>
          <w:sz w:val="24"/>
          <w:szCs w:val="24"/>
          <w:u w:val="single"/>
        </w:rPr>
        <w:t>vērtības</w:t>
      </w:r>
      <w:r w:rsidR="00C15169">
        <w:rPr>
          <w:rFonts w:ascii="Times New Roman" w:hAnsi="Times New Roman"/>
          <w:bCs/>
          <w:sz w:val="24"/>
          <w:szCs w:val="24"/>
        </w:rPr>
        <w:t xml:space="preserve">, kas ievietojama </w:t>
      </w:r>
      <w:r w:rsidR="00681E8B">
        <w:rPr>
          <w:rFonts w:ascii="Times New Roman" w:hAnsi="Times New Roman"/>
          <w:bCs/>
          <w:sz w:val="24"/>
          <w:szCs w:val="24"/>
        </w:rPr>
        <w:t>IRR aprēķin</w:t>
      </w:r>
      <w:r w:rsidR="00C15169">
        <w:rPr>
          <w:rFonts w:ascii="Times New Roman" w:hAnsi="Times New Roman"/>
          <w:bCs/>
          <w:sz w:val="24"/>
          <w:szCs w:val="24"/>
        </w:rPr>
        <w:t>ā,</w:t>
      </w:r>
      <w:r w:rsidR="00681E8B">
        <w:rPr>
          <w:rFonts w:ascii="Times New Roman" w:hAnsi="Times New Roman"/>
          <w:bCs/>
          <w:sz w:val="24"/>
          <w:szCs w:val="24"/>
        </w:rPr>
        <w:t xml:space="preserve"> </w:t>
      </w:r>
      <w:r w:rsidR="00C15169">
        <w:rPr>
          <w:rFonts w:ascii="Times New Roman" w:hAnsi="Times New Roman"/>
          <w:bCs/>
          <w:sz w:val="24"/>
          <w:szCs w:val="24"/>
        </w:rPr>
        <w:t>noteikšana</w:t>
      </w:r>
      <w:r w:rsidR="00681E8B">
        <w:rPr>
          <w:rFonts w:ascii="Times New Roman" w:hAnsi="Times New Roman"/>
          <w:bCs/>
          <w:sz w:val="24"/>
          <w:szCs w:val="24"/>
        </w:rPr>
        <w:t xml:space="preserve"> gadījumā, ja </w:t>
      </w:r>
      <w:r w:rsidR="00C15169">
        <w:rPr>
          <w:rFonts w:ascii="Times New Roman" w:hAnsi="Times New Roman"/>
          <w:bCs/>
          <w:sz w:val="24"/>
          <w:szCs w:val="24"/>
        </w:rPr>
        <w:t>AER ražotājam vispār nav iespējams iesniegt</w:t>
      </w:r>
      <w:r w:rsidR="00880652">
        <w:rPr>
          <w:rFonts w:ascii="Times New Roman" w:hAnsi="Times New Roman"/>
          <w:bCs/>
          <w:sz w:val="24"/>
          <w:szCs w:val="24"/>
        </w:rPr>
        <w:t> </w:t>
      </w:r>
      <w:r w:rsidR="00C15169">
        <w:rPr>
          <w:rFonts w:ascii="Times New Roman" w:hAnsi="Times New Roman"/>
          <w:bCs/>
          <w:sz w:val="24"/>
          <w:szCs w:val="24"/>
        </w:rPr>
        <w:t>/</w:t>
      </w:r>
      <w:r w:rsidR="00880652">
        <w:rPr>
          <w:rFonts w:ascii="Times New Roman" w:hAnsi="Times New Roman"/>
          <w:bCs/>
          <w:sz w:val="24"/>
          <w:szCs w:val="24"/>
        </w:rPr>
        <w:t> </w:t>
      </w:r>
      <w:r w:rsidR="00C15169">
        <w:rPr>
          <w:rFonts w:ascii="Times New Roman" w:hAnsi="Times New Roman"/>
          <w:bCs/>
          <w:sz w:val="24"/>
          <w:szCs w:val="24"/>
        </w:rPr>
        <w:t xml:space="preserve">ir iespējams iesniegt </w:t>
      </w:r>
      <w:r w:rsidR="00880652">
        <w:rPr>
          <w:rFonts w:ascii="Times New Roman" w:hAnsi="Times New Roman"/>
          <w:bCs/>
          <w:sz w:val="24"/>
          <w:szCs w:val="24"/>
        </w:rPr>
        <w:t xml:space="preserve">daļēji </w:t>
      </w:r>
      <w:r w:rsidR="00C15169">
        <w:rPr>
          <w:rFonts w:ascii="Times New Roman" w:hAnsi="Times New Roman"/>
          <w:bCs/>
          <w:sz w:val="24"/>
          <w:szCs w:val="24"/>
        </w:rPr>
        <w:t>pamatojošo dokumentāciju par elektrostacijas sākotnējām (un arī papildu) investīcijām? Jo arī dokumentācija par šīm investīcijām pamatoti var nebūt AER ražotāja rīcībā pēc 20 un vairāk gadu laikposma</w:t>
      </w:r>
      <w:r w:rsidR="005E52D4">
        <w:rPr>
          <w:rFonts w:ascii="Times New Roman" w:hAnsi="Times New Roman"/>
          <w:bCs/>
          <w:sz w:val="24"/>
          <w:szCs w:val="24"/>
        </w:rPr>
        <w:t>;</w:t>
      </w:r>
    </w:p>
    <w:p w14:paraId="169F76F2" w14:textId="78EAD2E3" w:rsidR="005E52D4" w:rsidRPr="005E52D4" w:rsidRDefault="00DE1E4D" w:rsidP="005E52D4">
      <w:pPr>
        <w:pStyle w:val="ListParagraph"/>
        <w:numPr>
          <w:ilvl w:val="0"/>
          <w:numId w:val="34"/>
        </w:numPr>
        <w:spacing w:after="120" w:line="240" w:lineRule="auto"/>
        <w:contextualSpacing w:val="0"/>
        <w:jc w:val="both"/>
        <w:rPr>
          <w:rFonts w:ascii="Times New Roman" w:hAnsi="Times New Roman"/>
          <w:bCs/>
          <w:i/>
          <w:iCs/>
          <w:sz w:val="24"/>
          <w:szCs w:val="24"/>
        </w:rPr>
      </w:pPr>
      <w:r>
        <w:rPr>
          <w:rFonts w:ascii="Times New Roman" w:hAnsi="Times New Roman"/>
          <w:b/>
          <w:i/>
          <w:iCs/>
          <w:sz w:val="24"/>
          <w:szCs w:val="24"/>
        </w:rPr>
        <w:t>k</w:t>
      </w:r>
      <w:r w:rsidR="005E52D4" w:rsidRPr="005E52D4">
        <w:rPr>
          <w:rFonts w:ascii="Times New Roman" w:hAnsi="Times New Roman"/>
          <w:b/>
          <w:i/>
          <w:iCs/>
          <w:sz w:val="24"/>
          <w:szCs w:val="24"/>
        </w:rPr>
        <w:t xml:space="preserve">ā šāda </w:t>
      </w:r>
      <w:r w:rsidR="005E52D4" w:rsidRPr="005E52D4">
        <w:rPr>
          <w:rFonts w:ascii="Times New Roman" w:hAnsi="Times New Roman"/>
          <w:b/>
          <w:bCs/>
          <w:i/>
          <w:iCs/>
          <w:sz w:val="24"/>
          <w:szCs w:val="24"/>
        </w:rPr>
        <w:t xml:space="preserve">ekspluatācijas izmaksu </w:t>
      </w:r>
      <w:r w:rsidR="005E52D4" w:rsidRPr="005E52D4">
        <w:rPr>
          <w:rFonts w:ascii="Times New Roman" w:hAnsi="Times New Roman"/>
          <w:b/>
          <w:i/>
          <w:iCs/>
          <w:sz w:val="24"/>
          <w:szCs w:val="24"/>
        </w:rPr>
        <w:t>skaitliskā vērtība tādā gadījumā var tikt noteikta</w:t>
      </w:r>
      <w:r w:rsidR="00C15169" w:rsidRPr="005E52D4">
        <w:rPr>
          <w:rFonts w:ascii="Times New Roman" w:hAnsi="Times New Roman"/>
          <w:b/>
          <w:i/>
          <w:iCs/>
          <w:sz w:val="24"/>
          <w:szCs w:val="24"/>
        </w:rPr>
        <w:t>?</w:t>
      </w:r>
    </w:p>
    <w:p w14:paraId="6FE79208" w14:textId="6D64B418" w:rsidR="0029643E" w:rsidRPr="005E52D4" w:rsidRDefault="00DE1E4D" w:rsidP="005E52D4">
      <w:pPr>
        <w:pStyle w:val="ListParagraph"/>
        <w:numPr>
          <w:ilvl w:val="0"/>
          <w:numId w:val="34"/>
        </w:numPr>
        <w:spacing w:after="120" w:line="240" w:lineRule="auto"/>
        <w:contextualSpacing w:val="0"/>
        <w:jc w:val="both"/>
        <w:rPr>
          <w:rFonts w:ascii="Times New Roman" w:hAnsi="Times New Roman"/>
          <w:bCs/>
          <w:i/>
          <w:iCs/>
          <w:sz w:val="24"/>
          <w:szCs w:val="24"/>
        </w:rPr>
      </w:pPr>
      <w:r>
        <w:rPr>
          <w:rFonts w:ascii="Times New Roman" w:hAnsi="Times New Roman"/>
          <w:b/>
          <w:i/>
          <w:iCs/>
          <w:sz w:val="24"/>
          <w:szCs w:val="24"/>
        </w:rPr>
        <w:t>i</w:t>
      </w:r>
      <w:r w:rsidR="0029643E" w:rsidRPr="005E52D4">
        <w:rPr>
          <w:rFonts w:ascii="Times New Roman" w:hAnsi="Times New Roman"/>
          <w:b/>
          <w:i/>
          <w:iCs/>
          <w:sz w:val="24"/>
          <w:szCs w:val="24"/>
        </w:rPr>
        <w:t xml:space="preserve">esakām Noteikumu projektā skaidri paredzēt, ka vismaz datu par sākotnējām investīcijām neesamības gadījumā tiek piemērota investīciju </w:t>
      </w:r>
      <w:proofErr w:type="spellStart"/>
      <w:r w:rsidR="0029643E" w:rsidRPr="005E52D4">
        <w:rPr>
          <w:rFonts w:ascii="Times New Roman" w:hAnsi="Times New Roman"/>
          <w:b/>
          <w:i/>
          <w:iCs/>
          <w:sz w:val="24"/>
          <w:szCs w:val="24"/>
        </w:rPr>
        <w:t>līmeņatzīme</w:t>
      </w:r>
      <w:proofErr w:type="spellEnd"/>
      <w:r w:rsidR="0029643E" w:rsidRPr="005E52D4">
        <w:rPr>
          <w:rFonts w:ascii="Times New Roman" w:hAnsi="Times New Roman"/>
          <w:b/>
          <w:i/>
          <w:iCs/>
          <w:sz w:val="24"/>
          <w:szCs w:val="24"/>
        </w:rPr>
        <w:t xml:space="preserve"> no Noteikumu projekta pielikuma</w:t>
      </w:r>
      <w:r w:rsidR="005E5455" w:rsidRPr="005E52D4">
        <w:rPr>
          <w:rFonts w:ascii="Times New Roman" w:hAnsi="Times New Roman"/>
          <w:b/>
          <w:i/>
          <w:iCs/>
          <w:sz w:val="24"/>
          <w:szCs w:val="24"/>
        </w:rPr>
        <w:t xml:space="preserve"> </w:t>
      </w:r>
      <w:r w:rsidR="005E5455" w:rsidRPr="005E52D4">
        <w:rPr>
          <w:rFonts w:ascii="Times New Roman" w:hAnsi="Times New Roman"/>
          <w:b/>
          <w:i/>
          <w:iCs/>
          <w:sz w:val="24"/>
          <w:szCs w:val="24"/>
          <w:u w:val="single"/>
        </w:rPr>
        <w:t xml:space="preserve">(šādu </w:t>
      </w:r>
      <w:proofErr w:type="spellStart"/>
      <w:r w:rsidR="005E5455" w:rsidRPr="005E52D4">
        <w:rPr>
          <w:rFonts w:ascii="Times New Roman" w:hAnsi="Times New Roman"/>
          <w:b/>
          <w:i/>
          <w:iCs/>
          <w:sz w:val="24"/>
          <w:szCs w:val="24"/>
          <w:u w:val="single"/>
        </w:rPr>
        <w:t>līmeņatzīmi</w:t>
      </w:r>
      <w:proofErr w:type="spellEnd"/>
      <w:r w:rsidR="005E5455" w:rsidRPr="005E52D4">
        <w:rPr>
          <w:rFonts w:ascii="Times New Roman" w:hAnsi="Times New Roman"/>
          <w:b/>
          <w:i/>
          <w:iCs/>
          <w:sz w:val="24"/>
          <w:szCs w:val="24"/>
          <w:u w:val="single"/>
        </w:rPr>
        <w:t xml:space="preserve"> šajā pielikumā iekļaujot</w:t>
      </w:r>
      <w:r w:rsidR="005E52D4" w:rsidRPr="005E52D4">
        <w:rPr>
          <w:rFonts w:ascii="Times New Roman" w:hAnsi="Times New Roman"/>
          <w:b/>
          <w:i/>
          <w:iCs/>
          <w:sz w:val="24"/>
          <w:szCs w:val="24"/>
          <w:u w:val="single"/>
        </w:rPr>
        <w:t xml:space="preserve"> (atjaunojot)</w:t>
      </w:r>
      <w:r w:rsidR="005E5455" w:rsidRPr="005E52D4">
        <w:rPr>
          <w:rFonts w:ascii="Times New Roman" w:hAnsi="Times New Roman"/>
          <w:b/>
          <w:i/>
          <w:iCs/>
          <w:sz w:val="24"/>
          <w:szCs w:val="24"/>
        </w:rPr>
        <w:t>)</w:t>
      </w:r>
      <w:r w:rsidR="0029643E" w:rsidRPr="005E52D4">
        <w:rPr>
          <w:rFonts w:ascii="Times New Roman" w:hAnsi="Times New Roman"/>
          <w:b/>
          <w:i/>
          <w:iCs/>
          <w:sz w:val="24"/>
          <w:szCs w:val="24"/>
        </w:rPr>
        <w:t xml:space="preserve">. </w:t>
      </w:r>
    </w:p>
    <w:p w14:paraId="05389820" w14:textId="476649FB" w:rsidR="00D2792E" w:rsidRPr="0029643E" w:rsidRDefault="00D2792E" w:rsidP="0029643E">
      <w:pPr>
        <w:pStyle w:val="ListParagraph"/>
        <w:numPr>
          <w:ilvl w:val="0"/>
          <w:numId w:val="30"/>
        </w:numPr>
        <w:spacing w:after="120" w:line="240" w:lineRule="auto"/>
        <w:contextualSpacing w:val="0"/>
        <w:jc w:val="both"/>
        <w:rPr>
          <w:rFonts w:ascii="Times New Roman" w:hAnsi="Times New Roman"/>
          <w:bCs/>
          <w:sz w:val="24"/>
          <w:szCs w:val="24"/>
        </w:rPr>
      </w:pPr>
      <w:r>
        <w:rPr>
          <w:rFonts w:ascii="Times New Roman" w:hAnsi="Times New Roman"/>
          <w:bCs/>
          <w:sz w:val="24"/>
          <w:szCs w:val="24"/>
        </w:rPr>
        <w:lastRenderedPageBreak/>
        <w:t>Noteikumu projekta 59.</w:t>
      </w:r>
      <w:r w:rsidRPr="00D2792E">
        <w:rPr>
          <w:rFonts w:ascii="Times New Roman" w:hAnsi="Times New Roman"/>
          <w:bCs/>
          <w:sz w:val="24"/>
          <w:szCs w:val="24"/>
          <w:vertAlign w:val="superscript"/>
        </w:rPr>
        <w:t>8</w:t>
      </w:r>
      <w:r>
        <w:rPr>
          <w:rFonts w:ascii="Times New Roman" w:hAnsi="Times New Roman"/>
          <w:bCs/>
          <w:sz w:val="24"/>
          <w:szCs w:val="24"/>
        </w:rPr>
        <w:t xml:space="preserve"> 4 punktā paredzēts, ka IRR </w:t>
      </w:r>
      <w:r w:rsidRPr="00873375">
        <w:rPr>
          <w:rFonts w:ascii="Times New Roman" w:eastAsia="Times New Roman" w:hAnsi="Times New Roman"/>
          <w:sz w:val="24"/>
          <w:szCs w:val="24"/>
          <w:lang w:eastAsia="lv-LV"/>
        </w:rPr>
        <w:t>aprēķinā iekļauj tikai tās elektrostacijā veiktās faktiskās papildu investīcijas, kas veiktas, lai nodrošinātu elektrostacijas tehnoloģiskās funkcijas vai palielinātu elektrostacijas elektrisko jaudu</w:t>
      </w:r>
      <w:r w:rsidR="00DE1E4D">
        <w:rPr>
          <w:rFonts w:ascii="Times New Roman" w:eastAsia="Times New Roman" w:hAnsi="Times New Roman"/>
          <w:sz w:val="24"/>
          <w:szCs w:val="24"/>
          <w:lang w:eastAsia="lv-LV"/>
        </w:rPr>
        <w:t>:</w:t>
      </w:r>
    </w:p>
    <w:p w14:paraId="4C17069A" w14:textId="3160F907" w:rsidR="008C5187" w:rsidRPr="00895FD8" w:rsidRDefault="008C5187" w:rsidP="00D2792E">
      <w:pPr>
        <w:pStyle w:val="ListParagraph"/>
        <w:numPr>
          <w:ilvl w:val="0"/>
          <w:numId w:val="34"/>
        </w:numPr>
        <w:spacing w:after="120" w:line="240" w:lineRule="auto"/>
        <w:contextualSpacing w:val="0"/>
        <w:jc w:val="both"/>
        <w:rPr>
          <w:rFonts w:ascii="Times New Roman" w:hAnsi="Times New Roman"/>
          <w:bCs/>
          <w:sz w:val="24"/>
          <w:szCs w:val="24"/>
        </w:rPr>
      </w:pPr>
      <w:r w:rsidRPr="00895FD8">
        <w:rPr>
          <w:rFonts w:ascii="Times New Roman" w:hAnsi="Times New Roman"/>
          <w:bCs/>
          <w:sz w:val="24"/>
          <w:szCs w:val="24"/>
        </w:rPr>
        <w:t xml:space="preserve">lūdzam skaidrot, kas domāts ar </w:t>
      </w:r>
      <w:r w:rsidR="0029643E" w:rsidRPr="00895FD8">
        <w:rPr>
          <w:rFonts w:ascii="Times New Roman" w:hAnsi="Times New Roman"/>
          <w:bCs/>
          <w:sz w:val="24"/>
          <w:szCs w:val="24"/>
        </w:rPr>
        <w:t>“tehnoloģiskās funkcijas” un novērst iespējamos pārpratumus, ka te ir domāti tikai ieguldījumi iekārtās</w:t>
      </w:r>
      <w:r w:rsidR="005E52D4" w:rsidRPr="00895FD8">
        <w:rPr>
          <w:rFonts w:ascii="Times New Roman" w:hAnsi="Times New Roman"/>
          <w:bCs/>
          <w:sz w:val="24"/>
          <w:szCs w:val="24"/>
        </w:rPr>
        <w:t>, jo arī ieguldījumi būvēs ir neatņemama AER elektrostaciju investīciju sastāvdaļa (kas nereti veido lielāko daļu no kopējām investīcijām)</w:t>
      </w:r>
    </w:p>
    <w:p w14:paraId="703E5B4E" w14:textId="37613384" w:rsidR="005E52D4" w:rsidRPr="00895FD8" w:rsidRDefault="005E52D4" w:rsidP="00D2792E">
      <w:pPr>
        <w:pStyle w:val="ListParagraph"/>
        <w:numPr>
          <w:ilvl w:val="0"/>
          <w:numId w:val="34"/>
        </w:numPr>
        <w:spacing w:after="120" w:line="240" w:lineRule="auto"/>
        <w:contextualSpacing w:val="0"/>
        <w:jc w:val="both"/>
        <w:rPr>
          <w:rFonts w:ascii="Times New Roman" w:hAnsi="Times New Roman"/>
          <w:b/>
          <w:i/>
          <w:iCs/>
          <w:sz w:val="24"/>
          <w:szCs w:val="24"/>
        </w:rPr>
      </w:pPr>
      <w:r w:rsidRPr="00895FD8">
        <w:rPr>
          <w:rFonts w:ascii="Times New Roman" w:hAnsi="Times New Roman"/>
          <w:b/>
          <w:i/>
          <w:iCs/>
          <w:sz w:val="24"/>
          <w:szCs w:val="24"/>
        </w:rPr>
        <w:t>aicinām izmantot formulējumu “</w:t>
      </w:r>
      <w:r w:rsidRPr="00895FD8">
        <w:rPr>
          <w:rFonts w:ascii="Times New Roman" w:eastAsia="Times New Roman" w:hAnsi="Times New Roman"/>
          <w:b/>
          <w:i/>
          <w:iCs/>
          <w:sz w:val="24"/>
          <w:szCs w:val="24"/>
          <w:lang w:eastAsia="lv-LV"/>
        </w:rPr>
        <w:t xml:space="preserve">investīcijas, kas veiktas </w:t>
      </w:r>
      <w:r w:rsidRPr="00895FD8">
        <w:rPr>
          <w:rFonts w:ascii="Times New Roman" w:eastAsia="Times New Roman" w:hAnsi="Times New Roman"/>
          <w:b/>
          <w:i/>
          <w:iCs/>
          <w:sz w:val="24"/>
          <w:szCs w:val="24"/>
          <w:u w:val="single"/>
          <w:lang w:eastAsia="lv-LV"/>
        </w:rPr>
        <w:t>elektrostacijas iekārtās un būvēs</w:t>
      </w:r>
      <w:r w:rsidRPr="00895FD8">
        <w:rPr>
          <w:rFonts w:ascii="Times New Roman" w:eastAsia="Times New Roman" w:hAnsi="Times New Roman"/>
          <w:b/>
          <w:i/>
          <w:iCs/>
          <w:sz w:val="24"/>
          <w:szCs w:val="24"/>
          <w:lang w:eastAsia="lv-LV"/>
        </w:rPr>
        <w:t>, lai nodrošinātu elektrostacijas tehnoloģiskās funkcijas vai palielinātu elektrostacijas elektrisko jaudu</w:t>
      </w:r>
      <w:r w:rsidRPr="00895FD8">
        <w:rPr>
          <w:rFonts w:ascii="Times New Roman" w:hAnsi="Times New Roman"/>
          <w:b/>
          <w:i/>
          <w:iCs/>
          <w:sz w:val="24"/>
          <w:szCs w:val="24"/>
        </w:rPr>
        <w:t>”.</w:t>
      </w:r>
    </w:p>
    <w:p w14:paraId="6B55DA45" w14:textId="05C27287" w:rsidR="00EA5460" w:rsidRPr="008C5187" w:rsidRDefault="008C5187" w:rsidP="0019154B">
      <w:pPr>
        <w:pStyle w:val="ListParagraph"/>
        <w:numPr>
          <w:ilvl w:val="0"/>
          <w:numId w:val="30"/>
        </w:numPr>
        <w:spacing w:after="120" w:line="240" w:lineRule="auto"/>
        <w:contextualSpacing w:val="0"/>
        <w:jc w:val="both"/>
        <w:rPr>
          <w:rFonts w:ascii="Times New Roman" w:hAnsi="Times New Roman"/>
          <w:bCs/>
          <w:sz w:val="24"/>
          <w:szCs w:val="24"/>
        </w:rPr>
      </w:pPr>
      <w:r>
        <w:rPr>
          <w:rFonts w:ascii="Times New Roman" w:hAnsi="Times New Roman"/>
          <w:bCs/>
          <w:sz w:val="24"/>
          <w:szCs w:val="24"/>
        </w:rPr>
        <w:t xml:space="preserve">Noteikumu projekta 76. punkts paredz, ka </w:t>
      </w:r>
      <w:r w:rsidRPr="008C5187">
        <w:rPr>
          <w:rFonts w:ascii="Times New Roman" w:hAnsi="Times New Roman"/>
          <w:bCs/>
          <w:sz w:val="24"/>
          <w:szCs w:val="24"/>
        </w:rPr>
        <w:t xml:space="preserve">divu mēnešu laikā pēc šo noteikumu spēkā stāšanās dienas </w:t>
      </w:r>
      <w:r>
        <w:rPr>
          <w:rFonts w:ascii="Times New Roman" w:hAnsi="Times New Roman"/>
          <w:bCs/>
          <w:sz w:val="24"/>
          <w:szCs w:val="24"/>
        </w:rPr>
        <w:t xml:space="preserve">AER ražotājs </w:t>
      </w:r>
      <w:r w:rsidRPr="008C5187">
        <w:rPr>
          <w:rFonts w:ascii="Times New Roman" w:hAnsi="Times New Roman"/>
          <w:bCs/>
          <w:sz w:val="24"/>
          <w:szCs w:val="24"/>
        </w:rPr>
        <w:t xml:space="preserve">iesniedz </w:t>
      </w:r>
      <w:r>
        <w:rPr>
          <w:rFonts w:ascii="Times New Roman" w:hAnsi="Times New Roman"/>
          <w:bCs/>
          <w:sz w:val="24"/>
          <w:szCs w:val="24"/>
        </w:rPr>
        <w:t xml:space="preserve">BVKB faktiskos datus par visām </w:t>
      </w:r>
      <w:r w:rsidR="00741579">
        <w:rPr>
          <w:rFonts w:ascii="Times New Roman" w:hAnsi="Times New Roman"/>
          <w:bCs/>
          <w:sz w:val="24"/>
          <w:szCs w:val="24"/>
        </w:rPr>
        <w:t xml:space="preserve">jebkad veiktajām </w:t>
      </w:r>
      <w:r>
        <w:rPr>
          <w:rFonts w:ascii="Times New Roman" w:hAnsi="Times New Roman"/>
          <w:bCs/>
          <w:sz w:val="24"/>
          <w:szCs w:val="24"/>
        </w:rPr>
        <w:t xml:space="preserve">investīcijām elektrostacijā un tās ieņēmumiem un izdevumiem </w:t>
      </w:r>
      <w:r w:rsidRPr="008C5187">
        <w:rPr>
          <w:rFonts w:ascii="Times New Roman" w:hAnsi="Times New Roman"/>
          <w:bCs/>
          <w:sz w:val="24"/>
          <w:szCs w:val="24"/>
          <w:u w:val="single"/>
        </w:rPr>
        <w:t>visā atbalsta periodā</w:t>
      </w:r>
      <w:r w:rsidR="00DF188E" w:rsidRPr="00DF188E">
        <w:rPr>
          <w:rFonts w:ascii="Times New Roman" w:hAnsi="Times New Roman"/>
          <w:bCs/>
          <w:sz w:val="24"/>
          <w:szCs w:val="24"/>
        </w:rPr>
        <w:t xml:space="preserve">. Savukārt 77. punkts paredz, ka jebkuru šo datu neiesniegšanas gadījumā OI </w:t>
      </w:r>
      <w:r w:rsidR="00741579" w:rsidRPr="00DF188E">
        <w:rPr>
          <w:rFonts w:ascii="Times New Roman" w:hAnsi="Times New Roman"/>
          <w:bCs/>
          <w:sz w:val="24"/>
          <w:szCs w:val="24"/>
        </w:rPr>
        <w:t>tiesības</w:t>
      </w:r>
      <w:r w:rsidR="00DF188E" w:rsidRPr="00DF188E">
        <w:rPr>
          <w:rFonts w:ascii="Times New Roman" w:hAnsi="Times New Roman"/>
          <w:bCs/>
          <w:sz w:val="24"/>
          <w:szCs w:val="24"/>
        </w:rPr>
        <w:t xml:space="preserve"> tiek atceltas</w:t>
      </w:r>
      <w:r w:rsidR="00DE1E4D">
        <w:rPr>
          <w:rFonts w:ascii="Times New Roman" w:hAnsi="Times New Roman"/>
          <w:bCs/>
          <w:sz w:val="24"/>
          <w:szCs w:val="24"/>
        </w:rPr>
        <w:t>:</w:t>
      </w:r>
    </w:p>
    <w:p w14:paraId="6CD80B25" w14:textId="722CE834" w:rsidR="008C5187" w:rsidRPr="005E52D4" w:rsidRDefault="008C5187" w:rsidP="008C5187">
      <w:pPr>
        <w:pStyle w:val="ListParagraph"/>
        <w:numPr>
          <w:ilvl w:val="0"/>
          <w:numId w:val="35"/>
        </w:numPr>
        <w:spacing w:after="120" w:line="240" w:lineRule="auto"/>
        <w:contextualSpacing w:val="0"/>
        <w:jc w:val="both"/>
        <w:rPr>
          <w:rFonts w:ascii="Times New Roman" w:hAnsi="Times New Roman"/>
          <w:b/>
          <w:i/>
          <w:iCs/>
          <w:sz w:val="24"/>
          <w:szCs w:val="24"/>
        </w:rPr>
      </w:pPr>
      <w:r w:rsidRPr="005E52D4">
        <w:rPr>
          <w:rFonts w:ascii="Times New Roman" w:hAnsi="Times New Roman"/>
          <w:b/>
          <w:i/>
          <w:iCs/>
          <w:sz w:val="24"/>
          <w:szCs w:val="24"/>
        </w:rPr>
        <w:t>līdzīgi kā</w:t>
      </w:r>
      <w:r w:rsidR="00741579" w:rsidRPr="005E52D4">
        <w:rPr>
          <w:rFonts w:ascii="Times New Roman" w:hAnsi="Times New Roman"/>
          <w:b/>
          <w:i/>
          <w:iCs/>
          <w:sz w:val="24"/>
          <w:szCs w:val="24"/>
        </w:rPr>
        <w:t xml:space="preserve"> tas minēts iepriekš šajā atzinumā,</w:t>
      </w:r>
      <w:r w:rsidRPr="005E52D4">
        <w:rPr>
          <w:rFonts w:ascii="Times New Roman" w:hAnsi="Times New Roman"/>
          <w:b/>
          <w:i/>
          <w:iCs/>
          <w:sz w:val="24"/>
          <w:szCs w:val="24"/>
        </w:rPr>
        <w:t xml:space="preserve"> nav skaidrs, kā </w:t>
      </w:r>
      <w:r w:rsidR="00741579" w:rsidRPr="005E52D4">
        <w:rPr>
          <w:rFonts w:ascii="Times New Roman" w:hAnsi="Times New Roman"/>
          <w:b/>
          <w:i/>
          <w:iCs/>
          <w:sz w:val="24"/>
          <w:szCs w:val="24"/>
        </w:rPr>
        <w:t xml:space="preserve">un uz kāda pamata no AER ražotāja </w:t>
      </w:r>
      <w:r w:rsidRPr="005E52D4">
        <w:rPr>
          <w:rFonts w:ascii="Times New Roman" w:hAnsi="Times New Roman"/>
          <w:b/>
          <w:i/>
          <w:iCs/>
          <w:sz w:val="24"/>
          <w:szCs w:val="24"/>
        </w:rPr>
        <w:t xml:space="preserve">iespējams </w:t>
      </w:r>
      <w:r w:rsidR="00741579" w:rsidRPr="005E52D4">
        <w:rPr>
          <w:rFonts w:ascii="Times New Roman" w:hAnsi="Times New Roman"/>
          <w:b/>
          <w:i/>
          <w:iCs/>
          <w:sz w:val="24"/>
          <w:szCs w:val="24"/>
        </w:rPr>
        <w:t>pieprasīt</w:t>
      </w:r>
      <w:r w:rsidRPr="005E52D4">
        <w:rPr>
          <w:rFonts w:ascii="Times New Roman" w:hAnsi="Times New Roman"/>
          <w:b/>
          <w:i/>
          <w:iCs/>
          <w:sz w:val="24"/>
          <w:szCs w:val="24"/>
        </w:rPr>
        <w:t xml:space="preserve"> </w:t>
      </w:r>
      <w:r w:rsidR="00741579" w:rsidRPr="005E52D4">
        <w:rPr>
          <w:rFonts w:ascii="Times New Roman" w:hAnsi="Times New Roman"/>
          <w:b/>
          <w:i/>
          <w:iCs/>
          <w:sz w:val="24"/>
          <w:szCs w:val="24"/>
        </w:rPr>
        <w:t xml:space="preserve">iesniegt </w:t>
      </w:r>
      <w:r w:rsidRPr="005E52D4">
        <w:rPr>
          <w:rFonts w:ascii="Times New Roman" w:hAnsi="Times New Roman"/>
          <w:b/>
          <w:i/>
          <w:iCs/>
          <w:sz w:val="24"/>
          <w:szCs w:val="24"/>
        </w:rPr>
        <w:t>datus par 20 un vairāk gadus senu laikposmu</w:t>
      </w:r>
      <w:r w:rsidR="00DF188E" w:rsidRPr="005E52D4">
        <w:rPr>
          <w:rFonts w:ascii="Times New Roman" w:hAnsi="Times New Roman"/>
          <w:b/>
          <w:i/>
          <w:iCs/>
          <w:sz w:val="24"/>
          <w:szCs w:val="24"/>
        </w:rPr>
        <w:t xml:space="preserve"> </w:t>
      </w:r>
      <w:r w:rsidR="00741579" w:rsidRPr="005E52D4">
        <w:rPr>
          <w:rFonts w:ascii="Times New Roman" w:hAnsi="Times New Roman"/>
          <w:b/>
          <w:i/>
          <w:iCs/>
          <w:sz w:val="24"/>
          <w:szCs w:val="24"/>
        </w:rPr>
        <w:t xml:space="preserve">un </w:t>
      </w:r>
      <w:r w:rsidR="00DF188E" w:rsidRPr="005E52D4">
        <w:rPr>
          <w:rFonts w:ascii="Times New Roman" w:hAnsi="Times New Roman"/>
          <w:b/>
          <w:i/>
          <w:iCs/>
          <w:sz w:val="24"/>
          <w:szCs w:val="24"/>
        </w:rPr>
        <w:t xml:space="preserve">kā </w:t>
      </w:r>
      <w:r w:rsidR="00741579" w:rsidRPr="005E52D4">
        <w:rPr>
          <w:rFonts w:ascii="Times New Roman" w:hAnsi="Times New Roman"/>
          <w:b/>
          <w:i/>
          <w:iCs/>
          <w:sz w:val="24"/>
          <w:szCs w:val="24"/>
        </w:rPr>
        <w:t>par šāda</w:t>
      </w:r>
      <w:r w:rsidR="005E52D4" w:rsidRPr="005E52D4">
        <w:rPr>
          <w:rFonts w:ascii="Times New Roman" w:hAnsi="Times New Roman"/>
          <w:b/>
          <w:i/>
          <w:iCs/>
          <w:sz w:val="24"/>
          <w:szCs w:val="24"/>
        </w:rPr>
        <w:t xml:space="preserve"> objektīvi un juridiski</w:t>
      </w:r>
      <w:r w:rsidR="00741579" w:rsidRPr="005E52D4">
        <w:rPr>
          <w:rFonts w:ascii="Times New Roman" w:hAnsi="Times New Roman"/>
          <w:b/>
          <w:i/>
          <w:iCs/>
          <w:sz w:val="24"/>
          <w:szCs w:val="24"/>
        </w:rPr>
        <w:t xml:space="preserve"> </w:t>
      </w:r>
      <w:r w:rsidR="00741579" w:rsidRPr="005E52D4">
        <w:rPr>
          <w:rFonts w:ascii="Times New Roman" w:hAnsi="Times New Roman"/>
          <w:b/>
          <w:i/>
          <w:iCs/>
          <w:sz w:val="24"/>
          <w:szCs w:val="24"/>
          <w:u w:val="single"/>
        </w:rPr>
        <w:t>neiespējama pienākuma</w:t>
      </w:r>
      <w:r w:rsidR="00741579" w:rsidRPr="005E52D4">
        <w:rPr>
          <w:rFonts w:ascii="Times New Roman" w:hAnsi="Times New Roman"/>
          <w:b/>
          <w:i/>
          <w:iCs/>
          <w:sz w:val="24"/>
          <w:szCs w:val="24"/>
        </w:rPr>
        <w:t xml:space="preserve"> neizpildi </w:t>
      </w:r>
      <w:r w:rsidR="00DF188E" w:rsidRPr="005E52D4">
        <w:rPr>
          <w:rFonts w:ascii="Times New Roman" w:hAnsi="Times New Roman"/>
          <w:b/>
          <w:i/>
          <w:iCs/>
          <w:sz w:val="24"/>
          <w:szCs w:val="24"/>
        </w:rPr>
        <w:t xml:space="preserve">iespējams piemērot </w:t>
      </w:r>
      <w:r w:rsidR="00741579" w:rsidRPr="005E52D4">
        <w:rPr>
          <w:rFonts w:ascii="Times New Roman" w:hAnsi="Times New Roman"/>
          <w:b/>
          <w:i/>
          <w:iCs/>
          <w:sz w:val="24"/>
          <w:szCs w:val="24"/>
        </w:rPr>
        <w:t xml:space="preserve">visbargāko iespējamo sankciju – </w:t>
      </w:r>
      <w:r w:rsidR="00DF188E" w:rsidRPr="005E52D4">
        <w:rPr>
          <w:rFonts w:ascii="Times New Roman" w:hAnsi="Times New Roman"/>
          <w:b/>
          <w:i/>
          <w:iCs/>
          <w:sz w:val="24"/>
          <w:szCs w:val="24"/>
        </w:rPr>
        <w:t>OI tie</w:t>
      </w:r>
      <w:r w:rsidR="00741579" w:rsidRPr="005E52D4">
        <w:rPr>
          <w:rFonts w:ascii="Times New Roman" w:hAnsi="Times New Roman"/>
          <w:b/>
          <w:i/>
          <w:iCs/>
          <w:sz w:val="24"/>
          <w:szCs w:val="24"/>
        </w:rPr>
        <w:t>sī</w:t>
      </w:r>
      <w:r w:rsidR="00DF188E" w:rsidRPr="005E52D4">
        <w:rPr>
          <w:rFonts w:ascii="Times New Roman" w:hAnsi="Times New Roman"/>
          <w:b/>
          <w:i/>
          <w:iCs/>
          <w:sz w:val="24"/>
          <w:szCs w:val="24"/>
        </w:rPr>
        <w:t>bu pilnīga atcelšana?</w:t>
      </w:r>
    </w:p>
    <w:p w14:paraId="350D0EEA" w14:textId="6F1E1191" w:rsidR="008C5187" w:rsidRDefault="00DF188E" w:rsidP="008C5187">
      <w:pPr>
        <w:pStyle w:val="ListParagraph"/>
        <w:numPr>
          <w:ilvl w:val="0"/>
          <w:numId w:val="35"/>
        </w:numPr>
        <w:spacing w:after="120" w:line="240" w:lineRule="auto"/>
        <w:contextualSpacing w:val="0"/>
        <w:jc w:val="both"/>
        <w:rPr>
          <w:rFonts w:ascii="Times New Roman" w:hAnsi="Times New Roman"/>
          <w:b/>
          <w:i/>
          <w:iCs/>
          <w:sz w:val="24"/>
          <w:szCs w:val="24"/>
        </w:rPr>
      </w:pPr>
      <w:r w:rsidRPr="005E52D4">
        <w:rPr>
          <w:rFonts w:ascii="Times New Roman" w:hAnsi="Times New Roman"/>
          <w:b/>
          <w:i/>
          <w:iCs/>
          <w:sz w:val="24"/>
          <w:szCs w:val="24"/>
        </w:rPr>
        <w:t>kādēļ no AER ražotāja tiek prasīts iesniegt datus par elektrostacijas ieņēmumiem, ja gan saražotie apjomi</w:t>
      </w:r>
      <w:r w:rsidR="0029643E" w:rsidRPr="005E52D4">
        <w:rPr>
          <w:rFonts w:ascii="Times New Roman" w:hAnsi="Times New Roman"/>
          <w:b/>
          <w:i/>
          <w:iCs/>
          <w:sz w:val="24"/>
          <w:szCs w:val="24"/>
        </w:rPr>
        <w:t>,</w:t>
      </w:r>
      <w:r w:rsidRPr="005E52D4">
        <w:rPr>
          <w:rFonts w:ascii="Times New Roman" w:hAnsi="Times New Roman"/>
          <w:b/>
          <w:i/>
          <w:iCs/>
          <w:sz w:val="24"/>
          <w:szCs w:val="24"/>
        </w:rPr>
        <w:t xml:space="preserve"> gan izmaksātās summas ir Ekonomikas ministrijas rīcībā</w:t>
      </w:r>
      <w:r w:rsidR="0029643E" w:rsidRPr="005E52D4">
        <w:rPr>
          <w:rFonts w:ascii="Times New Roman" w:hAnsi="Times New Roman"/>
          <w:b/>
          <w:i/>
          <w:iCs/>
          <w:sz w:val="24"/>
          <w:szCs w:val="24"/>
        </w:rPr>
        <w:t xml:space="preserve"> par visu obligātā iepirkuma tiesību izmantošanas laiku</w:t>
      </w:r>
      <w:r w:rsidRPr="005E52D4">
        <w:rPr>
          <w:rFonts w:ascii="Times New Roman" w:hAnsi="Times New Roman"/>
          <w:b/>
          <w:i/>
          <w:iCs/>
          <w:sz w:val="24"/>
          <w:szCs w:val="24"/>
        </w:rPr>
        <w:t>?</w:t>
      </w:r>
    </w:p>
    <w:p w14:paraId="6F94E421" w14:textId="38A74965" w:rsidR="0070582F" w:rsidRPr="00FE371B" w:rsidRDefault="0070582F" w:rsidP="008C5187">
      <w:pPr>
        <w:pStyle w:val="ListParagraph"/>
        <w:numPr>
          <w:ilvl w:val="0"/>
          <w:numId w:val="35"/>
        </w:numPr>
        <w:spacing w:after="120" w:line="240" w:lineRule="auto"/>
        <w:contextualSpacing w:val="0"/>
        <w:jc w:val="both"/>
        <w:rPr>
          <w:rFonts w:ascii="Times New Roman" w:hAnsi="Times New Roman"/>
          <w:b/>
          <w:i/>
          <w:iCs/>
          <w:color w:val="FF0000"/>
          <w:sz w:val="24"/>
          <w:szCs w:val="24"/>
        </w:rPr>
      </w:pPr>
      <w:r w:rsidRPr="00FE371B">
        <w:rPr>
          <w:rFonts w:ascii="Times New Roman" w:hAnsi="Times New Roman"/>
          <w:b/>
          <w:i/>
          <w:iCs/>
          <w:color w:val="FF0000"/>
          <w:sz w:val="24"/>
          <w:szCs w:val="24"/>
        </w:rPr>
        <w:t>atgādinām, ka saskaņā ar Administratīvā procesa likumu iestāde nevar no privātpersonas pieprasīt informāciju, kas jau ir pašas iestādes (valsts) rīcībā!</w:t>
      </w:r>
    </w:p>
    <w:p w14:paraId="1C6C5992" w14:textId="3C237B1F" w:rsidR="005E5455" w:rsidRDefault="005E5455" w:rsidP="005E5455">
      <w:pPr>
        <w:pStyle w:val="ListParagraph"/>
        <w:spacing w:after="120" w:line="240" w:lineRule="auto"/>
        <w:ind w:left="1440"/>
        <w:contextualSpacing w:val="0"/>
        <w:jc w:val="both"/>
        <w:rPr>
          <w:rFonts w:ascii="Times New Roman" w:hAnsi="Times New Roman"/>
          <w:bCs/>
          <w:sz w:val="24"/>
          <w:szCs w:val="24"/>
        </w:rPr>
      </w:pPr>
    </w:p>
    <w:p w14:paraId="7D6D9AF3" w14:textId="164A78DB" w:rsidR="005E5455" w:rsidRDefault="005E5455" w:rsidP="005E5455">
      <w:pPr>
        <w:pStyle w:val="ListParagraph"/>
        <w:numPr>
          <w:ilvl w:val="0"/>
          <w:numId w:val="21"/>
        </w:numPr>
        <w:spacing w:after="120" w:line="240" w:lineRule="auto"/>
        <w:contextualSpacing w:val="0"/>
        <w:jc w:val="both"/>
        <w:rPr>
          <w:rFonts w:ascii="Times New Roman" w:hAnsi="Times New Roman"/>
          <w:b/>
          <w:sz w:val="24"/>
          <w:szCs w:val="24"/>
        </w:rPr>
      </w:pPr>
      <w:r>
        <w:rPr>
          <w:rFonts w:ascii="Times New Roman" w:hAnsi="Times New Roman"/>
          <w:b/>
          <w:sz w:val="24"/>
          <w:szCs w:val="24"/>
        </w:rPr>
        <w:t>Noteikumu projekta 6. pielikums</w:t>
      </w:r>
    </w:p>
    <w:p w14:paraId="493A360E" w14:textId="155474EC" w:rsidR="005E5455" w:rsidRPr="005E5455" w:rsidRDefault="005E5455" w:rsidP="005E5455">
      <w:pPr>
        <w:spacing w:after="120" w:line="240" w:lineRule="auto"/>
        <w:jc w:val="both"/>
        <w:rPr>
          <w:rFonts w:ascii="Times New Roman" w:hAnsi="Times New Roman"/>
          <w:bCs/>
          <w:sz w:val="24"/>
          <w:szCs w:val="24"/>
        </w:rPr>
      </w:pPr>
      <w:r w:rsidRPr="005E5455">
        <w:rPr>
          <w:rFonts w:ascii="Times New Roman" w:hAnsi="Times New Roman"/>
          <w:bCs/>
          <w:sz w:val="24"/>
          <w:szCs w:val="24"/>
        </w:rPr>
        <w:t>Noteikumu projekta 6. pielikumā (turpmāk – Pielikums) ir vairākas būtiskas neskaidrības:</w:t>
      </w:r>
    </w:p>
    <w:p w14:paraId="096DEDE2" w14:textId="097DF70E" w:rsidR="005E5455" w:rsidRPr="005E5455" w:rsidRDefault="005E5455" w:rsidP="0070582F">
      <w:pPr>
        <w:pStyle w:val="ListParagraph"/>
        <w:numPr>
          <w:ilvl w:val="0"/>
          <w:numId w:val="36"/>
        </w:numPr>
        <w:spacing w:before="240" w:after="120" w:line="240" w:lineRule="auto"/>
        <w:ind w:left="714" w:hanging="357"/>
        <w:contextualSpacing w:val="0"/>
        <w:jc w:val="both"/>
        <w:rPr>
          <w:rFonts w:ascii="Times New Roman" w:hAnsi="Times New Roman"/>
          <w:bCs/>
          <w:sz w:val="24"/>
          <w:szCs w:val="24"/>
        </w:rPr>
      </w:pPr>
      <w:r w:rsidRPr="005E5455">
        <w:rPr>
          <w:rFonts w:ascii="Times New Roman" w:hAnsi="Times New Roman"/>
          <w:bCs/>
          <w:sz w:val="24"/>
          <w:szCs w:val="24"/>
        </w:rPr>
        <w:t xml:space="preserve">Pielikuma 1. punktā norādīta vērtība </w:t>
      </w:r>
      <m:oMath>
        <m:sSub>
          <m:sSubPr>
            <m:ctrlPr>
              <w:rPr>
                <w:rFonts w:ascii="Cambria Math" w:hAnsi="Cambria Math"/>
                <w:bCs/>
                <w:i/>
                <w:sz w:val="24"/>
                <w:szCs w:val="24"/>
              </w:rPr>
            </m:ctrlPr>
          </m:sSubPr>
          <m:e>
            <m:r>
              <w:rPr>
                <w:rFonts w:ascii="Cambria Math" w:hAnsi="Cambria Math"/>
                <w:sz w:val="24"/>
                <w:szCs w:val="24"/>
              </w:rPr>
              <m:t>D</m:t>
            </m:r>
          </m:e>
          <m:sub>
            <m:sSub>
              <m:sSubPr>
                <m:ctrlPr>
                  <w:rPr>
                    <w:rFonts w:ascii="Cambria Math" w:hAnsi="Cambria Math"/>
                    <w:bCs/>
                    <w:i/>
                    <w:sz w:val="24"/>
                    <w:szCs w:val="24"/>
                  </w:rPr>
                </m:ctrlPr>
              </m:sSubPr>
              <m:e>
                <m:r>
                  <w:rPr>
                    <w:rFonts w:ascii="Cambria Math" w:hAnsi="Cambria Math"/>
                    <w:sz w:val="24"/>
                    <w:szCs w:val="24"/>
                  </w:rPr>
                  <m:t>t</m:t>
                </m:r>
              </m:e>
              <m:sub>
                <m:r>
                  <w:rPr>
                    <w:rFonts w:ascii="Cambria Math" w:hAnsi="Cambria Math"/>
                    <w:sz w:val="24"/>
                    <w:szCs w:val="24"/>
                  </w:rPr>
                  <m:t>0</m:t>
                </m:r>
              </m:sub>
            </m:sSub>
          </m:sub>
        </m:sSub>
      </m:oMath>
      <w:r w:rsidRPr="005E5455">
        <w:rPr>
          <w:rFonts w:ascii="Times New Roman" w:hAnsi="Times New Roman"/>
          <w:bCs/>
          <w:sz w:val="24"/>
          <w:szCs w:val="24"/>
        </w:rPr>
        <w:t>– principā jebkāds finansiāls atbalsts elektrostacijas darbībai pirms OI tiesību izmantošanas sākuma:</w:t>
      </w:r>
    </w:p>
    <w:p w14:paraId="6C1DC4F3" w14:textId="77777777" w:rsidR="00182A69" w:rsidRDefault="005E5455" w:rsidP="00182A69">
      <w:pPr>
        <w:pStyle w:val="ListParagraph"/>
        <w:numPr>
          <w:ilvl w:val="0"/>
          <w:numId w:val="37"/>
        </w:numPr>
        <w:spacing w:before="60" w:after="0" w:line="240" w:lineRule="auto"/>
        <w:ind w:left="1434" w:hanging="357"/>
        <w:contextualSpacing w:val="0"/>
        <w:jc w:val="both"/>
        <w:rPr>
          <w:rFonts w:ascii="Times New Roman" w:hAnsi="Times New Roman"/>
          <w:bCs/>
          <w:sz w:val="24"/>
          <w:szCs w:val="24"/>
        </w:rPr>
      </w:pPr>
      <w:r w:rsidRPr="005E52D4">
        <w:rPr>
          <w:rFonts w:ascii="Times New Roman" w:hAnsi="Times New Roman"/>
          <w:bCs/>
          <w:sz w:val="24"/>
          <w:szCs w:val="24"/>
        </w:rPr>
        <w:t xml:space="preserve">kā šo </w:t>
      </w:r>
      <m:oMath>
        <m:sSub>
          <m:sSubPr>
            <m:ctrlPr>
              <w:rPr>
                <w:rFonts w:ascii="Cambria Math" w:hAnsi="Cambria Math"/>
                <w:bCs/>
                <w:i/>
                <w:iCs/>
                <w:sz w:val="24"/>
                <w:szCs w:val="24"/>
              </w:rPr>
            </m:ctrlPr>
          </m:sSubPr>
          <m:e>
            <m:r>
              <w:rPr>
                <w:rFonts w:ascii="Cambria Math" w:hAnsi="Cambria Math"/>
                <w:sz w:val="24"/>
                <w:szCs w:val="24"/>
              </w:rPr>
              <m:t>D</m:t>
            </m:r>
          </m:e>
          <m:sub>
            <m:sSub>
              <m:sSubPr>
                <m:ctrlPr>
                  <w:rPr>
                    <w:rFonts w:ascii="Cambria Math" w:hAnsi="Cambria Math"/>
                    <w:bCs/>
                    <w:i/>
                    <w:iCs/>
                    <w:sz w:val="24"/>
                    <w:szCs w:val="24"/>
                  </w:rPr>
                </m:ctrlPr>
              </m:sSubPr>
              <m:e>
                <m:r>
                  <w:rPr>
                    <w:rFonts w:ascii="Cambria Math" w:hAnsi="Cambria Math"/>
                    <w:sz w:val="24"/>
                    <w:szCs w:val="24"/>
                  </w:rPr>
                  <m:t>t</m:t>
                </m:r>
              </m:e>
              <m:sub>
                <m:r>
                  <w:rPr>
                    <w:rFonts w:ascii="Cambria Math" w:hAnsi="Cambria Math"/>
                    <w:sz w:val="24"/>
                    <w:szCs w:val="24"/>
                  </w:rPr>
                  <m:t>0</m:t>
                </m:r>
              </m:sub>
            </m:sSub>
          </m:sub>
        </m:sSub>
      </m:oMath>
      <w:r w:rsidRPr="005E52D4">
        <w:rPr>
          <w:rFonts w:ascii="Times New Roman" w:hAnsi="Times New Roman"/>
          <w:bCs/>
          <w:sz w:val="24"/>
          <w:szCs w:val="24"/>
        </w:rPr>
        <w:t xml:space="preserve"> vērtību paredzēts noteikt?</w:t>
      </w:r>
    </w:p>
    <w:p w14:paraId="6FA11F47" w14:textId="6A62D1F6" w:rsidR="005E5455" w:rsidRPr="00182A69" w:rsidRDefault="005E5455" w:rsidP="00182A69">
      <w:pPr>
        <w:pStyle w:val="ListParagraph"/>
        <w:numPr>
          <w:ilvl w:val="0"/>
          <w:numId w:val="37"/>
        </w:numPr>
        <w:spacing w:before="60" w:after="0" w:line="240" w:lineRule="auto"/>
        <w:ind w:left="1434" w:hanging="357"/>
        <w:contextualSpacing w:val="0"/>
        <w:jc w:val="both"/>
        <w:rPr>
          <w:rFonts w:ascii="Times New Roman" w:hAnsi="Times New Roman"/>
          <w:bCs/>
          <w:sz w:val="24"/>
          <w:szCs w:val="24"/>
        </w:rPr>
      </w:pPr>
      <w:r w:rsidRPr="00182A69">
        <w:rPr>
          <w:rFonts w:ascii="Times New Roman" w:hAnsi="Times New Roman"/>
          <w:bCs/>
          <w:sz w:val="24"/>
          <w:szCs w:val="24"/>
        </w:rPr>
        <w:t xml:space="preserve">vai EM rīcībā ir konkrēti un pilnīgi dati par visu OI sistēmā </w:t>
      </w:r>
      <w:r w:rsidR="0070582F" w:rsidRPr="00182A69">
        <w:rPr>
          <w:rFonts w:ascii="Times New Roman" w:hAnsi="Times New Roman"/>
          <w:bCs/>
          <w:sz w:val="24"/>
          <w:szCs w:val="24"/>
        </w:rPr>
        <w:t xml:space="preserve">strādājošo </w:t>
      </w:r>
      <w:r w:rsidRPr="00182A69">
        <w:rPr>
          <w:rFonts w:ascii="Times New Roman" w:hAnsi="Times New Roman"/>
          <w:bCs/>
          <w:sz w:val="24"/>
          <w:szCs w:val="24"/>
        </w:rPr>
        <w:t xml:space="preserve">elektrostaciju jebkad saņemto atbalstu </w:t>
      </w:r>
      <w:r w:rsidRPr="00182A69">
        <w:rPr>
          <w:rFonts w:ascii="Times New Roman" w:hAnsi="Times New Roman"/>
          <w:bCs/>
          <w:sz w:val="24"/>
          <w:szCs w:val="24"/>
          <w:u w:val="single"/>
        </w:rPr>
        <w:t>konkrētā finansiālā izteiksmē EUR</w:t>
      </w:r>
      <w:r w:rsidRPr="00182A69">
        <w:rPr>
          <w:rFonts w:ascii="Times New Roman" w:hAnsi="Times New Roman"/>
          <w:bCs/>
          <w:sz w:val="24"/>
          <w:szCs w:val="24"/>
        </w:rPr>
        <w:t>?</w:t>
      </w:r>
    </w:p>
    <w:p w14:paraId="5B24DA15" w14:textId="6C28F7E3" w:rsidR="005E5455" w:rsidRPr="005E5455" w:rsidRDefault="005E5455" w:rsidP="0070582F">
      <w:pPr>
        <w:pStyle w:val="ListParagraph"/>
        <w:numPr>
          <w:ilvl w:val="0"/>
          <w:numId w:val="36"/>
        </w:numPr>
        <w:spacing w:before="240" w:line="240" w:lineRule="auto"/>
        <w:ind w:left="714" w:hanging="357"/>
        <w:contextualSpacing w:val="0"/>
        <w:rPr>
          <w:rFonts w:ascii="Times New Roman" w:hAnsi="Times New Roman"/>
          <w:bCs/>
          <w:sz w:val="24"/>
          <w:szCs w:val="24"/>
        </w:rPr>
      </w:pPr>
      <w:r w:rsidRPr="005E5455">
        <w:rPr>
          <w:rFonts w:ascii="Times New Roman" w:hAnsi="Times New Roman"/>
          <w:bCs/>
          <w:sz w:val="24"/>
          <w:szCs w:val="24"/>
        </w:rPr>
        <w:t xml:space="preserve">Pielikuma 3. punktā norādīta vērtība </w:t>
      </w:r>
      <m:oMath>
        <m:sSub>
          <m:sSubPr>
            <m:ctrlPr>
              <w:rPr>
                <w:rFonts w:ascii="Cambria Math" w:hAnsi="Cambria Math"/>
                <w:bCs/>
                <w:i/>
                <w:sz w:val="24"/>
                <w:szCs w:val="24"/>
              </w:rPr>
            </m:ctrlPr>
          </m:sSubPr>
          <m:e>
            <m:r>
              <w:rPr>
                <w:rFonts w:ascii="Cambria Math" w:hAnsi="Cambria Math"/>
                <w:sz w:val="24"/>
                <w:szCs w:val="24"/>
              </w:rPr>
              <m:t>I</m:t>
            </m:r>
          </m:e>
          <m:sub>
            <m:r>
              <w:rPr>
                <w:rFonts w:ascii="Cambria Math" w:hAnsi="Cambria Math"/>
                <w:sz w:val="24"/>
                <w:szCs w:val="24"/>
              </w:rPr>
              <m:t>stac</m:t>
            </m:r>
          </m:sub>
        </m:sSub>
        <m:r>
          <w:rPr>
            <w:rFonts w:ascii="Cambria Math" w:hAnsi="Cambria Math"/>
            <w:sz w:val="24"/>
            <w:szCs w:val="24"/>
          </w:rPr>
          <m:t xml:space="preserve"> </m:t>
        </m:r>
      </m:oMath>
      <w:r w:rsidRPr="005E5455">
        <w:rPr>
          <w:rFonts w:ascii="Times New Roman" w:hAnsi="Times New Roman"/>
          <w:bCs/>
          <w:sz w:val="24"/>
          <w:szCs w:val="24"/>
        </w:rPr>
        <w:t>– elektrostacijā “faktiskās veikto investīciju vērtības, iesniedzot pamatojošo dokumentāciju, (EUR)”:</w:t>
      </w:r>
    </w:p>
    <w:p w14:paraId="7ABAC2E3" w14:textId="27F9F280" w:rsidR="005E5455" w:rsidRDefault="005E5455" w:rsidP="00182A69">
      <w:pPr>
        <w:pStyle w:val="ListParagraph"/>
        <w:numPr>
          <w:ilvl w:val="0"/>
          <w:numId w:val="38"/>
        </w:numPr>
        <w:spacing w:before="60" w:after="0" w:line="240" w:lineRule="auto"/>
        <w:contextualSpacing w:val="0"/>
        <w:rPr>
          <w:rFonts w:ascii="Times New Roman" w:hAnsi="Times New Roman"/>
          <w:bCs/>
          <w:sz w:val="24"/>
          <w:szCs w:val="24"/>
        </w:rPr>
      </w:pPr>
      <w:r w:rsidRPr="005E5455">
        <w:rPr>
          <w:rFonts w:ascii="Times New Roman" w:hAnsi="Times New Roman"/>
          <w:bCs/>
          <w:sz w:val="24"/>
          <w:szCs w:val="24"/>
        </w:rPr>
        <w:t xml:space="preserve">kāda BVKB rīcība sekos gadījumā, ja AER ražotājam </w:t>
      </w:r>
      <w:r w:rsidR="00FF4232">
        <w:rPr>
          <w:rFonts w:ascii="Times New Roman" w:hAnsi="Times New Roman"/>
          <w:bCs/>
          <w:sz w:val="24"/>
          <w:szCs w:val="24"/>
        </w:rPr>
        <w:t xml:space="preserve">faktiski un </w:t>
      </w:r>
      <w:r w:rsidR="005E52D4">
        <w:rPr>
          <w:rFonts w:ascii="Times New Roman" w:hAnsi="Times New Roman"/>
          <w:bCs/>
          <w:sz w:val="24"/>
          <w:szCs w:val="24"/>
        </w:rPr>
        <w:t xml:space="preserve">juridiski </w:t>
      </w:r>
      <w:r w:rsidRPr="005E5455">
        <w:rPr>
          <w:rFonts w:ascii="Times New Roman" w:hAnsi="Times New Roman"/>
          <w:bCs/>
          <w:sz w:val="24"/>
          <w:szCs w:val="24"/>
        </w:rPr>
        <w:t>pamatotu iemeslu dēļ nebūs iespējams iesniegt / būs iespējams daļēji iesniegt informāciju par faktiski veiktajām investīcijām?</w:t>
      </w:r>
    </w:p>
    <w:p w14:paraId="41860E22" w14:textId="286750F9" w:rsidR="0091040A" w:rsidRPr="005E52D4" w:rsidRDefault="0091040A" w:rsidP="00182A69">
      <w:pPr>
        <w:pStyle w:val="ListParagraph"/>
        <w:numPr>
          <w:ilvl w:val="0"/>
          <w:numId w:val="38"/>
        </w:numPr>
        <w:spacing w:before="60" w:after="0" w:line="240" w:lineRule="auto"/>
        <w:ind w:left="1434" w:hanging="357"/>
        <w:contextualSpacing w:val="0"/>
        <w:rPr>
          <w:rFonts w:ascii="Times New Roman" w:hAnsi="Times New Roman"/>
          <w:b/>
          <w:i/>
          <w:iCs/>
          <w:sz w:val="24"/>
          <w:szCs w:val="24"/>
        </w:rPr>
      </w:pPr>
      <w:r w:rsidRPr="005E52D4">
        <w:rPr>
          <w:rFonts w:ascii="Times New Roman" w:hAnsi="Times New Roman"/>
          <w:b/>
          <w:i/>
          <w:iCs/>
          <w:sz w:val="24"/>
          <w:szCs w:val="24"/>
        </w:rPr>
        <w:t xml:space="preserve">lai risinātu šādas situācijas, aicinām Pielikumā iekļaut (atjaunot) tabulu ar elektrostaciju īpatnējo investīciju </w:t>
      </w:r>
      <w:proofErr w:type="spellStart"/>
      <w:r w:rsidRPr="005E52D4">
        <w:rPr>
          <w:rFonts w:ascii="Times New Roman" w:hAnsi="Times New Roman"/>
          <w:b/>
          <w:i/>
          <w:iCs/>
          <w:sz w:val="24"/>
          <w:szCs w:val="24"/>
        </w:rPr>
        <w:t>līmeņatzīmēm</w:t>
      </w:r>
      <w:proofErr w:type="spellEnd"/>
    </w:p>
    <w:p w14:paraId="0A8C8FDA" w14:textId="5FA9E510" w:rsidR="005E5455" w:rsidRDefault="0091040A" w:rsidP="0070582F">
      <w:pPr>
        <w:pStyle w:val="ListParagraph"/>
        <w:numPr>
          <w:ilvl w:val="0"/>
          <w:numId w:val="36"/>
        </w:numPr>
        <w:spacing w:before="240" w:after="0" w:line="240" w:lineRule="auto"/>
        <w:ind w:left="714" w:hanging="357"/>
        <w:contextualSpacing w:val="0"/>
        <w:jc w:val="both"/>
        <w:rPr>
          <w:rFonts w:ascii="Times New Roman" w:hAnsi="Times New Roman"/>
          <w:bCs/>
          <w:sz w:val="24"/>
          <w:szCs w:val="24"/>
        </w:rPr>
      </w:pPr>
      <w:r>
        <w:rPr>
          <w:rFonts w:ascii="Times New Roman" w:hAnsi="Times New Roman"/>
          <w:bCs/>
          <w:sz w:val="24"/>
          <w:szCs w:val="24"/>
        </w:rPr>
        <w:lastRenderedPageBreak/>
        <w:t xml:space="preserve">Pielikuma 6. punktā ietverta formula elektrostacijas ieņēmumu aprēķināšanai </w:t>
      </w:r>
      <w:r w:rsidRPr="0070582F">
        <w:rPr>
          <w:rFonts w:ascii="Times New Roman" w:hAnsi="Times New Roman"/>
          <w:bCs/>
          <w:sz w:val="24"/>
          <w:szCs w:val="24"/>
          <w:u w:val="single"/>
        </w:rPr>
        <w:t>OI darbības laikā</w:t>
      </w:r>
      <w:r>
        <w:rPr>
          <w:rFonts w:ascii="Times New Roman" w:hAnsi="Times New Roman"/>
          <w:bCs/>
          <w:sz w:val="24"/>
          <w:szCs w:val="24"/>
        </w:rPr>
        <w:t>:</w:t>
      </w:r>
    </w:p>
    <w:p w14:paraId="2F9A21C2" w14:textId="486BE767" w:rsidR="0070582F" w:rsidRDefault="0091040A" w:rsidP="00182A69">
      <w:pPr>
        <w:pStyle w:val="ListParagraph"/>
        <w:numPr>
          <w:ilvl w:val="0"/>
          <w:numId w:val="39"/>
        </w:numPr>
        <w:spacing w:before="60" w:after="0" w:line="240" w:lineRule="auto"/>
        <w:contextualSpacing w:val="0"/>
        <w:jc w:val="both"/>
        <w:rPr>
          <w:rFonts w:ascii="Times New Roman" w:hAnsi="Times New Roman"/>
          <w:bCs/>
          <w:sz w:val="24"/>
          <w:szCs w:val="24"/>
        </w:rPr>
      </w:pPr>
      <w:r>
        <w:rPr>
          <w:rFonts w:ascii="Times New Roman" w:hAnsi="Times New Roman"/>
          <w:bCs/>
          <w:sz w:val="24"/>
          <w:szCs w:val="24"/>
        </w:rPr>
        <w:t xml:space="preserve">kādēļ ir nepieciešama šāda formula, ja šajā ziņā tiek izmantoti </w:t>
      </w:r>
      <w:r w:rsidR="00BA4563">
        <w:rPr>
          <w:rFonts w:ascii="Times New Roman" w:hAnsi="Times New Roman"/>
          <w:bCs/>
          <w:sz w:val="24"/>
          <w:szCs w:val="24"/>
        </w:rPr>
        <w:t xml:space="preserve">(ir jāizmanto) </w:t>
      </w:r>
      <w:r>
        <w:rPr>
          <w:rFonts w:ascii="Times New Roman" w:hAnsi="Times New Roman"/>
          <w:bCs/>
          <w:sz w:val="24"/>
          <w:szCs w:val="24"/>
        </w:rPr>
        <w:t>fakti</w:t>
      </w:r>
      <w:r w:rsidR="00BA4563">
        <w:rPr>
          <w:rFonts w:ascii="Times New Roman" w:hAnsi="Times New Roman"/>
          <w:bCs/>
          <w:sz w:val="24"/>
          <w:szCs w:val="24"/>
        </w:rPr>
        <w:t>sk</w:t>
      </w:r>
      <w:r>
        <w:rPr>
          <w:rFonts w:ascii="Times New Roman" w:hAnsi="Times New Roman"/>
          <w:bCs/>
          <w:sz w:val="24"/>
          <w:szCs w:val="24"/>
        </w:rPr>
        <w:t>ie dati</w:t>
      </w:r>
      <w:r w:rsidR="00BA4563">
        <w:rPr>
          <w:rFonts w:ascii="Times New Roman" w:hAnsi="Times New Roman"/>
          <w:bCs/>
          <w:sz w:val="24"/>
          <w:szCs w:val="24"/>
        </w:rPr>
        <w:t>?</w:t>
      </w:r>
    </w:p>
    <w:p w14:paraId="6E99469D" w14:textId="4EE89DE6" w:rsidR="0070582F" w:rsidRPr="00FE371B" w:rsidRDefault="0070582F" w:rsidP="00182A69">
      <w:pPr>
        <w:pStyle w:val="ListParagraph"/>
        <w:numPr>
          <w:ilvl w:val="0"/>
          <w:numId w:val="39"/>
        </w:numPr>
        <w:spacing w:before="60" w:after="0" w:line="240" w:lineRule="auto"/>
        <w:contextualSpacing w:val="0"/>
        <w:jc w:val="both"/>
        <w:rPr>
          <w:rFonts w:ascii="Times New Roman" w:hAnsi="Times New Roman"/>
          <w:b/>
          <w:i/>
          <w:iCs/>
          <w:color w:val="FF0000"/>
          <w:sz w:val="24"/>
          <w:szCs w:val="24"/>
        </w:rPr>
      </w:pPr>
      <w:r w:rsidRPr="00FE371B">
        <w:rPr>
          <w:rFonts w:ascii="Times New Roman" w:hAnsi="Times New Roman"/>
          <w:b/>
          <w:i/>
          <w:iCs/>
          <w:color w:val="FF0000"/>
          <w:sz w:val="24"/>
          <w:szCs w:val="24"/>
        </w:rPr>
        <w:t xml:space="preserve">vēršam uzmanību, ka šādi faktiskie dati </w:t>
      </w:r>
      <w:r w:rsidR="00182A69" w:rsidRPr="00FE371B">
        <w:rPr>
          <w:rFonts w:ascii="Times New Roman" w:hAnsi="Times New Roman"/>
          <w:b/>
          <w:i/>
          <w:iCs/>
          <w:color w:val="FF0000"/>
          <w:sz w:val="24"/>
          <w:szCs w:val="24"/>
        </w:rPr>
        <w:t xml:space="preserve">par visu OI periodu </w:t>
      </w:r>
      <w:r w:rsidRPr="00FE371B">
        <w:rPr>
          <w:rFonts w:ascii="Times New Roman" w:hAnsi="Times New Roman"/>
          <w:b/>
          <w:i/>
          <w:iCs/>
          <w:color w:val="FF0000"/>
          <w:sz w:val="24"/>
          <w:szCs w:val="24"/>
        </w:rPr>
        <w:t>jau ir Ekonomikas ministrijas rīcībā!</w:t>
      </w:r>
      <w:r w:rsidR="00182A69" w:rsidRPr="00FE371B">
        <w:rPr>
          <w:rFonts w:ascii="Times New Roman" w:hAnsi="Times New Roman"/>
          <w:b/>
          <w:i/>
          <w:iCs/>
          <w:color w:val="FF0000"/>
          <w:sz w:val="24"/>
          <w:szCs w:val="24"/>
        </w:rPr>
        <w:t xml:space="preserve"> Tie ir apkopoti Ekonomikas ministrijas mājas lapā publiski pieejamās OI saņēmēju tabulās!</w:t>
      </w:r>
    </w:p>
    <w:p w14:paraId="2C6DB0D5" w14:textId="192F9717" w:rsidR="00EA5460" w:rsidRDefault="00BA4563" w:rsidP="0070582F">
      <w:pPr>
        <w:pStyle w:val="ListParagraph"/>
        <w:numPr>
          <w:ilvl w:val="0"/>
          <w:numId w:val="36"/>
        </w:numPr>
        <w:spacing w:before="240" w:after="120" w:line="240" w:lineRule="auto"/>
        <w:ind w:left="714" w:hanging="357"/>
        <w:contextualSpacing w:val="0"/>
        <w:jc w:val="both"/>
        <w:rPr>
          <w:rFonts w:ascii="Times New Roman" w:hAnsi="Times New Roman"/>
          <w:bCs/>
          <w:sz w:val="24"/>
          <w:szCs w:val="24"/>
        </w:rPr>
      </w:pPr>
      <w:r>
        <w:rPr>
          <w:rFonts w:ascii="Times New Roman" w:hAnsi="Times New Roman"/>
          <w:bCs/>
          <w:sz w:val="24"/>
          <w:szCs w:val="24"/>
        </w:rPr>
        <w:t>Pielikuma 7. punktā ietverta formula elektrostacijas darba stundu aprēķināšanai:</w:t>
      </w:r>
    </w:p>
    <w:p w14:paraId="1001A11E" w14:textId="77777777" w:rsidR="00182A69" w:rsidRDefault="00BA4563" w:rsidP="00182A69">
      <w:pPr>
        <w:pStyle w:val="ListParagraph"/>
        <w:numPr>
          <w:ilvl w:val="0"/>
          <w:numId w:val="39"/>
        </w:numPr>
        <w:spacing w:before="60" w:after="0" w:line="240" w:lineRule="auto"/>
        <w:contextualSpacing w:val="0"/>
        <w:jc w:val="both"/>
        <w:rPr>
          <w:rFonts w:ascii="Times New Roman" w:hAnsi="Times New Roman"/>
          <w:bCs/>
          <w:sz w:val="24"/>
          <w:szCs w:val="24"/>
        </w:rPr>
      </w:pPr>
      <w:r>
        <w:rPr>
          <w:rFonts w:ascii="Times New Roman" w:hAnsi="Times New Roman"/>
          <w:bCs/>
          <w:sz w:val="24"/>
          <w:szCs w:val="24"/>
        </w:rPr>
        <w:t xml:space="preserve">kādēļ ir nepieciešama formula, lai teorētiski aprēķinātu vērtību </w:t>
      </w:r>
      <w:r w:rsidRPr="00BA4563">
        <w:rPr>
          <w:rFonts w:ascii="Times New Roman" w:hAnsi="Times New Roman"/>
          <w:bCs/>
          <w:i/>
          <w:iCs/>
          <w:sz w:val="24"/>
          <w:szCs w:val="24"/>
        </w:rPr>
        <w:t>d </w:t>
      </w:r>
      <w:r>
        <w:rPr>
          <w:rFonts w:ascii="Times New Roman" w:hAnsi="Times New Roman"/>
          <w:bCs/>
          <w:sz w:val="24"/>
          <w:szCs w:val="24"/>
        </w:rPr>
        <w:t>– e</w:t>
      </w:r>
      <w:r w:rsidRPr="00BA4563">
        <w:rPr>
          <w:rFonts w:ascii="Times New Roman" w:hAnsi="Times New Roman"/>
          <w:bCs/>
          <w:sz w:val="24"/>
          <w:szCs w:val="24"/>
        </w:rPr>
        <w:t xml:space="preserve">lektrostacijas </w:t>
      </w:r>
      <w:r>
        <w:rPr>
          <w:rFonts w:ascii="Times New Roman" w:hAnsi="Times New Roman"/>
          <w:bCs/>
          <w:sz w:val="24"/>
          <w:szCs w:val="24"/>
        </w:rPr>
        <w:t>“</w:t>
      </w:r>
      <w:r w:rsidRPr="00BA4563">
        <w:rPr>
          <w:rFonts w:ascii="Times New Roman" w:hAnsi="Times New Roman"/>
          <w:bCs/>
          <w:sz w:val="24"/>
          <w:szCs w:val="24"/>
        </w:rPr>
        <w:t>darba stundas,</w:t>
      </w:r>
      <w:r>
        <w:rPr>
          <w:rFonts w:ascii="Times New Roman" w:hAnsi="Times New Roman"/>
          <w:bCs/>
          <w:sz w:val="24"/>
          <w:szCs w:val="24"/>
        </w:rPr>
        <w:t xml:space="preserve"> </w:t>
      </w:r>
      <w:r w:rsidRPr="00BA4563">
        <w:rPr>
          <w:rFonts w:ascii="Times New Roman" w:hAnsi="Times New Roman"/>
          <w:bCs/>
          <w:sz w:val="24"/>
          <w:szCs w:val="24"/>
        </w:rPr>
        <w:t>kuras iekārta</w:t>
      </w:r>
      <w:r>
        <w:rPr>
          <w:rFonts w:ascii="Times New Roman" w:hAnsi="Times New Roman"/>
          <w:bCs/>
          <w:sz w:val="24"/>
          <w:szCs w:val="24"/>
        </w:rPr>
        <w:t xml:space="preserve"> </w:t>
      </w:r>
      <w:r w:rsidRPr="005E52D4">
        <w:rPr>
          <w:rFonts w:ascii="Times New Roman" w:hAnsi="Times New Roman"/>
          <w:b/>
          <w:i/>
          <w:iCs/>
          <w:sz w:val="24"/>
          <w:szCs w:val="24"/>
        </w:rPr>
        <w:t>[???]</w:t>
      </w:r>
      <w:r w:rsidRPr="00BA4563">
        <w:rPr>
          <w:rFonts w:ascii="Times New Roman" w:hAnsi="Times New Roman"/>
          <w:bCs/>
          <w:sz w:val="24"/>
          <w:szCs w:val="24"/>
        </w:rPr>
        <w:t xml:space="preserve"> ir strādājusi</w:t>
      </w:r>
      <w:r>
        <w:rPr>
          <w:rFonts w:ascii="Times New Roman" w:hAnsi="Times New Roman"/>
          <w:bCs/>
          <w:sz w:val="24"/>
          <w:szCs w:val="24"/>
        </w:rPr>
        <w:t>,</w:t>
      </w:r>
      <w:r w:rsidRPr="00BA4563">
        <w:rPr>
          <w:rFonts w:ascii="Times New Roman" w:hAnsi="Times New Roman"/>
          <w:bCs/>
          <w:sz w:val="24"/>
          <w:szCs w:val="24"/>
        </w:rPr>
        <w:t xml:space="preserve"> saražojot </w:t>
      </w:r>
      <w:r>
        <w:rPr>
          <w:rFonts w:ascii="Times New Roman" w:hAnsi="Times New Roman"/>
          <w:bCs/>
          <w:sz w:val="24"/>
          <w:szCs w:val="24"/>
        </w:rPr>
        <w:t>OI</w:t>
      </w:r>
      <w:r w:rsidRPr="00BA4563">
        <w:rPr>
          <w:rFonts w:ascii="Times New Roman" w:hAnsi="Times New Roman"/>
          <w:bCs/>
          <w:sz w:val="24"/>
          <w:szCs w:val="24"/>
        </w:rPr>
        <w:t xml:space="preserve"> ietvaros iepērkamo elektroenerģiju</w:t>
      </w:r>
      <w:r>
        <w:rPr>
          <w:rFonts w:ascii="Times New Roman" w:hAnsi="Times New Roman"/>
          <w:bCs/>
          <w:sz w:val="24"/>
          <w:szCs w:val="24"/>
        </w:rPr>
        <w:t>”, ja visi faktiskie dati jau šobrīd ir EM rīcībā?</w:t>
      </w:r>
    </w:p>
    <w:p w14:paraId="51C3FF68" w14:textId="4CFE63FC" w:rsidR="00BA4563" w:rsidRPr="00182A69" w:rsidRDefault="00182A69" w:rsidP="00182A69">
      <w:pPr>
        <w:pStyle w:val="ListParagraph"/>
        <w:numPr>
          <w:ilvl w:val="0"/>
          <w:numId w:val="39"/>
        </w:numPr>
        <w:spacing w:before="60" w:after="0" w:line="240" w:lineRule="auto"/>
        <w:contextualSpacing w:val="0"/>
        <w:jc w:val="both"/>
        <w:rPr>
          <w:rFonts w:ascii="Times New Roman" w:hAnsi="Times New Roman"/>
          <w:b/>
          <w:i/>
          <w:iCs/>
          <w:sz w:val="24"/>
          <w:szCs w:val="24"/>
        </w:rPr>
      </w:pPr>
      <w:r w:rsidRPr="00182A69">
        <w:rPr>
          <w:rFonts w:ascii="Times New Roman" w:hAnsi="Times New Roman"/>
          <w:b/>
          <w:i/>
          <w:iCs/>
          <w:sz w:val="24"/>
          <w:szCs w:val="24"/>
        </w:rPr>
        <w:t>k</w:t>
      </w:r>
      <w:r w:rsidR="00BA4563" w:rsidRPr="00182A69">
        <w:rPr>
          <w:rFonts w:ascii="Times New Roman" w:hAnsi="Times New Roman"/>
          <w:b/>
          <w:i/>
          <w:iCs/>
          <w:sz w:val="24"/>
          <w:szCs w:val="24"/>
        </w:rPr>
        <w:t>atru gadu AER ražotāji ir snieguši elektrostaciju gada pārskatus, no kuriem šīs stundas ir viegli aprēķināmas, ņemot vērā uzstādīto jaudu un saražotās enerģijas daudzumu</w:t>
      </w:r>
      <w:r>
        <w:rPr>
          <w:rFonts w:ascii="Times New Roman" w:hAnsi="Times New Roman"/>
          <w:b/>
          <w:i/>
          <w:iCs/>
          <w:sz w:val="24"/>
          <w:szCs w:val="24"/>
        </w:rPr>
        <w:t>!</w:t>
      </w:r>
    </w:p>
    <w:p w14:paraId="70C2EA1C" w14:textId="6952CA45" w:rsidR="00BA4563" w:rsidRDefault="00BB689A" w:rsidP="0070582F">
      <w:pPr>
        <w:pStyle w:val="ListParagraph"/>
        <w:numPr>
          <w:ilvl w:val="0"/>
          <w:numId w:val="36"/>
        </w:numPr>
        <w:spacing w:before="240" w:after="120" w:line="240" w:lineRule="auto"/>
        <w:ind w:left="714" w:hanging="357"/>
        <w:contextualSpacing w:val="0"/>
        <w:jc w:val="both"/>
        <w:rPr>
          <w:rFonts w:ascii="Times New Roman" w:hAnsi="Times New Roman"/>
          <w:bCs/>
          <w:sz w:val="24"/>
          <w:szCs w:val="24"/>
        </w:rPr>
      </w:pPr>
      <w:r>
        <w:rPr>
          <w:rFonts w:ascii="Times New Roman" w:hAnsi="Times New Roman"/>
          <w:bCs/>
          <w:sz w:val="24"/>
          <w:szCs w:val="24"/>
        </w:rPr>
        <w:t>Pielikuma 9. punkta 9.1.</w:t>
      </w:r>
      <w:r w:rsidR="00DE1E4D">
        <w:rPr>
          <w:rFonts w:ascii="Times New Roman" w:hAnsi="Times New Roman"/>
          <w:bCs/>
          <w:sz w:val="24"/>
          <w:szCs w:val="24"/>
        </w:rPr>
        <w:t> </w:t>
      </w:r>
      <w:r>
        <w:rPr>
          <w:rFonts w:ascii="Times New Roman" w:hAnsi="Times New Roman"/>
          <w:bCs/>
          <w:sz w:val="24"/>
          <w:szCs w:val="24"/>
        </w:rPr>
        <w:t>līdz 9.4. apakšpunktā ietvertas formulas elektrostaciju izdevumu aprēķināšanai:</w:t>
      </w:r>
    </w:p>
    <w:p w14:paraId="06AB6D1A" w14:textId="40AE7146" w:rsidR="00BB689A" w:rsidRPr="00FE371B" w:rsidRDefault="0070582F" w:rsidP="00182A69">
      <w:pPr>
        <w:pStyle w:val="ListParagraph"/>
        <w:numPr>
          <w:ilvl w:val="0"/>
          <w:numId w:val="39"/>
        </w:numPr>
        <w:spacing w:before="60" w:after="0" w:line="240" w:lineRule="auto"/>
        <w:contextualSpacing w:val="0"/>
        <w:jc w:val="both"/>
        <w:rPr>
          <w:rFonts w:ascii="Times New Roman" w:hAnsi="Times New Roman"/>
          <w:b/>
          <w:i/>
          <w:iCs/>
          <w:color w:val="FF0000"/>
          <w:sz w:val="24"/>
          <w:szCs w:val="24"/>
        </w:rPr>
      </w:pPr>
      <w:r w:rsidRPr="00FE371B">
        <w:rPr>
          <w:rFonts w:ascii="Times New Roman" w:hAnsi="Times New Roman"/>
          <w:b/>
          <w:i/>
          <w:iCs/>
          <w:color w:val="FF0000"/>
          <w:sz w:val="24"/>
          <w:szCs w:val="24"/>
        </w:rPr>
        <w:t xml:space="preserve">kategoriski norādām, ka šādas formulas mākslīgi </w:t>
      </w:r>
      <w:r w:rsidR="00DE1E4D" w:rsidRPr="00FE371B">
        <w:rPr>
          <w:rFonts w:ascii="Times New Roman" w:hAnsi="Times New Roman"/>
          <w:b/>
          <w:i/>
          <w:iCs/>
          <w:color w:val="FF0000"/>
          <w:sz w:val="24"/>
          <w:szCs w:val="24"/>
        </w:rPr>
        <w:t xml:space="preserve">un bez jebkāda pamatojuma </w:t>
      </w:r>
      <w:r w:rsidRPr="00FE371B">
        <w:rPr>
          <w:rFonts w:ascii="Times New Roman" w:hAnsi="Times New Roman"/>
          <w:b/>
          <w:i/>
          <w:iCs/>
          <w:color w:val="FF0000"/>
          <w:sz w:val="24"/>
          <w:szCs w:val="24"/>
        </w:rPr>
        <w:t>samazina visu veidu AER elektrostaciju izdevumu daļu IRR aprēķinā un līdz ar to ir prettiesiskas !!!</w:t>
      </w:r>
    </w:p>
    <w:p w14:paraId="089C4C0C" w14:textId="6B6899BE" w:rsidR="0070582F" w:rsidRPr="00FE371B" w:rsidRDefault="00182A69" w:rsidP="00182A69">
      <w:pPr>
        <w:pStyle w:val="ListParagraph"/>
        <w:numPr>
          <w:ilvl w:val="0"/>
          <w:numId w:val="39"/>
        </w:numPr>
        <w:spacing w:before="60" w:after="0" w:line="240" w:lineRule="auto"/>
        <w:contextualSpacing w:val="0"/>
        <w:jc w:val="both"/>
        <w:rPr>
          <w:rFonts w:ascii="Times New Roman" w:hAnsi="Times New Roman"/>
          <w:b/>
          <w:i/>
          <w:iCs/>
          <w:sz w:val="24"/>
          <w:szCs w:val="24"/>
        </w:rPr>
      </w:pPr>
      <w:r w:rsidRPr="00FE371B">
        <w:rPr>
          <w:rFonts w:ascii="Times New Roman" w:hAnsi="Times New Roman"/>
          <w:b/>
          <w:i/>
          <w:iCs/>
          <w:sz w:val="24"/>
          <w:szCs w:val="24"/>
        </w:rPr>
        <w:t>šajās formulās apzināti vai neapzināti, bet tiek ignorētas būtiskas ikvienas AER elektrostacijas izdevumu pozīcijas, kuras apkopotas augstāk šā atzinuma 6. punkta 4) apakšpunktā</w:t>
      </w:r>
      <w:r w:rsidR="00DE1E4D" w:rsidRPr="00FE371B">
        <w:rPr>
          <w:rFonts w:ascii="Times New Roman" w:hAnsi="Times New Roman"/>
          <w:b/>
          <w:i/>
          <w:iCs/>
          <w:sz w:val="24"/>
          <w:szCs w:val="24"/>
        </w:rPr>
        <w:t>.</w:t>
      </w:r>
      <w:r w:rsidRPr="00FE371B">
        <w:rPr>
          <w:rFonts w:ascii="Times New Roman" w:hAnsi="Times New Roman"/>
          <w:b/>
          <w:i/>
          <w:iCs/>
          <w:sz w:val="24"/>
          <w:szCs w:val="24"/>
        </w:rPr>
        <w:t xml:space="preserve"> </w:t>
      </w:r>
    </w:p>
    <w:p w14:paraId="1549D8B2" w14:textId="520A5504" w:rsidR="00182A69" w:rsidRPr="00FE371B" w:rsidRDefault="00182A69" w:rsidP="00182A69">
      <w:pPr>
        <w:pStyle w:val="ListParagraph"/>
        <w:numPr>
          <w:ilvl w:val="0"/>
          <w:numId w:val="36"/>
        </w:numPr>
        <w:spacing w:before="240" w:after="120" w:line="240" w:lineRule="auto"/>
        <w:ind w:left="714" w:hanging="357"/>
        <w:contextualSpacing w:val="0"/>
        <w:jc w:val="both"/>
        <w:rPr>
          <w:rFonts w:ascii="Times New Roman" w:hAnsi="Times New Roman"/>
          <w:bCs/>
          <w:sz w:val="24"/>
          <w:szCs w:val="24"/>
        </w:rPr>
      </w:pPr>
      <w:r w:rsidRPr="00FE371B">
        <w:rPr>
          <w:rFonts w:ascii="Times New Roman" w:hAnsi="Times New Roman"/>
          <w:bCs/>
          <w:sz w:val="24"/>
          <w:szCs w:val="24"/>
        </w:rPr>
        <w:t xml:space="preserve">Pielikuma II. daļas 1. tabulā piedāvāta katra AER elektrostaciju veida ekspluatācijas izmaksu </w:t>
      </w:r>
      <w:proofErr w:type="spellStart"/>
      <w:r w:rsidRPr="00FE371B">
        <w:rPr>
          <w:rFonts w:ascii="Times New Roman" w:hAnsi="Times New Roman"/>
          <w:bCs/>
          <w:sz w:val="24"/>
          <w:szCs w:val="24"/>
        </w:rPr>
        <w:t>līmeņatzīme</w:t>
      </w:r>
      <w:proofErr w:type="spellEnd"/>
      <w:r w:rsidR="00DE1E4D" w:rsidRPr="00FE371B">
        <w:rPr>
          <w:rFonts w:ascii="Times New Roman" w:hAnsi="Times New Roman"/>
          <w:bCs/>
          <w:sz w:val="24"/>
          <w:szCs w:val="24"/>
        </w:rPr>
        <w:t xml:space="preserve">, tās </w:t>
      </w:r>
      <w:r w:rsidR="00701AB6">
        <w:rPr>
          <w:rFonts w:ascii="Times New Roman" w:hAnsi="Times New Roman"/>
          <w:bCs/>
          <w:sz w:val="24"/>
          <w:szCs w:val="24"/>
        </w:rPr>
        <w:t>patvaļīgi</w:t>
      </w:r>
      <w:r w:rsidR="00DE1E4D" w:rsidRPr="00FE371B">
        <w:rPr>
          <w:rFonts w:ascii="Times New Roman" w:hAnsi="Times New Roman"/>
          <w:bCs/>
          <w:sz w:val="24"/>
          <w:szCs w:val="24"/>
        </w:rPr>
        <w:t xml:space="preserve"> nosakot 1 % līdz 4 % apmērā no “veiktajām investīcijām gadā”</w:t>
      </w:r>
      <w:r w:rsidRPr="00FE371B">
        <w:rPr>
          <w:rFonts w:ascii="Times New Roman" w:hAnsi="Times New Roman"/>
          <w:bCs/>
          <w:sz w:val="24"/>
          <w:szCs w:val="24"/>
        </w:rPr>
        <w:t>:</w:t>
      </w:r>
    </w:p>
    <w:p w14:paraId="7561DF01" w14:textId="63C7CE19" w:rsidR="00802D76" w:rsidRPr="00895FD8" w:rsidRDefault="00FE371B" w:rsidP="002649FD">
      <w:pPr>
        <w:pStyle w:val="ListParagraph"/>
        <w:numPr>
          <w:ilvl w:val="0"/>
          <w:numId w:val="48"/>
        </w:numPr>
        <w:spacing w:before="60" w:after="0" w:line="240" w:lineRule="auto"/>
        <w:ind w:left="1429" w:hanging="357"/>
        <w:contextualSpacing w:val="0"/>
        <w:jc w:val="both"/>
        <w:rPr>
          <w:rFonts w:ascii="Times New Roman" w:hAnsi="Times New Roman"/>
          <w:b/>
          <w:i/>
          <w:iCs/>
          <w:color w:val="FF0000"/>
          <w:sz w:val="24"/>
          <w:szCs w:val="24"/>
        </w:rPr>
      </w:pPr>
      <w:r w:rsidRPr="00895FD8">
        <w:rPr>
          <w:rFonts w:ascii="Times New Roman" w:hAnsi="Times New Roman"/>
          <w:b/>
          <w:i/>
          <w:iCs/>
          <w:color w:val="FF0000"/>
          <w:sz w:val="24"/>
          <w:szCs w:val="24"/>
        </w:rPr>
        <w:t xml:space="preserve">kategoriski nepiekrītam piedāvātajām </w:t>
      </w:r>
      <w:proofErr w:type="spellStart"/>
      <w:r w:rsidRPr="00895FD8">
        <w:rPr>
          <w:rFonts w:ascii="Times New Roman" w:hAnsi="Times New Roman"/>
          <w:b/>
          <w:i/>
          <w:iCs/>
          <w:color w:val="FF0000"/>
          <w:sz w:val="24"/>
          <w:szCs w:val="24"/>
        </w:rPr>
        <w:t>līmeņatzīmēm</w:t>
      </w:r>
      <w:proofErr w:type="spellEnd"/>
      <w:r w:rsidRPr="00895FD8">
        <w:rPr>
          <w:rFonts w:ascii="Times New Roman" w:hAnsi="Times New Roman"/>
          <w:b/>
          <w:i/>
          <w:iCs/>
          <w:color w:val="FF0000"/>
          <w:sz w:val="24"/>
          <w:szCs w:val="24"/>
        </w:rPr>
        <w:t xml:space="preserve"> visiem AER elektrostaciju veidiem !!!</w:t>
      </w:r>
    </w:p>
    <w:p w14:paraId="033A8E05" w14:textId="56AE7CCD" w:rsidR="00FE371B" w:rsidRPr="00895FD8" w:rsidRDefault="00FE371B" w:rsidP="002649FD">
      <w:pPr>
        <w:pStyle w:val="ListParagraph"/>
        <w:numPr>
          <w:ilvl w:val="0"/>
          <w:numId w:val="48"/>
        </w:numPr>
        <w:spacing w:before="60" w:after="0" w:line="240" w:lineRule="auto"/>
        <w:ind w:left="1429" w:hanging="357"/>
        <w:contextualSpacing w:val="0"/>
        <w:jc w:val="both"/>
        <w:rPr>
          <w:rFonts w:ascii="Times New Roman" w:hAnsi="Times New Roman"/>
          <w:b/>
          <w:i/>
          <w:iCs/>
          <w:color w:val="FF0000"/>
          <w:sz w:val="24"/>
          <w:szCs w:val="24"/>
        </w:rPr>
      </w:pPr>
      <w:r w:rsidRPr="00895FD8">
        <w:rPr>
          <w:rFonts w:ascii="Times New Roman" w:hAnsi="Times New Roman"/>
          <w:b/>
          <w:i/>
          <w:iCs/>
          <w:color w:val="FF0000"/>
          <w:sz w:val="24"/>
          <w:szCs w:val="24"/>
        </w:rPr>
        <w:t xml:space="preserve">kategoriski pastāvam uz to, ka ekspluatācijas izmaksu noteikšanā </w:t>
      </w:r>
      <w:r w:rsidRPr="00895FD8">
        <w:rPr>
          <w:rFonts w:ascii="Times New Roman" w:hAnsi="Times New Roman"/>
          <w:b/>
          <w:i/>
          <w:iCs/>
          <w:color w:val="FF0000"/>
          <w:sz w:val="24"/>
          <w:szCs w:val="24"/>
          <w:u w:val="single"/>
        </w:rPr>
        <w:t>prioritāte dodama faktiskajiem datiem</w:t>
      </w:r>
      <w:r w:rsidRPr="00895FD8">
        <w:rPr>
          <w:rFonts w:ascii="Times New Roman" w:hAnsi="Times New Roman"/>
          <w:b/>
          <w:i/>
          <w:iCs/>
          <w:color w:val="FF0000"/>
          <w:sz w:val="24"/>
          <w:szCs w:val="24"/>
        </w:rPr>
        <w:t xml:space="preserve">, </w:t>
      </w:r>
      <w:r w:rsidR="00701AB6" w:rsidRPr="00895FD8">
        <w:rPr>
          <w:rFonts w:ascii="Times New Roman" w:hAnsi="Times New Roman"/>
          <w:b/>
          <w:i/>
          <w:iCs/>
          <w:color w:val="FF0000"/>
          <w:sz w:val="24"/>
          <w:szCs w:val="24"/>
        </w:rPr>
        <w:t xml:space="preserve">tos atbilstoši analizējot, </w:t>
      </w:r>
      <w:r w:rsidRPr="00895FD8">
        <w:rPr>
          <w:rFonts w:ascii="Times New Roman" w:hAnsi="Times New Roman"/>
          <w:b/>
          <w:i/>
          <w:iCs/>
          <w:color w:val="FF0000"/>
          <w:sz w:val="24"/>
          <w:szCs w:val="24"/>
        </w:rPr>
        <w:t xml:space="preserve">bet </w:t>
      </w:r>
      <w:r w:rsidRPr="00895FD8">
        <w:rPr>
          <w:rFonts w:ascii="Times New Roman" w:hAnsi="Times New Roman"/>
          <w:b/>
          <w:i/>
          <w:iCs/>
          <w:color w:val="FF0000"/>
          <w:sz w:val="24"/>
          <w:szCs w:val="24"/>
          <w:u w:val="single"/>
        </w:rPr>
        <w:t>pamatotas</w:t>
      </w:r>
      <w:r w:rsidRPr="00895FD8">
        <w:rPr>
          <w:rFonts w:ascii="Times New Roman" w:hAnsi="Times New Roman"/>
          <w:b/>
          <w:i/>
          <w:iCs/>
          <w:color w:val="FF0000"/>
          <w:sz w:val="24"/>
          <w:szCs w:val="24"/>
        </w:rPr>
        <w:t xml:space="preserve"> </w:t>
      </w:r>
      <w:proofErr w:type="spellStart"/>
      <w:r w:rsidRPr="00895FD8">
        <w:rPr>
          <w:rFonts w:ascii="Times New Roman" w:hAnsi="Times New Roman"/>
          <w:b/>
          <w:i/>
          <w:iCs/>
          <w:color w:val="FF0000"/>
          <w:sz w:val="24"/>
          <w:szCs w:val="24"/>
        </w:rPr>
        <w:t>līmeņatzīmes</w:t>
      </w:r>
      <w:proofErr w:type="spellEnd"/>
      <w:r w:rsidRPr="00895FD8">
        <w:rPr>
          <w:rFonts w:ascii="Times New Roman" w:hAnsi="Times New Roman"/>
          <w:b/>
          <w:i/>
          <w:iCs/>
          <w:color w:val="FF0000"/>
          <w:sz w:val="24"/>
          <w:szCs w:val="24"/>
        </w:rPr>
        <w:t xml:space="preserve"> piemērojamas tikai faktisko datu </w:t>
      </w:r>
      <w:r w:rsidRPr="00895FD8">
        <w:rPr>
          <w:rFonts w:ascii="Times New Roman" w:hAnsi="Times New Roman"/>
          <w:b/>
          <w:i/>
          <w:iCs/>
          <w:color w:val="FF0000"/>
          <w:sz w:val="24"/>
          <w:szCs w:val="24"/>
          <w:u w:val="single"/>
        </w:rPr>
        <w:t>neesamības gadījumā</w:t>
      </w:r>
      <w:r w:rsidRPr="00895FD8">
        <w:rPr>
          <w:rFonts w:ascii="Times New Roman" w:hAnsi="Times New Roman"/>
          <w:b/>
          <w:i/>
          <w:iCs/>
          <w:color w:val="FF0000"/>
          <w:sz w:val="24"/>
          <w:szCs w:val="24"/>
        </w:rPr>
        <w:t xml:space="preserve">;  </w:t>
      </w:r>
    </w:p>
    <w:p w14:paraId="6B31F11A" w14:textId="70ABF33A" w:rsidR="00802D76" w:rsidRPr="00895FD8" w:rsidRDefault="00FE371B" w:rsidP="002649FD">
      <w:pPr>
        <w:pStyle w:val="ListParagraph"/>
        <w:numPr>
          <w:ilvl w:val="0"/>
          <w:numId w:val="48"/>
        </w:numPr>
        <w:spacing w:before="60" w:after="0" w:line="240" w:lineRule="auto"/>
        <w:ind w:left="1429" w:hanging="357"/>
        <w:contextualSpacing w:val="0"/>
        <w:jc w:val="both"/>
        <w:rPr>
          <w:rFonts w:ascii="Times New Roman" w:hAnsi="Times New Roman"/>
          <w:bCs/>
          <w:sz w:val="24"/>
          <w:szCs w:val="24"/>
        </w:rPr>
      </w:pPr>
      <w:r w:rsidRPr="00895FD8">
        <w:rPr>
          <w:rFonts w:ascii="Times New Roman" w:hAnsi="Times New Roman"/>
          <w:bCs/>
          <w:sz w:val="24"/>
          <w:szCs w:val="24"/>
        </w:rPr>
        <w:t xml:space="preserve">šajā ziņā </w:t>
      </w:r>
      <w:r w:rsidR="00695823" w:rsidRPr="00895FD8">
        <w:rPr>
          <w:rFonts w:ascii="Times New Roman" w:hAnsi="Times New Roman"/>
          <w:bCs/>
          <w:sz w:val="24"/>
          <w:szCs w:val="24"/>
          <w:u w:val="single"/>
        </w:rPr>
        <w:t>skaidrojam Ekonomikas ministrijai</w:t>
      </w:r>
      <w:r w:rsidRPr="00895FD8">
        <w:rPr>
          <w:rFonts w:ascii="Times New Roman" w:hAnsi="Times New Roman"/>
          <w:bCs/>
          <w:sz w:val="24"/>
          <w:szCs w:val="24"/>
          <w:u w:val="single"/>
        </w:rPr>
        <w:t xml:space="preserve"> sekojošo:</w:t>
      </w:r>
    </w:p>
    <w:p w14:paraId="4CC0E17B" w14:textId="0488D274" w:rsidR="00C82ABD" w:rsidRDefault="00C82ABD" w:rsidP="00695823">
      <w:pPr>
        <w:pStyle w:val="NoSpacing"/>
        <w:spacing w:before="120" w:after="120"/>
        <w:jc w:val="both"/>
        <w:rPr>
          <w:rFonts w:ascii="Times New Roman" w:hAnsi="Times New Roman"/>
          <w:sz w:val="24"/>
          <w:szCs w:val="24"/>
        </w:rPr>
      </w:pPr>
      <w:r w:rsidRPr="00701AB6">
        <w:rPr>
          <w:rFonts w:ascii="Times New Roman" w:hAnsi="Times New Roman"/>
          <w:b/>
          <w:bCs/>
          <w:sz w:val="24"/>
          <w:szCs w:val="24"/>
          <w:u w:val="single"/>
        </w:rPr>
        <w:t>Pirmkārt</w:t>
      </w:r>
      <w:r w:rsidRPr="00701AB6">
        <w:rPr>
          <w:rFonts w:ascii="Times New Roman" w:hAnsi="Times New Roman"/>
          <w:sz w:val="24"/>
          <w:szCs w:val="24"/>
        </w:rPr>
        <w:t xml:space="preserve">, </w:t>
      </w:r>
      <w:r w:rsidR="00701AB6" w:rsidRPr="00701AB6">
        <w:rPr>
          <w:rFonts w:ascii="Times New Roman" w:hAnsi="Times New Roman"/>
          <w:sz w:val="24"/>
          <w:szCs w:val="24"/>
        </w:rPr>
        <w:t xml:space="preserve">attiecībā uz </w:t>
      </w:r>
      <w:proofErr w:type="spellStart"/>
      <w:r w:rsidR="00701AB6" w:rsidRPr="00701AB6">
        <w:rPr>
          <w:rFonts w:ascii="Times New Roman" w:hAnsi="Times New Roman"/>
          <w:sz w:val="24"/>
          <w:szCs w:val="24"/>
        </w:rPr>
        <w:t>līmeņatzīmēm</w:t>
      </w:r>
      <w:proofErr w:type="spellEnd"/>
      <w:r w:rsidR="00701AB6" w:rsidRPr="00701AB6">
        <w:rPr>
          <w:rFonts w:ascii="Times New Roman" w:hAnsi="Times New Roman"/>
          <w:sz w:val="24"/>
          <w:szCs w:val="24"/>
        </w:rPr>
        <w:t xml:space="preserve"> kopumā </w:t>
      </w:r>
      <w:r w:rsidRPr="00701AB6">
        <w:rPr>
          <w:rFonts w:ascii="Times New Roman" w:hAnsi="Times New Roman"/>
          <w:sz w:val="24"/>
          <w:szCs w:val="24"/>
        </w:rPr>
        <w:t xml:space="preserve">Ekonomikas ministrija nav pamatojusi </w:t>
      </w:r>
      <w:r w:rsidR="00701AB6" w:rsidRPr="00701AB6">
        <w:rPr>
          <w:rFonts w:ascii="Times New Roman" w:hAnsi="Times New Roman"/>
          <w:sz w:val="24"/>
          <w:szCs w:val="24"/>
        </w:rPr>
        <w:t>izvēlēto</w:t>
      </w:r>
      <w:r w:rsidR="00695823" w:rsidRPr="00701AB6">
        <w:rPr>
          <w:rFonts w:ascii="Times New Roman" w:hAnsi="Times New Roman"/>
          <w:sz w:val="24"/>
          <w:szCs w:val="24"/>
        </w:rPr>
        <w:t xml:space="preserve"> </w:t>
      </w:r>
      <w:proofErr w:type="spellStart"/>
      <w:r w:rsidRPr="00701AB6">
        <w:rPr>
          <w:rFonts w:ascii="Times New Roman" w:hAnsi="Times New Roman"/>
          <w:sz w:val="24"/>
          <w:szCs w:val="24"/>
        </w:rPr>
        <w:t>līmeņatzīmju</w:t>
      </w:r>
      <w:proofErr w:type="spellEnd"/>
      <w:r w:rsidRPr="00701AB6">
        <w:rPr>
          <w:rFonts w:ascii="Times New Roman" w:hAnsi="Times New Roman"/>
          <w:sz w:val="24"/>
          <w:szCs w:val="24"/>
        </w:rPr>
        <w:t xml:space="preserve"> noteikšanas metodiku. </w:t>
      </w:r>
      <w:r w:rsidR="00695823" w:rsidRPr="00701AB6">
        <w:rPr>
          <w:rFonts w:ascii="Times New Roman" w:hAnsi="Times New Roman"/>
          <w:sz w:val="24"/>
          <w:szCs w:val="24"/>
        </w:rPr>
        <w:t>Ļoti apšaubāmās kvalitātes SIA “</w:t>
      </w:r>
      <w:proofErr w:type="spellStart"/>
      <w:r w:rsidR="00733BE1" w:rsidRPr="00701AB6">
        <w:rPr>
          <w:rFonts w:ascii="Times New Roman" w:hAnsi="Times New Roman"/>
          <w:sz w:val="24"/>
          <w:szCs w:val="24"/>
        </w:rPr>
        <w:t>Smart</w:t>
      </w:r>
      <w:proofErr w:type="spellEnd"/>
      <w:r w:rsidR="00695823" w:rsidRPr="00701AB6">
        <w:rPr>
          <w:rFonts w:ascii="Times New Roman" w:hAnsi="Times New Roman"/>
          <w:sz w:val="24"/>
          <w:szCs w:val="24"/>
        </w:rPr>
        <w:t> </w:t>
      </w:r>
      <w:proofErr w:type="spellStart"/>
      <w:r w:rsidR="00695823" w:rsidRPr="00701AB6">
        <w:rPr>
          <w:rFonts w:ascii="Times New Roman" w:hAnsi="Times New Roman"/>
          <w:sz w:val="24"/>
          <w:szCs w:val="24"/>
        </w:rPr>
        <w:t>Continent</w:t>
      </w:r>
      <w:proofErr w:type="spellEnd"/>
      <w:r w:rsidR="00695823" w:rsidRPr="00701AB6">
        <w:rPr>
          <w:rFonts w:ascii="Times New Roman" w:hAnsi="Times New Roman"/>
          <w:sz w:val="24"/>
          <w:szCs w:val="24"/>
        </w:rPr>
        <w:t> LV” veiktā izpēte nekādā gadījumā par šādu pamatojumu nav atzīstama</w:t>
      </w:r>
      <w:r w:rsidR="00701AB6">
        <w:rPr>
          <w:rFonts w:ascii="Times New Roman" w:hAnsi="Times New Roman"/>
          <w:sz w:val="24"/>
          <w:szCs w:val="24"/>
        </w:rPr>
        <w:t>. Proti, kā</w:t>
      </w:r>
      <w:r w:rsidR="00695823" w:rsidRPr="00701AB6">
        <w:rPr>
          <w:rFonts w:ascii="Times New Roman" w:hAnsi="Times New Roman"/>
          <w:sz w:val="24"/>
          <w:szCs w:val="24"/>
        </w:rPr>
        <w:t xml:space="preserve"> LAEF </w:t>
      </w:r>
      <w:r w:rsidR="00701AB6" w:rsidRPr="00701AB6">
        <w:rPr>
          <w:rFonts w:ascii="Times New Roman" w:hAnsi="Times New Roman"/>
          <w:sz w:val="24"/>
          <w:szCs w:val="24"/>
        </w:rPr>
        <w:t xml:space="preserve">un MHEA </w:t>
      </w:r>
      <w:r w:rsidR="00695823" w:rsidRPr="00701AB6">
        <w:rPr>
          <w:rFonts w:ascii="Times New Roman" w:hAnsi="Times New Roman"/>
          <w:sz w:val="24"/>
          <w:szCs w:val="24"/>
        </w:rPr>
        <w:t>to jau izvērsti norādīju</w:t>
      </w:r>
      <w:r w:rsidR="00701AB6" w:rsidRPr="00701AB6">
        <w:rPr>
          <w:rFonts w:ascii="Times New Roman" w:hAnsi="Times New Roman"/>
          <w:sz w:val="24"/>
          <w:szCs w:val="24"/>
        </w:rPr>
        <w:t>šas attiecīgi</w:t>
      </w:r>
      <w:r w:rsidR="00695823" w:rsidRPr="00701AB6">
        <w:rPr>
          <w:rFonts w:ascii="Times New Roman" w:hAnsi="Times New Roman"/>
          <w:sz w:val="24"/>
          <w:szCs w:val="24"/>
        </w:rPr>
        <w:t xml:space="preserve"> 2020. gada 14. decembra atzinumā</w:t>
      </w:r>
      <w:r w:rsidR="00701AB6" w:rsidRPr="00701AB6">
        <w:rPr>
          <w:rFonts w:ascii="Times New Roman" w:hAnsi="Times New Roman"/>
          <w:sz w:val="24"/>
          <w:szCs w:val="24"/>
        </w:rPr>
        <w:t xml:space="preserve"> (skat. it īpaši minētā atzinuma </w:t>
      </w:r>
      <w:r w:rsidR="00701AB6">
        <w:rPr>
          <w:rFonts w:ascii="Times New Roman" w:hAnsi="Times New Roman"/>
          <w:sz w:val="24"/>
          <w:szCs w:val="24"/>
        </w:rPr>
        <w:t>8.–10</w:t>
      </w:r>
      <w:r w:rsidR="00701AB6" w:rsidRPr="00701AB6">
        <w:rPr>
          <w:rFonts w:ascii="Times New Roman" w:hAnsi="Times New Roman"/>
          <w:sz w:val="24"/>
          <w:szCs w:val="24"/>
        </w:rPr>
        <w:t>. lpp.) un 2020. gada 23. novembra atzinumā</w:t>
      </w:r>
      <w:r w:rsidR="00701AB6">
        <w:rPr>
          <w:rFonts w:ascii="Times New Roman" w:hAnsi="Times New Roman"/>
          <w:sz w:val="24"/>
          <w:szCs w:val="24"/>
        </w:rPr>
        <w:t xml:space="preserve"> </w:t>
      </w:r>
      <w:r w:rsidR="00701AB6" w:rsidRPr="00701AB6">
        <w:rPr>
          <w:rFonts w:ascii="Times New Roman" w:hAnsi="Times New Roman"/>
          <w:sz w:val="24"/>
          <w:szCs w:val="24"/>
        </w:rPr>
        <w:t xml:space="preserve">(skat. it īpaši minētā atzinuma </w:t>
      </w:r>
      <w:r w:rsidR="00701AB6">
        <w:rPr>
          <w:rFonts w:ascii="Times New Roman" w:hAnsi="Times New Roman"/>
          <w:sz w:val="24"/>
          <w:szCs w:val="24"/>
        </w:rPr>
        <w:t>2.–6</w:t>
      </w:r>
      <w:r w:rsidR="00701AB6" w:rsidRPr="00701AB6">
        <w:rPr>
          <w:rFonts w:ascii="Times New Roman" w:hAnsi="Times New Roman"/>
          <w:sz w:val="24"/>
          <w:szCs w:val="24"/>
        </w:rPr>
        <w:t>. lpp.)</w:t>
      </w:r>
      <w:r w:rsidR="00695823" w:rsidRPr="00701AB6">
        <w:rPr>
          <w:rFonts w:ascii="Times New Roman" w:hAnsi="Times New Roman"/>
          <w:sz w:val="24"/>
          <w:szCs w:val="24"/>
        </w:rPr>
        <w:t xml:space="preserve">, šajā izpētē pavirši citētais </w:t>
      </w:r>
      <w:r w:rsidR="008F3529" w:rsidRPr="00701AB6">
        <w:rPr>
          <w:rFonts w:ascii="Times New Roman" w:hAnsi="Times New Roman"/>
          <w:bCs/>
          <w:iCs/>
          <w:sz w:val="24"/>
          <w:szCs w:val="24"/>
        </w:rPr>
        <w:t>Eiropas Komisijas Kopīgā pētniecības centra (</w:t>
      </w:r>
      <w:r w:rsidR="008F3529" w:rsidRPr="00701AB6">
        <w:rPr>
          <w:rFonts w:ascii="Times New Roman" w:hAnsi="Times New Roman"/>
          <w:bCs/>
          <w:i/>
          <w:sz w:val="24"/>
          <w:szCs w:val="24"/>
        </w:rPr>
        <w:t>JRC</w:t>
      </w:r>
      <w:r w:rsidR="008F3529" w:rsidRPr="00701AB6">
        <w:rPr>
          <w:rFonts w:ascii="Times New Roman" w:hAnsi="Times New Roman"/>
          <w:bCs/>
          <w:iCs/>
          <w:sz w:val="24"/>
          <w:szCs w:val="24"/>
        </w:rPr>
        <w:t xml:space="preserve">) pētījums – uz kuru vienu pašu </w:t>
      </w:r>
      <w:r w:rsidR="00701AB6">
        <w:rPr>
          <w:rFonts w:ascii="Times New Roman" w:hAnsi="Times New Roman"/>
          <w:bCs/>
          <w:iCs/>
          <w:sz w:val="24"/>
          <w:szCs w:val="24"/>
        </w:rPr>
        <w:t xml:space="preserve">acīmredzami </w:t>
      </w:r>
      <w:r w:rsidR="008F3529" w:rsidRPr="00701AB6">
        <w:rPr>
          <w:rFonts w:ascii="Times New Roman" w:hAnsi="Times New Roman"/>
          <w:bCs/>
          <w:iCs/>
          <w:sz w:val="24"/>
          <w:szCs w:val="24"/>
        </w:rPr>
        <w:t xml:space="preserve">ir balstītas </w:t>
      </w:r>
      <w:r w:rsidR="008F3529" w:rsidRPr="00701AB6">
        <w:rPr>
          <w:rFonts w:ascii="Times New Roman" w:hAnsi="Times New Roman"/>
          <w:sz w:val="24"/>
          <w:szCs w:val="24"/>
        </w:rPr>
        <w:t>SIA “</w:t>
      </w:r>
      <w:proofErr w:type="spellStart"/>
      <w:r w:rsidR="008F3529" w:rsidRPr="00701AB6">
        <w:rPr>
          <w:rFonts w:ascii="Times New Roman" w:hAnsi="Times New Roman"/>
          <w:sz w:val="24"/>
          <w:szCs w:val="24"/>
        </w:rPr>
        <w:t>Smart</w:t>
      </w:r>
      <w:proofErr w:type="spellEnd"/>
      <w:r w:rsidR="008F3529" w:rsidRPr="00701AB6">
        <w:rPr>
          <w:rFonts w:ascii="Times New Roman" w:hAnsi="Times New Roman"/>
          <w:sz w:val="24"/>
          <w:szCs w:val="24"/>
        </w:rPr>
        <w:t> </w:t>
      </w:r>
      <w:proofErr w:type="spellStart"/>
      <w:r w:rsidR="008F3529" w:rsidRPr="00701AB6">
        <w:rPr>
          <w:rFonts w:ascii="Times New Roman" w:hAnsi="Times New Roman"/>
          <w:sz w:val="24"/>
          <w:szCs w:val="24"/>
        </w:rPr>
        <w:t>Continent</w:t>
      </w:r>
      <w:proofErr w:type="spellEnd"/>
      <w:r w:rsidR="008F3529" w:rsidRPr="00701AB6">
        <w:rPr>
          <w:rFonts w:ascii="Times New Roman" w:hAnsi="Times New Roman"/>
          <w:sz w:val="24"/>
          <w:szCs w:val="24"/>
        </w:rPr>
        <w:t xml:space="preserve"> LV” veiktajā izpētē piedāvātās ekspluatācijas izmaksu </w:t>
      </w:r>
      <w:proofErr w:type="spellStart"/>
      <w:r w:rsidR="008F3529" w:rsidRPr="00701AB6">
        <w:rPr>
          <w:rFonts w:ascii="Times New Roman" w:hAnsi="Times New Roman"/>
          <w:sz w:val="24"/>
          <w:szCs w:val="24"/>
        </w:rPr>
        <w:t>līmeņatzīmes</w:t>
      </w:r>
      <w:proofErr w:type="spellEnd"/>
      <w:r w:rsidR="008F3529" w:rsidRPr="00701AB6">
        <w:rPr>
          <w:rFonts w:ascii="Times New Roman" w:hAnsi="Times New Roman"/>
          <w:sz w:val="24"/>
          <w:szCs w:val="24"/>
        </w:rPr>
        <w:t xml:space="preserve"> – </w:t>
      </w:r>
      <w:r w:rsidR="00695823" w:rsidRPr="00701AB6">
        <w:rPr>
          <w:rFonts w:ascii="Times New Roman" w:hAnsi="Times New Roman"/>
          <w:sz w:val="24"/>
          <w:szCs w:val="24"/>
        </w:rPr>
        <w:t xml:space="preserve">attiecībā uz AER elektrostaciju ekspluatācijas izmaksām ir saprotams tikai kā aptuvenās ekspluatācijas izmaksas, ar kādām </w:t>
      </w:r>
      <w:r w:rsidR="00695823" w:rsidRPr="00701AB6">
        <w:rPr>
          <w:rFonts w:ascii="Times New Roman" w:hAnsi="Times New Roman"/>
          <w:sz w:val="24"/>
          <w:szCs w:val="24"/>
          <w:u w:val="single"/>
        </w:rPr>
        <w:t>nākotnē varētu rēķināties</w:t>
      </w:r>
      <w:r w:rsidR="00695823" w:rsidRPr="00701AB6">
        <w:rPr>
          <w:rFonts w:ascii="Times New Roman" w:hAnsi="Times New Roman"/>
          <w:sz w:val="24"/>
          <w:szCs w:val="24"/>
        </w:rPr>
        <w:t xml:space="preserve"> lielu AER projektu īstenotāji</w:t>
      </w:r>
      <w:r w:rsidR="008F3529" w:rsidRPr="00701AB6">
        <w:rPr>
          <w:rFonts w:ascii="Times New Roman" w:hAnsi="Times New Roman"/>
          <w:sz w:val="24"/>
          <w:szCs w:val="24"/>
        </w:rPr>
        <w:t xml:space="preserve"> pasaules mērogā</w:t>
      </w:r>
      <w:r w:rsidR="00695823" w:rsidRPr="00701AB6">
        <w:rPr>
          <w:rFonts w:ascii="Times New Roman" w:hAnsi="Times New Roman"/>
          <w:sz w:val="24"/>
          <w:szCs w:val="24"/>
        </w:rPr>
        <w:t xml:space="preserve">, taču </w:t>
      </w:r>
      <w:r w:rsidR="008F3529" w:rsidRPr="00701AB6">
        <w:rPr>
          <w:rFonts w:ascii="Times New Roman" w:hAnsi="Times New Roman"/>
          <w:sz w:val="24"/>
          <w:szCs w:val="24"/>
        </w:rPr>
        <w:t>minēta</w:t>
      </w:r>
      <w:r w:rsidR="00695823" w:rsidRPr="00701AB6">
        <w:rPr>
          <w:rFonts w:ascii="Times New Roman" w:hAnsi="Times New Roman"/>
          <w:sz w:val="24"/>
          <w:szCs w:val="24"/>
        </w:rPr>
        <w:t xml:space="preserve">jā </w:t>
      </w:r>
      <w:r w:rsidR="008F3529" w:rsidRPr="00701AB6">
        <w:rPr>
          <w:rFonts w:ascii="Times New Roman" w:hAnsi="Times New Roman"/>
          <w:i/>
          <w:iCs/>
          <w:sz w:val="24"/>
          <w:szCs w:val="24"/>
        </w:rPr>
        <w:t>JRC</w:t>
      </w:r>
      <w:r w:rsidR="008F3529" w:rsidRPr="00701AB6">
        <w:rPr>
          <w:rFonts w:ascii="Times New Roman" w:hAnsi="Times New Roman"/>
          <w:sz w:val="24"/>
          <w:szCs w:val="24"/>
        </w:rPr>
        <w:t xml:space="preserve"> </w:t>
      </w:r>
      <w:r w:rsidR="008F3529" w:rsidRPr="00701AB6">
        <w:rPr>
          <w:rFonts w:ascii="Times New Roman" w:hAnsi="Times New Roman"/>
          <w:sz w:val="24"/>
          <w:szCs w:val="24"/>
        </w:rPr>
        <w:lastRenderedPageBreak/>
        <w:t>pētījumā</w:t>
      </w:r>
      <w:r w:rsidR="00695823" w:rsidRPr="00701AB6">
        <w:rPr>
          <w:rFonts w:ascii="Times New Roman" w:hAnsi="Times New Roman"/>
          <w:sz w:val="24"/>
          <w:szCs w:val="24"/>
        </w:rPr>
        <w:t xml:space="preserve"> </w:t>
      </w:r>
      <w:r w:rsidR="008F3529" w:rsidRPr="00701AB6">
        <w:rPr>
          <w:rFonts w:ascii="Times New Roman" w:hAnsi="Times New Roman"/>
          <w:sz w:val="24"/>
          <w:szCs w:val="24"/>
        </w:rPr>
        <w:t>secinātais</w:t>
      </w:r>
      <w:r w:rsidR="00695823" w:rsidRPr="00701AB6">
        <w:rPr>
          <w:rFonts w:ascii="Times New Roman" w:hAnsi="Times New Roman"/>
          <w:sz w:val="24"/>
          <w:szCs w:val="24"/>
        </w:rPr>
        <w:t xml:space="preserve"> nekādi nevar tikt attiecināts uz </w:t>
      </w:r>
      <w:r w:rsidR="008F3529" w:rsidRPr="00701AB6">
        <w:rPr>
          <w:rFonts w:ascii="Times New Roman" w:hAnsi="Times New Roman"/>
          <w:sz w:val="24"/>
          <w:szCs w:val="24"/>
        </w:rPr>
        <w:t xml:space="preserve">mazu un mikro </w:t>
      </w:r>
      <w:r w:rsidR="00695823" w:rsidRPr="00701AB6">
        <w:rPr>
          <w:rFonts w:ascii="Times New Roman" w:hAnsi="Times New Roman"/>
          <w:sz w:val="24"/>
          <w:szCs w:val="24"/>
        </w:rPr>
        <w:t>AER elektrostaciju Latvijā darbību</w:t>
      </w:r>
      <w:r w:rsidR="008F3529" w:rsidRPr="00701AB6">
        <w:rPr>
          <w:rFonts w:ascii="Times New Roman" w:hAnsi="Times New Roman"/>
          <w:sz w:val="24"/>
          <w:szCs w:val="24"/>
        </w:rPr>
        <w:t xml:space="preserve"> un </w:t>
      </w:r>
      <w:r w:rsidR="008F3529" w:rsidRPr="00701AB6">
        <w:rPr>
          <w:rFonts w:ascii="Times New Roman" w:hAnsi="Times New Roman"/>
          <w:sz w:val="24"/>
          <w:szCs w:val="24"/>
          <w:u w:val="single"/>
        </w:rPr>
        <w:t xml:space="preserve">jo </w:t>
      </w:r>
      <w:r w:rsidR="00695823" w:rsidRPr="00701AB6">
        <w:rPr>
          <w:rFonts w:ascii="Times New Roman" w:hAnsi="Times New Roman"/>
          <w:sz w:val="24"/>
          <w:szCs w:val="24"/>
          <w:u w:val="single"/>
        </w:rPr>
        <w:t xml:space="preserve">īpaši jau uz </w:t>
      </w:r>
      <w:r w:rsidR="008F3529" w:rsidRPr="00701AB6">
        <w:rPr>
          <w:rFonts w:ascii="Times New Roman" w:hAnsi="Times New Roman"/>
          <w:sz w:val="24"/>
          <w:szCs w:val="24"/>
          <w:u w:val="single"/>
        </w:rPr>
        <w:t xml:space="preserve">ekspluatācijas izmaksām </w:t>
      </w:r>
      <w:r w:rsidR="00695823" w:rsidRPr="00701AB6">
        <w:rPr>
          <w:rFonts w:ascii="Times New Roman" w:hAnsi="Times New Roman"/>
          <w:sz w:val="24"/>
          <w:szCs w:val="24"/>
          <w:u w:val="single"/>
        </w:rPr>
        <w:t>pagātnes period</w:t>
      </w:r>
      <w:r w:rsidR="008F3529" w:rsidRPr="00701AB6">
        <w:rPr>
          <w:rFonts w:ascii="Times New Roman" w:hAnsi="Times New Roman"/>
          <w:sz w:val="24"/>
          <w:szCs w:val="24"/>
          <w:u w:val="single"/>
        </w:rPr>
        <w:t>os</w:t>
      </w:r>
      <w:r w:rsidR="008F3529" w:rsidRPr="00701AB6">
        <w:rPr>
          <w:rFonts w:ascii="Times New Roman" w:hAnsi="Times New Roman"/>
          <w:sz w:val="24"/>
          <w:szCs w:val="24"/>
        </w:rPr>
        <w:t xml:space="preserve"> kopš OI tiesību piešķiršanas</w:t>
      </w:r>
      <w:r w:rsidR="00695823" w:rsidRPr="00701AB6">
        <w:rPr>
          <w:rFonts w:ascii="Times New Roman" w:hAnsi="Times New Roman"/>
          <w:sz w:val="24"/>
          <w:szCs w:val="24"/>
        </w:rPr>
        <w:t>.</w:t>
      </w:r>
    </w:p>
    <w:p w14:paraId="21D0689C" w14:textId="6446DB79" w:rsidR="008F3529" w:rsidRPr="00701AB6" w:rsidRDefault="00C82ABD" w:rsidP="00C82ABD">
      <w:pPr>
        <w:pStyle w:val="NoSpacing"/>
        <w:spacing w:before="120" w:after="120"/>
        <w:jc w:val="both"/>
        <w:rPr>
          <w:rFonts w:ascii="Times New Roman" w:hAnsi="Times New Roman"/>
          <w:sz w:val="24"/>
          <w:szCs w:val="24"/>
        </w:rPr>
      </w:pPr>
      <w:r w:rsidRPr="00895FD8">
        <w:rPr>
          <w:rFonts w:ascii="Times New Roman" w:hAnsi="Times New Roman"/>
          <w:b/>
          <w:bCs/>
          <w:sz w:val="24"/>
          <w:szCs w:val="24"/>
          <w:u w:val="single"/>
        </w:rPr>
        <w:t>Otrkārt</w:t>
      </w:r>
      <w:r w:rsidRPr="00895FD8">
        <w:rPr>
          <w:rFonts w:ascii="Times New Roman" w:hAnsi="Times New Roman"/>
          <w:sz w:val="24"/>
          <w:szCs w:val="24"/>
        </w:rPr>
        <w:t xml:space="preserve">, </w:t>
      </w:r>
      <w:r w:rsidR="00AA7C58" w:rsidRPr="00895FD8">
        <w:rPr>
          <w:rFonts w:ascii="Times New Roman" w:hAnsi="Times New Roman"/>
          <w:sz w:val="24"/>
          <w:szCs w:val="24"/>
        </w:rPr>
        <w:t xml:space="preserve">Pielikumā piedāvātās ekspluatācijas izmaksu </w:t>
      </w:r>
      <w:proofErr w:type="spellStart"/>
      <w:r w:rsidR="00AA7C58" w:rsidRPr="00895FD8">
        <w:rPr>
          <w:rFonts w:ascii="Times New Roman" w:hAnsi="Times New Roman"/>
          <w:sz w:val="24"/>
          <w:szCs w:val="24"/>
        </w:rPr>
        <w:t>līmeņatzīmes</w:t>
      </w:r>
      <w:proofErr w:type="spellEnd"/>
      <w:r w:rsidR="00AA7C58" w:rsidRPr="00895FD8">
        <w:rPr>
          <w:rFonts w:ascii="Times New Roman" w:hAnsi="Times New Roman"/>
          <w:sz w:val="24"/>
          <w:szCs w:val="24"/>
        </w:rPr>
        <w:t xml:space="preserve"> vispār nebūs nosakāmas (vai arī tās būs jānosaka kā 0.00 EUR</w:t>
      </w:r>
      <w:r w:rsidR="00FF4232" w:rsidRPr="00895FD8">
        <w:rPr>
          <w:rFonts w:ascii="Times New Roman" w:hAnsi="Times New Roman"/>
          <w:sz w:val="24"/>
          <w:szCs w:val="24"/>
        </w:rPr>
        <w:t>?</w:t>
      </w:r>
      <w:r w:rsidR="00AA7C58" w:rsidRPr="00895FD8">
        <w:rPr>
          <w:rFonts w:ascii="Times New Roman" w:hAnsi="Times New Roman"/>
          <w:sz w:val="24"/>
          <w:szCs w:val="24"/>
        </w:rPr>
        <w:t xml:space="preserve">), ja, kā tas minēts iepriekš šā atzinuma </w:t>
      </w:r>
      <w:r w:rsidR="00FF4232" w:rsidRPr="00895FD8">
        <w:rPr>
          <w:rFonts w:ascii="Times New Roman" w:hAnsi="Times New Roman"/>
          <w:sz w:val="24"/>
          <w:szCs w:val="24"/>
        </w:rPr>
        <w:t>7. punkta 2)</w:t>
      </w:r>
      <w:r w:rsidR="00AA7C58" w:rsidRPr="00895FD8">
        <w:rPr>
          <w:rFonts w:ascii="Times New Roman" w:hAnsi="Times New Roman"/>
          <w:sz w:val="24"/>
          <w:szCs w:val="24"/>
        </w:rPr>
        <w:t> </w:t>
      </w:r>
      <w:r w:rsidR="00FF4232" w:rsidRPr="00895FD8">
        <w:rPr>
          <w:rFonts w:ascii="Times New Roman" w:hAnsi="Times New Roman"/>
          <w:sz w:val="24"/>
          <w:szCs w:val="24"/>
        </w:rPr>
        <w:t>apakš</w:t>
      </w:r>
      <w:r w:rsidR="00AA7C58" w:rsidRPr="00895FD8">
        <w:rPr>
          <w:rFonts w:ascii="Times New Roman" w:hAnsi="Times New Roman"/>
          <w:sz w:val="24"/>
          <w:szCs w:val="24"/>
        </w:rPr>
        <w:t xml:space="preserve">punktā, AER ražotājam </w:t>
      </w:r>
      <w:bookmarkStart w:id="4" w:name="_Hlk63161535"/>
      <w:r w:rsidR="00AA7C58" w:rsidRPr="00895FD8">
        <w:rPr>
          <w:rFonts w:ascii="Times New Roman" w:hAnsi="Times New Roman"/>
          <w:sz w:val="24"/>
          <w:szCs w:val="24"/>
        </w:rPr>
        <w:t>faktiski un juridiski pamatotu iemeslu dēļ vispār nebūs iespējams iesniegt vai būs iespējams iesniegt vien daļēji pilnīgu informāciju par elektrostacijā</w:t>
      </w:r>
      <w:r w:rsidR="00AA7C58">
        <w:rPr>
          <w:rFonts w:ascii="Times New Roman" w:hAnsi="Times New Roman"/>
          <w:sz w:val="24"/>
          <w:szCs w:val="24"/>
        </w:rPr>
        <w:t xml:space="preserve"> veiktajām investīcijām</w:t>
      </w:r>
      <w:bookmarkEnd w:id="4"/>
      <w:r w:rsidR="00AA7C58">
        <w:rPr>
          <w:rFonts w:ascii="Times New Roman" w:hAnsi="Times New Roman"/>
          <w:sz w:val="24"/>
          <w:szCs w:val="24"/>
        </w:rPr>
        <w:t>. Šāda situācija ir nepieļaujama</w:t>
      </w:r>
      <w:r w:rsidR="00FF4232">
        <w:rPr>
          <w:rFonts w:ascii="Times New Roman" w:hAnsi="Times New Roman"/>
          <w:sz w:val="24"/>
          <w:szCs w:val="24"/>
        </w:rPr>
        <w:t>!</w:t>
      </w:r>
    </w:p>
    <w:p w14:paraId="0FA281B4" w14:textId="0EE31F7C" w:rsidR="00895FD8" w:rsidRPr="00895FD8" w:rsidRDefault="00895FD8" w:rsidP="00895FD8">
      <w:pPr>
        <w:pStyle w:val="NoSpacing"/>
        <w:spacing w:before="120" w:after="120"/>
        <w:jc w:val="both"/>
        <w:rPr>
          <w:rFonts w:ascii="Times New Roman" w:hAnsi="Times New Roman"/>
          <w:sz w:val="24"/>
          <w:szCs w:val="24"/>
        </w:rPr>
      </w:pPr>
      <w:r w:rsidRPr="00895FD8">
        <w:rPr>
          <w:rFonts w:ascii="Times New Roman" w:hAnsi="Times New Roman"/>
          <w:b/>
          <w:bCs/>
          <w:sz w:val="24"/>
          <w:szCs w:val="24"/>
          <w:u w:val="single"/>
        </w:rPr>
        <w:t>Treškārt</w:t>
      </w:r>
      <w:r>
        <w:rPr>
          <w:rFonts w:ascii="Times New Roman" w:hAnsi="Times New Roman"/>
          <w:sz w:val="24"/>
          <w:szCs w:val="24"/>
        </w:rPr>
        <w:t xml:space="preserve">, </w:t>
      </w:r>
      <w:r w:rsidRPr="00895FD8">
        <w:rPr>
          <w:rFonts w:ascii="Times New Roman" w:hAnsi="Times New Roman"/>
          <w:sz w:val="24"/>
          <w:szCs w:val="24"/>
          <w:u w:val="single"/>
        </w:rPr>
        <w:t>lielākai LAEF viedokļa detalizācijai lūdzam skatīt š</w:t>
      </w:r>
      <w:r w:rsidR="004E6231" w:rsidRPr="00895FD8">
        <w:rPr>
          <w:rFonts w:ascii="Times New Roman" w:hAnsi="Times New Roman"/>
          <w:sz w:val="24"/>
          <w:szCs w:val="24"/>
          <w:u w:val="single"/>
        </w:rPr>
        <w:t>im atzinumam pievieno</w:t>
      </w:r>
      <w:r w:rsidRPr="00895FD8">
        <w:rPr>
          <w:rFonts w:ascii="Times New Roman" w:hAnsi="Times New Roman"/>
          <w:sz w:val="24"/>
          <w:szCs w:val="24"/>
          <w:u w:val="single"/>
        </w:rPr>
        <w:t>to</w:t>
      </w:r>
      <w:r w:rsidR="004E6231" w:rsidRPr="00895FD8">
        <w:rPr>
          <w:rFonts w:ascii="Times New Roman" w:hAnsi="Times New Roman"/>
          <w:sz w:val="24"/>
          <w:szCs w:val="24"/>
          <w:u w:val="single"/>
        </w:rPr>
        <w:t xml:space="preserve"> MHEA atzinumu par Noteikumu projektā paredzētajām HES </w:t>
      </w:r>
      <w:proofErr w:type="spellStart"/>
      <w:r w:rsidR="004E6231" w:rsidRPr="00895FD8">
        <w:rPr>
          <w:rFonts w:ascii="Times New Roman" w:hAnsi="Times New Roman"/>
          <w:sz w:val="24"/>
          <w:szCs w:val="24"/>
          <w:u w:val="single"/>
        </w:rPr>
        <w:t>līmeņatzīmēm</w:t>
      </w:r>
      <w:proofErr w:type="spellEnd"/>
      <w:r w:rsidR="004E6231" w:rsidRPr="00895FD8">
        <w:rPr>
          <w:rFonts w:ascii="Times New Roman" w:hAnsi="Times New Roman"/>
          <w:sz w:val="24"/>
          <w:szCs w:val="24"/>
          <w:u w:val="single"/>
        </w:rPr>
        <w:t>.</w:t>
      </w:r>
      <w:r w:rsidRPr="00895FD8">
        <w:rPr>
          <w:rFonts w:ascii="Times New Roman" w:hAnsi="Times New Roman"/>
          <w:sz w:val="24"/>
          <w:szCs w:val="24"/>
        </w:rPr>
        <w:t xml:space="preserve"> Saskaņā ar MHEA aprēķiniem </w:t>
      </w:r>
      <w:r>
        <w:rPr>
          <w:rFonts w:ascii="Times New Roman" w:hAnsi="Times New Roman"/>
          <w:sz w:val="24"/>
          <w:szCs w:val="24"/>
        </w:rPr>
        <w:t>EM</w:t>
      </w:r>
      <w:r w:rsidRPr="00895FD8">
        <w:rPr>
          <w:rFonts w:ascii="Times New Roman" w:hAnsi="Times New Roman"/>
          <w:sz w:val="24"/>
          <w:szCs w:val="24"/>
        </w:rPr>
        <w:t xml:space="preserve"> nav noteikusi HES ekspluatācijas</w:t>
      </w:r>
      <w:r>
        <w:rPr>
          <w:rFonts w:ascii="Times New Roman" w:hAnsi="Times New Roman"/>
          <w:sz w:val="24"/>
          <w:szCs w:val="24"/>
        </w:rPr>
        <w:t xml:space="preserve"> izmaksu</w:t>
      </w:r>
      <w:r w:rsidRPr="00895FD8">
        <w:rPr>
          <w:rFonts w:ascii="Times New Roman" w:hAnsi="Times New Roman"/>
          <w:sz w:val="24"/>
          <w:szCs w:val="24"/>
        </w:rPr>
        <w:t xml:space="preserve"> </w:t>
      </w:r>
      <w:proofErr w:type="spellStart"/>
      <w:r w:rsidRPr="00895FD8">
        <w:rPr>
          <w:rFonts w:ascii="Times New Roman" w:hAnsi="Times New Roman"/>
          <w:sz w:val="24"/>
          <w:szCs w:val="24"/>
        </w:rPr>
        <w:t>līmeņatzīmi</w:t>
      </w:r>
      <w:proofErr w:type="spellEnd"/>
      <w:r w:rsidRPr="00895FD8">
        <w:rPr>
          <w:rFonts w:ascii="Times New Roman" w:hAnsi="Times New Roman"/>
          <w:sz w:val="24"/>
          <w:szCs w:val="24"/>
        </w:rPr>
        <w:t xml:space="preserve"> atbilstoši HES darbības īpatnībām. MHEA skaidro, ka HES sastāv no vairākiem būvobjektiem, kas pakļauti pastāvīgai ūdens slodzei un prasa regulāru remontu un atjaunošanu. Gan aizsprosts (tautas valodā</w:t>
      </w:r>
      <w:r>
        <w:rPr>
          <w:rFonts w:ascii="Times New Roman" w:hAnsi="Times New Roman"/>
          <w:sz w:val="24"/>
          <w:szCs w:val="24"/>
        </w:rPr>
        <w:t> </w:t>
      </w:r>
      <w:r w:rsidRPr="00895FD8">
        <w:rPr>
          <w:rFonts w:ascii="Times New Roman" w:hAnsi="Times New Roman"/>
          <w:sz w:val="24"/>
          <w:szCs w:val="24"/>
        </w:rPr>
        <w:t xml:space="preserve">– dambis), slūžas, ēka, pievadkanāls, </w:t>
      </w:r>
      <w:proofErr w:type="spellStart"/>
      <w:r w:rsidRPr="00895FD8">
        <w:rPr>
          <w:rFonts w:ascii="Times New Roman" w:hAnsi="Times New Roman"/>
          <w:sz w:val="24"/>
          <w:szCs w:val="24"/>
        </w:rPr>
        <w:t>atvadkanāls</w:t>
      </w:r>
      <w:proofErr w:type="spellEnd"/>
      <w:r w:rsidRPr="00895FD8">
        <w:rPr>
          <w:rFonts w:ascii="Times New Roman" w:hAnsi="Times New Roman"/>
          <w:sz w:val="24"/>
          <w:szCs w:val="24"/>
        </w:rPr>
        <w:t xml:space="preserve"> un daļai</w:t>
      </w:r>
      <w:r>
        <w:rPr>
          <w:rFonts w:ascii="Times New Roman" w:hAnsi="Times New Roman"/>
          <w:sz w:val="24"/>
          <w:szCs w:val="24"/>
        </w:rPr>
        <w:t> –</w:t>
      </w:r>
      <w:r w:rsidRPr="00895FD8">
        <w:rPr>
          <w:rFonts w:ascii="Times New Roman" w:hAnsi="Times New Roman"/>
          <w:sz w:val="24"/>
          <w:szCs w:val="24"/>
        </w:rPr>
        <w:t xml:space="preserve"> zivju ceļš, ir </w:t>
      </w:r>
      <w:r>
        <w:rPr>
          <w:rFonts w:ascii="Times New Roman" w:hAnsi="Times New Roman"/>
          <w:sz w:val="24"/>
          <w:szCs w:val="24"/>
        </w:rPr>
        <w:t>HES</w:t>
      </w:r>
      <w:r w:rsidRPr="00895FD8">
        <w:rPr>
          <w:rFonts w:ascii="Times New Roman" w:hAnsi="Times New Roman"/>
          <w:sz w:val="24"/>
          <w:szCs w:val="24"/>
        </w:rPr>
        <w:t xml:space="preserve"> sastāvdaļa, kas prasa pastāvīgu uzturēšanu. Šie izdevumi ir objektīvi nepieciešami un nav uzskatāmi par greznuma izdevumiem, bet gan nepieciešamajam. </w:t>
      </w:r>
    </w:p>
    <w:p w14:paraId="6856922E" w14:textId="7CE0DBB3" w:rsidR="00895FD8" w:rsidRPr="00895FD8" w:rsidRDefault="00895FD8" w:rsidP="00895FD8">
      <w:pPr>
        <w:pStyle w:val="NoSpacing"/>
        <w:spacing w:before="120" w:after="120"/>
        <w:jc w:val="both"/>
        <w:rPr>
          <w:rFonts w:ascii="Times New Roman" w:hAnsi="Times New Roman"/>
          <w:sz w:val="24"/>
          <w:szCs w:val="24"/>
        </w:rPr>
      </w:pPr>
      <w:r>
        <w:rPr>
          <w:rFonts w:ascii="Times New Roman" w:hAnsi="Times New Roman"/>
          <w:sz w:val="24"/>
          <w:szCs w:val="24"/>
        </w:rPr>
        <w:t xml:space="preserve">HES </w:t>
      </w:r>
      <w:r w:rsidRPr="00895FD8">
        <w:rPr>
          <w:rFonts w:ascii="Times New Roman" w:hAnsi="Times New Roman"/>
          <w:sz w:val="24"/>
          <w:szCs w:val="24"/>
        </w:rPr>
        <w:t>ekspluatācijas</w:t>
      </w:r>
      <w:r>
        <w:rPr>
          <w:rFonts w:ascii="Times New Roman" w:hAnsi="Times New Roman"/>
          <w:sz w:val="24"/>
          <w:szCs w:val="24"/>
        </w:rPr>
        <w:t xml:space="preserve"> izmaksu</w:t>
      </w:r>
      <w:r w:rsidRPr="00895FD8">
        <w:rPr>
          <w:rFonts w:ascii="Times New Roman" w:hAnsi="Times New Roman"/>
          <w:sz w:val="24"/>
          <w:szCs w:val="24"/>
        </w:rPr>
        <w:t xml:space="preserve"> </w:t>
      </w:r>
      <w:proofErr w:type="spellStart"/>
      <w:r w:rsidRPr="00895FD8">
        <w:rPr>
          <w:rFonts w:ascii="Times New Roman" w:hAnsi="Times New Roman"/>
          <w:sz w:val="24"/>
          <w:szCs w:val="24"/>
        </w:rPr>
        <w:t>līmeņatzīme</w:t>
      </w:r>
      <w:proofErr w:type="spellEnd"/>
      <w:r w:rsidRPr="00895FD8">
        <w:rPr>
          <w:rFonts w:ascii="Times New Roman" w:hAnsi="Times New Roman"/>
          <w:sz w:val="24"/>
          <w:szCs w:val="24"/>
        </w:rPr>
        <w:t xml:space="preserve"> neatspoguļo arī faktiski nepieciešam</w:t>
      </w:r>
      <w:r>
        <w:rPr>
          <w:rFonts w:ascii="Times New Roman" w:hAnsi="Times New Roman"/>
          <w:sz w:val="24"/>
          <w:szCs w:val="24"/>
        </w:rPr>
        <w:t>o</w:t>
      </w:r>
      <w:r w:rsidRPr="00895FD8">
        <w:rPr>
          <w:rFonts w:ascii="Times New Roman" w:hAnsi="Times New Roman"/>
          <w:sz w:val="24"/>
          <w:szCs w:val="24"/>
        </w:rPr>
        <w:t xml:space="preserve"> darbinieku skait</w:t>
      </w:r>
      <w:r>
        <w:rPr>
          <w:rFonts w:ascii="Times New Roman" w:hAnsi="Times New Roman"/>
          <w:sz w:val="24"/>
          <w:szCs w:val="24"/>
        </w:rPr>
        <w:t>u</w:t>
      </w:r>
      <w:r w:rsidRPr="00895FD8">
        <w:rPr>
          <w:rFonts w:ascii="Times New Roman" w:hAnsi="Times New Roman"/>
          <w:sz w:val="24"/>
          <w:szCs w:val="24"/>
        </w:rPr>
        <w:t xml:space="preserve"> HES un tādējādi nepamatoti samazina IRR izdevumu elementu. Nepieciešamo darbinieku skaitu HES vadība nosaka</w:t>
      </w:r>
      <w:r>
        <w:rPr>
          <w:rFonts w:ascii="Times New Roman" w:hAnsi="Times New Roman"/>
          <w:sz w:val="24"/>
          <w:szCs w:val="24"/>
        </w:rPr>
        <w:t>,</w:t>
      </w:r>
      <w:r w:rsidRPr="00895FD8">
        <w:rPr>
          <w:rFonts w:ascii="Times New Roman" w:hAnsi="Times New Roman"/>
          <w:sz w:val="24"/>
          <w:szCs w:val="24"/>
        </w:rPr>
        <w:t xml:space="preserve"> balstoties gan konkrēta HES tehniskajās vajadzībās, gan ievērojot normatīvo aktu prasības paaugstinātas bīstamības ražošanas objektu apsardzei, darba drošības nodrošināšanai, rīcībai nepārtraukta darba režīma gadījumā, būvju un pieguļošās teritorijas uzturēšanai, finanšu un grāmatvedības uzskaitei utt. Līdz ar to HES jauda nav saistīta ar objektīvi nepieciešamo darbinieku skaitu jeb attiecināmās darba slodzes </w:t>
      </w:r>
      <w:proofErr w:type="spellStart"/>
      <w:r w:rsidRPr="00895FD8">
        <w:rPr>
          <w:rFonts w:ascii="Times New Roman" w:hAnsi="Times New Roman"/>
          <w:sz w:val="24"/>
          <w:szCs w:val="24"/>
        </w:rPr>
        <w:t>līmeņatzīm</w:t>
      </w:r>
      <w:r>
        <w:rPr>
          <w:rFonts w:ascii="Times New Roman" w:hAnsi="Times New Roman"/>
          <w:sz w:val="24"/>
          <w:szCs w:val="24"/>
        </w:rPr>
        <w:t>i</w:t>
      </w:r>
      <w:proofErr w:type="spellEnd"/>
      <w:r>
        <w:rPr>
          <w:rFonts w:ascii="Times New Roman" w:hAnsi="Times New Roman"/>
          <w:sz w:val="24"/>
          <w:szCs w:val="24"/>
        </w:rPr>
        <w:t xml:space="preserve"> </w:t>
      </w:r>
      <w:r w:rsidRPr="00895FD8">
        <w:rPr>
          <w:rFonts w:ascii="Times New Roman" w:hAnsi="Times New Roman"/>
          <w:sz w:val="24"/>
          <w:szCs w:val="24"/>
        </w:rPr>
        <w:t xml:space="preserve">un nevar to pamatot. Faktiski, </w:t>
      </w:r>
      <w:r>
        <w:rPr>
          <w:rFonts w:ascii="Times New Roman" w:hAnsi="Times New Roman"/>
          <w:sz w:val="24"/>
          <w:szCs w:val="24"/>
        </w:rPr>
        <w:t>Noteikumu projekts mudina</w:t>
      </w:r>
      <w:r w:rsidRPr="00895FD8">
        <w:rPr>
          <w:rFonts w:ascii="Times New Roman" w:hAnsi="Times New Roman"/>
          <w:sz w:val="24"/>
          <w:szCs w:val="24"/>
        </w:rPr>
        <w:t xml:space="preserve"> HES vadību pārkāpt normatīvo aktu prasības, nepamatoti samazinot darbinieku skaitu. Grozījumiem paredzot, ka apspriežamās izmaksas samazinās saņemtā valsts atbalsta apmērus, pastāv risks, ka atsevišķu HES darbība tiks apdraudēta, īpašniekiem samazinoties motivācijai pienācīgi uzturēt objektus.</w:t>
      </w:r>
    </w:p>
    <w:p w14:paraId="66C90D36" w14:textId="1A2C4187" w:rsidR="004E6231" w:rsidRDefault="00895FD8" w:rsidP="00895FD8">
      <w:pPr>
        <w:pStyle w:val="NoSpacing"/>
        <w:spacing w:before="120" w:after="120"/>
        <w:jc w:val="both"/>
        <w:rPr>
          <w:rFonts w:ascii="Times New Roman" w:hAnsi="Times New Roman"/>
          <w:sz w:val="24"/>
          <w:szCs w:val="24"/>
        </w:rPr>
      </w:pPr>
      <w:r>
        <w:rPr>
          <w:rFonts w:ascii="Times New Roman" w:hAnsi="Times New Roman"/>
          <w:sz w:val="24"/>
          <w:szCs w:val="24"/>
        </w:rPr>
        <w:t>S</w:t>
      </w:r>
      <w:r w:rsidRPr="00895FD8">
        <w:rPr>
          <w:rFonts w:ascii="Times New Roman" w:hAnsi="Times New Roman"/>
          <w:sz w:val="24"/>
          <w:szCs w:val="24"/>
        </w:rPr>
        <w:t xml:space="preserve">askaņā ar MHEA aprēķiniem </w:t>
      </w:r>
      <w:r w:rsidRPr="00895FD8">
        <w:rPr>
          <w:rFonts w:ascii="Times New Roman" w:hAnsi="Times New Roman"/>
          <w:sz w:val="24"/>
          <w:szCs w:val="24"/>
          <w:u w:val="single"/>
        </w:rPr>
        <w:t xml:space="preserve">attiecināmās HES operatīvās darbības izmaksas </w:t>
      </w:r>
      <w:r w:rsidRPr="00895FD8">
        <w:rPr>
          <w:rFonts w:ascii="Times New Roman" w:hAnsi="Times New Roman"/>
          <w:b/>
          <w:bCs/>
          <w:sz w:val="24"/>
          <w:szCs w:val="24"/>
          <w:u w:val="single"/>
        </w:rPr>
        <w:t>veido ap 4 % no kopējām investīcijām</w:t>
      </w:r>
      <w:r w:rsidRPr="00895FD8">
        <w:rPr>
          <w:rFonts w:ascii="Times New Roman" w:hAnsi="Times New Roman"/>
          <w:sz w:val="24"/>
          <w:szCs w:val="24"/>
          <w:u w:val="single"/>
        </w:rPr>
        <w:t xml:space="preserve"> (tātad līdzšinējo </w:t>
      </w:r>
      <w:r w:rsidRPr="00895FD8">
        <w:rPr>
          <w:rFonts w:ascii="Times New Roman" w:hAnsi="Times New Roman"/>
          <w:bCs/>
          <w:sz w:val="24"/>
          <w:szCs w:val="24"/>
          <w:u w:val="single"/>
        </w:rPr>
        <w:t>kopā 3.6–3.9 % apmērā no sākotnējām investīcijām</w:t>
      </w:r>
      <w:r w:rsidRPr="00895FD8">
        <w:rPr>
          <w:rFonts w:ascii="Times New Roman" w:hAnsi="Times New Roman"/>
          <w:sz w:val="24"/>
          <w:szCs w:val="24"/>
          <w:u w:val="single"/>
        </w:rPr>
        <w:t>)</w:t>
      </w:r>
      <w:r w:rsidRPr="00895FD8">
        <w:rPr>
          <w:rFonts w:ascii="Times New Roman" w:hAnsi="Times New Roman"/>
          <w:sz w:val="24"/>
          <w:szCs w:val="24"/>
        </w:rPr>
        <w:t>, jo praksē ietver virkni Grozījumu pielikuma neminētas izdevumu pozīcijas. Praksē HES efektīvai darbībai rodas izdevumi arī nekustamā īpašuma nodoklim, ūdens izmantošanas kompensācijai citu nekustamo īpašumu un appludināto teritoriju īpašniekiem, kā arī iekārtu un būvju apdrošināšanai. Šādi izdevumi ir neizbēgami un to apmērs atsevišķos gadījumos</w:t>
      </w:r>
      <w:r>
        <w:rPr>
          <w:rFonts w:ascii="Times New Roman" w:hAnsi="Times New Roman"/>
          <w:sz w:val="24"/>
          <w:szCs w:val="24"/>
        </w:rPr>
        <w:t xml:space="preserve"> var</w:t>
      </w:r>
      <w:r w:rsidRPr="00895FD8">
        <w:rPr>
          <w:rFonts w:ascii="Times New Roman" w:hAnsi="Times New Roman"/>
          <w:sz w:val="24"/>
          <w:szCs w:val="24"/>
        </w:rPr>
        <w:t xml:space="preserve"> būtiski pārsniegt </w:t>
      </w:r>
      <w:r>
        <w:rPr>
          <w:rFonts w:ascii="Times New Roman" w:hAnsi="Times New Roman"/>
          <w:sz w:val="24"/>
          <w:szCs w:val="24"/>
        </w:rPr>
        <w:t xml:space="preserve">Noteikumu projektā paredzēto </w:t>
      </w:r>
      <w:proofErr w:type="spellStart"/>
      <w:r w:rsidRPr="00895FD8">
        <w:rPr>
          <w:rFonts w:ascii="Times New Roman" w:hAnsi="Times New Roman"/>
          <w:sz w:val="24"/>
          <w:szCs w:val="24"/>
        </w:rPr>
        <w:t>procentlikmi</w:t>
      </w:r>
      <w:proofErr w:type="spellEnd"/>
      <w:r>
        <w:rPr>
          <w:rFonts w:ascii="Times New Roman" w:hAnsi="Times New Roman"/>
          <w:sz w:val="24"/>
          <w:szCs w:val="24"/>
        </w:rPr>
        <w:t xml:space="preserve"> 1 %</w:t>
      </w:r>
      <w:r w:rsidRPr="00895FD8">
        <w:rPr>
          <w:rFonts w:ascii="Times New Roman" w:hAnsi="Times New Roman"/>
          <w:sz w:val="24"/>
          <w:szCs w:val="24"/>
        </w:rPr>
        <w:t>. Šādi tiek papildus samazināta pieļaujamo izdevumu bāze un šāds samazinājums nav balstīts reālajās HES izmaksās. Turklāt nekustamā īpašuma nodokļa izmaksas nav stabilas, tās tiek regulāri pārskatītas no valsts puses un tās jebkurā gadījumā nav atkarīgas no HES darba efektivitātes, tādēļ šīs izmaksas ir izdalāmas atsevišķi, paredzot atsevišķu posteni, kas būtu atkarīgs no spēkā esošā normatīvā regulējuma, nevis mākslīgi ierobežotas.</w:t>
      </w:r>
    </w:p>
    <w:p w14:paraId="73C2520A" w14:textId="2DC5629E" w:rsidR="005D7C3F" w:rsidRPr="008E7FB2" w:rsidRDefault="00895FD8" w:rsidP="008E7FB2">
      <w:pPr>
        <w:pStyle w:val="NoSpacing"/>
        <w:spacing w:before="120" w:after="120"/>
        <w:jc w:val="both"/>
        <w:rPr>
          <w:rFonts w:ascii="Times New Roman" w:hAnsi="Times New Roman"/>
          <w:sz w:val="24"/>
          <w:szCs w:val="24"/>
        </w:rPr>
      </w:pPr>
      <w:r w:rsidRPr="00895FD8">
        <w:rPr>
          <w:rFonts w:ascii="Times New Roman" w:hAnsi="Times New Roman"/>
          <w:b/>
          <w:bCs/>
          <w:sz w:val="24"/>
          <w:szCs w:val="24"/>
          <w:u w:val="single"/>
        </w:rPr>
        <w:t>Ceturtkārt</w:t>
      </w:r>
      <w:r>
        <w:rPr>
          <w:rFonts w:ascii="Times New Roman" w:hAnsi="Times New Roman"/>
          <w:sz w:val="24"/>
          <w:szCs w:val="24"/>
        </w:rPr>
        <w:t>, a</w:t>
      </w:r>
      <w:r w:rsidR="004E6231">
        <w:rPr>
          <w:rFonts w:ascii="Times New Roman" w:hAnsi="Times New Roman"/>
          <w:sz w:val="24"/>
          <w:szCs w:val="24"/>
        </w:rPr>
        <w:t xml:space="preserve">ttiecībā uz biogāzes un biomasas stacijām piemērojamajām </w:t>
      </w:r>
      <w:proofErr w:type="spellStart"/>
      <w:r w:rsidR="004E6231">
        <w:rPr>
          <w:rFonts w:ascii="Times New Roman" w:hAnsi="Times New Roman"/>
          <w:sz w:val="24"/>
          <w:szCs w:val="24"/>
        </w:rPr>
        <w:t>līmeņatzīmēm</w:t>
      </w:r>
      <w:proofErr w:type="spellEnd"/>
      <w:r w:rsidR="004E6231">
        <w:rPr>
          <w:rFonts w:ascii="Times New Roman" w:hAnsi="Times New Roman"/>
          <w:sz w:val="24"/>
          <w:szCs w:val="24"/>
        </w:rPr>
        <w:t xml:space="preserve"> pievienojam iepriekš minēto </w:t>
      </w:r>
      <w:proofErr w:type="spellStart"/>
      <w:r w:rsidR="004E6231">
        <w:rPr>
          <w:rFonts w:ascii="Times New Roman" w:hAnsi="Times New Roman"/>
          <w:bCs/>
          <w:sz w:val="24"/>
          <w:szCs w:val="24"/>
        </w:rPr>
        <w:t>auditorkompānijas</w:t>
      </w:r>
      <w:proofErr w:type="spellEnd"/>
      <w:r w:rsidR="004E6231">
        <w:rPr>
          <w:rFonts w:ascii="Times New Roman" w:hAnsi="Times New Roman"/>
          <w:bCs/>
          <w:sz w:val="24"/>
          <w:szCs w:val="24"/>
        </w:rPr>
        <w:t xml:space="preserve"> “</w:t>
      </w:r>
      <w:r w:rsidR="004E6231" w:rsidRPr="004E6231">
        <w:rPr>
          <w:rFonts w:ascii="Times New Roman" w:hAnsi="Times New Roman"/>
          <w:bCs/>
          <w:sz w:val="24"/>
          <w:szCs w:val="24"/>
        </w:rPr>
        <w:t>KPMG Baltics AS</w:t>
      </w:r>
      <w:r w:rsidR="004E6231">
        <w:rPr>
          <w:rFonts w:ascii="Times New Roman" w:hAnsi="Times New Roman"/>
          <w:bCs/>
          <w:sz w:val="24"/>
          <w:szCs w:val="24"/>
        </w:rPr>
        <w:t>”</w:t>
      </w:r>
      <w:r w:rsidR="004E6231" w:rsidRPr="004E6231">
        <w:rPr>
          <w:rFonts w:ascii="Times New Roman" w:hAnsi="Times New Roman"/>
          <w:bCs/>
          <w:sz w:val="24"/>
          <w:szCs w:val="24"/>
        </w:rPr>
        <w:t xml:space="preserve"> </w:t>
      </w:r>
      <w:r w:rsidR="004E6231">
        <w:rPr>
          <w:rFonts w:ascii="Times New Roman" w:hAnsi="Times New Roman"/>
          <w:bCs/>
          <w:sz w:val="24"/>
          <w:szCs w:val="24"/>
        </w:rPr>
        <w:t>sagatavoto dokumentu “</w:t>
      </w:r>
      <w:r w:rsidR="004E6231" w:rsidRPr="00FB57AE">
        <w:rPr>
          <w:rFonts w:ascii="Times New Roman" w:hAnsi="Times New Roman"/>
          <w:bCs/>
          <w:i/>
          <w:iCs/>
          <w:sz w:val="24"/>
          <w:szCs w:val="24"/>
        </w:rPr>
        <w:t xml:space="preserve">Neatkarīgs vērtējums par Ekonomikas Ministrijas plānoto Ministru kabineta noteikumu Nr. 560 un Nr. 561 izmaiņu pamatotību un ietekmi uz kopējo kapitālieguldījumu iekšējās peļņas normas un cenas diferencēšanas koeficientu </w:t>
      </w:r>
      <w:proofErr w:type="spellStart"/>
      <w:r w:rsidR="004E6231" w:rsidRPr="00FB57AE">
        <w:rPr>
          <w:rFonts w:ascii="Times New Roman" w:hAnsi="Times New Roman"/>
          <w:bCs/>
          <w:i/>
          <w:iCs/>
          <w:sz w:val="24"/>
          <w:szCs w:val="24"/>
        </w:rPr>
        <w:t>pārkompensācijas</w:t>
      </w:r>
      <w:proofErr w:type="spellEnd"/>
      <w:r w:rsidR="004E6231" w:rsidRPr="00FB57AE">
        <w:rPr>
          <w:rFonts w:ascii="Times New Roman" w:hAnsi="Times New Roman"/>
          <w:bCs/>
          <w:i/>
          <w:iCs/>
          <w:sz w:val="24"/>
          <w:szCs w:val="24"/>
        </w:rPr>
        <w:t xml:space="preserve"> novēršanai aprēķinu  elektrības ražošanā koģenerācijas procesā un elektrības ražošanā izmantojot atjaunojamos </w:t>
      </w:r>
      <w:r w:rsidR="004E6231" w:rsidRPr="00FB57AE">
        <w:rPr>
          <w:rFonts w:ascii="Times New Roman" w:hAnsi="Times New Roman"/>
          <w:bCs/>
          <w:i/>
          <w:iCs/>
          <w:sz w:val="24"/>
          <w:szCs w:val="24"/>
        </w:rPr>
        <w:lastRenderedPageBreak/>
        <w:t>energoresursus</w:t>
      </w:r>
      <w:r w:rsidR="004E6231">
        <w:rPr>
          <w:rFonts w:ascii="Times New Roman" w:hAnsi="Times New Roman"/>
          <w:bCs/>
          <w:sz w:val="24"/>
          <w:szCs w:val="24"/>
        </w:rPr>
        <w:t>”</w:t>
      </w:r>
      <w:r w:rsidR="004E6231" w:rsidRPr="00CB0F77">
        <w:rPr>
          <w:rFonts w:ascii="Times New Roman" w:hAnsi="Times New Roman"/>
          <w:bCs/>
          <w:sz w:val="24"/>
          <w:szCs w:val="24"/>
        </w:rPr>
        <w:t xml:space="preserve"> par Noteikumu projektu</w:t>
      </w:r>
      <w:r w:rsidR="002E5416">
        <w:rPr>
          <w:rFonts w:ascii="Times New Roman" w:hAnsi="Times New Roman"/>
          <w:bCs/>
          <w:sz w:val="24"/>
          <w:szCs w:val="24"/>
        </w:rPr>
        <w:t>, kā arī lūdzam skatīt Latvijas Biogāzes asociācijas atsevišķi iesniegtos atzinumu dokumentus</w:t>
      </w:r>
      <w:r w:rsidR="004E6231">
        <w:rPr>
          <w:rFonts w:ascii="Times New Roman" w:hAnsi="Times New Roman"/>
          <w:sz w:val="24"/>
          <w:szCs w:val="24"/>
        </w:rPr>
        <w:t>.</w:t>
      </w:r>
    </w:p>
    <w:p w14:paraId="4589FB56" w14:textId="6514D4C8" w:rsidR="00DA1A1B" w:rsidRPr="00A1295B" w:rsidRDefault="00DA1A1B" w:rsidP="00BB689A">
      <w:pPr>
        <w:spacing w:after="120" w:line="240" w:lineRule="auto"/>
        <w:jc w:val="center"/>
        <w:rPr>
          <w:rFonts w:ascii="Times New Roman" w:hAnsi="Times New Roman"/>
          <w:b/>
          <w:sz w:val="28"/>
          <w:szCs w:val="28"/>
        </w:rPr>
      </w:pPr>
      <w:r w:rsidRPr="00A1295B">
        <w:rPr>
          <w:rFonts w:ascii="Times New Roman" w:hAnsi="Times New Roman"/>
          <w:b/>
          <w:sz w:val="28"/>
          <w:szCs w:val="28"/>
        </w:rPr>
        <w:t xml:space="preserve">Noslēguma </w:t>
      </w:r>
      <w:r w:rsidR="0070582F" w:rsidRPr="00A1295B">
        <w:rPr>
          <w:rFonts w:ascii="Times New Roman" w:hAnsi="Times New Roman"/>
          <w:b/>
          <w:sz w:val="28"/>
          <w:szCs w:val="28"/>
        </w:rPr>
        <w:t>vietā</w:t>
      </w:r>
    </w:p>
    <w:p w14:paraId="5B3BACBA" w14:textId="19B610A3" w:rsidR="000D7C48" w:rsidRPr="00A1295B" w:rsidRDefault="00A1295B" w:rsidP="000D7C48">
      <w:pPr>
        <w:spacing w:before="120" w:after="0" w:line="240" w:lineRule="auto"/>
        <w:jc w:val="both"/>
        <w:rPr>
          <w:rFonts w:ascii="Times New Roman" w:hAnsi="Times New Roman"/>
          <w:sz w:val="24"/>
          <w:szCs w:val="24"/>
        </w:rPr>
      </w:pPr>
      <w:r w:rsidRPr="00A1295B">
        <w:rPr>
          <w:rFonts w:ascii="Times New Roman" w:hAnsi="Times New Roman"/>
          <w:sz w:val="24"/>
          <w:szCs w:val="24"/>
        </w:rPr>
        <w:t>LAEF</w:t>
      </w:r>
      <w:r w:rsidR="00662A31" w:rsidRPr="00A1295B">
        <w:rPr>
          <w:rFonts w:ascii="Times New Roman" w:hAnsi="Times New Roman"/>
          <w:sz w:val="24"/>
          <w:szCs w:val="24"/>
        </w:rPr>
        <w:t xml:space="preserve"> </w:t>
      </w:r>
      <w:r w:rsidR="00795ABC" w:rsidRPr="00A1295B">
        <w:rPr>
          <w:rFonts w:ascii="Times New Roman" w:hAnsi="Times New Roman"/>
          <w:sz w:val="24"/>
          <w:szCs w:val="24"/>
        </w:rPr>
        <w:t xml:space="preserve">aicina EM izrādīt drosmi sarežģītu lēmumu pieņemšanā un nepakļauties politiskam spiedienam Latvijas AER politikas jautājumos, kāds, acīmredzot, pastāv. </w:t>
      </w:r>
      <w:r w:rsidRPr="00A1295B">
        <w:rPr>
          <w:rFonts w:ascii="Times New Roman" w:hAnsi="Times New Roman"/>
          <w:sz w:val="24"/>
          <w:szCs w:val="24"/>
        </w:rPr>
        <w:t>LAEF</w:t>
      </w:r>
      <w:r w:rsidR="00795ABC" w:rsidRPr="00A1295B">
        <w:rPr>
          <w:rFonts w:ascii="Times New Roman" w:hAnsi="Times New Roman"/>
          <w:sz w:val="24"/>
          <w:szCs w:val="24"/>
        </w:rPr>
        <w:t xml:space="preserve"> aicina EM apzināties, ka aiz teju katras Latvijas </w:t>
      </w:r>
      <w:r w:rsidRPr="00A1295B">
        <w:rPr>
          <w:rFonts w:ascii="Times New Roman" w:hAnsi="Times New Roman"/>
          <w:sz w:val="24"/>
          <w:szCs w:val="24"/>
        </w:rPr>
        <w:t>AER stacijas</w:t>
      </w:r>
      <w:r w:rsidR="00795ABC" w:rsidRPr="00A1295B">
        <w:rPr>
          <w:rFonts w:ascii="Times New Roman" w:hAnsi="Times New Roman"/>
          <w:sz w:val="24"/>
          <w:szCs w:val="24"/>
        </w:rPr>
        <w:t xml:space="preserve"> ir tās īpašnieks un viņa ģimenes locekļi, kuri maksā teju visus iespējamos nodokļus un vēl arī vairākas nodevas. Savulaik, iegūstot tiesības strādāt </w:t>
      </w:r>
      <w:r w:rsidRPr="00A1295B">
        <w:rPr>
          <w:rFonts w:ascii="Times New Roman" w:hAnsi="Times New Roman"/>
          <w:sz w:val="24"/>
          <w:szCs w:val="24"/>
        </w:rPr>
        <w:t>OI</w:t>
      </w:r>
      <w:r w:rsidR="00795ABC" w:rsidRPr="00A1295B">
        <w:rPr>
          <w:rFonts w:ascii="Times New Roman" w:hAnsi="Times New Roman"/>
          <w:sz w:val="24"/>
          <w:szCs w:val="24"/>
        </w:rPr>
        <w:t xml:space="preserve"> sistēmā un attiecīgi veicot ievērojamus ieguldījumus sav</w:t>
      </w:r>
      <w:r w:rsidRPr="00A1295B">
        <w:rPr>
          <w:rFonts w:ascii="Times New Roman" w:hAnsi="Times New Roman"/>
          <w:sz w:val="24"/>
          <w:szCs w:val="24"/>
        </w:rPr>
        <w:t>ās AER ražotnēs</w:t>
      </w:r>
      <w:r w:rsidR="00795ABC" w:rsidRPr="00A1295B">
        <w:rPr>
          <w:rFonts w:ascii="Times New Roman" w:hAnsi="Times New Roman"/>
          <w:sz w:val="24"/>
          <w:szCs w:val="24"/>
        </w:rPr>
        <w:t xml:space="preserve">, šie cilvēki, kuri arī Latvijas tautas daļa, nevis kādi “ļaunie spēki”, pamatoti paļāvās uz tā laika normatīvajiem aktiem. Ja tagad šie noteikumi ar </w:t>
      </w:r>
      <w:proofErr w:type="spellStart"/>
      <w:r w:rsidR="00795ABC" w:rsidRPr="00A1295B">
        <w:rPr>
          <w:rFonts w:ascii="Times New Roman" w:hAnsi="Times New Roman"/>
          <w:sz w:val="24"/>
          <w:szCs w:val="24"/>
        </w:rPr>
        <w:t>atpakaļvērstu</w:t>
      </w:r>
      <w:proofErr w:type="spellEnd"/>
      <w:r w:rsidR="00795ABC" w:rsidRPr="00A1295B">
        <w:rPr>
          <w:rFonts w:ascii="Times New Roman" w:hAnsi="Times New Roman"/>
          <w:sz w:val="24"/>
          <w:szCs w:val="24"/>
        </w:rPr>
        <w:t xml:space="preserve"> spēku tiek izmainīti kārtējo pārskatīto </w:t>
      </w:r>
      <w:proofErr w:type="spellStart"/>
      <w:r w:rsidR="00795ABC" w:rsidRPr="00A1295B">
        <w:rPr>
          <w:rFonts w:ascii="Times New Roman" w:hAnsi="Times New Roman"/>
          <w:sz w:val="24"/>
          <w:szCs w:val="24"/>
        </w:rPr>
        <w:t>līmeņatzīmju</w:t>
      </w:r>
      <w:proofErr w:type="spellEnd"/>
      <w:r w:rsidR="00795ABC" w:rsidRPr="00A1295B">
        <w:rPr>
          <w:rFonts w:ascii="Times New Roman" w:hAnsi="Times New Roman"/>
          <w:sz w:val="24"/>
          <w:szCs w:val="24"/>
        </w:rPr>
        <w:t xml:space="preserve"> un ar tām saistītā IRR aprēķina veidā, tad </w:t>
      </w:r>
      <w:r w:rsidRPr="00A1295B">
        <w:rPr>
          <w:rFonts w:ascii="Times New Roman" w:hAnsi="Times New Roman"/>
          <w:sz w:val="24"/>
          <w:szCs w:val="24"/>
        </w:rPr>
        <w:t>AER ražotāji</w:t>
      </w:r>
      <w:r w:rsidR="00795ABC" w:rsidRPr="00A1295B">
        <w:rPr>
          <w:rFonts w:ascii="Times New Roman" w:hAnsi="Times New Roman"/>
          <w:sz w:val="24"/>
          <w:szCs w:val="24"/>
        </w:rPr>
        <w:t xml:space="preserve"> ir vismaz pelnījuši to, ka šī pārskatīšana notiek, balstoties uz reāliem datiem un nevis izdomājumiem.</w:t>
      </w:r>
    </w:p>
    <w:p w14:paraId="0CAEBB38" w14:textId="248434DA" w:rsidR="000D7C48" w:rsidRPr="00A1295B" w:rsidRDefault="000D7C48" w:rsidP="000D7C48">
      <w:pPr>
        <w:spacing w:before="120" w:after="0" w:line="240" w:lineRule="auto"/>
        <w:jc w:val="both"/>
        <w:rPr>
          <w:rFonts w:ascii="Times New Roman" w:hAnsi="Times New Roman"/>
          <w:b/>
          <w:bCs/>
          <w:sz w:val="24"/>
          <w:szCs w:val="24"/>
        </w:rPr>
      </w:pPr>
      <w:r w:rsidRPr="00A1295B">
        <w:rPr>
          <w:rFonts w:ascii="Times New Roman" w:hAnsi="Times New Roman"/>
          <w:b/>
          <w:bCs/>
          <w:sz w:val="24"/>
          <w:szCs w:val="24"/>
        </w:rPr>
        <w:t xml:space="preserve">Tāpat ir būtiski, lai pie katrām ievērojamām šāda rakstura izmaiņām </w:t>
      </w:r>
      <w:r w:rsidR="00A1295B" w:rsidRPr="00A1295B">
        <w:rPr>
          <w:rFonts w:ascii="Times New Roman" w:hAnsi="Times New Roman"/>
          <w:b/>
          <w:bCs/>
          <w:sz w:val="24"/>
          <w:szCs w:val="24"/>
        </w:rPr>
        <w:t>AER ražotājam</w:t>
      </w:r>
      <w:r w:rsidRPr="00A1295B">
        <w:rPr>
          <w:rFonts w:ascii="Times New Roman" w:hAnsi="Times New Roman"/>
          <w:b/>
          <w:bCs/>
          <w:sz w:val="24"/>
          <w:szCs w:val="24"/>
        </w:rPr>
        <w:t xml:space="preserve"> tiktu paredzēts atbilstošs pārejas periods. Taču </w:t>
      </w:r>
      <w:r w:rsidR="00A1295B" w:rsidRPr="00A1295B">
        <w:rPr>
          <w:rFonts w:ascii="Times New Roman" w:hAnsi="Times New Roman"/>
          <w:b/>
          <w:bCs/>
          <w:sz w:val="24"/>
          <w:szCs w:val="24"/>
        </w:rPr>
        <w:t xml:space="preserve">Noteikumu projektā paredzēto </w:t>
      </w:r>
      <w:r w:rsidRPr="00A1295B">
        <w:rPr>
          <w:rFonts w:ascii="Times New Roman" w:hAnsi="Times New Roman"/>
          <w:b/>
          <w:bCs/>
          <w:sz w:val="24"/>
          <w:szCs w:val="24"/>
        </w:rPr>
        <w:t xml:space="preserve">visa atbalsta atmaksu viena mēneša laikā nekādi nevar atzīt par tādu pārejas periodu. </w:t>
      </w:r>
    </w:p>
    <w:p w14:paraId="5030CCEA" w14:textId="730BA482" w:rsidR="00A1295B" w:rsidRPr="00A1295B" w:rsidRDefault="000D7C48" w:rsidP="00E42ABD">
      <w:pPr>
        <w:spacing w:before="120" w:after="0" w:line="240" w:lineRule="auto"/>
        <w:jc w:val="both"/>
        <w:rPr>
          <w:rFonts w:ascii="Times New Roman" w:hAnsi="Times New Roman"/>
          <w:b/>
          <w:bCs/>
          <w:sz w:val="24"/>
          <w:szCs w:val="24"/>
        </w:rPr>
      </w:pPr>
      <w:r w:rsidRPr="00A1295B">
        <w:rPr>
          <w:rFonts w:ascii="Times New Roman" w:hAnsi="Times New Roman"/>
          <w:b/>
          <w:bCs/>
          <w:sz w:val="24"/>
          <w:szCs w:val="24"/>
        </w:rPr>
        <w:t xml:space="preserve">Tāpēc Noteikumu projektu tā pašreizējā redakcijā </w:t>
      </w:r>
      <w:r w:rsidR="00A1295B" w:rsidRPr="00A1295B">
        <w:rPr>
          <w:rFonts w:ascii="Times New Roman" w:hAnsi="Times New Roman"/>
          <w:b/>
          <w:bCs/>
          <w:sz w:val="24"/>
          <w:szCs w:val="24"/>
        </w:rPr>
        <w:t>LAEF</w:t>
      </w:r>
      <w:r w:rsidRPr="00A1295B">
        <w:rPr>
          <w:rFonts w:ascii="Times New Roman" w:hAnsi="Times New Roman"/>
          <w:b/>
          <w:bCs/>
          <w:sz w:val="24"/>
          <w:szCs w:val="24"/>
        </w:rPr>
        <w:t xml:space="preserve"> kategoriski neatbalsta un tajā ietvertās jaunās </w:t>
      </w:r>
      <w:proofErr w:type="spellStart"/>
      <w:r w:rsidRPr="00A1295B">
        <w:rPr>
          <w:rFonts w:ascii="Times New Roman" w:hAnsi="Times New Roman"/>
          <w:b/>
          <w:bCs/>
          <w:sz w:val="24"/>
          <w:szCs w:val="24"/>
        </w:rPr>
        <w:t>līmeņatzīmes</w:t>
      </w:r>
      <w:proofErr w:type="spellEnd"/>
      <w:r w:rsidRPr="00A1295B">
        <w:rPr>
          <w:rFonts w:ascii="Times New Roman" w:hAnsi="Times New Roman"/>
          <w:b/>
          <w:bCs/>
          <w:sz w:val="24"/>
          <w:szCs w:val="24"/>
        </w:rPr>
        <w:t xml:space="preserve"> it kā pamatojošo SIA “</w:t>
      </w:r>
      <w:proofErr w:type="spellStart"/>
      <w:r w:rsidRPr="00A1295B">
        <w:rPr>
          <w:rFonts w:ascii="Times New Roman" w:hAnsi="Times New Roman"/>
          <w:b/>
          <w:bCs/>
          <w:sz w:val="24"/>
          <w:szCs w:val="24"/>
        </w:rPr>
        <w:t>Smart</w:t>
      </w:r>
      <w:proofErr w:type="spellEnd"/>
      <w:r w:rsidRPr="00A1295B">
        <w:rPr>
          <w:rFonts w:ascii="Times New Roman" w:hAnsi="Times New Roman"/>
          <w:b/>
          <w:bCs/>
          <w:sz w:val="24"/>
          <w:szCs w:val="24"/>
        </w:rPr>
        <w:t> </w:t>
      </w:r>
      <w:proofErr w:type="spellStart"/>
      <w:r w:rsidRPr="00A1295B">
        <w:rPr>
          <w:rFonts w:ascii="Times New Roman" w:hAnsi="Times New Roman"/>
          <w:b/>
          <w:bCs/>
          <w:sz w:val="24"/>
          <w:szCs w:val="24"/>
        </w:rPr>
        <w:t>Continent</w:t>
      </w:r>
      <w:proofErr w:type="spellEnd"/>
      <w:r w:rsidRPr="00A1295B">
        <w:rPr>
          <w:rFonts w:ascii="Times New Roman" w:hAnsi="Times New Roman"/>
          <w:b/>
          <w:bCs/>
          <w:sz w:val="24"/>
          <w:szCs w:val="24"/>
        </w:rPr>
        <w:t xml:space="preserve">” izstrādāto </w:t>
      </w:r>
      <w:r w:rsidR="00A1295B" w:rsidRPr="00A1295B">
        <w:rPr>
          <w:rFonts w:ascii="Times New Roman" w:hAnsi="Times New Roman"/>
          <w:b/>
          <w:bCs/>
          <w:sz w:val="24"/>
          <w:szCs w:val="24"/>
        </w:rPr>
        <w:t>d</w:t>
      </w:r>
      <w:r w:rsidRPr="00A1295B">
        <w:rPr>
          <w:rFonts w:ascii="Times New Roman" w:hAnsi="Times New Roman"/>
          <w:b/>
          <w:bCs/>
          <w:sz w:val="24"/>
          <w:szCs w:val="24"/>
        </w:rPr>
        <w:t xml:space="preserve">okumentu </w:t>
      </w:r>
      <w:r w:rsidR="004829AC">
        <w:rPr>
          <w:rFonts w:ascii="Times New Roman" w:hAnsi="Times New Roman"/>
          <w:b/>
          <w:bCs/>
          <w:sz w:val="24"/>
          <w:szCs w:val="24"/>
        </w:rPr>
        <w:t xml:space="preserve">kategoriski </w:t>
      </w:r>
      <w:r w:rsidRPr="00A1295B">
        <w:rPr>
          <w:rFonts w:ascii="Times New Roman" w:hAnsi="Times New Roman"/>
          <w:b/>
          <w:bCs/>
          <w:sz w:val="24"/>
          <w:szCs w:val="24"/>
        </w:rPr>
        <w:t xml:space="preserve">neatzīst par tādu, kas var pamatot </w:t>
      </w:r>
      <w:r w:rsidR="004829AC">
        <w:rPr>
          <w:rFonts w:ascii="Times New Roman" w:hAnsi="Times New Roman"/>
          <w:b/>
          <w:bCs/>
          <w:sz w:val="24"/>
          <w:szCs w:val="24"/>
        </w:rPr>
        <w:t xml:space="preserve">jebkādas </w:t>
      </w:r>
      <w:r w:rsidRPr="00A1295B">
        <w:rPr>
          <w:rFonts w:ascii="Times New Roman" w:hAnsi="Times New Roman"/>
          <w:b/>
          <w:bCs/>
          <w:sz w:val="24"/>
          <w:szCs w:val="24"/>
        </w:rPr>
        <w:t>izmaiņas esošajā IRR noteikšanas kārtībā Latvijas AER elektrostaciju situācijā.</w:t>
      </w:r>
    </w:p>
    <w:p w14:paraId="334B097E" w14:textId="61A1A7B9" w:rsidR="00A1295B" w:rsidRPr="00A1295B" w:rsidRDefault="00A1295B" w:rsidP="00E42ABD">
      <w:pPr>
        <w:spacing w:before="120" w:after="0" w:line="240" w:lineRule="auto"/>
        <w:jc w:val="both"/>
        <w:rPr>
          <w:rFonts w:ascii="Times New Roman" w:hAnsi="Times New Roman"/>
          <w:b/>
          <w:bCs/>
          <w:sz w:val="24"/>
          <w:szCs w:val="24"/>
        </w:rPr>
      </w:pPr>
      <w:r w:rsidRPr="00A1295B">
        <w:rPr>
          <w:rFonts w:ascii="Times New Roman" w:hAnsi="Times New Roman"/>
          <w:sz w:val="24"/>
          <w:szCs w:val="24"/>
        </w:rPr>
        <w:t>Piedāvātais Noteikumu projekts tā apstiprināšanas gadījumā radīs būtiskus zaudējumus Latvijas tautsaimniecībai nākotnē, jo AER ražošanas apjoms būtiski samazināsies jau esošajās elektrostacijās. Uz investīcijām tirgū, kurā ir nesakārtota likumdošana un prakse regulāri mainīt spēles noteikumus ar atpakaļejošu datumu, nevajadzētu cerēt. Tāpēc ir redzams, ka nākotnē Latvijai būs jāmaksā soda naudas par apstiprināto mērķu nesasniegšanu un arī tiesas noteiktās kompensācijas uzņēmumiem par nepamatotu zaudējumu radīšanu un tiesību veikt uzņēmējdarbību ierobežošanu.</w:t>
      </w:r>
    </w:p>
    <w:p w14:paraId="08C8FEC3" w14:textId="52A24EE0" w:rsidR="00056059" w:rsidRPr="00501034" w:rsidRDefault="00A1295B" w:rsidP="00501034">
      <w:pPr>
        <w:pStyle w:val="Default"/>
      </w:pPr>
      <w:r w:rsidRPr="00A1295B">
        <w:t>LAEF</w:t>
      </w:r>
      <w:r w:rsidR="00056059" w:rsidRPr="00A1295B">
        <w:t xml:space="preserve"> </w:t>
      </w:r>
      <w:r w:rsidR="000D7C48" w:rsidRPr="00A1295B">
        <w:t xml:space="preserve">jau daudzkārt ir aicinājusi EM izstrādāt citas atbalsta formas un veidus, kas ar laiku varētu aizstāt obligāto iepirkumu: </w:t>
      </w:r>
      <w:r w:rsidR="00380CE2" w:rsidRPr="00A1295B">
        <w:t xml:space="preserve">1) tiešo līgumu slēgšanas iespēja ar patērētājiem, izmantojot sadales tīklu; 2) neto sistēmas piemērošana arī juridiskajām personām – AER ražotājiem; 3) tiešās līnijas </w:t>
      </w:r>
      <w:proofErr w:type="spellStart"/>
      <w:r w:rsidR="00380CE2" w:rsidRPr="00A1295B">
        <w:t>pieslēgumi</w:t>
      </w:r>
      <w:proofErr w:type="spellEnd"/>
      <w:r w:rsidR="00380CE2" w:rsidRPr="00A1295B">
        <w:t>; 4) Eiropas Savienības fondu un pēc Covid</w:t>
      </w:r>
      <w:r w:rsidR="00380CE2" w:rsidRPr="00A1295B">
        <w:noBreakHyphen/>
        <w:t xml:space="preserve">19 atbalsta instrumentu pieejamība kā jauniem, tā jau esošajiem AER projektiem nākamajā Eiropas Savienības daudzgadu budžeta periodā; </w:t>
      </w:r>
      <w:r w:rsidR="00501034">
        <w:t xml:space="preserve">5) </w:t>
      </w:r>
      <w:r w:rsidR="00501034">
        <w:rPr>
          <w:sz w:val="23"/>
          <w:szCs w:val="23"/>
        </w:rPr>
        <w:t xml:space="preserve">noteikt tūlītēju atbalstu </w:t>
      </w:r>
      <w:proofErr w:type="spellStart"/>
      <w:r w:rsidR="00501034">
        <w:rPr>
          <w:sz w:val="23"/>
          <w:szCs w:val="23"/>
        </w:rPr>
        <w:t>biometāna</w:t>
      </w:r>
      <w:proofErr w:type="spellEnd"/>
      <w:r w:rsidR="00501034">
        <w:rPr>
          <w:sz w:val="23"/>
          <w:szCs w:val="23"/>
        </w:rPr>
        <w:t xml:space="preserve"> tirgus izveides principiem, īpaši veicinot biogāzes staciju pāreju uz </w:t>
      </w:r>
      <w:proofErr w:type="spellStart"/>
      <w:r w:rsidR="00501034">
        <w:rPr>
          <w:sz w:val="23"/>
          <w:szCs w:val="23"/>
        </w:rPr>
        <w:t>biometāna</w:t>
      </w:r>
      <w:proofErr w:type="spellEnd"/>
      <w:r w:rsidR="00501034">
        <w:rPr>
          <w:sz w:val="23"/>
          <w:szCs w:val="23"/>
        </w:rPr>
        <w:t xml:space="preserve"> ražošanu un autoparku pāreju  uz </w:t>
      </w:r>
      <w:proofErr w:type="spellStart"/>
      <w:r w:rsidR="00501034">
        <w:rPr>
          <w:sz w:val="23"/>
          <w:szCs w:val="23"/>
        </w:rPr>
        <w:t>biometānu</w:t>
      </w:r>
      <w:proofErr w:type="spellEnd"/>
      <w:r w:rsidR="00501034">
        <w:rPr>
          <w:sz w:val="23"/>
          <w:szCs w:val="23"/>
        </w:rPr>
        <w:t xml:space="preserve">; </w:t>
      </w:r>
      <w:r w:rsidR="00501034">
        <w:t>6</w:t>
      </w:r>
      <w:r w:rsidR="00380CE2" w:rsidRPr="00A1295B">
        <w:t>) dažādu nodokļu atcelšana vai to ievērojama samazināšana AER ražotājiem, HES gadījumā īpaši tas atti</w:t>
      </w:r>
      <w:r w:rsidR="00501034">
        <w:t>ecas uz dabas resursu nodokli; 7</w:t>
      </w:r>
      <w:r w:rsidR="00380CE2" w:rsidRPr="00A1295B">
        <w:t>) sadales tīkla pakalpojuma tarifa atcelšana vai tā ievērojama samazināšana AER ražotājiem</w:t>
      </w:r>
      <w:r w:rsidR="000D7C48" w:rsidRPr="00A1295B">
        <w:t xml:space="preserve">. </w:t>
      </w:r>
      <w:r w:rsidRPr="00A1295B">
        <w:t>LAEF</w:t>
      </w:r>
      <w:r w:rsidR="002050CD">
        <w:t xml:space="preserve"> aicina EM neatliekami un strauji</w:t>
      </w:r>
      <w:r w:rsidR="000D7C48" w:rsidRPr="00A1295B">
        <w:t xml:space="preserve"> uzsākt aktīvu darbu pie to izstrādes. </w:t>
      </w:r>
    </w:p>
    <w:p w14:paraId="26F3F940" w14:textId="66232399" w:rsidR="00E42ABD" w:rsidRPr="00A1295B" w:rsidRDefault="00A1295B" w:rsidP="00E42ABD">
      <w:pPr>
        <w:spacing w:before="120" w:after="0" w:line="240" w:lineRule="auto"/>
        <w:jc w:val="both"/>
        <w:rPr>
          <w:rFonts w:ascii="Times New Roman" w:hAnsi="Times New Roman"/>
          <w:sz w:val="24"/>
          <w:szCs w:val="24"/>
        </w:rPr>
      </w:pPr>
      <w:r w:rsidRPr="00A1295B">
        <w:rPr>
          <w:rFonts w:ascii="Times New Roman" w:hAnsi="Times New Roman"/>
          <w:sz w:val="24"/>
          <w:szCs w:val="24"/>
        </w:rPr>
        <w:t>LAEF</w:t>
      </w:r>
      <w:r w:rsidR="001D2881" w:rsidRPr="00A1295B">
        <w:rPr>
          <w:rFonts w:ascii="Times New Roman" w:hAnsi="Times New Roman"/>
          <w:sz w:val="24"/>
          <w:szCs w:val="24"/>
        </w:rPr>
        <w:t xml:space="preserve"> kā vienmēr ir gatava kopīgam darbam ar valsti, arī šajā gadījumā</w:t>
      </w:r>
      <w:r w:rsidR="000D7C48" w:rsidRPr="00A1295B">
        <w:rPr>
          <w:rFonts w:ascii="Times New Roman" w:hAnsi="Times New Roman"/>
          <w:sz w:val="24"/>
          <w:szCs w:val="24"/>
        </w:rPr>
        <w:t xml:space="preserve"> ar Noteikumu projektu</w:t>
      </w:r>
      <w:r w:rsidR="001D2881" w:rsidRPr="00A1295B">
        <w:rPr>
          <w:rFonts w:ascii="Times New Roman" w:hAnsi="Times New Roman"/>
          <w:sz w:val="24"/>
          <w:szCs w:val="24"/>
        </w:rPr>
        <w:t xml:space="preserve">, lai beigās iegūtu tādu </w:t>
      </w:r>
      <w:r w:rsidR="000D7C48" w:rsidRPr="00A1295B">
        <w:rPr>
          <w:rFonts w:ascii="Times New Roman" w:hAnsi="Times New Roman"/>
          <w:sz w:val="24"/>
          <w:szCs w:val="24"/>
        </w:rPr>
        <w:t>tiesisko regulējumu</w:t>
      </w:r>
      <w:r w:rsidR="001D2881" w:rsidRPr="00A1295B">
        <w:rPr>
          <w:rFonts w:ascii="Times New Roman" w:hAnsi="Times New Roman"/>
          <w:sz w:val="24"/>
          <w:szCs w:val="24"/>
        </w:rPr>
        <w:t xml:space="preserve">, kas </w:t>
      </w:r>
      <w:proofErr w:type="spellStart"/>
      <w:r w:rsidR="000D7C48" w:rsidRPr="00A1295B">
        <w:rPr>
          <w:rFonts w:ascii="Times New Roman" w:hAnsi="Times New Roman"/>
          <w:sz w:val="24"/>
          <w:szCs w:val="24"/>
        </w:rPr>
        <w:t>līmeņatzīmju</w:t>
      </w:r>
      <w:proofErr w:type="spellEnd"/>
      <w:r w:rsidR="000D7C48" w:rsidRPr="00A1295B">
        <w:rPr>
          <w:rFonts w:ascii="Times New Roman" w:hAnsi="Times New Roman"/>
          <w:sz w:val="24"/>
          <w:szCs w:val="24"/>
        </w:rPr>
        <w:t xml:space="preserve"> ziņā </w:t>
      </w:r>
      <w:r w:rsidR="001D2881" w:rsidRPr="00A1295B">
        <w:rPr>
          <w:rFonts w:ascii="Times New Roman" w:hAnsi="Times New Roman"/>
          <w:sz w:val="24"/>
          <w:szCs w:val="24"/>
        </w:rPr>
        <w:t>ataino</w:t>
      </w:r>
      <w:r w:rsidR="000D7C48" w:rsidRPr="00A1295B">
        <w:rPr>
          <w:rFonts w:ascii="Times New Roman" w:hAnsi="Times New Roman"/>
          <w:sz w:val="24"/>
          <w:szCs w:val="24"/>
        </w:rPr>
        <w:t>tu</w:t>
      </w:r>
      <w:r w:rsidR="001D2881" w:rsidRPr="00A1295B">
        <w:rPr>
          <w:rFonts w:ascii="Times New Roman" w:hAnsi="Times New Roman"/>
          <w:sz w:val="24"/>
          <w:szCs w:val="24"/>
        </w:rPr>
        <w:t xml:space="preserve"> </w:t>
      </w:r>
      <w:r w:rsidR="000D7C48" w:rsidRPr="00A1295B">
        <w:rPr>
          <w:rFonts w:ascii="Times New Roman" w:hAnsi="Times New Roman"/>
          <w:sz w:val="24"/>
          <w:szCs w:val="24"/>
        </w:rPr>
        <w:t xml:space="preserve">patieso </w:t>
      </w:r>
      <w:r w:rsidRPr="00A1295B">
        <w:rPr>
          <w:rFonts w:ascii="Times New Roman" w:hAnsi="Times New Roman"/>
          <w:sz w:val="24"/>
          <w:szCs w:val="24"/>
        </w:rPr>
        <w:t>AER ražotāju</w:t>
      </w:r>
      <w:r w:rsidR="001D2881" w:rsidRPr="00A1295B">
        <w:rPr>
          <w:rFonts w:ascii="Times New Roman" w:hAnsi="Times New Roman"/>
          <w:sz w:val="24"/>
          <w:szCs w:val="24"/>
        </w:rPr>
        <w:t xml:space="preserve"> situāciju Latvij</w:t>
      </w:r>
      <w:r w:rsidR="000D7C48" w:rsidRPr="00A1295B">
        <w:rPr>
          <w:rFonts w:ascii="Times New Roman" w:hAnsi="Times New Roman"/>
          <w:sz w:val="24"/>
          <w:szCs w:val="24"/>
        </w:rPr>
        <w:t xml:space="preserve">ā un kas ļautu saglabāt esošo </w:t>
      </w:r>
      <w:r w:rsidRPr="00A1295B">
        <w:rPr>
          <w:rFonts w:ascii="Times New Roman" w:hAnsi="Times New Roman"/>
          <w:sz w:val="24"/>
          <w:szCs w:val="24"/>
        </w:rPr>
        <w:t>AER elektrostaciju</w:t>
      </w:r>
      <w:r w:rsidR="000D7C48" w:rsidRPr="00A1295B">
        <w:rPr>
          <w:rFonts w:ascii="Times New Roman" w:hAnsi="Times New Roman"/>
          <w:sz w:val="24"/>
          <w:szCs w:val="24"/>
        </w:rPr>
        <w:t xml:space="preserve"> devumu Latvijas tautsaimniecībai</w:t>
      </w:r>
      <w:r w:rsidR="001D2881" w:rsidRPr="00A1295B">
        <w:rPr>
          <w:rFonts w:ascii="Times New Roman" w:hAnsi="Times New Roman"/>
          <w:sz w:val="24"/>
          <w:szCs w:val="24"/>
        </w:rPr>
        <w:t>.</w:t>
      </w:r>
    </w:p>
    <w:p w14:paraId="28623308" w14:textId="708778A2" w:rsidR="00633DAA" w:rsidRPr="007674A2" w:rsidRDefault="00633DAA" w:rsidP="00C21BCC">
      <w:pPr>
        <w:spacing w:before="120" w:after="0" w:line="240" w:lineRule="auto"/>
        <w:jc w:val="both"/>
        <w:rPr>
          <w:rFonts w:ascii="Times New Roman" w:hAnsi="Times New Roman"/>
          <w:bCs/>
          <w:sz w:val="24"/>
          <w:szCs w:val="24"/>
        </w:rPr>
      </w:pPr>
    </w:p>
    <w:p w14:paraId="4B94A9C7" w14:textId="77777777" w:rsidR="00BB689A" w:rsidRPr="00BB689A" w:rsidRDefault="00BB689A" w:rsidP="00BB689A">
      <w:pPr>
        <w:spacing w:after="120" w:line="240" w:lineRule="auto"/>
        <w:jc w:val="both"/>
        <w:rPr>
          <w:rFonts w:ascii="Times New Roman" w:eastAsiaTheme="minorEastAsia" w:hAnsi="Times New Roman"/>
          <w:sz w:val="24"/>
          <w:szCs w:val="24"/>
          <w:lang w:eastAsia="lv-LV"/>
        </w:rPr>
      </w:pPr>
      <w:r w:rsidRPr="00BB689A">
        <w:rPr>
          <w:rFonts w:ascii="Times New Roman" w:eastAsiaTheme="minorEastAsia" w:hAnsi="Times New Roman"/>
          <w:sz w:val="24"/>
          <w:szCs w:val="24"/>
          <w:lang w:eastAsia="lv-LV"/>
        </w:rPr>
        <w:t xml:space="preserve">Jānis Irbe </w:t>
      </w:r>
    </w:p>
    <w:p w14:paraId="4ED71D13" w14:textId="11AC6157" w:rsidR="004826FC" w:rsidRPr="00895FD8" w:rsidRDefault="00BB689A" w:rsidP="00895FD8">
      <w:pPr>
        <w:spacing w:after="120" w:line="240" w:lineRule="auto"/>
        <w:jc w:val="both"/>
        <w:rPr>
          <w:rFonts w:ascii="Times New Roman" w:eastAsiaTheme="minorEastAsia" w:hAnsi="Times New Roman"/>
          <w:sz w:val="24"/>
          <w:szCs w:val="24"/>
          <w:lang w:eastAsia="lv-LV"/>
        </w:rPr>
      </w:pPr>
      <w:r w:rsidRPr="00BB689A">
        <w:rPr>
          <w:rFonts w:ascii="Times New Roman" w:eastAsiaTheme="minorEastAsia" w:hAnsi="Times New Roman"/>
          <w:sz w:val="24"/>
          <w:szCs w:val="24"/>
          <w:lang w:eastAsia="lv-LV"/>
        </w:rPr>
        <w:t>Biedrības “Latvijas Atjaunojamās enerģijas federācija” valdes priekšsēdētājs</w:t>
      </w:r>
    </w:p>
    <w:sectPr w:rsidR="004826FC" w:rsidRPr="00895FD8" w:rsidSect="00980802">
      <w:headerReference w:type="default" r:id="rId10"/>
      <w:footerReference w:type="default" r:id="rId11"/>
      <w:pgSz w:w="11906" w:h="16838"/>
      <w:pgMar w:top="1440" w:right="1416" w:bottom="709" w:left="1418"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5F5A8" w14:textId="77777777" w:rsidR="001D2816" w:rsidRDefault="001D2816" w:rsidP="00AA5C3F">
      <w:pPr>
        <w:spacing w:after="0" w:line="240" w:lineRule="auto"/>
      </w:pPr>
      <w:r>
        <w:separator/>
      </w:r>
    </w:p>
  </w:endnote>
  <w:endnote w:type="continuationSeparator" w:id="0">
    <w:p w14:paraId="76DA8128" w14:textId="77777777" w:rsidR="001D2816" w:rsidRDefault="001D2816" w:rsidP="00AA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2ABE" w14:textId="77777777" w:rsidR="005B53A0" w:rsidRDefault="005B53A0">
    <w:pPr>
      <w:pStyle w:val="Footer"/>
      <w:jc w:val="right"/>
    </w:pPr>
    <w:r>
      <w:fldChar w:fldCharType="begin"/>
    </w:r>
    <w:r>
      <w:instrText xml:space="preserve"> PAGE   \* MERGEFORMAT </w:instrText>
    </w:r>
    <w:r>
      <w:fldChar w:fldCharType="separate"/>
    </w:r>
    <w:r w:rsidR="00FA6709">
      <w:rPr>
        <w:noProof/>
      </w:rPr>
      <w:t>1</w:t>
    </w:r>
    <w:r>
      <w:rPr>
        <w:noProof/>
      </w:rPr>
      <w:fldChar w:fldCharType="end"/>
    </w:r>
  </w:p>
  <w:p w14:paraId="775DA7F7" w14:textId="77777777" w:rsidR="005B53A0" w:rsidRDefault="005B5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F451C" w14:textId="77777777" w:rsidR="001D2816" w:rsidRDefault="001D2816" w:rsidP="00AA5C3F">
      <w:pPr>
        <w:spacing w:after="0" w:line="240" w:lineRule="auto"/>
      </w:pPr>
      <w:r>
        <w:separator/>
      </w:r>
    </w:p>
  </w:footnote>
  <w:footnote w:type="continuationSeparator" w:id="0">
    <w:p w14:paraId="7B63C032" w14:textId="77777777" w:rsidR="001D2816" w:rsidRDefault="001D2816" w:rsidP="00AA5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C0630" w14:textId="77777777" w:rsidR="005B53A0" w:rsidRPr="008F1BD3" w:rsidRDefault="005B53A0" w:rsidP="008F1BD3">
    <w:pPr>
      <w:tabs>
        <w:tab w:val="right" w:pos="9065"/>
      </w:tabs>
      <w:spacing w:before="142" w:after="0" w:line="240" w:lineRule="auto"/>
      <w:jc w:val="center"/>
      <w:rPr>
        <w:rFonts w:asciiTheme="minorHAnsi" w:eastAsiaTheme="minorEastAsia" w:hAnsiTheme="minorHAnsi" w:cstheme="minorBidi"/>
        <w:lang w:eastAsia="lv-LV"/>
      </w:rPr>
    </w:pPr>
    <w:r w:rsidRPr="008F1BD3">
      <w:rPr>
        <w:rFonts w:asciiTheme="minorHAnsi" w:eastAsiaTheme="minorEastAsia" w:hAnsiTheme="minorHAnsi" w:cstheme="minorBidi"/>
        <w:lang w:eastAsia="lv-LV"/>
      </w:rPr>
      <w:tab/>
    </w:r>
    <w:r w:rsidRPr="008F1BD3">
      <w:rPr>
        <w:rFonts w:asciiTheme="minorHAnsi" w:eastAsiaTheme="minorEastAsia" w:hAnsiTheme="minorHAnsi" w:cstheme="minorBidi"/>
        <w:noProof/>
        <w:lang w:eastAsia="lv-LV"/>
      </w:rPr>
      <w:drawing>
        <wp:inline distT="0" distB="0" distL="0" distR="0" wp14:anchorId="06A89CEC" wp14:editId="0D98CEAC">
          <wp:extent cx="1533525" cy="5810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a:ln>
                    <a:noFill/>
                  </a:ln>
                </pic:spPr>
              </pic:pic>
            </a:graphicData>
          </a:graphic>
        </wp:inline>
      </w:drawing>
    </w:r>
  </w:p>
  <w:p w14:paraId="38062067" w14:textId="77777777" w:rsidR="005B53A0" w:rsidRPr="008F1BD3" w:rsidRDefault="005B53A0" w:rsidP="008F1BD3">
    <w:pPr>
      <w:tabs>
        <w:tab w:val="right" w:pos="9065"/>
      </w:tabs>
      <w:spacing w:before="142" w:after="0" w:line="240" w:lineRule="auto"/>
      <w:jc w:val="center"/>
      <w:rPr>
        <w:rFonts w:ascii="Times New Roman" w:eastAsiaTheme="minorEastAsia" w:hAnsi="Times New Roman"/>
        <w:b/>
        <w:sz w:val="24"/>
        <w:szCs w:val="24"/>
        <w:lang w:eastAsia="lv-LV"/>
      </w:rPr>
    </w:pPr>
    <w:r w:rsidRPr="008F1BD3">
      <w:rPr>
        <w:rFonts w:ascii="Times New Roman" w:eastAsiaTheme="minorEastAsia" w:hAnsi="Times New Roman"/>
        <w:b/>
        <w:sz w:val="24"/>
        <w:szCs w:val="24"/>
        <w:lang w:eastAsia="lv-LV"/>
      </w:rPr>
      <w:t>LATVIJAS ATJAUNOJAMĀS ENERĢIJAS FEDERĀCIJA</w:t>
    </w:r>
  </w:p>
  <w:p w14:paraId="5E15D566" w14:textId="77777777" w:rsidR="005B53A0" w:rsidRPr="008F1BD3" w:rsidRDefault="005B53A0" w:rsidP="008F1BD3">
    <w:pPr>
      <w:pBdr>
        <w:bottom w:val="single" w:sz="4" w:space="1" w:color="auto"/>
      </w:pBdr>
      <w:tabs>
        <w:tab w:val="center" w:pos="4153"/>
        <w:tab w:val="right" w:pos="8306"/>
      </w:tabs>
      <w:spacing w:after="0" w:line="240" w:lineRule="auto"/>
      <w:jc w:val="center"/>
      <w:rPr>
        <w:rFonts w:asciiTheme="minorHAnsi" w:eastAsiaTheme="minorEastAsia" w:hAnsiTheme="minorHAnsi" w:cstheme="minorBidi"/>
        <w:lang w:eastAsia="lv-LV"/>
      </w:rPr>
    </w:pPr>
    <w:r w:rsidRPr="008F1BD3">
      <w:rPr>
        <w:rFonts w:ascii="Times New Roman" w:eastAsia="Times New Roman" w:hAnsi="Times New Roman"/>
        <w:sz w:val="24"/>
        <w:lang w:eastAsia="lv-LV"/>
      </w:rPr>
      <w:t xml:space="preserve">Reģistrācijas nr.40008205845, juridiskā adrese: </w:t>
    </w:r>
    <w:r w:rsidRPr="008F1BD3">
      <w:rPr>
        <w:rFonts w:ascii="Times New Roman" w:eastAsia="Times New Roman" w:hAnsi="Times New Roman"/>
        <w:bCs/>
        <w:sz w:val="24"/>
        <w:lang w:eastAsia="lv-LV"/>
      </w:rPr>
      <w:t>Pulkveža Brieža iela 7-302A</w:t>
    </w:r>
    <w:r w:rsidRPr="008F1BD3">
      <w:rPr>
        <w:rFonts w:ascii="Times New Roman" w:eastAsia="Times New Roman" w:hAnsi="Times New Roman"/>
        <w:sz w:val="24"/>
        <w:lang w:eastAsia="lv-LV"/>
      </w:rPr>
      <w:t>, Rīga, LV-1010</w:t>
    </w:r>
    <w:r w:rsidRPr="008F1BD3">
      <w:rPr>
        <w:rFonts w:ascii="Times New Roman" w:eastAsia="Times New Roman" w:hAnsi="Times New Roman"/>
        <w:sz w:val="24"/>
        <w:bdr w:val="single" w:sz="4" w:space="0" w:color="auto"/>
        <w:lang w:eastAsia="lv-LV"/>
      </w:rPr>
      <w:t xml:space="preserve">                  </w:t>
    </w:r>
  </w:p>
  <w:p w14:paraId="40595B26" w14:textId="77777777" w:rsidR="005B53A0" w:rsidRPr="00251B75" w:rsidRDefault="005B53A0" w:rsidP="00AA5C3F">
    <w:pPr>
      <w:pStyle w:val="Header"/>
      <w:jc w:val="center"/>
      <w:rPr>
        <w:rFonts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7E25"/>
    <w:multiLevelType w:val="hybridMultilevel"/>
    <w:tmpl w:val="64E89986"/>
    <w:lvl w:ilvl="0" w:tplc="4A8C5342">
      <w:start w:val="1"/>
      <w:numFmt w:val="bullet"/>
      <w:lvlText w:val="•"/>
      <w:lvlJc w:val="left"/>
      <w:pPr>
        <w:tabs>
          <w:tab w:val="num" w:pos="720"/>
        </w:tabs>
        <w:ind w:left="720" w:hanging="360"/>
      </w:pPr>
      <w:rPr>
        <w:rFonts w:ascii="Arial" w:hAnsi="Arial" w:hint="default"/>
      </w:rPr>
    </w:lvl>
    <w:lvl w:ilvl="1" w:tplc="6E4CC1E4" w:tentative="1">
      <w:start w:val="1"/>
      <w:numFmt w:val="bullet"/>
      <w:lvlText w:val="•"/>
      <w:lvlJc w:val="left"/>
      <w:pPr>
        <w:tabs>
          <w:tab w:val="num" w:pos="1440"/>
        </w:tabs>
        <w:ind w:left="1440" w:hanging="360"/>
      </w:pPr>
      <w:rPr>
        <w:rFonts w:ascii="Arial" w:hAnsi="Arial" w:hint="default"/>
      </w:rPr>
    </w:lvl>
    <w:lvl w:ilvl="2" w:tplc="CE5414A4" w:tentative="1">
      <w:start w:val="1"/>
      <w:numFmt w:val="bullet"/>
      <w:lvlText w:val="•"/>
      <w:lvlJc w:val="left"/>
      <w:pPr>
        <w:tabs>
          <w:tab w:val="num" w:pos="2160"/>
        </w:tabs>
        <w:ind w:left="2160" w:hanging="360"/>
      </w:pPr>
      <w:rPr>
        <w:rFonts w:ascii="Arial" w:hAnsi="Arial" w:hint="default"/>
      </w:rPr>
    </w:lvl>
    <w:lvl w:ilvl="3" w:tplc="1D6896A8" w:tentative="1">
      <w:start w:val="1"/>
      <w:numFmt w:val="bullet"/>
      <w:lvlText w:val="•"/>
      <w:lvlJc w:val="left"/>
      <w:pPr>
        <w:tabs>
          <w:tab w:val="num" w:pos="2880"/>
        </w:tabs>
        <w:ind w:left="2880" w:hanging="360"/>
      </w:pPr>
      <w:rPr>
        <w:rFonts w:ascii="Arial" w:hAnsi="Arial" w:hint="default"/>
      </w:rPr>
    </w:lvl>
    <w:lvl w:ilvl="4" w:tplc="20C8E3F6" w:tentative="1">
      <w:start w:val="1"/>
      <w:numFmt w:val="bullet"/>
      <w:lvlText w:val="•"/>
      <w:lvlJc w:val="left"/>
      <w:pPr>
        <w:tabs>
          <w:tab w:val="num" w:pos="3600"/>
        </w:tabs>
        <w:ind w:left="3600" w:hanging="360"/>
      </w:pPr>
      <w:rPr>
        <w:rFonts w:ascii="Arial" w:hAnsi="Arial" w:hint="default"/>
      </w:rPr>
    </w:lvl>
    <w:lvl w:ilvl="5" w:tplc="F044E154" w:tentative="1">
      <w:start w:val="1"/>
      <w:numFmt w:val="bullet"/>
      <w:lvlText w:val="•"/>
      <w:lvlJc w:val="left"/>
      <w:pPr>
        <w:tabs>
          <w:tab w:val="num" w:pos="4320"/>
        </w:tabs>
        <w:ind w:left="4320" w:hanging="360"/>
      </w:pPr>
      <w:rPr>
        <w:rFonts w:ascii="Arial" w:hAnsi="Arial" w:hint="default"/>
      </w:rPr>
    </w:lvl>
    <w:lvl w:ilvl="6" w:tplc="1700C3FC" w:tentative="1">
      <w:start w:val="1"/>
      <w:numFmt w:val="bullet"/>
      <w:lvlText w:val="•"/>
      <w:lvlJc w:val="left"/>
      <w:pPr>
        <w:tabs>
          <w:tab w:val="num" w:pos="5040"/>
        </w:tabs>
        <w:ind w:left="5040" w:hanging="360"/>
      </w:pPr>
      <w:rPr>
        <w:rFonts w:ascii="Arial" w:hAnsi="Arial" w:hint="default"/>
      </w:rPr>
    </w:lvl>
    <w:lvl w:ilvl="7" w:tplc="276E16D6" w:tentative="1">
      <w:start w:val="1"/>
      <w:numFmt w:val="bullet"/>
      <w:lvlText w:val="•"/>
      <w:lvlJc w:val="left"/>
      <w:pPr>
        <w:tabs>
          <w:tab w:val="num" w:pos="5760"/>
        </w:tabs>
        <w:ind w:left="5760" w:hanging="360"/>
      </w:pPr>
      <w:rPr>
        <w:rFonts w:ascii="Arial" w:hAnsi="Arial" w:hint="default"/>
      </w:rPr>
    </w:lvl>
    <w:lvl w:ilvl="8" w:tplc="98DCC6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85907"/>
    <w:multiLevelType w:val="hybridMultilevel"/>
    <w:tmpl w:val="6A747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411EDC"/>
    <w:multiLevelType w:val="hybridMultilevel"/>
    <w:tmpl w:val="6C542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F86623"/>
    <w:multiLevelType w:val="multilevel"/>
    <w:tmpl w:val="082AA0D8"/>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0C68354E"/>
    <w:multiLevelType w:val="hybridMultilevel"/>
    <w:tmpl w:val="EE0AA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751542"/>
    <w:multiLevelType w:val="hybridMultilevel"/>
    <w:tmpl w:val="5CAA3F7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A05FD"/>
    <w:multiLevelType w:val="hybridMultilevel"/>
    <w:tmpl w:val="9F2E3C08"/>
    <w:lvl w:ilvl="0" w:tplc="51408F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4F23629"/>
    <w:multiLevelType w:val="hybridMultilevel"/>
    <w:tmpl w:val="DDA0CAC4"/>
    <w:lvl w:ilvl="0" w:tplc="0426000B">
      <w:start w:val="1"/>
      <w:numFmt w:val="bullet"/>
      <w:lvlText w:val=""/>
      <w:lvlJc w:val="left"/>
      <w:pPr>
        <w:ind w:left="2880" w:hanging="360"/>
      </w:pPr>
      <w:rPr>
        <w:rFonts w:ascii="Wingdings" w:hAnsi="Wingdings" w:cs="Wingdings"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8" w15:restartNumberingAfterBreak="0">
    <w:nsid w:val="15330539"/>
    <w:multiLevelType w:val="hybridMultilevel"/>
    <w:tmpl w:val="68669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9650CC"/>
    <w:multiLevelType w:val="hybridMultilevel"/>
    <w:tmpl w:val="EF5AD7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D63D80"/>
    <w:multiLevelType w:val="hybridMultilevel"/>
    <w:tmpl w:val="92601148"/>
    <w:lvl w:ilvl="0" w:tplc="687A991A">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96793A"/>
    <w:multiLevelType w:val="hybridMultilevel"/>
    <w:tmpl w:val="CE5EA348"/>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EB40C46"/>
    <w:multiLevelType w:val="hybridMultilevel"/>
    <w:tmpl w:val="F63E700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912416"/>
    <w:multiLevelType w:val="hybridMultilevel"/>
    <w:tmpl w:val="F3080F3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5B25B4B"/>
    <w:multiLevelType w:val="hybridMultilevel"/>
    <w:tmpl w:val="C2584EAC"/>
    <w:lvl w:ilvl="0" w:tplc="04260011">
      <w:start w:val="1"/>
      <w:numFmt w:val="decimal"/>
      <w:lvlText w:val="%1)"/>
      <w:lvlJc w:val="left"/>
      <w:pPr>
        <w:ind w:left="720" w:hanging="360"/>
      </w:pPr>
      <w:rPr>
        <w:rFonts w:hint="default"/>
        <w:b/>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D643D7"/>
    <w:multiLevelType w:val="hybridMultilevel"/>
    <w:tmpl w:val="41BC50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3E3596"/>
    <w:multiLevelType w:val="hybridMultilevel"/>
    <w:tmpl w:val="DB8AF03E"/>
    <w:lvl w:ilvl="0" w:tplc="04260015">
      <w:start w:val="1"/>
      <w:numFmt w:val="upperLetter"/>
      <w:lvlText w:val="%1."/>
      <w:lvlJc w:val="left"/>
      <w:pPr>
        <w:ind w:left="1644" w:hanging="360"/>
      </w:pPr>
    </w:lvl>
    <w:lvl w:ilvl="1" w:tplc="04260019" w:tentative="1">
      <w:start w:val="1"/>
      <w:numFmt w:val="lowerLetter"/>
      <w:lvlText w:val="%2."/>
      <w:lvlJc w:val="left"/>
      <w:pPr>
        <w:ind w:left="2364" w:hanging="360"/>
      </w:pPr>
    </w:lvl>
    <w:lvl w:ilvl="2" w:tplc="0426001B" w:tentative="1">
      <w:start w:val="1"/>
      <w:numFmt w:val="lowerRoman"/>
      <w:lvlText w:val="%3."/>
      <w:lvlJc w:val="right"/>
      <w:pPr>
        <w:ind w:left="3084" w:hanging="180"/>
      </w:pPr>
    </w:lvl>
    <w:lvl w:ilvl="3" w:tplc="0426000F" w:tentative="1">
      <w:start w:val="1"/>
      <w:numFmt w:val="decimal"/>
      <w:lvlText w:val="%4."/>
      <w:lvlJc w:val="left"/>
      <w:pPr>
        <w:ind w:left="3804" w:hanging="360"/>
      </w:pPr>
    </w:lvl>
    <w:lvl w:ilvl="4" w:tplc="04260019" w:tentative="1">
      <w:start w:val="1"/>
      <w:numFmt w:val="lowerLetter"/>
      <w:lvlText w:val="%5."/>
      <w:lvlJc w:val="left"/>
      <w:pPr>
        <w:ind w:left="4524" w:hanging="360"/>
      </w:pPr>
    </w:lvl>
    <w:lvl w:ilvl="5" w:tplc="0426001B" w:tentative="1">
      <w:start w:val="1"/>
      <w:numFmt w:val="lowerRoman"/>
      <w:lvlText w:val="%6."/>
      <w:lvlJc w:val="right"/>
      <w:pPr>
        <w:ind w:left="5244" w:hanging="180"/>
      </w:pPr>
    </w:lvl>
    <w:lvl w:ilvl="6" w:tplc="0426000F" w:tentative="1">
      <w:start w:val="1"/>
      <w:numFmt w:val="decimal"/>
      <w:lvlText w:val="%7."/>
      <w:lvlJc w:val="left"/>
      <w:pPr>
        <w:ind w:left="5964" w:hanging="360"/>
      </w:pPr>
    </w:lvl>
    <w:lvl w:ilvl="7" w:tplc="04260019" w:tentative="1">
      <w:start w:val="1"/>
      <w:numFmt w:val="lowerLetter"/>
      <w:lvlText w:val="%8."/>
      <w:lvlJc w:val="left"/>
      <w:pPr>
        <w:ind w:left="6684" w:hanging="360"/>
      </w:pPr>
    </w:lvl>
    <w:lvl w:ilvl="8" w:tplc="0426001B" w:tentative="1">
      <w:start w:val="1"/>
      <w:numFmt w:val="lowerRoman"/>
      <w:lvlText w:val="%9."/>
      <w:lvlJc w:val="right"/>
      <w:pPr>
        <w:ind w:left="7404" w:hanging="180"/>
      </w:pPr>
    </w:lvl>
  </w:abstractNum>
  <w:abstractNum w:abstractNumId="17" w15:restartNumberingAfterBreak="0">
    <w:nsid w:val="2D0C6987"/>
    <w:multiLevelType w:val="hybridMultilevel"/>
    <w:tmpl w:val="4E9AF06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33E63C4C"/>
    <w:multiLevelType w:val="hybridMultilevel"/>
    <w:tmpl w:val="038A029E"/>
    <w:lvl w:ilvl="0" w:tplc="3F308CA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6764C6"/>
    <w:multiLevelType w:val="multilevel"/>
    <w:tmpl w:val="082AA0D8"/>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365E6E3C"/>
    <w:multiLevelType w:val="multilevel"/>
    <w:tmpl w:val="C5D87772"/>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7305B1D"/>
    <w:multiLevelType w:val="hybridMultilevel"/>
    <w:tmpl w:val="76B8EC9A"/>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9A367EC"/>
    <w:multiLevelType w:val="hybridMultilevel"/>
    <w:tmpl w:val="227E9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CC0B66"/>
    <w:multiLevelType w:val="multilevel"/>
    <w:tmpl w:val="082AA0D8"/>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453535D0"/>
    <w:multiLevelType w:val="hybridMultilevel"/>
    <w:tmpl w:val="A5FC2F2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6B42CC9"/>
    <w:multiLevelType w:val="hybridMultilevel"/>
    <w:tmpl w:val="50A412D0"/>
    <w:lvl w:ilvl="0" w:tplc="04260005">
      <w:start w:val="1"/>
      <w:numFmt w:val="bullet"/>
      <w:lvlText w:val=""/>
      <w:lvlJc w:val="left"/>
      <w:pPr>
        <w:ind w:left="1434" w:hanging="360"/>
      </w:pPr>
      <w:rPr>
        <w:rFonts w:ascii="Wingdings" w:hAnsi="Wingdings"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6" w15:restartNumberingAfterBreak="0">
    <w:nsid w:val="480A628E"/>
    <w:multiLevelType w:val="hybridMultilevel"/>
    <w:tmpl w:val="6862D27C"/>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D15512F"/>
    <w:multiLevelType w:val="hybridMultilevel"/>
    <w:tmpl w:val="1D8E153A"/>
    <w:lvl w:ilvl="0" w:tplc="52BC4A62">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2B95BE8"/>
    <w:multiLevelType w:val="hybridMultilevel"/>
    <w:tmpl w:val="3F562874"/>
    <w:lvl w:ilvl="0" w:tplc="04260005">
      <w:start w:val="1"/>
      <w:numFmt w:val="bullet"/>
      <w:lvlText w:val=""/>
      <w:lvlJc w:val="left"/>
      <w:pPr>
        <w:ind w:left="1440" w:hanging="360"/>
      </w:pPr>
      <w:rPr>
        <w:rFonts w:ascii="Wingdings" w:hAnsi="Wingdings" w:cs="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54F7A8D"/>
    <w:multiLevelType w:val="hybridMultilevel"/>
    <w:tmpl w:val="290C0E7E"/>
    <w:lvl w:ilvl="0" w:tplc="F2D0A240">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597B03BD"/>
    <w:multiLevelType w:val="multilevel"/>
    <w:tmpl w:val="C5D87772"/>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59891DB1"/>
    <w:multiLevelType w:val="hybridMultilevel"/>
    <w:tmpl w:val="F200998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B435596"/>
    <w:multiLevelType w:val="hybridMultilevel"/>
    <w:tmpl w:val="36666672"/>
    <w:lvl w:ilvl="0" w:tplc="04260005">
      <w:start w:val="1"/>
      <w:numFmt w:val="bullet"/>
      <w:lvlText w:val=""/>
      <w:lvlJc w:val="left"/>
      <w:pPr>
        <w:ind w:left="1440" w:hanging="360"/>
      </w:pPr>
      <w:rPr>
        <w:rFonts w:ascii="Wingdings" w:hAnsi="Wingdings" w:cs="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E3902BD"/>
    <w:multiLevelType w:val="hybridMultilevel"/>
    <w:tmpl w:val="95E6398C"/>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FBD1C5C"/>
    <w:multiLevelType w:val="multilevel"/>
    <w:tmpl w:val="5E80DD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3120516"/>
    <w:multiLevelType w:val="hybridMultilevel"/>
    <w:tmpl w:val="7E8C4D8E"/>
    <w:lvl w:ilvl="0" w:tplc="04260005">
      <w:start w:val="1"/>
      <w:numFmt w:val="bullet"/>
      <w:lvlText w:val=""/>
      <w:lvlJc w:val="left"/>
      <w:pPr>
        <w:ind w:left="1440" w:hanging="360"/>
      </w:pPr>
      <w:rPr>
        <w:rFonts w:ascii="Wingdings" w:hAnsi="Wingdings" w:cs="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70217DE"/>
    <w:multiLevelType w:val="hybridMultilevel"/>
    <w:tmpl w:val="32786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8FA1CA9"/>
    <w:multiLevelType w:val="hybridMultilevel"/>
    <w:tmpl w:val="98D490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D26F63"/>
    <w:multiLevelType w:val="hybridMultilevel"/>
    <w:tmpl w:val="13C4B55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9E07CA6"/>
    <w:multiLevelType w:val="hybridMultilevel"/>
    <w:tmpl w:val="9280B5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932479"/>
    <w:multiLevelType w:val="hybridMultilevel"/>
    <w:tmpl w:val="995CFB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7922DA"/>
    <w:multiLevelType w:val="hybridMultilevel"/>
    <w:tmpl w:val="98D490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0CE4FC2"/>
    <w:multiLevelType w:val="hybridMultilevel"/>
    <w:tmpl w:val="29DC67D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2E20C26"/>
    <w:multiLevelType w:val="hybridMultilevel"/>
    <w:tmpl w:val="EB1A0130"/>
    <w:lvl w:ilvl="0" w:tplc="EE605B3A">
      <w:start w:val="1"/>
      <w:numFmt w:val="decimal"/>
      <w:lvlText w:val="%1."/>
      <w:lvlJc w:val="left"/>
      <w:pPr>
        <w:ind w:left="1440" w:hanging="360"/>
      </w:pPr>
      <w:rPr>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0">
    <w:nsid w:val="744E2649"/>
    <w:multiLevelType w:val="hybridMultilevel"/>
    <w:tmpl w:val="07D019FC"/>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8BF16C7"/>
    <w:multiLevelType w:val="hybridMultilevel"/>
    <w:tmpl w:val="FAB6B8CC"/>
    <w:lvl w:ilvl="0" w:tplc="04260005">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BD91927"/>
    <w:multiLevelType w:val="hybridMultilevel"/>
    <w:tmpl w:val="BD60864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ECF1833"/>
    <w:multiLevelType w:val="hybridMultilevel"/>
    <w:tmpl w:val="864EE652"/>
    <w:lvl w:ilvl="0" w:tplc="F2D0A240">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8" w15:restartNumberingAfterBreak="0">
    <w:nsid w:val="7ECF2EDB"/>
    <w:multiLevelType w:val="hybridMultilevel"/>
    <w:tmpl w:val="8BDC1048"/>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7"/>
  </w:num>
  <w:num w:numId="3">
    <w:abstractNumId w:val="6"/>
  </w:num>
  <w:num w:numId="4">
    <w:abstractNumId w:val="36"/>
  </w:num>
  <w:num w:numId="5">
    <w:abstractNumId w:val="26"/>
  </w:num>
  <w:num w:numId="6">
    <w:abstractNumId w:val="43"/>
  </w:num>
  <w:num w:numId="7">
    <w:abstractNumId w:val="17"/>
  </w:num>
  <w:num w:numId="8">
    <w:abstractNumId w:val="42"/>
  </w:num>
  <w:num w:numId="9">
    <w:abstractNumId w:val="24"/>
  </w:num>
  <w:num w:numId="10">
    <w:abstractNumId w:val="29"/>
  </w:num>
  <w:num w:numId="11">
    <w:abstractNumId w:val="47"/>
  </w:num>
  <w:num w:numId="12">
    <w:abstractNumId w:val="8"/>
  </w:num>
  <w:num w:numId="13">
    <w:abstractNumId w:val="18"/>
  </w:num>
  <w:num w:numId="14">
    <w:abstractNumId w:val="4"/>
  </w:num>
  <w:num w:numId="15">
    <w:abstractNumId w:val="48"/>
  </w:num>
  <w:num w:numId="16">
    <w:abstractNumId w:val="40"/>
  </w:num>
  <w:num w:numId="17">
    <w:abstractNumId w:val="1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4"/>
  </w:num>
  <w:num w:numId="21">
    <w:abstractNumId w:val="19"/>
  </w:num>
  <w:num w:numId="22">
    <w:abstractNumId w:val="20"/>
  </w:num>
  <w:num w:numId="23">
    <w:abstractNumId w:val="30"/>
  </w:num>
  <w:num w:numId="24">
    <w:abstractNumId w:val="16"/>
  </w:num>
  <w:num w:numId="25">
    <w:abstractNumId w:val="23"/>
  </w:num>
  <w:num w:numId="26">
    <w:abstractNumId w:val="3"/>
  </w:num>
  <w:num w:numId="27">
    <w:abstractNumId w:val="9"/>
  </w:num>
  <w:num w:numId="28">
    <w:abstractNumId w:val="14"/>
  </w:num>
  <w:num w:numId="29">
    <w:abstractNumId w:val="45"/>
  </w:num>
  <w:num w:numId="30">
    <w:abstractNumId w:val="37"/>
  </w:num>
  <w:num w:numId="31">
    <w:abstractNumId w:val="35"/>
  </w:num>
  <w:num w:numId="32">
    <w:abstractNumId w:val="28"/>
  </w:num>
  <w:num w:numId="33">
    <w:abstractNumId w:val="32"/>
  </w:num>
  <w:num w:numId="34">
    <w:abstractNumId w:val="11"/>
  </w:num>
  <w:num w:numId="35">
    <w:abstractNumId w:val="21"/>
  </w:num>
  <w:num w:numId="36">
    <w:abstractNumId w:val="41"/>
  </w:num>
  <w:num w:numId="37">
    <w:abstractNumId w:val="33"/>
  </w:num>
  <w:num w:numId="38">
    <w:abstractNumId w:val="38"/>
  </w:num>
  <w:num w:numId="39">
    <w:abstractNumId w:val="13"/>
  </w:num>
  <w:num w:numId="40">
    <w:abstractNumId w:val="1"/>
  </w:num>
  <w:num w:numId="41">
    <w:abstractNumId w:val="2"/>
  </w:num>
  <w:num w:numId="42">
    <w:abstractNumId w:val="39"/>
  </w:num>
  <w:num w:numId="43">
    <w:abstractNumId w:val="7"/>
  </w:num>
  <w:num w:numId="44">
    <w:abstractNumId w:val="31"/>
  </w:num>
  <w:num w:numId="45">
    <w:abstractNumId w:val="46"/>
  </w:num>
  <w:num w:numId="46">
    <w:abstractNumId w:val="22"/>
  </w:num>
  <w:num w:numId="47">
    <w:abstractNumId w:val="5"/>
  </w:num>
  <w:num w:numId="48">
    <w:abstractNumId w:val="2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45"/>
    <w:rsid w:val="00005CC3"/>
    <w:rsid w:val="00016107"/>
    <w:rsid w:val="0003242A"/>
    <w:rsid w:val="00033004"/>
    <w:rsid w:val="0004092A"/>
    <w:rsid w:val="00044B00"/>
    <w:rsid w:val="0004774F"/>
    <w:rsid w:val="00056059"/>
    <w:rsid w:val="00060382"/>
    <w:rsid w:val="000608E2"/>
    <w:rsid w:val="000755AB"/>
    <w:rsid w:val="00075D52"/>
    <w:rsid w:val="00077D07"/>
    <w:rsid w:val="0009121E"/>
    <w:rsid w:val="00096EE9"/>
    <w:rsid w:val="000A2496"/>
    <w:rsid w:val="000A3E6A"/>
    <w:rsid w:val="000B23A3"/>
    <w:rsid w:val="000B3AB4"/>
    <w:rsid w:val="000B494C"/>
    <w:rsid w:val="000C1238"/>
    <w:rsid w:val="000D7C48"/>
    <w:rsid w:val="000F535A"/>
    <w:rsid w:val="00100465"/>
    <w:rsid w:val="00105934"/>
    <w:rsid w:val="00105997"/>
    <w:rsid w:val="00106FA0"/>
    <w:rsid w:val="00110C8B"/>
    <w:rsid w:val="00112AB8"/>
    <w:rsid w:val="0012064E"/>
    <w:rsid w:val="0012069B"/>
    <w:rsid w:val="00121D44"/>
    <w:rsid w:val="00131680"/>
    <w:rsid w:val="00133E45"/>
    <w:rsid w:val="00141010"/>
    <w:rsid w:val="0014206C"/>
    <w:rsid w:val="001445A7"/>
    <w:rsid w:val="00146C5E"/>
    <w:rsid w:val="00146F47"/>
    <w:rsid w:val="001471E9"/>
    <w:rsid w:val="001515C1"/>
    <w:rsid w:val="00155188"/>
    <w:rsid w:val="001605B0"/>
    <w:rsid w:val="0016338D"/>
    <w:rsid w:val="00166F60"/>
    <w:rsid w:val="001734EB"/>
    <w:rsid w:val="0017464D"/>
    <w:rsid w:val="0018204B"/>
    <w:rsid w:val="001827AA"/>
    <w:rsid w:val="00182A69"/>
    <w:rsid w:val="0019154B"/>
    <w:rsid w:val="00192F20"/>
    <w:rsid w:val="001A1813"/>
    <w:rsid w:val="001A4C38"/>
    <w:rsid w:val="001B3DD4"/>
    <w:rsid w:val="001C7775"/>
    <w:rsid w:val="001D2816"/>
    <w:rsid w:val="001D2881"/>
    <w:rsid w:val="001E2AAB"/>
    <w:rsid w:val="001E37AC"/>
    <w:rsid w:val="001E442F"/>
    <w:rsid w:val="001E72F9"/>
    <w:rsid w:val="001F166C"/>
    <w:rsid w:val="001F2CB7"/>
    <w:rsid w:val="001F6179"/>
    <w:rsid w:val="00200C61"/>
    <w:rsid w:val="002050CD"/>
    <w:rsid w:val="002050DA"/>
    <w:rsid w:val="00206706"/>
    <w:rsid w:val="00216A3B"/>
    <w:rsid w:val="00217CA8"/>
    <w:rsid w:val="00225F85"/>
    <w:rsid w:val="00227598"/>
    <w:rsid w:val="00235E38"/>
    <w:rsid w:val="00236C3A"/>
    <w:rsid w:val="00240E7E"/>
    <w:rsid w:val="00243B90"/>
    <w:rsid w:val="0024417E"/>
    <w:rsid w:val="00251B75"/>
    <w:rsid w:val="00260830"/>
    <w:rsid w:val="002649FD"/>
    <w:rsid w:val="0027078C"/>
    <w:rsid w:val="00271E79"/>
    <w:rsid w:val="002808FD"/>
    <w:rsid w:val="00294961"/>
    <w:rsid w:val="0029643E"/>
    <w:rsid w:val="002B1ECB"/>
    <w:rsid w:val="002C4B6D"/>
    <w:rsid w:val="002C70DB"/>
    <w:rsid w:val="002D1FDC"/>
    <w:rsid w:val="002D4C50"/>
    <w:rsid w:val="002D508A"/>
    <w:rsid w:val="002E1C22"/>
    <w:rsid w:val="002E4696"/>
    <w:rsid w:val="002E5416"/>
    <w:rsid w:val="002F5B45"/>
    <w:rsid w:val="0030339B"/>
    <w:rsid w:val="003133FA"/>
    <w:rsid w:val="0031343E"/>
    <w:rsid w:val="0031369F"/>
    <w:rsid w:val="003203D9"/>
    <w:rsid w:val="0033378E"/>
    <w:rsid w:val="00334983"/>
    <w:rsid w:val="00360873"/>
    <w:rsid w:val="00372193"/>
    <w:rsid w:val="00380CE2"/>
    <w:rsid w:val="00385BED"/>
    <w:rsid w:val="0038793E"/>
    <w:rsid w:val="00395F7A"/>
    <w:rsid w:val="00396A8C"/>
    <w:rsid w:val="003C2D7E"/>
    <w:rsid w:val="003D02E5"/>
    <w:rsid w:val="003D04FB"/>
    <w:rsid w:val="003D1258"/>
    <w:rsid w:val="003D2213"/>
    <w:rsid w:val="003D51FB"/>
    <w:rsid w:val="003D5782"/>
    <w:rsid w:val="003D630B"/>
    <w:rsid w:val="003F0791"/>
    <w:rsid w:val="0040172B"/>
    <w:rsid w:val="0040459B"/>
    <w:rsid w:val="00410342"/>
    <w:rsid w:val="004268E2"/>
    <w:rsid w:val="004320F1"/>
    <w:rsid w:val="004360B6"/>
    <w:rsid w:val="00437E45"/>
    <w:rsid w:val="00445F10"/>
    <w:rsid w:val="00465000"/>
    <w:rsid w:val="00467FD7"/>
    <w:rsid w:val="004718DA"/>
    <w:rsid w:val="00475319"/>
    <w:rsid w:val="00477317"/>
    <w:rsid w:val="004826B6"/>
    <w:rsid w:val="004826FC"/>
    <w:rsid w:val="004829AC"/>
    <w:rsid w:val="00486791"/>
    <w:rsid w:val="0048736C"/>
    <w:rsid w:val="00490B5F"/>
    <w:rsid w:val="0049568C"/>
    <w:rsid w:val="004A34C5"/>
    <w:rsid w:val="004B6499"/>
    <w:rsid w:val="004B7409"/>
    <w:rsid w:val="004C1F03"/>
    <w:rsid w:val="004C480B"/>
    <w:rsid w:val="004C4B45"/>
    <w:rsid w:val="004D5D99"/>
    <w:rsid w:val="004D7B55"/>
    <w:rsid w:val="004E0627"/>
    <w:rsid w:val="004E6231"/>
    <w:rsid w:val="004F481E"/>
    <w:rsid w:val="00500887"/>
    <w:rsid w:val="00501034"/>
    <w:rsid w:val="00503EDB"/>
    <w:rsid w:val="005055ED"/>
    <w:rsid w:val="00507077"/>
    <w:rsid w:val="005073EE"/>
    <w:rsid w:val="005206E0"/>
    <w:rsid w:val="00527815"/>
    <w:rsid w:val="00544F23"/>
    <w:rsid w:val="005501EC"/>
    <w:rsid w:val="00551209"/>
    <w:rsid w:val="00556F15"/>
    <w:rsid w:val="00561D59"/>
    <w:rsid w:val="00564C58"/>
    <w:rsid w:val="00570EC6"/>
    <w:rsid w:val="00570F4A"/>
    <w:rsid w:val="005762B9"/>
    <w:rsid w:val="00576F63"/>
    <w:rsid w:val="00584BD1"/>
    <w:rsid w:val="005853C9"/>
    <w:rsid w:val="00591D26"/>
    <w:rsid w:val="00593DCC"/>
    <w:rsid w:val="005A281C"/>
    <w:rsid w:val="005A4DF4"/>
    <w:rsid w:val="005B1D22"/>
    <w:rsid w:val="005B1FED"/>
    <w:rsid w:val="005B31AD"/>
    <w:rsid w:val="005B53A0"/>
    <w:rsid w:val="005C054A"/>
    <w:rsid w:val="005C4511"/>
    <w:rsid w:val="005D0EDC"/>
    <w:rsid w:val="005D7C3F"/>
    <w:rsid w:val="005E52D4"/>
    <w:rsid w:val="005E5455"/>
    <w:rsid w:val="005E6E5E"/>
    <w:rsid w:val="005E7F11"/>
    <w:rsid w:val="005F1527"/>
    <w:rsid w:val="00600A29"/>
    <w:rsid w:val="00600A40"/>
    <w:rsid w:val="00601D3F"/>
    <w:rsid w:val="0060305E"/>
    <w:rsid w:val="006056B2"/>
    <w:rsid w:val="00614432"/>
    <w:rsid w:val="00622912"/>
    <w:rsid w:val="00624A1B"/>
    <w:rsid w:val="0063322C"/>
    <w:rsid w:val="00633DAA"/>
    <w:rsid w:val="00651C56"/>
    <w:rsid w:val="006536EF"/>
    <w:rsid w:val="00662A31"/>
    <w:rsid w:val="00664FA7"/>
    <w:rsid w:val="0066566D"/>
    <w:rsid w:val="00675C7A"/>
    <w:rsid w:val="00681E8B"/>
    <w:rsid w:val="00685A36"/>
    <w:rsid w:val="00685B06"/>
    <w:rsid w:val="00687FA7"/>
    <w:rsid w:val="006924B3"/>
    <w:rsid w:val="00695823"/>
    <w:rsid w:val="006961A2"/>
    <w:rsid w:val="00697ED4"/>
    <w:rsid w:val="006A38F9"/>
    <w:rsid w:val="006A437D"/>
    <w:rsid w:val="006B0BD0"/>
    <w:rsid w:val="006B25FF"/>
    <w:rsid w:val="006B32E5"/>
    <w:rsid w:val="006B4151"/>
    <w:rsid w:val="006B69F9"/>
    <w:rsid w:val="006C78A6"/>
    <w:rsid w:val="006D14CE"/>
    <w:rsid w:val="006D2498"/>
    <w:rsid w:val="006D43A0"/>
    <w:rsid w:val="006D6C3D"/>
    <w:rsid w:val="006D7FCC"/>
    <w:rsid w:val="006E2C62"/>
    <w:rsid w:val="006E46B0"/>
    <w:rsid w:val="006F1462"/>
    <w:rsid w:val="00700B8F"/>
    <w:rsid w:val="00701AB6"/>
    <w:rsid w:val="0070582F"/>
    <w:rsid w:val="0071049F"/>
    <w:rsid w:val="0071394D"/>
    <w:rsid w:val="00717E41"/>
    <w:rsid w:val="00721443"/>
    <w:rsid w:val="00733BE1"/>
    <w:rsid w:val="00741579"/>
    <w:rsid w:val="00762013"/>
    <w:rsid w:val="00763944"/>
    <w:rsid w:val="007674A2"/>
    <w:rsid w:val="00775328"/>
    <w:rsid w:val="00775C8E"/>
    <w:rsid w:val="0077601F"/>
    <w:rsid w:val="0077604F"/>
    <w:rsid w:val="00777027"/>
    <w:rsid w:val="00777CBC"/>
    <w:rsid w:val="00777E43"/>
    <w:rsid w:val="0078027D"/>
    <w:rsid w:val="00781770"/>
    <w:rsid w:val="00790C85"/>
    <w:rsid w:val="00791C9C"/>
    <w:rsid w:val="007933C5"/>
    <w:rsid w:val="00795ABC"/>
    <w:rsid w:val="007A22CC"/>
    <w:rsid w:val="007A3944"/>
    <w:rsid w:val="007D0EC3"/>
    <w:rsid w:val="007E43FE"/>
    <w:rsid w:val="007E600C"/>
    <w:rsid w:val="007E7C99"/>
    <w:rsid w:val="007F5F8B"/>
    <w:rsid w:val="00802D76"/>
    <w:rsid w:val="0081092C"/>
    <w:rsid w:val="00816E29"/>
    <w:rsid w:val="0082022A"/>
    <w:rsid w:val="0083144F"/>
    <w:rsid w:val="008358A0"/>
    <w:rsid w:val="00840912"/>
    <w:rsid w:val="00847786"/>
    <w:rsid w:val="0086569D"/>
    <w:rsid w:val="00870216"/>
    <w:rsid w:val="008728E5"/>
    <w:rsid w:val="00880652"/>
    <w:rsid w:val="00881265"/>
    <w:rsid w:val="00895FD8"/>
    <w:rsid w:val="008A69E3"/>
    <w:rsid w:val="008A6E49"/>
    <w:rsid w:val="008A79AF"/>
    <w:rsid w:val="008A79DB"/>
    <w:rsid w:val="008B28A5"/>
    <w:rsid w:val="008B3A41"/>
    <w:rsid w:val="008B3EF3"/>
    <w:rsid w:val="008C2F49"/>
    <w:rsid w:val="008C5187"/>
    <w:rsid w:val="008D5673"/>
    <w:rsid w:val="008D5CC7"/>
    <w:rsid w:val="008E0564"/>
    <w:rsid w:val="008E34DE"/>
    <w:rsid w:val="008E4185"/>
    <w:rsid w:val="008E51F6"/>
    <w:rsid w:val="008E5DE9"/>
    <w:rsid w:val="008E7FB2"/>
    <w:rsid w:val="008F1BD3"/>
    <w:rsid w:val="008F3529"/>
    <w:rsid w:val="008F4688"/>
    <w:rsid w:val="009035BA"/>
    <w:rsid w:val="009065ED"/>
    <w:rsid w:val="0091040A"/>
    <w:rsid w:val="009109B2"/>
    <w:rsid w:val="00912544"/>
    <w:rsid w:val="00912855"/>
    <w:rsid w:val="0091539E"/>
    <w:rsid w:val="0093191B"/>
    <w:rsid w:val="009340AA"/>
    <w:rsid w:val="009460E2"/>
    <w:rsid w:val="00946D0B"/>
    <w:rsid w:val="00947720"/>
    <w:rsid w:val="00962F67"/>
    <w:rsid w:val="0096541B"/>
    <w:rsid w:val="00966D1A"/>
    <w:rsid w:val="009727E8"/>
    <w:rsid w:val="009744DC"/>
    <w:rsid w:val="0098042D"/>
    <w:rsid w:val="00980802"/>
    <w:rsid w:val="009875BF"/>
    <w:rsid w:val="00992EB0"/>
    <w:rsid w:val="0099317D"/>
    <w:rsid w:val="00996A31"/>
    <w:rsid w:val="009A50CC"/>
    <w:rsid w:val="009A6790"/>
    <w:rsid w:val="009B01B4"/>
    <w:rsid w:val="009C01A6"/>
    <w:rsid w:val="009C46F7"/>
    <w:rsid w:val="009D4DEC"/>
    <w:rsid w:val="009D52C9"/>
    <w:rsid w:val="009D6420"/>
    <w:rsid w:val="009E1231"/>
    <w:rsid w:val="009F29CB"/>
    <w:rsid w:val="009F2A1A"/>
    <w:rsid w:val="00A014E3"/>
    <w:rsid w:val="00A02580"/>
    <w:rsid w:val="00A035C5"/>
    <w:rsid w:val="00A03985"/>
    <w:rsid w:val="00A1295B"/>
    <w:rsid w:val="00A25054"/>
    <w:rsid w:val="00A253EA"/>
    <w:rsid w:val="00A25AAC"/>
    <w:rsid w:val="00A25D09"/>
    <w:rsid w:val="00A26ACF"/>
    <w:rsid w:val="00A273A6"/>
    <w:rsid w:val="00A33791"/>
    <w:rsid w:val="00A349D2"/>
    <w:rsid w:val="00A36581"/>
    <w:rsid w:val="00A37224"/>
    <w:rsid w:val="00A401A7"/>
    <w:rsid w:val="00A4181A"/>
    <w:rsid w:val="00A51A51"/>
    <w:rsid w:val="00A53DBA"/>
    <w:rsid w:val="00A663A3"/>
    <w:rsid w:val="00A6794B"/>
    <w:rsid w:val="00A718F4"/>
    <w:rsid w:val="00A728D9"/>
    <w:rsid w:val="00A75E4B"/>
    <w:rsid w:val="00A76380"/>
    <w:rsid w:val="00A7693A"/>
    <w:rsid w:val="00A83068"/>
    <w:rsid w:val="00A87B30"/>
    <w:rsid w:val="00A91E6F"/>
    <w:rsid w:val="00AA3C35"/>
    <w:rsid w:val="00AA4ADA"/>
    <w:rsid w:val="00AA5C3F"/>
    <w:rsid w:val="00AA7C58"/>
    <w:rsid w:val="00AB1648"/>
    <w:rsid w:val="00AB2923"/>
    <w:rsid w:val="00AC2009"/>
    <w:rsid w:val="00AC4417"/>
    <w:rsid w:val="00AC489A"/>
    <w:rsid w:val="00AC699D"/>
    <w:rsid w:val="00AC6D7D"/>
    <w:rsid w:val="00AD7D2C"/>
    <w:rsid w:val="00AE3F7B"/>
    <w:rsid w:val="00AE428C"/>
    <w:rsid w:val="00AE532C"/>
    <w:rsid w:val="00AF13AD"/>
    <w:rsid w:val="00AF1BD2"/>
    <w:rsid w:val="00AF443E"/>
    <w:rsid w:val="00B05267"/>
    <w:rsid w:val="00B122ED"/>
    <w:rsid w:val="00B1469F"/>
    <w:rsid w:val="00B14F88"/>
    <w:rsid w:val="00B16F05"/>
    <w:rsid w:val="00B17C5A"/>
    <w:rsid w:val="00B17FC4"/>
    <w:rsid w:val="00B20EA2"/>
    <w:rsid w:val="00B23919"/>
    <w:rsid w:val="00B24253"/>
    <w:rsid w:val="00B26D81"/>
    <w:rsid w:val="00B33C04"/>
    <w:rsid w:val="00B4248B"/>
    <w:rsid w:val="00B44830"/>
    <w:rsid w:val="00B46777"/>
    <w:rsid w:val="00B53EC1"/>
    <w:rsid w:val="00B54AFB"/>
    <w:rsid w:val="00B64C61"/>
    <w:rsid w:val="00B75B3C"/>
    <w:rsid w:val="00B809A8"/>
    <w:rsid w:val="00B82801"/>
    <w:rsid w:val="00B87932"/>
    <w:rsid w:val="00B918B9"/>
    <w:rsid w:val="00B91F58"/>
    <w:rsid w:val="00B93219"/>
    <w:rsid w:val="00BA1EC7"/>
    <w:rsid w:val="00BA4310"/>
    <w:rsid w:val="00BA4563"/>
    <w:rsid w:val="00BA66A0"/>
    <w:rsid w:val="00BB689A"/>
    <w:rsid w:val="00BC1038"/>
    <w:rsid w:val="00BC3E91"/>
    <w:rsid w:val="00BC40EF"/>
    <w:rsid w:val="00BD14B8"/>
    <w:rsid w:val="00BE4F6C"/>
    <w:rsid w:val="00BF5DE8"/>
    <w:rsid w:val="00BF650F"/>
    <w:rsid w:val="00C15169"/>
    <w:rsid w:val="00C21BCC"/>
    <w:rsid w:val="00C336FB"/>
    <w:rsid w:val="00C33E49"/>
    <w:rsid w:val="00C606C5"/>
    <w:rsid w:val="00C6361D"/>
    <w:rsid w:val="00C67F38"/>
    <w:rsid w:val="00C71192"/>
    <w:rsid w:val="00C71277"/>
    <w:rsid w:val="00C7412B"/>
    <w:rsid w:val="00C75751"/>
    <w:rsid w:val="00C82ABD"/>
    <w:rsid w:val="00CA54CA"/>
    <w:rsid w:val="00CA6CD4"/>
    <w:rsid w:val="00CB0F77"/>
    <w:rsid w:val="00CB3CA1"/>
    <w:rsid w:val="00CB6F4D"/>
    <w:rsid w:val="00CD04FA"/>
    <w:rsid w:val="00CD0970"/>
    <w:rsid w:val="00CD6395"/>
    <w:rsid w:val="00CF2DDE"/>
    <w:rsid w:val="00CF349A"/>
    <w:rsid w:val="00D15898"/>
    <w:rsid w:val="00D2792E"/>
    <w:rsid w:val="00D56D75"/>
    <w:rsid w:val="00D57F07"/>
    <w:rsid w:val="00D74B78"/>
    <w:rsid w:val="00D76CDA"/>
    <w:rsid w:val="00D82E98"/>
    <w:rsid w:val="00D87E64"/>
    <w:rsid w:val="00D92F2C"/>
    <w:rsid w:val="00DA0CF6"/>
    <w:rsid w:val="00DA1A1B"/>
    <w:rsid w:val="00DA270B"/>
    <w:rsid w:val="00DA4CB1"/>
    <w:rsid w:val="00DB2B43"/>
    <w:rsid w:val="00DB3340"/>
    <w:rsid w:val="00DB382B"/>
    <w:rsid w:val="00DB7D50"/>
    <w:rsid w:val="00DC58CA"/>
    <w:rsid w:val="00DC71BF"/>
    <w:rsid w:val="00DD3514"/>
    <w:rsid w:val="00DE1151"/>
    <w:rsid w:val="00DE1E4D"/>
    <w:rsid w:val="00DE30FB"/>
    <w:rsid w:val="00DF0AEF"/>
    <w:rsid w:val="00DF0C9C"/>
    <w:rsid w:val="00DF188E"/>
    <w:rsid w:val="00DF1C81"/>
    <w:rsid w:val="00DF2885"/>
    <w:rsid w:val="00E07AF3"/>
    <w:rsid w:val="00E1211C"/>
    <w:rsid w:val="00E168ED"/>
    <w:rsid w:val="00E3227E"/>
    <w:rsid w:val="00E34E03"/>
    <w:rsid w:val="00E418EF"/>
    <w:rsid w:val="00E42ABD"/>
    <w:rsid w:val="00E60CB6"/>
    <w:rsid w:val="00E6721D"/>
    <w:rsid w:val="00E710EC"/>
    <w:rsid w:val="00E831E3"/>
    <w:rsid w:val="00E8416D"/>
    <w:rsid w:val="00E87B3E"/>
    <w:rsid w:val="00E94B3C"/>
    <w:rsid w:val="00E94F31"/>
    <w:rsid w:val="00EA26F3"/>
    <w:rsid w:val="00EA5460"/>
    <w:rsid w:val="00EB40DA"/>
    <w:rsid w:val="00EB4860"/>
    <w:rsid w:val="00EB6011"/>
    <w:rsid w:val="00ED0A1D"/>
    <w:rsid w:val="00ED0FBA"/>
    <w:rsid w:val="00ED41D4"/>
    <w:rsid w:val="00EE7F2E"/>
    <w:rsid w:val="00EF2CEC"/>
    <w:rsid w:val="00F001DE"/>
    <w:rsid w:val="00F135D8"/>
    <w:rsid w:val="00F36E4D"/>
    <w:rsid w:val="00F37F08"/>
    <w:rsid w:val="00F4481B"/>
    <w:rsid w:val="00F73ED1"/>
    <w:rsid w:val="00F934C7"/>
    <w:rsid w:val="00F95272"/>
    <w:rsid w:val="00F9792C"/>
    <w:rsid w:val="00FA1E44"/>
    <w:rsid w:val="00FA6709"/>
    <w:rsid w:val="00FB0680"/>
    <w:rsid w:val="00FB32A2"/>
    <w:rsid w:val="00FB3719"/>
    <w:rsid w:val="00FB57AE"/>
    <w:rsid w:val="00FB5AA5"/>
    <w:rsid w:val="00FB77A4"/>
    <w:rsid w:val="00FC3DB3"/>
    <w:rsid w:val="00FC5FDA"/>
    <w:rsid w:val="00FD21E3"/>
    <w:rsid w:val="00FD692B"/>
    <w:rsid w:val="00FE371B"/>
    <w:rsid w:val="00FE5FC2"/>
    <w:rsid w:val="00FE796F"/>
    <w:rsid w:val="00FF2E5F"/>
    <w:rsid w:val="00FF42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B24E7"/>
  <w15:chartTrackingRefBased/>
  <w15:docId w15:val="{4068CC29-CD71-4D46-9FCB-B1371D40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ED1"/>
    <w:pPr>
      <w:spacing w:after="200" w:line="276" w:lineRule="auto"/>
    </w:pPr>
    <w:rPr>
      <w:sz w:val="22"/>
      <w:szCs w:val="22"/>
      <w:lang w:eastAsia="en-US"/>
    </w:rPr>
  </w:style>
  <w:style w:type="paragraph" w:styleId="Heading1">
    <w:name w:val="heading 1"/>
    <w:basedOn w:val="Normal"/>
    <w:next w:val="Normal"/>
    <w:link w:val="Heading1Char"/>
    <w:uiPriority w:val="9"/>
    <w:qFormat/>
    <w:rsid w:val="00C636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03985"/>
    <w:pPr>
      <w:keepNext/>
      <w:keepLines/>
      <w:spacing w:before="40" w:after="0" w:line="259" w:lineRule="auto"/>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5C3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AA5C3F"/>
  </w:style>
  <w:style w:type="paragraph" w:styleId="Footer">
    <w:name w:val="footer"/>
    <w:basedOn w:val="Normal"/>
    <w:link w:val="FooterChar"/>
    <w:uiPriority w:val="99"/>
    <w:unhideWhenUsed/>
    <w:rsid w:val="00AA5C3F"/>
    <w:pPr>
      <w:tabs>
        <w:tab w:val="center" w:pos="4677"/>
        <w:tab w:val="right" w:pos="9355"/>
      </w:tabs>
      <w:spacing w:after="0" w:line="240" w:lineRule="auto"/>
    </w:pPr>
  </w:style>
  <w:style w:type="character" w:customStyle="1" w:styleId="FooterChar">
    <w:name w:val="Footer Char"/>
    <w:basedOn w:val="DefaultParagraphFont"/>
    <w:link w:val="Footer"/>
    <w:uiPriority w:val="99"/>
    <w:rsid w:val="00AA5C3F"/>
  </w:style>
  <w:style w:type="character" w:styleId="Hyperlink">
    <w:name w:val="Hyperlink"/>
    <w:rsid w:val="00AA5C3F"/>
    <w:rPr>
      <w:color w:val="0000FF"/>
      <w:u w:val="single"/>
    </w:rPr>
  </w:style>
  <w:style w:type="paragraph" w:styleId="NoSpacing">
    <w:name w:val="No Spacing"/>
    <w:uiPriority w:val="1"/>
    <w:qFormat/>
    <w:rsid w:val="00271E79"/>
    <w:rPr>
      <w:sz w:val="22"/>
      <w:szCs w:val="22"/>
      <w:lang w:eastAsia="en-US"/>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271E79"/>
    <w:pPr>
      <w:ind w:left="720"/>
      <w:contextualSpacing/>
    </w:pPr>
  </w:style>
  <w:style w:type="character" w:customStyle="1" w:styleId="apple-converted-space">
    <w:name w:val="apple-converted-space"/>
    <w:basedOn w:val="DefaultParagraphFont"/>
    <w:rsid w:val="005055ED"/>
  </w:style>
  <w:style w:type="character" w:customStyle="1" w:styleId="Heading3Char">
    <w:name w:val="Heading 3 Char"/>
    <w:link w:val="Heading3"/>
    <w:uiPriority w:val="9"/>
    <w:rsid w:val="00A03985"/>
    <w:rPr>
      <w:rFonts w:ascii="Calibri Light" w:eastAsia="Times New Roman" w:hAnsi="Calibri Light"/>
      <w:color w:val="1F4D78"/>
      <w:sz w:val="24"/>
      <w:szCs w:val="24"/>
      <w:lang w:eastAsia="en-US"/>
    </w:rPr>
  </w:style>
  <w:style w:type="paragraph" w:styleId="FootnoteText">
    <w:name w:val="footnote text"/>
    <w:basedOn w:val="Normal"/>
    <w:link w:val="FootnoteTextChar"/>
    <w:unhideWhenUsed/>
    <w:rsid w:val="00437E45"/>
    <w:rPr>
      <w:sz w:val="20"/>
      <w:szCs w:val="20"/>
    </w:rPr>
  </w:style>
  <w:style w:type="character" w:customStyle="1" w:styleId="FootnoteTextChar">
    <w:name w:val="Footnote Text Char"/>
    <w:link w:val="FootnoteText"/>
    <w:rsid w:val="00437E45"/>
    <w:rPr>
      <w:lang w:eastAsia="en-US"/>
    </w:rPr>
  </w:style>
  <w:style w:type="character" w:styleId="FootnoteReference">
    <w:name w:val="footnote reference"/>
    <w:unhideWhenUsed/>
    <w:rsid w:val="00437E45"/>
    <w:rPr>
      <w:vertAlign w:val="superscript"/>
    </w:rPr>
  </w:style>
  <w:style w:type="character" w:styleId="CommentReference">
    <w:name w:val="annotation reference"/>
    <w:uiPriority w:val="99"/>
    <w:unhideWhenUsed/>
    <w:rsid w:val="0071049F"/>
    <w:rPr>
      <w:sz w:val="16"/>
      <w:szCs w:val="16"/>
    </w:rPr>
  </w:style>
  <w:style w:type="paragraph" w:styleId="CommentText">
    <w:name w:val="annotation text"/>
    <w:basedOn w:val="Normal"/>
    <w:link w:val="CommentTextChar"/>
    <w:unhideWhenUsed/>
    <w:rsid w:val="0071049F"/>
    <w:rPr>
      <w:sz w:val="20"/>
      <w:szCs w:val="20"/>
    </w:rPr>
  </w:style>
  <w:style w:type="character" w:customStyle="1" w:styleId="CommentTextChar">
    <w:name w:val="Comment Text Char"/>
    <w:link w:val="CommentText"/>
    <w:rsid w:val="0071049F"/>
    <w:rPr>
      <w:lang w:eastAsia="en-US"/>
    </w:rPr>
  </w:style>
  <w:style w:type="paragraph" w:styleId="CommentSubject">
    <w:name w:val="annotation subject"/>
    <w:basedOn w:val="CommentText"/>
    <w:next w:val="CommentText"/>
    <w:link w:val="CommentSubjectChar"/>
    <w:uiPriority w:val="99"/>
    <w:semiHidden/>
    <w:unhideWhenUsed/>
    <w:rsid w:val="0071049F"/>
    <w:rPr>
      <w:b/>
      <w:bCs/>
    </w:rPr>
  </w:style>
  <w:style w:type="character" w:customStyle="1" w:styleId="CommentSubjectChar">
    <w:name w:val="Comment Subject Char"/>
    <w:link w:val="CommentSubject"/>
    <w:uiPriority w:val="99"/>
    <w:semiHidden/>
    <w:rsid w:val="0071049F"/>
    <w:rPr>
      <w:b/>
      <w:bCs/>
      <w:lang w:eastAsia="en-US"/>
    </w:rPr>
  </w:style>
  <w:style w:type="paragraph" w:styleId="BalloonText">
    <w:name w:val="Balloon Text"/>
    <w:basedOn w:val="Normal"/>
    <w:link w:val="BalloonTextChar"/>
    <w:uiPriority w:val="99"/>
    <w:semiHidden/>
    <w:unhideWhenUsed/>
    <w:rsid w:val="0071049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049F"/>
    <w:rPr>
      <w:rFonts w:ascii="Segoe UI" w:hAnsi="Segoe UI" w:cs="Segoe UI"/>
      <w:sz w:val="18"/>
      <w:szCs w:val="18"/>
      <w:lang w:eastAsia="en-US"/>
    </w:rPr>
  </w:style>
  <w:style w:type="paragraph" w:customStyle="1" w:styleId="tv213">
    <w:name w:val="tv213"/>
    <w:basedOn w:val="Normal"/>
    <w:rsid w:val="007A394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7A3944"/>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uiPriority w:val="99"/>
    <w:semiHidden/>
    <w:unhideWhenUsed/>
    <w:rsid w:val="005A281C"/>
    <w:rPr>
      <w:color w:val="954F72"/>
      <w:u w:val="single"/>
    </w:rPr>
  </w:style>
  <w:style w:type="paragraph" w:styleId="NormalWeb">
    <w:name w:val="Normal (Web)"/>
    <w:basedOn w:val="Normal"/>
    <w:uiPriority w:val="99"/>
    <w:semiHidden/>
    <w:unhideWhenUsed/>
    <w:rsid w:val="00C6361D"/>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C6361D"/>
    <w:rPr>
      <w:b/>
      <w:bCs/>
    </w:rPr>
  </w:style>
  <w:style w:type="character" w:styleId="Emphasis">
    <w:name w:val="Emphasis"/>
    <w:basedOn w:val="DefaultParagraphFont"/>
    <w:uiPriority w:val="20"/>
    <w:qFormat/>
    <w:rsid w:val="00C6361D"/>
    <w:rPr>
      <w:i/>
      <w:iCs/>
    </w:rPr>
  </w:style>
  <w:style w:type="character" w:customStyle="1" w:styleId="Heading1Char">
    <w:name w:val="Heading 1 Char"/>
    <w:basedOn w:val="DefaultParagraphFont"/>
    <w:link w:val="Heading1"/>
    <w:uiPriority w:val="9"/>
    <w:rsid w:val="00C6361D"/>
    <w:rPr>
      <w:rFonts w:asciiTheme="majorHAnsi" w:eastAsiaTheme="majorEastAsia" w:hAnsiTheme="majorHAnsi" w:cstheme="majorBidi"/>
      <w:color w:val="2E74B5" w:themeColor="accent1" w:themeShade="BF"/>
      <w:sz w:val="32"/>
      <w:szCs w:val="32"/>
      <w:lang w:eastAsia="en-US"/>
    </w:rPr>
  </w:style>
  <w:style w:type="paragraph" w:customStyle="1" w:styleId="naisc">
    <w:name w:val="naisc"/>
    <w:basedOn w:val="Normal"/>
    <w:rsid w:val="001827AA"/>
    <w:pPr>
      <w:spacing w:before="75" w:after="75" w:line="240" w:lineRule="auto"/>
      <w:jc w:val="center"/>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600A40"/>
    <w:rPr>
      <w:color w:val="605E5C"/>
      <w:shd w:val="clear" w:color="auto" w:fill="E1DFDD"/>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4C1F03"/>
    <w:rPr>
      <w:sz w:val="22"/>
      <w:szCs w:val="22"/>
      <w:lang w:eastAsia="en-US"/>
    </w:rPr>
  </w:style>
  <w:style w:type="character" w:customStyle="1" w:styleId="Neatrisintapieminana1">
    <w:name w:val="Neatrisināta pieminēšana1"/>
    <w:basedOn w:val="DefaultParagraphFont"/>
    <w:uiPriority w:val="99"/>
    <w:semiHidden/>
    <w:unhideWhenUsed/>
    <w:rsid w:val="008A79AF"/>
    <w:rPr>
      <w:color w:val="605E5C"/>
      <w:shd w:val="clear" w:color="auto" w:fill="E1DFDD"/>
    </w:rPr>
  </w:style>
  <w:style w:type="character" w:customStyle="1" w:styleId="Neatrisintapieminana2">
    <w:name w:val="Neatrisināta pieminēšana2"/>
    <w:basedOn w:val="DefaultParagraphFont"/>
    <w:uiPriority w:val="99"/>
    <w:semiHidden/>
    <w:unhideWhenUsed/>
    <w:rsid w:val="00121D44"/>
    <w:rPr>
      <w:color w:val="605E5C"/>
      <w:shd w:val="clear" w:color="auto" w:fill="E1DFDD"/>
    </w:rPr>
  </w:style>
  <w:style w:type="character" w:customStyle="1" w:styleId="Neatrisintapieminana3">
    <w:name w:val="Neatrisināta pieminēšana3"/>
    <w:basedOn w:val="DefaultParagraphFont"/>
    <w:uiPriority w:val="99"/>
    <w:semiHidden/>
    <w:unhideWhenUsed/>
    <w:rsid w:val="00F95272"/>
    <w:rPr>
      <w:color w:val="605E5C"/>
      <w:shd w:val="clear" w:color="auto" w:fill="E1DFDD"/>
    </w:rPr>
  </w:style>
  <w:style w:type="paragraph" w:customStyle="1" w:styleId="Default">
    <w:name w:val="Default"/>
    <w:rsid w:val="0050103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38264">
      <w:bodyDiv w:val="1"/>
      <w:marLeft w:val="0"/>
      <w:marRight w:val="0"/>
      <w:marTop w:val="0"/>
      <w:marBottom w:val="0"/>
      <w:divBdr>
        <w:top w:val="none" w:sz="0" w:space="0" w:color="auto"/>
        <w:left w:val="none" w:sz="0" w:space="0" w:color="auto"/>
        <w:bottom w:val="none" w:sz="0" w:space="0" w:color="auto"/>
        <w:right w:val="none" w:sz="0" w:space="0" w:color="auto"/>
      </w:divBdr>
    </w:div>
    <w:div w:id="400369469">
      <w:bodyDiv w:val="1"/>
      <w:marLeft w:val="0"/>
      <w:marRight w:val="0"/>
      <w:marTop w:val="0"/>
      <w:marBottom w:val="0"/>
      <w:divBdr>
        <w:top w:val="none" w:sz="0" w:space="0" w:color="auto"/>
        <w:left w:val="none" w:sz="0" w:space="0" w:color="auto"/>
        <w:bottom w:val="none" w:sz="0" w:space="0" w:color="auto"/>
        <w:right w:val="none" w:sz="0" w:space="0" w:color="auto"/>
      </w:divBdr>
      <w:divsChild>
        <w:div w:id="1353531560">
          <w:marLeft w:val="0"/>
          <w:marRight w:val="0"/>
          <w:marTop w:val="0"/>
          <w:marBottom w:val="0"/>
          <w:divBdr>
            <w:top w:val="none" w:sz="0" w:space="0" w:color="auto"/>
            <w:left w:val="none" w:sz="0" w:space="0" w:color="auto"/>
            <w:bottom w:val="none" w:sz="0" w:space="0" w:color="auto"/>
            <w:right w:val="none" w:sz="0" w:space="0" w:color="auto"/>
          </w:divBdr>
        </w:div>
      </w:divsChild>
    </w:div>
    <w:div w:id="621424888">
      <w:bodyDiv w:val="1"/>
      <w:marLeft w:val="0"/>
      <w:marRight w:val="0"/>
      <w:marTop w:val="0"/>
      <w:marBottom w:val="0"/>
      <w:divBdr>
        <w:top w:val="none" w:sz="0" w:space="0" w:color="auto"/>
        <w:left w:val="none" w:sz="0" w:space="0" w:color="auto"/>
        <w:bottom w:val="none" w:sz="0" w:space="0" w:color="auto"/>
        <w:right w:val="none" w:sz="0" w:space="0" w:color="auto"/>
      </w:divBdr>
    </w:div>
    <w:div w:id="643971842">
      <w:bodyDiv w:val="1"/>
      <w:marLeft w:val="0"/>
      <w:marRight w:val="0"/>
      <w:marTop w:val="0"/>
      <w:marBottom w:val="0"/>
      <w:divBdr>
        <w:top w:val="none" w:sz="0" w:space="0" w:color="auto"/>
        <w:left w:val="none" w:sz="0" w:space="0" w:color="auto"/>
        <w:bottom w:val="none" w:sz="0" w:space="0" w:color="auto"/>
        <w:right w:val="none" w:sz="0" w:space="0" w:color="auto"/>
      </w:divBdr>
    </w:div>
    <w:div w:id="1013261830">
      <w:bodyDiv w:val="1"/>
      <w:marLeft w:val="0"/>
      <w:marRight w:val="0"/>
      <w:marTop w:val="0"/>
      <w:marBottom w:val="0"/>
      <w:divBdr>
        <w:top w:val="none" w:sz="0" w:space="0" w:color="auto"/>
        <w:left w:val="none" w:sz="0" w:space="0" w:color="auto"/>
        <w:bottom w:val="none" w:sz="0" w:space="0" w:color="auto"/>
        <w:right w:val="none" w:sz="0" w:space="0" w:color="auto"/>
      </w:divBdr>
    </w:div>
    <w:div w:id="1108894394">
      <w:bodyDiv w:val="1"/>
      <w:marLeft w:val="0"/>
      <w:marRight w:val="0"/>
      <w:marTop w:val="0"/>
      <w:marBottom w:val="0"/>
      <w:divBdr>
        <w:top w:val="none" w:sz="0" w:space="0" w:color="auto"/>
        <w:left w:val="none" w:sz="0" w:space="0" w:color="auto"/>
        <w:bottom w:val="none" w:sz="0" w:space="0" w:color="auto"/>
        <w:right w:val="none" w:sz="0" w:space="0" w:color="auto"/>
      </w:divBdr>
    </w:div>
    <w:div w:id="1160342782">
      <w:bodyDiv w:val="1"/>
      <w:marLeft w:val="0"/>
      <w:marRight w:val="0"/>
      <w:marTop w:val="0"/>
      <w:marBottom w:val="0"/>
      <w:divBdr>
        <w:top w:val="none" w:sz="0" w:space="0" w:color="auto"/>
        <w:left w:val="none" w:sz="0" w:space="0" w:color="auto"/>
        <w:bottom w:val="none" w:sz="0" w:space="0" w:color="auto"/>
        <w:right w:val="none" w:sz="0" w:space="0" w:color="auto"/>
      </w:divBdr>
    </w:div>
    <w:div w:id="1163426677">
      <w:bodyDiv w:val="1"/>
      <w:marLeft w:val="0"/>
      <w:marRight w:val="0"/>
      <w:marTop w:val="0"/>
      <w:marBottom w:val="0"/>
      <w:divBdr>
        <w:top w:val="none" w:sz="0" w:space="0" w:color="auto"/>
        <w:left w:val="none" w:sz="0" w:space="0" w:color="auto"/>
        <w:bottom w:val="none" w:sz="0" w:space="0" w:color="auto"/>
        <w:right w:val="none" w:sz="0" w:space="0" w:color="auto"/>
      </w:divBdr>
    </w:div>
    <w:div w:id="1307314538">
      <w:bodyDiv w:val="1"/>
      <w:marLeft w:val="0"/>
      <w:marRight w:val="0"/>
      <w:marTop w:val="0"/>
      <w:marBottom w:val="0"/>
      <w:divBdr>
        <w:top w:val="none" w:sz="0" w:space="0" w:color="auto"/>
        <w:left w:val="none" w:sz="0" w:space="0" w:color="auto"/>
        <w:bottom w:val="none" w:sz="0" w:space="0" w:color="auto"/>
        <w:right w:val="none" w:sz="0" w:space="0" w:color="auto"/>
      </w:divBdr>
      <w:divsChild>
        <w:div w:id="1813786574">
          <w:marLeft w:val="0"/>
          <w:marRight w:val="0"/>
          <w:marTop w:val="0"/>
          <w:marBottom w:val="0"/>
          <w:divBdr>
            <w:top w:val="none" w:sz="0" w:space="0" w:color="auto"/>
            <w:left w:val="none" w:sz="0" w:space="0" w:color="auto"/>
            <w:bottom w:val="none" w:sz="0" w:space="0" w:color="auto"/>
            <w:right w:val="none" w:sz="0" w:space="0" w:color="auto"/>
          </w:divBdr>
        </w:div>
        <w:div w:id="1979919298">
          <w:marLeft w:val="0"/>
          <w:marRight w:val="0"/>
          <w:marTop w:val="240"/>
          <w:marBottom w:val="0"/>
          <w:divBdr>
            <w:top w:val="none" w:sz="0" w:space="0" w:color="auto"/>
            <w:left w:val="none" w:sz="0" w:space="0" w:color="auto"/>
            <w:bottom w:val="none" w:sz="0" w:space="0" w:color="auto"/>
            <w:right w:val="none" w:sz="0" w:space="0" w:color="auto"/>
          </w:divBdr>
        </w:div>
      </w:divsChild>
    </w:div>
    <w:div w:id="1384450121">
      <w:bodyDiv w:val="1"/>
      <w:marLeft w:val="0"/>
      <w:marRight w:val="0"/>
      <w:marTop w:val="0"/>
      <w:marBottom w:val="0"/>
      <w:divBdr>
        <w:top w:val="none" w:sz="0" w:space="0" w:color="auto"/>
        <w:left w:val="none" w:sz="0" w:space="0" w:color="auto"/>
        <w:bottom w:val="none" w:sz="0" w:space="0" w:color="auto"/>
        <w:right w:val="none" w:sz="0" w:space="0" w:color="auto"/>
      </w:divBdr>
    </w:div>
    <w:div w:id="1769227665">
      <w:bodyDiv w:val="1"/>
      <w:marLeft w:val="0"/>
      <w:marRight w:val="0"/>
      <w:marTop w:val="0"/>
      <w:marBottom w:val="0"/>
      <w:divBdr>
        <w:top w:val="none" w:sz="0" w:space="0" w:color="auto"/>
        <w:left w:val="none" w:sz="0" w:space="0" w:color="auto"/>
        <w:bottom w:val="none" w:sz="0" w:space="0" w:color="auto"/>
        <w:right w:val="none" w:sz="0" w:space="0" w:color="auto"/>
      </w:divBdr>
      <w:divsChild>
        <w:div w:id="383603190">
          <w:marLeft w:val="0"/>
          <w:marRight w:val="0"/>
          <w:marTop w:val="0"/>
          <w:marBottom w:val="0"/>
          <w:divBdr>
            <w:top w:val="none" w:sz="0" w:space="0" w:color="auto"/>
            <w:left w:val="none" w:sz="0" w:space="0" w:color="auto"/>
            <w:bottom w:val="none" w:sz="0" w:space="0" w:color="auto"/>
            <w:right w:val="none" w:sz="0" w:space="0" w:color="auto"/>
          </w:divBdr>
        </w:div>
        <w:div w:id="1158687240">
          <w:marLeft w:val="0"/>
          <w:marRight w:val="0"/>
          <w:marTop w:val="0"/>
          <w:marBottom w:val="0"/>
          <w:divBdr>
            <w:top w:val="none" w:sz="0" w:space="0" w:color="auto"/>
            <w:left w:val="none" w:sz="0" w:space="0" w:color="auto"/>
            <w:bottom w:val="none" w:sz="0" w:space="0" w:color="auto"/>
            <w:right w:val="none" w:sz="0" w:space="0" w:color="auto"/>
          </w:divBdr>
        </w:div>
      </w:divsChild>
    </w:div>
    <w:div w:id="1882744255">
      <w:bodyDiv w:val="1"/>
      <w:marLeft w:val="0"/>
      <w:marRight w:val="0"/>
      <w:marTop w:val="0"/>
      <w:marBottom w:val="0"/>
      <w:divBdr>
        <w:top w:val="none" w:sz="0" w:space="0" w:color="auto"/>
        <w:left w:val="none" w:sz="0" w:space="0" w:color="auto"/>
        <w:bottom w:val="none" w:sz="0" w:space="0" w:color="auto"/>
        <w:right w:val="none" w:sz="0" w:space="0" w:color="auto"/>
      </w:divBdr>
    </w:div>
    <w:div w:id="19571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em.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69825-64B9-4726-9CCB-31ABEB4D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18949</Words>
  <Characters>10802</Characters>
  <Application>Microsoft Office Word</Application>
  <DocSecurity>0</DocSecurity>
  <Lines>90</Lines>
  <Paragraphs>59</Paragraphs>
  <ScaleCrop>false</ScaleCrop>
  <HeadingPairs>
    <vt:vector size="6" baseType="variant">
      <vt:variant>
        <vt:lpstr>Title</vt:lpstr>
      </vt:variant>
      <vt:variant>
        <vt:i4>1</vt:i4>
      </vt:variant>
      <vt:variant>
        <vt:lpstr>Nosaukums</vt:lpstr>
      </vt:variant>
      <vt:variant>
        <vt:i4>1</vt:i4>
      </vt:variant>
      <vt:variant>
        <vt:lpstr>Titre</vt:lpstr>
      </vt:variant>
      <vt:variant>
        <vt:i4>1</vt:i4>
      </vt:variant>
    </vt:vector>
  </HeadingPairs>
  <TitlesOfParts>
    <vt:vector size="3" baseType="lpstr">
      <vt:lpstr/>
      <vt:lpstr/>
      <vt:lpstr/>
    </vt:vector>
  </TitlesOfParts>
  <Company>home</Company>
  <LinksUpToDate>false</LinksUpToDate>
  <CharactersWithSpaces>29692</CharactersWithSpaces>
  <SharedDoc>false</SharedDoc>
  <HLinks>
    <vt:vector size="90" baseType="variant">
      <vt:variant>
        <vt:i4>2162802</vt:i4>
      </vt:variant>
      <vt:variant>
        <vt:i4>39</vt:i4>
      </vt:variant>
      <vt:variant>
        <vt:i4>0</vt:i4>
      </vt:variant>
      <vt:variant>
        <vt:i4>5</vt:i4>
      </vt:variant>
      <vt:variant>
        <vt:lpwstr>https://likumi.lv/ta/id/108834-elektroenergijas-tirgus-likums/redakcijas-datums/2015/01/01</vt:lpwstr>
      </vt:variant>
      <vt:variant>
        <vt:lpwstr/>
      </vt:variant>
      <vt:variant>
        <vt:i4>8192058</vt:i4>
      </vt:variant>
      <vt:variant>
        <vt:i4>36</vt:i4>
      </vt:variant>
      <vt:variant>
        <vt:i4>0</vt:i4>
      </vt:variant>
      <vt:variant>
        <vt:i4>5</vt:i4>
      </vt:variant>
      <vt:variant>
        <vt:lpwstr>https://likumi.lv/ta/id/271321-grozijumi-elektroenergijas-tirgus-likuma</vt:lpwstr>
      </vt:variant>
      <vt:variant>
        <vt:lpwstr/>
      </vt:variant>
      <vt:variant>
        <vt:i4>2621558</vt:i4>
      </vt:variant>
      <vt:variant>
        <vt:i4>33</vt:i4>
      </vt:variant>
      <vt:variant>
        <vt:i4>0</vt:i4>
      </vt:variant>
      <vt:variant>
        <vt:i4>5</vt:i4>
      </vt:variant>
      <vt:variant>
        <vt:lpwstr>https://likumi.lv/ta/id/108834-elektroenergijas-tirgus-likums/redakcijas-datums/2008/05/15</vt:lpwstr>
      </vt:variant>
      <vt:variant>
        <vt:lpwstr/>
      </vt:variant>
      <vt:variant>
        <vt:i4>8192055</vt:i4>
      </vt:variant>
      <vt:variant>
        <vt:i4>30</vt:i4>
      </vt:variant>
      <vt:variant>
        <vt:i4>0</vt:i4>
      </vt:variant>
      <vt:variant>
        <vt:i4>5</vt:i4>
      </vt:variant>
      <vt:variant>
        <vt:lpwstr>https://likumi.lv/ta/id/174391-grozijumi-elektroenergijas-tirgus-likuma</vt:lpwstr>
      </vt:variant>
      <vt:variant>
        <vt:lpwstr/>
      </vt:variant>
      <vt:variant>
        <vt:i4>6029401</vt:i4>
      </vt:variant>
      <vt:variant>
        <vt:i4>27</vt:i4>
      </vt:variant>
      <vt:variant>
        <vt:i4>0</vt:i4>
      </vt:variant>
      <vt:variant>
        <vt:i4>5</vt:i4>
      </vt:variant>
      <vt:variant>
        <vt:lpwstr>https://likumi.lv/doc.php?id=108834</vt:lpwstr>
      </vt:variant>
      <vt:variant>
        <vt:lpwstr>p30</vt:lpwstr>
      </vt:variant>
      <vt:variant>
        <vt:i4>7536736</vt:i4>
      </vt:variant>
      <vt:variant>
        <vt:i4>24</vt:i4>
      </vt:variant>
      <vt:variant>
        <vt:i4>0</vt:i4>
      </vt:variant>
      <vt:variant>
        <vt:i4>5</vt:i4>
      </vt:variant>
      <vt:variant>
        <vt:lpwstr>https://likumi.lv/doc.php?id=108834</vt:lpwstr>
      </vt:variant>
      <vt:variant>
        <vt:lpwstr>p29.1</vt:lpwstr>
      </vt:variant>
      <vt:variant>
        <vt:i4>6094937</vt:i4>
      </vt:variant>
      <vt:variant>
        <vt:i4>21</vt:i4>
      </vt:variant>
      <vt:variant>
        <vt:i4>0</vt:i4>
      </vt:variant>
      <vt:variant>
        <vt:i4>5</vt:i4>
      </vt:variant>
      <vt:variant>
        <vt:lpwstr>https://likumi.lv/doc.php?id=108834</vt:lpwstr>
      </vt:variant>
      <vt:variant>
        <vt:lpwstr>p29</vt:lpwstr>
      </vt:variant>
      <vt:variant>
        <vt:i4>7536737</vt:i4>
      </vt:variant>
      <vt:variant>
        <vt:i4>18</vt:i4>
      </vt:variant>
      <vt:variant>
        <vt:i4>0</vt:i4>
      </vt:variant>
      <vt:variant>
        <vt:i4>5</vt:i4>
      </vt:variant>
      <vt:variant>
        <vt:lpwstr>https://likumi.lv/doc.php?id=108834</vt:lpwstr>
      </vt:variant>
      <vt:variant>
        <vt:lpwstr>p28.1</vt:lpwstr>
      </vt:variant>
      <vt:variant>
        <vt:i4>6094937</vt:i4>
      </vt:variant>
      <vt:variant>
        <vt:i4>15</vt:i4>
      </vt:variant>
      <vt:variant>
        <vt:i4>0</vt:i4>
      </vt:variant>
      <vt:variant>
        <vt:i4>5</vt:i4>
      </vt:variant>
      <vt:variant>
        <vt:lpwstr>https://likumi.lv/doc.php?id=108834</vt:lpwstr>
      </vt:variant>
      <vt:variant>
        <vt:lpwstr>p28</vt:lpwstr>
      </vt:variant>
      <vt:variant>
        <vt:i4>2162807</vt:i4>
      </vt:variant>
      <vt:variant>
        <vt:i4>12</vt:i4>
      </vt:variant>
      <vt:variant>
        <vt:i4>0</vt:i4>
      </vt:variant>
      <vt:variant>
        <vt:i4>5</vt:i4>
      </vt:variant>
      <vt:variant>
        <vt:lpwstr>https://likumi.lv/ta/id/108834-elektroenergijas-tirgus-likums/redakcijas-datums/2016/06/22</vt:lpwstr>
      </vt:variant>
      <vt:variant>
        <vt:lpwstr/>
      </vt:variant>
      <vt:variant>
        <vt:i4>8323135</vt:i4>
      </vt:variant>
      <vt:variant>
        <vt:i4>9</vt:i4>
      </vt:variant>
      <vt:variant>
        <vt:i4>0</vt:i4>
      </vt:variant>
      <vt:variant>
        <vt:i4>5</vt:i4>
      </vt:variant>
      <vt:variant>
        <vt:lpwstr>https://likumi.lv/ta/id/282649-grozijumi-elektroenergijas-tirgus-likuma</vt:lpwstr>
      </vt:variant>
      <vt:variant>
        <vt:lpwstr/>
      </vt:variant>
      <vt:variant>
        <vt:i4>5046366</vt:i4>
      </vt:variant>
      <vt:variant>
        <vt:i4>6</vt:i4>
      </vt:variant>
      <vt:variant>
        <vt:i4>0</vt:i4>
      </vt:variant>
      <vt:variant>
        <vt:i4>5</vt:i4>
      </vt:variant>
      <vt:variant>
        <vt:lpwstr>https://likumi.lv/ta/id/162007-noteikumi-par-elektroenergijas-razosanu-izmantojot-atjaunojamos-energoresursus</vt:lpwstr>
      </vt:variant>
      <vt:variant>
        <vt:lpwstr/>
      </vt:variant>
      <vt:variant>
        <vt:i4>6029401</vt:i4>
      </vt:variant>
      <vt:variant>
        <vt:i4>3</vt:i4>
      </vt:variant>
      <vt:variant>
        <vt:i4>0</vt:i4>
      </vt:variant>
      <vt:variant>
        <vt:i4>5</vt:i4>
      </vt:variant>
      <vt:variant>
        <vt:lpwstr>https://likumi.lv/doc.php?id=108834</vt:lpwstr>
      </vt:variant>
      <vt:variant>
        <vt:lpwstr>p30</vt:lpwstr>
      </vt:variant>
      <vt:variant>
        <vt:i4>6094937</vt:i4>
      </vt:variant>
      <vt:variant>
        <vt:i4>0</vt:i4>
      </vt:variant>
      <vt:variant>
        <vt:i4>0</vt:i4>
      </vt:variant>
      <vt:variant>
        <vt:i4>5</vt:i4>
      </vt:variant>
      <vt:variant>
        <vt:lpwstr>https://likumi.lv/doc.php?id=108834</vt:lpwstr>
      </vt:variant>
      <vt:variant>
        <vt:lpwstr>p29</vt:lpwstr>
      </vt:variant>
      <vt:variant>
        <vt:i4>8060981</vt:i4>
      </vt:variant>
      <vt:variant>
        <vt:i4>0</vt:i4>
      </vt:variant>
      <vt:variant>
        <vt:i4>0</vt:i4>
      </vt:variant>
      <vt:variant>
        <vt:i4>5</vt:i4>
      </vt:variant>
      <vt:variant>
        <vt:lpwstr>http://www.mhea.lv/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Irbe</dc:creator>
  <cp:keywords/>
  <dc:description/>
  <cp:lastModifiedBy>Alvils Strīķeris</cp:lastModifiedBy>
  <cp:revision>2</cp:revision>
  <cp:lastPrinted>2018-07-10T06:10:00Z</cp:lastPrinted>
  <dcterms:created xsi:type="dcterms:W3CDTF">2021-02-03T19:19:00Z</dcterms:created>
  <dcterms:modified xsi:type="dcterms:W3CDTF">2021-02-03T19:19:00Z</dcterms:modified>
</cp:coreProperties>
</file>