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25-TA-765: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2025. gada 28. janvāra noteikumos Nr. 72 "Eiropas Savienības Kohēzijas politikas programmas 2021.–2027.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4.2.1.5. pasākuma "Izglītības iestāžu nodrošinājums pilnveidotā vispārējās izglītības satura kvalitatīvai ieviešanai pamata un vidējās izglītības pakāpē" otrās projekta iesniegumu atlases kārtas īstenošanas noteikumi "</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(31.01.2025.)</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4.2.1.5. pasākuma "Izglītības iestāžu nodrošinājums pilnveidotā vispārējās izglītības satura kvalitatīvai ieviešanai pamata un vidējās izglītības pakāpē" otrās projekta iesniegumu atlases kārtas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- 03.06.2025.)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Latvijas Pašvaldību savienība atbalsta Ķekavas novada iesniegtos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Ķekavas novada pašvaldība ir iepazinusies ar Latvijas Republikas Izglītības un zinātnes ministrijas sagatavotajiem tiesību aktiem par Eiropas Savienības Kohēzijas politikas programmas 2021.–2027. gadam 4.2.1.specifiskā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4.2.1.5.pasākuma "Izglītības iestāžu nodrošinājums pilnveidotā vispārējās izglītības satura kvalitatīvai ieviešanai pamata un vidējās izglītības pakāpē" otrās projekta iesniegumu atlases kārtas (turpmāk – 4.2.1.5.pasākums) īstenošanu, kuri pieejami Tiesību aktu projektu portālā: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Ministru kabineta 2025.gada 28.janvāra noteikumos Nr.72, 25-TA-765[1] (turpmāk – 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Rīkojums par projektu iesniedzēju priekšatlasi, 25-TA-764[2].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Izvērtējot publicēto informāciju, vēlamies sniegt viedokli par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Vēršam uzmanību, ka katra izglītības iestāde pašvaldībā veido kopējo izglītības ekosistēmu, vienotu izglītības pakalpojuma piedāvājumu. Lai nodrošinātu izglītības pakalpojuma pieejamību un kvalitāti, katrā izglītības iestādē pašvaldības ik gadu veic ieguldījumus atbilstoši to vajadzībām. Lai pašvaldības spētu turpināt pārdomātu un vajadzībās balstītu ieguldījumu veikšanu atbilstoši attīstības programmās noteiktajam, un tiktu nodrošināta nepārprotama Noteikumu projekta prasību ievērošana, l</w:t>
            </w:r>
            <w:r w:rsidR="00000000" w:rsidRPr="00000000" w:rsidDel="00000000">
              <w:rPr>
                <w:b w:val="1"/>
                <w:rtl w:val="0"/>
              </w:rPr>
              <w:t xml:space="preserve">ūdzam noteikumus papildināt ar šādu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Ievērojot 19.3.apakšpunktā noteiktās prasības katrai izglītības iestādei, vienā projekta iesniegumā var iekļaut vairākas izglītības iestādes. Šādā gadījumā 22.punktā noteiktie izmaksu ierobežojumi attiecināmi uz projekta iesniegumu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Nolūkā mazināt administratīvo slogu un birokrātiju, kā arī ievērojot Finanšu ministrijas uzsāktās iniciatīvas Eiropas Savienības fondu projektu ieviešanas vienkāršošanai, lūdzam Izglītības un zinātnes ministriju precizēt Noteikumu projekta nodaļu IV.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īstenošanas nosacījumi. Esošā Noteikumu projekta redakcija ir neatbilstoša Vadošās iestādes līmenī pieņemtiem lēmumiem un izstrādātiem ieteikumiem. Vēršam uzmanību, ka, piemēram, attiecībā uz papildinošas saimnieciskās darbības (PSD) uzraudzību projektu īstenotājiem ir ieviests pašdeklarācijas princips, t.i. finansējuma saņēmējiem ir atcelts pienākums sniegt uzraugošai iestādei atskaites katru gadu, ja ir ievēroti PSD nosacījumi. Vienlaikus lūdzam precizēt arī Noteikumu projekta punktus attiecībā uz nosacījumiem horizontālo principu, sociāli atbildīgu un inovatīvu publisko iepirkumu piemērošanai.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Pieejams https://tapportals.mk.gov.lv/legal_acts/4935fed0-903c-4b6e-bd51-13864561b3a8;</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Pieejams https://tapportals.mk.gov.lv/legal_acts/c253d232-a968-4ba8-9eac-093b04d2285e.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Saskaņojums ir pievienots.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spēkā esošā versija neierobežo pašvaldības izvirzīt atbalstam vairākās izglītības iestādes. Par šo arī ir sniegts skaidrojums spēkā esošo noteikumu anotācijā sadaļā "Risinājuma apraksts": "Projekta iesniedzējs, iesniedzot projekta pieteikumu projektu atlasē (pēc viņa dalības apstiprināšanas ar Ministru kabineta rīkojumu), projekta pieteikumā izvirza atbalsta saņemšanai vienu vai vairākās izglītības iestādes.".  Turpat arī ir minēts, ka "Noteikumu projektā noteiktie izmaksu ierobežojumi attiecas uz projektu kopumā, tas nozīmē, ja viena projekta iesniegumā atbalstam tiek izvirzītas vairākas izglītības iestādes vai vienai izglītības iestādei ir vairākas īstenošanas vietas, tad vienas izglītības iestādes izmaksu ierobežojuma neizpildi var kompensēt citā izglītības iestādē vai īstenošanas vietā." Izmaksu ierobežojumi ir attiecināmi uz projekta kopējām attiecināmajām izmaksām (piemēram, spēkā esošo noteikumu 22.2.4., 22.5.-22.8., 22.16.apakšpunkti, 23. un 25.punkti). Līdz ar to, nav nepieciešams papildināt noteikumu projektu. Vienlaikus rīkojuma projekta (25-TA-764; virza vienlaicīgi ar noteikumu projektu, nosakot katrai pašvaldībai pieejamo finansējumu) anotācija tiks papildināta ar informāciju, ka projekta iesniedzējs atbalstam var izvirzīt vairākas izglītības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Sniedzam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pašdeklarēšanas principu paredz spēkā esošo MK noteikumu 33. un 34. punkti. Pašdeklarēšanas princips paredz, ka finansējuma saņēmējs patstāvīgi sagatavo atskaites, bet ja ir pārsniegts noteikts ierobežojums, tad iesniedz CFLA attiecīgo ziņojumu.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Horizontālo principu "Vienlīdzība, iekļaušana, nediskriminācija un pamattiesību ievērošana" ieviešana pasākumā atbilst Labklājības ministrijas kā koordinējošās iestādes par horizontālā principa ieviešanu vadlīnijām un balstās uz vadošās iestādes izstrādātās metodikas "Nr. 3.1 Eiropas Reģionālās attīstības fonda, Eiropas Sociālā fonda plus, Kohēzijas fonda un Taisnīgas pārkārtošanās fonda projektu iesniegumu atlases metodika 2021.–2027.gadam" (turpmāk - 3.1.metodika par projektu iesniegumu atlasi). Vadošā iestāde, atsaucoties un nepieciešamību samazināt administratīvu slogu,  ir saņēmusi Labklājības ministrijas priekšlikumus prasību samazinājumam, attiecīgi paredzot precizēt 3.1.metodiku par projektu iesniegumu atlasi. Pēc precizētās metodikas apstiprināšanas ES fondu Uzraudzības komitējas apakškomitejā, Izglītības un zinātnes ministrija izvērtēs iespēju precizēt MK noteikumus par 4.2.1.5. pasākuma 2.kārtas īstenošanu. Atkarībā no minētās metodikas apstiprināšanas termiņa, tiks izvērtēta iespēja precizētos nosacījumus attiecināt uz plānoto projektu iesniegumu atlases kārtu. Attiecībā uz horizontāliem principiem "Klimatdrošināšana", "Energoefektivitāte pirmajā vietā",  "Nenodarīt būtisku kaitējumu" - uzkrāj datus par projekta ietekmi uz tiem tikai,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Spēkā esošo MK noteikumu 25.8. apakšpunkts neuzliek pienākumu īstenot sociāli atbildīgus un inovatīvus publiskos iepirkumus. Lai nodrošinātu normu skaidrību, 35.8. apakšpunkts tiek precizēts, izsakot šādi: "35.8. nodrošina, ka visas preces un pakalpojumi tiks iepirkti atklātā, pārredzamā, nediskriminējošā un konkurenci nodrošinošā procedūrā, ievērojot publiskā iepirkuma procedūru regulējošos normatīvos aktus,</w:t>
            </w:r>
            <w:r w:rsidR="00000000" w:rsidRPr="00000000" w:rsidDel="00000000">
              <w:rPr>
                <w:i w:val="1"/>
                <w:rtl w:val="0"/>
              </w:rPr>
              <w:t xml:space="preserve"> un var piemērot </w:t>
            </w:r>
            <w:r w:rsidR="00000000" w:rsidRPr="00000000" w:rsidDel="00000000">
              <w:rPr>
                <w:rtl w:val="0"/>
              </w:rPr>
              <w:t xml:space="preserve">sociāli atbildīgus un inovatīvus publiskos iepirkumus, kā arī sekmē zaļā publiskā iepirkuma prasību ievērošanu saskaņā ar normatīvajiem aktiem par prasībām zaļajam publiskajam iepirkumam un to piemērošanas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4.2.1.5. pasākuma "Izglītības iestāžu nodrošinājums pilnveidotā vispārējās izglītības satura kvalitatīvai ieviešanai pamata un vidējās izglītības pakāpē" otrās projekta iesniegumu atlases kārtas īstenošanas noteikumi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4.2.1.5. pasākuma otrās projekta iesniegumu atlases kārtas ietvaros ieplānot elastības finansējumu, tādējādi neparedzot atsevišķu 4.2.1.5.pasākuma trešo projekta iesniegumu atlases kārtu. Pašvaldības, piemēram, tās kas nepaguva iesniegt informāciju uz priekšatlasi, varētu pretendēt uz elastības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papildinot MK noteikumu grozījumu redakciju un anotācijas sadaļu "Risinājuma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Sākotnējo MK noteikumu Anotācijas redakcija "4.2.1.5. pasākuma otrās projekta iesniegumu atlases kārtas ietvaros nav plānots elastības finansējums. 4.2.1.5.pasākuma elastības finansējums 15 315 851 euro apmērā, ko veido ERAF finansējums 13 018 473 euro un valsts budžeta līdzfinansējums 2 297 378 euro, ir paredzēts 4.2.1.5.pasākuma trešajā projekta iesniegumu atlases kārtā."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tiek precizēts MK noteikumu Nr.72 5. punkts, nosakot, ka 4.2.1.5. pasākuma otrajai kārtai plānotais un pieejamais finansējums ir  41 506 355 euro, ko veido ERAF finansējums –  35 280 401 euro un pašvaldību budžeta līdzfinansējums –  6 225 954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ERAF atbalsts tiek piešķirts granta veidā. 4.2.1.5. pasākuma otrās projekta iesniegumu atlases kārtas ietvaros ir plānots elastības finansējums  x euro apmērā, ko veido ERAF finansējums x euro un valsts budžeta līdzfinansējums x euro.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Izglītības un zinātnes ministra strādā pie risinājuma, lai atbalstītu pašvaldības, kas nepaguva nodrošināt atbilstību atbalsta projektu iesniedzēju nosacījumiem noteiktajā termiņā. Attiecīgi, grozījumos būtu jāiekļauj papildu nosacījumus, par kuriem vēl notiek diskusija. Ņemot vērā, ka ierosinātie grozījumi ir saistīti ar Ministra kabineta rīkojuma projektu par katrai pašvaldībai pieejamo finansējumu (25-TA-764), kuru ministrija virza steidzamības kārtā, lai pašvaldības varētu pēc iespējās ātrāk pieteikties atbalstam, šis noteikumu projekts netiks papildināts ar grozījumiem, kas ir saistīti ar elastības finansējuma izmantošanu.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Pasākuma otrajai projektu iesniegumu atlases kārtai plānotais un pieejamais finansējums ir  41 506 355 </w:t>
            </w:r>
            <w:r w:rsidR="00000000" w:rsidRPr="00000000" w:rsidDel="00000000">
              <w:rPr>
                <w:i w:val="1"/>
                <w:rtl w:val="0"/>
              </w:rPr>
              <w:t xml:space="preserve">euro</w:t>
            </w:r>
            <w:r w:rsidR="00000000" w:rsidRPr="00000000" w:rsidDel="00000000">
              <w:rPr>
                <w:rtl w:val="0"/>
              </w:rPr>
              <w:t xml:space="preserve">, ko veido Eiropas Reģionālās attīstības fonda finansējums –  35 280 401 </w:t>
            </w:r>
            <w:r w:rsidR="00000000" w:rsidRPr="00000000" w:rsidDel="00000000">
              <w:rPr>
                <w:i w:val="1"/>
                <w:rtl w:val="0"/>
              </w:rPr>
              <w:t xml:space="preserve">euro </w:t>
            </w:r>
            <w:r w:rsidR="00000000" w:rsidRPr="00000000" w:rsidDel="00000000">
              <w:rPr>
                <w:rtl w:val="0"/>
              </w:rPr>
              <w:t xml:space="preserve">un pašvaldību budžeta līdzfinansējums –  6 225 954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noteikumu projektu tiek mainīts pasākumam plānotais finansējums, lūdzam papildināt anotāciju, norādot informāciju par finansējuma sadalījumu pa intervences kodiem.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Pasākuma otrajai projektu iesniegumu atlases kārtai plānotais un pieejamais finansējums ir  41 506 355 </w:t>
            </w:r>
            <w:r w:rsidR="00000000" w:rsidRPr="00000000" w:rsidDel="00000000">
              <w:rPr>
                <w:i w:val="1"/>
                <w:rtl w:val="0"/>
              </w:rPr>
              <w:t xml:space="preserve">euro</w:t>
            </w:r>
            <w:r w:rsidR="00000000" w:rsidRPr="00000000" w:rsidDel="00000000">
              <w:rPr>
                <w:rtl w:val="0"/>
              </w:rPr>
              <w:t xml:space="preserve">, ko veido Eiropas Reģionālās attīstības fonda finansējums –  35 280 401 </w:t>
            </w:r>
            <w:r w:rsidR="00000000" w:rsidRPr="00000000" w:rsidDel="00000000">
              <w:rPr>
                <w:i w:val="1"/>
                <w:rtl w:val="0"/>
              </w:rPr>
              <w:t xml:space="preserve">euro </w:t>
            </w:r>
            <w:r w:rsidR="00000000" w:rsidRPr="00000000" w:rsidDel="00000000">
              <w:rPr>
                <w:rtl w:val="0"/>
              </w:rPr>
              <w:t xml:space="preserve">un pašvaldību budžeta līdzfinansējums –  6 225 954 </w:t>
            </w:r>
            <w:r w:rsidR="00000000" w:rsidRPr="00000000" w:rsidDel="00000000">
              <w:rPr>
                <w:i w:val="1"/>
                <w:rtl w:val="0"/>
              </w:rPr>
              <w:t xml:space="preserve">euro</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35.8. nodrošina, ka visas preces un pakalpojumi tiks iepirkti atklātā, pārredzamā, nediskriminējošā un konkurenci nodrošinošā procedūrā, ievērojot publiskā iepirkuma procedūru regulējošos normatīvos aktus un, kur tas ir attiecināms, īsteno sociāli atbildīgus un inovatīvus publiskos iepirkumus, kā arī sekmē zaļā publiskā iepirkuma prasību ievērošanu saskaņā ar normatīvajiem aktiem par prasībām zaļajam publiskajam iepirkumam un to piemērošanas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35.8.apakšpunktā iekļauto prasību par sociāli atbildīgu un inovatīvu publisko iepirkumu, paredzot, ka finansējuma saņēmējam ir izvēles iespēja, vai tas piemēros sociāli atbildīgu un inovatīvu publisko iepirkumu. Lai viennozīmīgi padarītu šīs prasības par izvēli, lūdzam, piemēram, aizstāt vārdus "kur tas ir attiecināms, īsteno sociāli atbildīgus un inovatīvus publiskos iepirkumus" ar vārdiem "var piemērot sociāli atbildīgus un inovatīvus publiskos iepirkumus".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35.8. nodrošina, ka visas preces un pakalpojumi tiks iepirkti atklātā, pārredzamā, nediskriminējošā un konkurenci nodrošinošā procedūrā, ievērojot publiskā iepirkuma procedūru regulējošos normatīvos aktus, un var piemērot sociāli atbildīgus un inovatīvus publiskos iepirkumus, kā arī sekmē zaļā publiskā iepirkuma prasību ievērošanu saskaņā ar normatīvajiem aktiem par prasībām zaļajam publiskajam iepirkumam un to piemērošanas kārtību;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35.11. ir atbildīgs par interešu konflikta riska novēršanu saskaņā ar Eiropas Parlamenta un Padomes 2024. gada 23. septembra Regulas (ES, Euratom) Nr.  </w:t>
            </w:r>
            <w:r w:rsidR="00000000" w:rsidRPr="00000000" w:rsidDel="00000000">
              <w:rPr>
                <w:rtl w:val="0"/>
              </w:rPr>
              <w:t xml:space="preserve">2024/2509</w:t>
            </w:r>
            <w:r w:rsidR="00000000" w:rsidRPr="00000000" w:rsidDel="00000000">
              <w:rPr>
                <w:rtl w:val="0"/>
              </w:rPr>
              <w:t xml:space="preserve"> par finanšu noteikumiem, ko piemēro Savienības vispārējam budžetam (pārstrādāta redakcija), 61. panta prasībām un paraksta interešu konflikta neesības apliecinājumu, kā arī finansējuma saņēmējam ir pienākums izstrādāt kārtību, kādā tiks nodrošināta interešu konflikta neesība, identificēti apstākļi, kuri izraisa vai var izraisīt interešu konfliktu, kas rada apdraudējumu vai kaitējumu projektu īstenošanai, noteikti veicamie pasākumi un izstrādāti darbības plāni interešu konflikta preventīvai novēršanai un gadījumiem, kad interešu konflikts ir atklāts;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noteikumu 35.11.apakšpunkta nepieciešamību, ņemot vērā gan konkrētā specifiskā atbalsta mērķa projekta veidu, kā arī to, ka  Eiropas Parlamenta un Padomes 2024. gada 23. septembra Regulas (ES, Euratom) 2024/2509 par finanšu noteikumiem, ko piemēro Savienības vispārējam budžetam (pārstrādātā redakcija) 61.panta prasības ir tieši piemērojamas tādiem projektiem, kas saistīti ar Eiropas Savienības (ES) fondu atbalsta saņemšanu un vienlaikus kuros atbilstoši specifiskā atbalsta mērķim finansējuma saņēmējs atlases kārtībā ES fondu dalībniekiem vai gala saņēmējiem sniedz finansiālu atbalstu (t.s. daudzpakāpju projekti).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nepieciešamību svītrot 35.11. apakšpunktu, norādām, ka punkts nav svītrots, ņemot vērā nepieciešamību nodrošināt finansējuma saņēmēja darbības pārskatāmību.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35.11. ir atbildīgs par interešu konflikta riska novēršanu saskaņā ar Eiropas Parlamenta un Padomes 2024. gada 23. septembra Regulas (ES, Euratom) Nr.  </w:t>
            </w:r>
            <w:r w:rsidR="00000000" w:rsidRPr="00000000" w:rsidDel="00000000">
              <w:rPr>
                <w:rtl w:val="0"/>
              </w:rPr>
              <w:t xml:space="preserve">2024/2509</w:t>
            </w:r>
            <w:r w:rsidR="00000000" w:rsidRPr="00000000" w:rsidDel="00000000">
              <w:rPr>
                <w:rtl w:val="0"/>
              </w:rPr>
              <w:t xml:space="preserve"> par finanšu noteikumiem, ko piemēro Savienības vispārējam budžetam (pārstrādāta redakcija), 61. panta prasībām un paraksta interešu konflikta neesības apliecinājumu, kā arī finansējuma saņēmējam ir pienākums izstrādāt kārtību, kādā tiks nodrošināta interešu konflikta neesība, identificēti apstākļi, kuri izraisa vai var izraisīt interešu konfliktu, kas rada apdraudējumu vai kaitējumu projektu īstenošanai, noteikti veicamie pasākumi un izstrādāti darbības plāni interešu konflikta preventīvai novēršanai un gadījumiem, kad interešu konflikts ir atklāts;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25-TA-765</w:t>
    </w:r>
    <w:r>
      <w:br/>
    </w:r>
    <w:r w:rsidR="00000000" w:rsidRPr="00000000" w:rsidDel="00000000">
      <w:rPr>
        <w:rtl w:val="0"/>
      </w:rPr>
      <w:t xml:space="preserve">11.06.2025. 17.46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25-TA-765</w:t>
    </w:r>
    <w:r>
      <w:br/>
    </w:r>
    <w:r w:rsidR="00000000" w:rsidRPr="00000000" w:rsidDel="00000000">
      <w:rPr>
        <w:rtl w:val="0"/>
      </w:rPr>
      <w:t xml:space="preserve">11.06.2025. 17.46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Izziņa_25-TA-765.docx</dc:title>
</cp:coreProperties>
</file>

<file path=docProps/custom.xml><?xml version="1.0" encoding="utf-8"?>
<Properties xmlns="http://schemas.openxmlformats.org/officeDocument/2006/custom-properties" xmlns:vt="http://schemas.openxmlformats.org/officeDocument/2006/docPropsVTypes"/>
</file>