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23-TA-1345: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Publiskas personas finanšu līdzekļu un mantas izšķērdēšanas novēršanas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redakcijas pašvaldībām rodas bažas par to, ka pašvaldībām varētu piekrist vai pašvaldībām varētu tikt uzdots rīkoties arī ar cita veida kustamās mantas ne tikai konfiscētie dzīvnieki, kā tas aprakstīts anotācijā un konceptuālajā ziņojumā “Par tiesiskā regulējuma problēmjautājumiem saistībā ar mantas piekritību valstij un valstij piekritīgo mantu”. Ņemot vērā minēto, lūdzam precizēt panta redakciju. Zemāk esošajā redakcijā piedāvājam visu izteikto iebildumu apkopojumu.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 bezmantinieka nekustamo īpašumu atzīšanas procesa par valstij vai pašvaldībai piekritīgo mantu  uzsākšanu, bezīpašnieka nekustamo īpašumu identifikāciju kā valstij vai pašvaldībai piekritīgo mantu -,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šā panta pirmajā daļā noteiktajam valstij piekritīgās kustamās mantas pārņemšanu, glabāšanu, uzskaiti, realizāciju, nodošanu bez maksas, iznīcināšanu un realizācijas ieņēmumu ieskaitīšanu pašvaldības budžetā veic pašvaldība, ja valstij piekritīgā manta ir izņemtie dzīvnieki, kas atrodas pašvaldības teritorijā esošajā dzīvnieku patversmē.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veic valstij un pašvaldībai piekritīgās mantas - bezmantinieka nekustamo īpašumu atzīšanas procesa par valstij vai pašvaldībai piekritīgo mantu  uzsākšanu, bezīpašnieka nekustamo īpašumu identifikāciju kā valstij vai pašvaldībai piekritīgo mantu -, pārņemšanu, glabāšanu, uzskaiti, realizāciju, nodošanu bez maksas, iznīcināšanu un realizācijas ieņēmumu ieskaitīšanu valsts un pašvaldības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lai kliedētu bažas, ka pašvaldībām varētu piekrist ne tikai konfiscētie dzīvnieki, kuri atrodas pašvaldību teritorijās esošajās patversmēs, ir precizēta anotācija, skaidri pasakot tikai ar kādu kustamo mantu rīkojas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iebildumā piedāvātā redakcija skar bezmantinieka mantas atzīšanas procesu, nevis darbības ar mantu, kura jau ir piekritīga valstij, piedāvātā redakcija daļēji ņemta vērā, precizēta likumprojekta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piekritīgo nekustamo īpašumu pārņemšanu, uzskaiti un nodošanu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Nodrošinājuma valsts aģentūra,  Pārtikas un veterinārais dienests,  Dabas aizsardzības pārvalde un pašvaldības nodrošina valstij piekritīgās kustamās mantas pārņemšanu, glabāšanu, uzskaiti, realizāciju, nodošanu bez maksas, iznīcināšanu un realizācijas ieņēmumu ieskaitīšanu valsts un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un pašvaldību budžetā kā arī gadījumus, kuros šā panta otrajā daļā minētās institūcijas veic darbības ar valstij piekritīgo kustamo mantu.”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Pašvaldību likuma 4.panta piekto daļu, kas nosaka, ka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pašvaldībai jaunā uzdevuma izpilde būs saistīta ar izdevumu palielināšanos, jānosaka finansējuma avoti šīs funkcijas izpildes nodrošināšanai. Ņemot vērā minēto un informatīvā ziņojuma apspriešanas gaitā runāto, ka finanšu avots varētu būt ienākumi no atsavinātās mantas, lūdzam to nostiprināt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 starpinstitūciju sanāksmē panākta vienošanās un 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gadījumā, ja dzīvnieki tiks realizēti un ieņēmumi tiks ieskaitīti pašvaldības budžetā, ir papildināta anotācijas 3.sadaļa ar informāciju, ka gadījumā, ja pašvaldības teritorijā esošajās patversmēs novietotie konfiscētie dzīvnieki tiks realizēti, ieņēmumi tiks ieskaitīti pašvaldības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piekritīgo nekustamo īpašumu pārņemšanu, uzskaiti un nodošanu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Nodrošinājuma valsts aģentūra,  Pārtikas un veterinārais dienests,  Dabas aizsardzības pārvalde un pašvaldības nodrošina valstij piekritīgās kustamās mantas pārņemšanu, glabāšanu, uzskaiti, realizāciju, nodošanu bez maksas, iznīcināšanu un realizācijas ieņēmumu ieskaitīšanu valsts un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un pašvaldību budžetā kā arī gadījumus, kuros šā panta otrajā daļā minētās institūcijas veic darbības ar valstij piekritīgo kustamo mantu.”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trešo daļu ar norādi uz pašvaldībām. Vēršam uzmanību, ka kopš 2023.gada 1.janvāra ir spēkā grozījumi Civillikumā un Pašvaldību likums, kas paredz, ka pašvaldībām piekrīt noteikta veida bezmantinieka un bezīpašnieka manta. Praksē jau ir vairāki gadījumi, kad pašvaldībām ir nosūtīti notariālie akti par bezīpašnieka un bezmantinieka mantas piekritību pašvaldībai. Tā kā nav precīza regulējuma kā norit process, tas sagādā vēlākas problēmas ar īpašumu nostiprināšanu zemesgrāmatā. Aicinām precizēt deleģējuma normu attiecinot to arī uz pašvaldībām, nosakot MK noteikumos kam kādus dokumentus sūta un kāda ir tālākā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un pašvaldībai piekritīgās mantas pārņemšanu, glabāšanu, uzskaiti, realizāciju, nodošanu bez maksas, iznīcināšanu un realizācijas ieņēmumu ieskaitīšanu valsts un pašvaldības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 starpinstitūciju sanāksmē netika panākta vienošanās, jautājums izskatāms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kuras institūcijas rīkojas ar valstij piekritīgo mantu un deleģēt Ministru kabinetu noteikt kārtību, kā un kādos gadījumos šīs institūcijas rīkojas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likumam dzīvojamais fonds piekrīt pašvaldībai un tā ir pašvaldībai, nevis valstij piekrītoša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 šim brīdim valstij piekritīgais dzīvojamais fonds tika nodots pašvaldībai ar Ministru kabineta lēmumu, tad šobrīd process ir vienkāršots un bezīpašnieka un bezmantinieka dzīvojamais fonds jau uzreiz piekrīt pašvaldībai. Arī patreiz esošais normatīvais regulējums nenosaka, kā tālāk pašvaldības rīkojas ar tai piekrītošo nekustamo īpašumu. Pašlaik nekas nav mainījies, pašvaldībām jāveic tieši tās pašas darbības, tikai ir vienkāršojies un paātrinājies process, jo jautājums vairs nav jāvirza uz Ministru kabinetu lēmumu pieņemšanai par valstij piekrītošā dzīvojamā fonda nodošanu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atbilstoši starpinstitūciju sanāksmē sniegtajai informācijai atsevišķos gadījumos rodas jautājumi par īpašuma reģistrēšanu Zemesgrāmatā, tie ir jārisina savstarpēji sadarbojoties attiecīgajām institūcijām, kā šobrīd to dara arī piemēram, VAS “Valsts nekustamie īpašumi”,  kad reģistrē nekustamos īpašumus uz valsts vārda Finanšu ministrijas personā.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piekritīgo nekustamo īpašumu pārņemšanu, uzskaiti un nodošanu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Nodrošinājuma valsts aģentūra,  Pārtikas un veterinārais dienests,  Dabas aizsardzības pārvalde un pašvaldības nodrošina valstij piekritīgās kustamās mantas pārņemšanu, glabāšanu, uzskaiti, realizāciju, nodošanu bez maksas, iznīcināšanu un realizācijas ieņēmumu ieskaitīšanu valsts un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un pašvaldību budžetā kā arī gadījumus, kuros šā panta otrajā daļā minētās institūcijas veic darbības ar valstij piekritīgo kustamo mantu.”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rosinātajām izmaiņām, ar kurām paredzēts noteikt pašvaldībai jaunu funkciju – valstij piekritīgās kustamās mantas glabāšanu, uzskaiti, realizāciju, nodošanu bez maksas, iznīcināšanu un realizācijas ieņēmumu ieskaitīšanu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Pašvaldību likuma 4.panta piekto daļu, kas nosaka, ka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pašvaldībai jaunās funkcijas izpilde būs saistīta ar izdevumu palielināšanos, jānosaka finansējuma avoti šīs funkcijas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vērtā iepriekš minēto, pašvaldība varētu veikt vienīgi valstij piekritīgās kustamās mantas pārņemšanu, ja pašvaldība piekrīt šādas kustamās mantas pārņemšanai, kur pārņemšanas kārtība noteikta arī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pantā  Rīcība ar valstij piekritīgo mantu otrās daļas 4.punktu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3.1 pantu  “Rīcība ar valstij piekritīgo mantu” ar jaunu daļu, aizstājot piedāvāto līdzšinējo trešo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noteikumos noteiktajā kārtībā valstij piekritīgās kustamās mantas pārņemšanu veic arī pašvaldības, ja tām kustamā manta ir nepieciešama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daļu numerāciju, trešo daļu uzskatīt par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veic valstij piekritīgās mantas pārņemšanu, glabāšanu, uzskaiti, realizāciju, nodošanu bez maksas, iznīcināšanu un realizācijas ieņēmumu ieskaitīšanu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 starpinstitūciju sanāksmē panākta vienošanās.  Precizēta likumprojekta redakcija,  paredzot, ka ieņēmumus no valstij piekritīgās mantas  realizācijas ieskaita arī pašvaldību budžetā un papildus precizēta anotācijas 3.sadaļa, norādot, ka ieņēmumi no pašvaldību teritorijās  esošajās  patversmēs  izvietoto konfiscēto dzīvnieku realizācijas tiks ieskaitīti pašvaldību budžetos.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piekritīgo nekustamo īpašumu pārņemšanu, uzskaiti un nodošanu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Nodrošinājuma valsts aģentūra,  Pārtikas un veterinārais dienests,  Dabas aizsardzības pārvalde un pašvaldības nodrošina valstij piekritīgās kustamās mantas pārņemšanu, glabāšanu, uzskaiti, realizāciju, nodošanu bez maksas, iznīcināšanu un realizācijas ieņēmumu ieskaitīšanu valsts un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un pašvaldību budžetā kā arī gadījumus, kuros šā panta otrajā daļā minētās institūcijas veic darbības ar valstij piekritīgo kustamo mantu.”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piekritīgās mantas sastāvā ietilpst arī bezīpašnieka  un bezmantinieka nekustamie īpašumi, nekustamo īpašumu atzīst par bezmantinieka mantu (nekustamo īpašumu) ierosinot mantošanas procedūru, tā kā bezmantinieka mantai nav mantinieku, kas citos gadījumos ierosina mantošanas procedūras uzsākšanu, bet valsts ilgstoši nerūpējas par sev piekritīgajiem nekustamajiem īpašumiem, lai gan valsts informāciju sistēmās ir ziņas par Latvijas valstspiederīgā nāves reģistrācijas faktu (Fizisko personu reģistrs), kā arī ir ziņas vai konkrētajam nelaiķim Zemesgrāmatā vai Nekustamā īpašuma valsts kadastra reģistrā ir reģistrēti nekustamie īpašumi, t.sk. valsts neierosina procedūru, kuras rezultātā nekustamos īpašumus atzīst par bezmantinieka mantu, tādējādi gadiem ilgi šie nekustamie īpašumi neatgriežas civiltiesiskajā apritē, kā arī pastāv augsts risks, ka šādus īpašumus izkrāpj un tālāk pārdod, par ko liecina arī publiski izskanējušās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Bezīpašnieka nekustamo īpašumu identifikāciju jau šobrīd ir iespējams pilnībā automatizēt, t.sk. veicot ierakstus Zemesgrāmatā un Nekustamā īpašuma kadastra informācijas sistēmā. Bezmantinieka mantas identifikācijai ir nepieciešams nodrošināt mantošanas procesa uzsākšanu, tā kā ir iespējams pilnībā automatizēti savietot Latvijas valsts piederīgā nāves fakta reģistrācijas faktu ar personai Zemesgrāmatā vai Nekustamā īpašuma valsts kadastra reģistrā reģistrētajiem nekustamajiem īpašumiem, tad ir jāparedz arī tālākās procedūras, kurās automatizēti vai manuāli valsts nodrošina, ka tiek laicīgi identificēti bezmantinieka nekustamie īpašumi, kas ir valstij piekritīgā manta un laicīgi tiek veiktas tālākās darbības ar šiem nekustamajiem īpašumiem. Kurai valsts institūcijai tiek noteikti konkrēti pienākumi ir vērtējams, bet nav pieļaujama esošās situācijas turpināšanās, kad nav skaidri noteikts, kura valsts institūcija ir atbildīga par valstij piekritīgo nekustamo īpašumu laicīgu identifikāciju.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w:t>
            </w:r>
            <w:r w:rsidR="00000000" w:rsidRPr="00000000" w:rsidDel="00000000">
              <w:rPr>
                <w:b w:val="1"/>
                <w:u w:val="single"/>
                <w:rtl w:val="0"/>
              </w:rPr>
              <w:t xml:space="preserve">bezmantinieka nekustamo īpašumu atzīšanas procesa par valstij piekritīgo mantu  uzsākšanu, bezīpašnieka nekustamo īpašumu identifikāciju kā valstij piekritīgo mantu, </w:t>
            </w:r>
            <w:r w:rsidR="00000000" w:rsidRPr="00000000" w:rsidDel="00000000">
              <w:rPr>
                <w:rtl w:val="0"/>
              </w:rPr>
              <w:t xml:space="preserve">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w:t>
            </w:r>
            <w:r w:rsidR="00000000" w:rsidRPr="00000000" w:rsidDel="00000000">
              <w:rPr>
                <w:b w:val="1"/>
                <w:u w:val="single"/>
                <w:rtl w:val="0"/>
              </w:rPr>
              <w:t xml:space="preserve"> bezmantinieka nekustamo īpašumu atzīšanas procesa par valstij piekritīgo mantu  uzsākšanu, bezīpašnieka nekustamo īpašumu identifikāciju kā valstij piekritīgo mantu</w:t>
            </w:r>
            <w:r w:rsidR="00000000" w:rsidRPr="00000000" w:rsidDel="00000000">
              <w:rPr>
                <w:rtl w:val="0"/>
              </w:rPr>
              <w:t xml:space="preserve">,valstij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 starpinstitūciju sanāksmē netika panākta vienošanās, jautājums izskatāms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iebildums nav ņemts vērā, jo nav saistīts ar virzīto likumprojektu, kur tiek noteiktas institūcijas (atbilstoši Ministru kabinetā akceptētajam konceptuālajam ziņojumam) kuras rīkosies ar mantu, kura jau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Bezīpašnieka vai bezmantinieka manta piekrīt valstij un valsts var sākt rīkoties ar to tikai gadījumos, kad ir zvērināta notāra akts, Uzņēmuma reģistra lēmums par uzņēmuma likvidāciju vai tiesas lēmums, ar kuru manta noteikta kā bezīpašnieka manta. Tātad valstij jau ir skaidri noteiktas institūcijas un kārtība, kā un kas pieņem lēmumus, kuru rezultātā manta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saistās ar mantošanas institūta sakārtošanu, t.i. darbībām un procedūrām pirms tiek pieņemts lēmums par mantas piekritību valstij, kas nav Valsts ieņēmumu dienesta kompetence un nesaistās ar virzīto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piekritīgo nekustamo īpašumu pārņemšanu, uzskaiti un nodošanu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Nodrošinājuma valsts aģentūra,  Pārtikas un veterinārais dienests,  Dabas aizsardzības pārvalde un pašvaldības nodrošina valstij piekritīgās kustamās mantas pārņemšanu, glabāšanu, uzskaiti, realizāciju, nodošanu bez maksas, iznīcināšanu un realizācijas ieņēmumu ieskaitīšanu valsts un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un pašvaldību budžetā kā arī gadījumus, kuros šā panta otrajā daļā minētās institūcijas veic darbības ar valstij piekritīgo kustamo mantu.”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izteiktā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panta otrās daļas redakcija paredz, ka rīcību ar valstij piekrītošo mantu var uzņemties ne tikai Valsts ieņēmumu dienests, bet arī citas iestādes un atvasinātas publiskās personas. Tomēr no minētās normas neizriet, kādos gadījumos šajā normā minētās institūcijas būs kompetentas rīkoties ar attiecīgi piekritīgo valsts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1. pantā izteikto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panta otrās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piekritīgo nekustamo īpašumu pārņemšanu, uzskaiti un nodošanu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Nodrošinājuma valsts aģentūra,  Pārtikas un veterinārais dienests,  Dabas aizsardzības pārvalde un pašvaldības nodrošina valstij piekritīgās kustamās mantas pārņemšanu, glabāšanu, uzskaiti, realizāciju, nodošanu bez maksas, iznīcināšanu un realizācijas ieņēmumu ieskaitīšanu valsts un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un pašvaldību budžetā kā arī gadījumus, kuros šā panta otrajā daļā minētās institūcijas veic darbības ar valstij piekritīgo kustamo mantu.”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likumprojektā "Grozījumi Publiskas personas finanšu līdzekļu un mantas izšķērdēšanas novēršanas likumā" (turpmāk – projekts) paredzētajā Publiskas personas finanšu līdzekļu un mantas izšķērdēšanas novēršanas likuma (turpmāk – likums) 3.</w:t>
            </w:r>
            <w:r w:rsidR="00000000" w:rsidRPr="00000000" w:rsidDel="00000000">
              <w:rPr>
                <w:vertAlign w:val="superscript"/>
                <w:rtl w:val="0"/>
              </w:rPr>
              <w:t xml:space="preserve">1</w:t>
            </w:r>
            <w:r w:rsidR="00000000" w:rsidRPr="00000000" w:rsidDel="00000000">
              <w:rPr>
                <w:rtl w:val="0"/>
              </w:rPr>
              <w:t xml:space="preserve"> panta pirmajā un otrajā ietvertais regulējums ir neskaidrs. Proti, projektā paredzētā likuma 3.</w:t>
            </w:r>
            <w:r w:rsidR="00000000" w:rsidRPr="00000000" w:rsidDel="00000000">
              <w:rPr>
                <w:vertAlign w:val="superscript"/>
                <w:rtl w:val="0"/>
              </w:rPr>
              <w:t xml:space="preserve">1</w:t>
            </w:r>
            <w:r w:rsidR="00000000" w:rsidRPr="00000000" w:rsidDel="00000000">
              <w:rPr>
                <w:rtl w:val="0"/>
              </w:rPr>
              <w:t xml:space="preserve"> panta pirmā daļa noteic, ka Valsts ieņēmumu dienests nodrošina valstij piekritīgās </w:t>
            </w:r>
            <w:r w:rsidR="00000000" w:rsidRPr="00000000" w:rsidDel="00000000">
              <w:rPr>
                <w:u w:val="single"/>
                <w:rtl w:val="0"/>
              </w:rPr>
              <w:t xml:space="preserve">mantas</w:t>
            </w:r>
            <w:r w:rsidR="00000000" w:rsidRPr="00000000" w:rsidDel="00000000">
              <w:rPr>
                <w:rtl w:val="0"/>
              </w:rPr>
              <w:t xml:space="preserve"> pārņemšanu, glabāšanu, uzskaiti, realizāciju, nodošanu bez maksas, iznīcināšanu un realizācijas ieņēmumu ieskaitīšanu valsts budžetā. No projektā paredzētajā likuma 3.</w:t>
            </w:r>
            <w:r w:rsidR="00000000" w:rsidRPr="00000000" w:rsidDel="00000000">
              <w:rPr>
                <w:vertAlign w:val="superscript"/>
                <w:rtl w:val="0"/>
              </w:rPr>
              <w:t xml:space="preserve">1</w:t>
            </w:r>
            <w:r w:rsidR="00000000" w:rsidRPr="00000000" w:rsidDel="00000000">
              <w:rPr>
                <w:rtl w:val="0"/>
              </w:rPr>
              <w:t xml:space="preserve"> panta otrajā daļā noteiktā izriet, ka Nodrošinājuma valsts aģentūra, Pārtikas un veterinārais dienests, Dabas aizsardzības pārvalde un pašvaldības nodrošina valstij piekritīgās </w:t>
            </w:r>
            <w:r w:rsidR="00000000" w:rsidRPr="00000000" w:rsidDel="00000000">
              <w:rPr>
                <w:u w:val="single"/>
                <w:rtl w:val="0"/>
              </w:rPr>
              <w:t xml:space="preserve">kustamās mantas</w:t>
            </w:r>
            <w:r w:rsidR="00000000" w:rsidRPr="00000000" w:rsidDel="00000000">
              <w:rPr>
                <w:rtl w:val="0"/>
              </w:rPr>
              <w:t xml:space="preserve"> pārņemšanu, glabāšanu, uzskaiti, realizāciju, nodošanu bez maksas, iznīcināšanu un realizācijas ieņēmumu ieskaitīšanu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nav attiecīga skaidrojuma, kādēļ tiek paredzēts šāds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ievērojot, ka no projektā paredzētajā likuma 3.</w:t>
            </w:r>
            <w:r w:rsidR="00000000" w:rsidRPr="00000000" w:rsidDel="00000000">
              <w:rPr>
                <w:vertAlign w:val="superscript"/>
                <w:rtl w:val="0"/>
              </w:rPr>
              <w:t xml:space="preserve">1</w:t>
            </w:r>
            <w:r w:rsidR="00000000" w:rsidRPr="00000000" w:rsidDel="00000000">
              <w:rPr>
                <w:rtl w:val="0"/>
              </w:rPr>
              <w:t xml:space="preserve"> panta pirmajā un otrajā daļā minētā izriet, ka Valsts ieņēmumu dienests, Nodrošinājuma valsts aģentūra, Pārtikas un veterinārais dienests, Dabas aizsardzības pārvalde un pašvaldības nodrošinās valstij piekritīgās mantas pārņemšanu, glabāšanu, uzskaiti, realizāciju, nodošanu bez maksas, iznīcināšanu un realizācijas ieņēmumu ieskaitīšanu valsts budžetā, </w:t>
            </w:r>
            <w:r w:rsidR="00000000" w:rsidRPr="00000000" w:rsidDel="00000000">
              <w:rPr>
                <w:u w:val="single"/>
                <w:rtl w:val="0"/>
              </w:rPr>
              <w:t xml:space="preserve">nav skaidrs, kuros gadījumos katra institūcija veiks attiecīgās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projektā paredzētajā likuma 3.</w:t>
            </w:r>
            <w:r w:rsidR="00000000" w:rsidRPr="00000000" w:rsidDel="00000000">
              <w:rPr>
                <w:vertAlign w:val="superscript"/>
                <w:rtl w:val="0"/>
              </w:rPr>
              <w:t xml:space="preserve">1</w:t>
            </w:r>
            <w:r w:rsidR="00000000" w:rsidRPr="00000000" w:rsidDel="00000000">
              <w:rPr>
                <w:rtl w:val="0"/>
              </w:rPr>
              <w:t xml:space="preserve"> panta otrajā daļā noteiktā nav skaidrs, vai tajā ir </w:t>
            </w:r>
            <w:r w:rsidR="00000000" w:rsidRPr="00000000" w:rsidDel="00000000">
              <w:rPr>
                <w:u w:val="single"/>
                <w:rtl w:val="0"/>
              </w:rPr>
              <w:t xml:space="preserve">paredzēts pilnvarojums Ministru kabinetam izdot ārēju normatīvo aktu vai ietverta atsauce uz Ministru kabineta noteikumiem</w:t>
            </w:r>
            <w:r w:rsidR="00000000" w:rsidRPr="00000000" w:rsidDel="00000000">
              <w:rPr>
                <w:rtl w:val="0"/>
              </w:rPr>
              <w:t xml:space="preserve">. Proti, Ministru kabineta 2009. gada 3. februāra noteikumu Nr. 108 "Normatīvo aktu projektu sagatavošanas noteikumi" </w:t>
            </w:r>
            <w:r w:rsidR="00000000" w:rsidRPr="00000000" w:rsidDel="00000000">
              <w:rPr>
                <w:u w:val="single"/>
                <w:rtl w:val="0"/>
              </w:rPr>
              <w:t xml:space="preserve">47. punktā ir noteiktas prasības, kā likumprojektos izstrādā pilnvarojumu Ministru kabinetam izdot ārējos normatīvos aktus</w:t>
            </w:r>
            <w:r w:rsidR="00000000" w:rsidRPr="00000000" w:rsidDel="00000000">
              <w:rPr>
                <w:rtl w:val="0"/>
              </w:rPr>
              <w:t xml:space="preserve">. Savukārt Ministru kabineta 2009. gada 3. februāra noteikumu Nr. 108 "Normatīvo aktu projektu sagatavošanas noteikumi" 62. punkts noteic, ka </w:t>
            </w:r>
            <w:r w:rsidR="00000000" w:rsidRPr="00000000" w:rsidDel="00000000">
              <w:rPr>
                <w:u w:val="single"/>
                <w:rtl w:val="0"/>
              </w:rPr>
              <w:t xml:space="preserve">likumprojektā neietver atsauces uz zemāka juridiskā spēka normatīvo aktu</w:t>
            </w:r>
            <w:r w:rsidR="00000000" w:rsidRPr="00000000" w:rsidDel="00000000">
              <w:rPr>
                <w:rtl w:val="0"/>
              </w:rPr>
              <w:t xml:space="preserve">, kā arī uz normatīvo aktu, kas vēl nav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likuma 3.</w:t>
            </w:r>
            <w:r w:rsidR="00000000" w:rsidRPr="00000000" w:rsidDel="00000000">
              <w:rPr>
                <w:vertAlign w:val="superscript"/>
                <w:rtl w:val="0"/>
              </w:rPr>
              <w:t xml:space="preserve">1</w:t>
            </w:r>
            <w:r w:rsidR="00000000" w:rsidRPr="00000000" w:rsidDel="00000000">
              <w:rPr>
                <w:rtl w:val="0"/>
              </w:rPr>
              <w:t xml:space="preserve"> panta pirmajā un otrajā daļā ietverto regulējumu un precizēt to,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un papildināta anotācijas 1.3.sadaļa.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piekritīgo nekustamo īpašumu pārņemšanu, uzskaiti un nodošanu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Nodrošinājuma valsts aģentūra,  Pārtikas un veterinārais dienests,  Dabas aizsardzības pārvalde un pašvaldības nodrošina valstij piekritīgās kustamās mantas pārņemšanu, glabāšanu, uzskaiti, realizāciju, nodošanu bez maksas, iznīcināšanu un realizācijas ieņēmumu ieskaitīšanu valsts un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un pašvaldību budžetā kā arī gadījumus, kuros šā panta otrajā daļā minētās institūcijas veic darbības ar valstij piekritīgo kustamo mantu.”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w:t>
            </w:r>
            <w:r w:rsidR="00000000" w:rsidRPr="00000000" w:rsidDel="00000000">
              <w:rPr>
                <w:i w:val="1"/>
                <w:rtl w:val="0"/>
              </w:rPr>
              <w:t xml:space="preserve"> "Ministru kabinets, nosakot Nodrošinājuma valsts aģentūras, Pārtikas un veterinārā dienesta, Dabas aizsardzības pārvaldes un pašvaldību kompetenci rīcībai ar valstij piekritīgo kustamo mantu paredzēs, ka:    </w:t>
            </w:r>
            <w:r w:rsidR="00000000" w:rsidRPr="00000000" w:rsidDel="00000000">
              <w:rPr>
                <w:i w:val="1"/>
                <w:rtl w:val="0"/>
              </w:rPr>
              <w:t xml:space="preserve">1. ja valstij piekritīgā kustamā manta atrodas glabāšanā Nodrošinājuma valsts aģentūrā vai Pārtikas veterinārajā dienestā (lauksaimniecības dzīvnieki), tad lēmumu par kustamās mantas konfiskāciju pieņem un turpmāku rīcību ar konfiscēto kustamo mantu nodrošina institūcija, kura nodrošināja mantas glabāšanu līdz tās konfiskācijai, to vairs nenododot Valsts ieņēmumu dienestam;</w:t>
            </w:r>
            <w:r w:rsidR="00000000" w:rsidRPr="00000000" w:rsidDel="00000000">
              <w:rPr>
                <w:i w:val="1"/>
                <w:rtl w:val="0"/>
              </w:rPr>
              <w:t xml:space="preserve">2. ja izņemtie dzīvnieki atrodas pašvaldības teritorijā esošajā dzīvnieku patversmē, tad pēc lēmuma pieņemšanas par šo dzīvnieku konfiskāciju, rīcību ar šiem konfiscētajiem dzīvniekiem nodrošinās attiecīgā pašvaldība, kuras teritorijā atrodas konkrētā dzīvnieku patversme;</w:t>
            </w:r>
            <w:r w:rsidR="00000000" w:rsidRPr="00000000" w:rsidDel="00000000">
              <w:rPr>
                <w:i w:val="1"/>
                <w:rtl w:val="0"/>
              </w:rPr>
              <w:t xml:space="preserve">3. gadījumos, kad tiks konfiscēti eksotiskie dzīvnieki, tad lēmumu par šo dzīvnieku konfiskāciju nosūtīs Dabas aizsardzības pārvaldei, kura lems un nodrošinās turpmākās darbības ar šiem eksotiskajiem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Administratīvās atbildības likuma 2. pants noteic, ka administratīvās atbildības vispārīgos noteikumus, administratīvā pārkāpuma jēdzienu, administratīvo sodu veidus un to piemērošanas noteikumus, kompetentās iestādes un amatpersonas, administratīvā pārkāpuma procesa norisi iestādē un tiesā, administratīvo sodu izpildi, kā arī starptautisko sadarbību administratīvo pārkāpumu procesā nosaka šis likums. Tas attiecas arī uz  pamatnoteikumiem, kas skar rīcību ar administratīvā pārkāpuma procesā izņemto mantu, tostarp, minētās mantas konfiskāciju. Atbilstoši Administratīvās atbildības likumam  lēmumu par rīcību ar izņemtajām mantām, tostarp, lēmumu par mantas konfiskāciju,  pieņem persona, kas veic administratīvā pārkāpuma procesu. Tādējādi Ministru kabineta noteikumos nedrīkstēs noteikt minēto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25.09.2023. starpinstitūcijas sanāksmes precizēta anotācijas 1.3.sadaļa par Dabas aizsardzības pārvaldes rīcību ar eksotiskajiem dzīvniekiem.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Latvijas pašvaldību savienības pārstāve S.Šķiltere izteica papildu mutisku iebildumu  -  lūdzu iesniegt informāciju par tiem zemesgrāmatā reģistrētiem nekustamiem īpašumiem, kas pieder fiziskām personām, kuru nāves fakts fizisko personu reģistrā ir fiksēts pirms 5 un vairāk gadiem, un kuri joprojām atbilstoši zemesgrāmatas ierakstiem ir reģistrēti kā īpašnieki.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iebildums - uzdevums nesaistās ar virzīto likumprojektu un nav VID kompetences jautājums. VID nav ne tiesības, ne pienākums iegūt un apstrādāt datus par fiziskām personām, kas mirušas pirms pieciem un vairāk gadiem, neatkarīgi no tā vai viņām ir vai nav piederoši nekustamie īpašumi. Informācija, ka mirušajām personām, iespējams, ir palikuši uz to vārda reģistrēti nekustamie īpašumi neapliecina to, ka minētie nekustamie īpašumi varētu būt  bezmantinieka,  jo par bezmantinieku mantu var runāt tad, ja nav nedz līgumisko, testamentāro vai likumisko mantinieku, vai tie no mantojuma ir atteikušies, vai atzīti par necienīgiem 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iespējams zemesgrāmatā īpašumi reģistrēti joprojām uz mirušām personām, jo notiek tiesvedības  process (piemēram, testamenta apstrīdēšana vai juridiska fakta konstatācija radniecības apstiprināšanas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gadījumos, kad tiks konfiscēti eksotiskie dzīvnieki, tad lēmumu par šo dzīvnieku konfiskāciju nosūtīs Dabas aizsardzības pārvaldei, kura lems un nodrošinās turpmākās darbības ar šiem eksotiskajiem dzīvniekiem. No minētā teksta nav īsti saprotams, kā eksotiskie dzīvnieki tiks identificēti, kā šī pārņemšana notiks un kāda būs Dabas aizsardzības pārvaldes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iepriekš minēto informāciju un kādas izmaiņas normatīvajos aktos šajā sakarā būtu veicamas.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eksotiskajiem dzīvniekiem precizēta anotācijas 1.3.sadaļa.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ziņojuma (anotācijas) (turpmāk – anotācija) 1.3. punktā norādīts, ka Ministru kabinets paredzēs, ka lēmumu par kustamās mantas konfiskāciju pieņems institūcija, kura nodrošināja mantas glabāšanu līdz tās konfiskācijai.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uz to, ka atbilstoši Administratīvās atbildības likuma 155. pantam par rīcību ar administratīvā pārkāpuma lietā izņemtajām mantām lemj amatpersona, pieņemot lēmumu administratīvā pārkāpuma lietā. Tāpat arī atbilstoši Kriminālprocesa likuma 240. pantam, to, kas darāms ar lietiskajiem pierādījumiem, dokumentiem, ar noziedzīgu nodarījumu saistīto mantu un citiem izņemtajiem priekšmetiem un vērtībām, norāda lēmumā par kriminālprocesa izbeigšanu, prokurora priekšrakstā vai tiesas nolēmumā.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minētajām iestādēm atbilstoši administratīvā pārkāpuma procesa un kriminālprocesuālajam regulējumam nav tiesību pieņemt lēmumu par attiecīgo mantu konfiskāciju. Ievērojot minēto,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4.1.6. apakšpunktā norādīts, ka ar saistībā ar likumprojektu nepieciešams sagatavot grozījumus Ministru kabineta 2012. gada 11. decembra noteikumos Nr. 839 “Nodrošinājuma valsts aģentūras nolikums”. Vēršama uzmanība, ka saskaņā ar Ministru kabineta 2012. gada 11. decembra noteikumu Nr. 839 “Nodrošinājuma valsts aģentūras nolikums” 4.11. apakšpunktu Nodrošinājuma valsts aģentūra veic arī citus normatīvajos aktos noteiktos uzdevumus. Līdz ar to, ievērojot to, ka iestāžu, tai skaitā arī Nodrošinājuma valsts aģentūras kompetenci paredzēts noteikt tiesību aktā par rīcību ar valstij piekritīgo mantu, Iekšlietu ministrijas ieskatā saistībā ar likumprojektu grozījumi Ministru kabineta 2012. gada 11. decembra noteikumos Nr. 839 “Nodrošinājuma valsts aģentūras nolikums” nav nepieciešami. Ievērojot minēto, svītrot anotācijas 4.1.6.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minētie grozījumi bija iekļauti atbilstoši IeM priekšlikumam, attiecīgi, ja šobrīd iebilst priekšlikuma sniedzējs, minētie grozījumi svītroti.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4.1.5. apakšpunktu, norādot, ka grozījumi Ministru kabineta 2011. gada 27. decembra noteikumos Nr. 1025 “Noteikumi par rīcību ar lietiskajiem pierādījumiem un arestēto mantu” ir nepieciešami, lai precizētu minēto Ministru kabineta noteikumu 49. punktu, kas paredz, ka Nodrošinājuma valsts aģentūra konfiscēto lietisko pierādījumu Valsts ieņēmumu dienestam nodod atbilstoši normatīvajos aktos par rīcību ar valstij piekritīgo mantu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paužam viedokli, ka attiecīgie grozījumi Ministru kabineta noteikumos ir uzskatāmi par tehniskiem grozījumiem un būtu veicami vienlaikus ar Ministru kabineta noteikumu grozījumiem pēc būtības. Proti, atbilstoši Oficiālo publikāciju un tiesiskās informācijas likuma 9. panta sestās daļas 3. punktam, konstatējot pretrunu starp vienāda juridiska spēka tiesību normām, tiks piemērota jaunākā tiesību norma, tas ir, uz Publiskas personas finanšu līdzekļu un mantas izšķērdēšanas novēršanas likuma 3.</w:t>
            </w:r>
            <w:r w:rsidR="00000000" w:rsidRPr="00000000" w:rsidDel="00000000">
              <w:rPr>
                <w:vertAlign w:val="superscript"/>
                <w:rtl w:val="0"/>
              </w:rPr>
              <w:t xml:space="preserve">1 </w:t>
            </w:r>
            <w:r w:rsidR="00000000" w:rsidRPr="00000000" w:rsidDel="00000000">
              <w:rPr>
                <w:rtl w:val="0"/>
              </w:rPr>
              <w:t xml:space="preserve">panta pamata izdoto Ministru kabineta noteikumu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anotācijas 4.1.5.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anotācijas 4.1.5.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4.1.4. apakšpunktā norādīts, ka saistībā ar likumprojektu nepieciešams sagatavot grozījumus Ministru kabineta 2020. gada 30. jūnija noteikumos Nr. 413 “Noteikumi par rīcību ar administratīvo pārkāpumu lietās izņemto mantu un dokumentiem”. Vēršama uzmanība, ka minētie Ministru kabineta noteikumi regulē rīcību ar mantu, līdz brīdim, kad tiek pieņemts lēmums par rīcību ar attiecīgo mantu, tai skaitā lēmums par attiecīgās mantas konfiskāciju. Rīcību ar valstij piekritīgo mantu noteic Ministru kabineta 2013. gada 26. novembra noteikumi Nr. 1354 “Kārtība, kādā veicama valstij piekritīgās mantas uzskaite, novērtēšana, realizācija, nodošana bez maksas, iznīcināšana un realizācijas ieņēmumu ieskaitīšana valsts budžetā”. Savukārt atbilstoši likumprojektam attiecīgo kārtību paredzēts noteikt Ministru kabineta noteikumos, kuri tiks izdoti saskaņā ar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panta otro un trešo daļu. Līdz ar to, Iekšlietu ministrijas ieskatā anotācijas 4.1.4. apakšpunktā minētajos Ministru kabineta noteikumos saistībā ar likumprojektu grozījumi nav nepieciešami. Ievērojot minēto, svītrot anotācijas 4.1.4. apakšpunktu, vai detalizēti norādīt attiecīgajā tiesību aktā ietveramo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anotācijas 4.1.4.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likumprojekta sākotnējās ietekmes (ex-ante) novērtējuma ziņojuma (anotācija) 4.1.sadaļā noteiktajam, Tieslietu ministrijai, Iekšlietu ministrijai un Vides aizsardzības un reģionālās attīstības ministrijai noteikt tiesību aktu projektos to spēkā stāšanās datumu ar 2024.gada 1.jūliju.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sēdes protokollēmuma projekta 5. punktu arī Vides aizsardzības un reģionālās attīstības ministrijai ir dots uzdevums atbilstoši likumprojekta sākotnējās ietekmes (ex-ante) novērtējuma ziņojuma (anotācijas) 4.1.sadaļā noteiktajam noteikt tiesību aktu projektos to spēkā stāšanās datumu ar 2024.gada 1.jūliju. Tomēr, iepazīstoties ar likumprojekta anotācijas 4.1. sadaļu, konstatēts, ka tajā netiek identificēti ar Vides aizsardzības un reģionālās attīstības ministrijas kompetenci saistītie normatīvie tiesību akti, kuros būtu veicami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sēdes protokollēmuma projektā ietvertā uzdevuma skaidrību un tiesisko noteiktību, lūdzam likumprojekta anotācijas 4.1. sadaļu papildināt ar norādi uz tiesību aktu projektiem, kas Vides aizsardzības un reģionālās attīstības ministrijai būtu jāsagatavo atbilstoši protokollēmuma projektam, tai skaitā identificējot ar tiesību akta projektu risināmo problēmjautājumu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sēdes protokollēmuma projekta 5.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likumprojekta sākotnējās ietekmes (ex-ante) novērtējuma ziņojuma (anotācija) 4.1.sadaļā noteiktajam, Tieslietu ministrijai, Iekšlietu ministrijai un Vides aizsardzības un reģionālās attīstības ministrijai noteikt tiesību aktu projektos to spēkā stāšanās datumu ar 2024.gada 1.jūliju.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5. punktā paredzēts, ka </w:t>
            </w:r>
            <w:r w:rsidR="00000000" w:rsidRPr="00000000" w:rsidDel="00000000">
              <w:rPr>
                <w:i w:val="1"/>
                <w:rtl w:val="0"/>
              </w:rPr>
              <w:t xml:space="preserve">"atbilstoši likumprojekta sākotnējās ietekmes (ex-ante) novērtējuma ziņojuma (anotācija) 4.1.</w:t>
            </w:r>
            <w:r w:rsidR="00000000" w:rsidRPr="00000000" w:rsidDel="00000000">
              <w:rPr>
                <w:rtl w:val="0"/>
              </w:rPr>
              <w:t xml:space="preserve"> </w:t>
            </w:r>
            <w:r w:rsidR="00000000" w:rsidRPr="00000000" w:rsidDel="00000000">
              <w:rPr>
                <w:i w:val="1"/>
                <w:rtl w:val="0"/>
              </w:rPr>
              <w:t xml:space="preserve">sadaļā noteiktajam, Tieslietu ministrijai, Iekšlietu ministrijai un Vides aizsardzības un reģionālās attīstības ministrijai noteikt tiesību aktu projektos to spēkā stāšanās datumu ar 2024.</w:t>
            </w:r>
            <w:r w:rsidR="00000000" w:rsidRPr="00000000" w:rsidDel="00000000">
              <w:rPr>
                <w:rtl w:val="0"/>
              </w:rPr>
              <w:t xml:space="preserve"> </w:t>
            </w:r>
            <w:r w:rsidR="00000000" w:rsidRPr="00000000" w:rsidDel="00000000">
              <w:rPr>
                <w:i w:val="1"/>
                <w:rtl w:val="0"/>
              </w:rPr>
              <w:t xml:space="preserve">gada 1.</w:t>
            </w:r>
            <w:r w:rsidR="00000000" w:rsidRPr="00000000" w:rsidDel="00000000">
              <w:rPr>
                <w:rtl w:val="0"/>
              </w:rPr>
              <w:t xml:space="preserve"> </w:t>
            </w:r>
            <w:r w:rsidR="00000000" w:rsidRPr="00000000" w:rsidDel="00000000">
              <w:rPr>
                <w:i w:val="1"/>
                <w:rtl w:val="0"/>
              </w:rPr>
              <w:t xml:space="preserve">jūliju."</w:t>
            </w:r>
            <w:r w:rsidR="00000000" w:rsidRPr="00000000" w:rsidDel="00000000">
              <w:rPr>
                <w:rtl w:val="0"/>
              </w:rPr>
              <w:t xml:space="preserve"> Savukārt anotācijas 4.1.3. apakšpunktā  ir minēts, ka </w:t>
            </w:r>
            <w:r w:rsidR="00000000" w:rsidRPr="00000000" w:rsidDel="00000000">
              <w:rPr>
                <w:i w:val="1"/>
                <w:rtl w:val="0"/>
              </w:rPr>
              <w:t xml:space="preserve">"ar grozījumiem Administratīvās atbildības likumā plānots noteikt institūciju kompetenci rīcībai ar administratīvā pārkāpuma procesā konfiscēto mantu", </w:t>
            </w:r>
            <w:r w:rsidR="00000000" w:rsidRPr="00000000" w:rsidDel="00000000">
              <w:rPr>
                <w:rtl w:val="0"/>
              </w:rPr>
              <w:t xml:space="preserve">kā arī</w:t>
            </w:r>
            <w:r w:rsidR="00000000" w:rsidRPr="00000000" w:rsidDel="00000000">
              <w:rPr>
                <w:i w:val="1"/>
                <w:rtl w:val="0"/>
              </w:rPr>
              <w:t xml:space="preserve">,</w:t>
            </w:r>
            <w:r w:rsidR="00000000" w:rsidRPr="00000000" w:rsidDel="00000000">
              <w:rPr>
                <w:rtl w:val="0"/>
              </w:rPr>
              <w:t xml:space="preserve"> ka par grozījumiem atbildīga ir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ir nepieciešami grozījumi Administratīvās atbildības likumā, </w:t>
            </w:r>
            <w:r w:rsidR="00000000" w:rsidRPr="00000000" w:rsidDel="00000000">
              <w:rPr>
                <w:b w:val="1"/>
                <w:rtl w:val="0"/>
              </w:rPr>
              <w:t xml:space="preserve"> lūdzam sniegt konkrētu informāciju Tieslietu ministrijai par nepieciešamo grozījumu saturu. No sniegtās informācijas būs iespējams izvērtēt šādu grozījumu konceptuālo raksturu un vienoties par termiņu, kādā tie ir virzāmi.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Vēršam uzmanību, ka ir svarīgi nošķirt būtiskos saistītos normatīvos aktus no nebūtiskajiem normatīvajiem aktiem. Būtiski ir tādi saistītie grozījumi, bez kuriem nevar pilnvērtīgi sasniegt plānotā tiesību akta projekta mērķi. Nebūtiskie grozījumi ir tādi, kas precizē un saskaņo plānotos grozījumus ar citiem saistītajiem normatīvajiem aktiem, tomēr tiesību sistēmas juridiski korekta funkcionēšana ir iespējama arī bez šādiem grozījumiem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39.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mainītas Valsts ieņēmumu dienesta funkcijas (uzdevumi) un valstij piekritīgās mantas pārziņa pilnībā vai daļēji būs citas iestādes kompetencē, tad Administratīvās atbildības likumā būs izdarāmi vien nebūtiski grozījumi, proti, tādi, kas saskaņo regulējumu ar citiem normatīvajiem aktiem, tomēr tiesību sistēma varētu funkcionēt arī bez šādiem grozījumiem. Piemēram, aizstājot Administratīvās atbildības likuma 155. pantā atsauci uz Valsts ieņēmumu dienesta uz vispārīgu norādi ("iestāde, kura pārzina valstij piekritīgo mantu"; "attiecīgā iestāde"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šie grozījumi ir nebūtiski, tad tos varētu veikt  arī pie nākamajiem (pēc būtības)  nepieciešamajiem grozījumiem Administratīvās atbildības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Vienlaikus informējam, ka, lai grozījumi Administratīvās atbildības likumā atbilstu normatīvajiem aktiem, kas noteic iestāžu kompetenci saistībā ar valstij piekritīgo mantu, nozīmīga šajā procesā būs ministriju savstarpējā sadarbība, lai visi saistītie grozījumi tiktu veikti saskaņoti.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ir precizēts protokollēmums un likumprojekta sākotnējās ietekmes (ex-ante) novērtējuma ziņojuma (anotācija) 4.1.sadaļa.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 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likuma 3.</w:t>
            </w:r>
            <w:r w:rsidR="00000000" w:rsidRPr="00000000" w:rsidDel="00000000">
              <w:rPr>
                <w:vertAlign w:val="superscript"/>
                <w:rtl w:val="0"/>
              </w:rPr>
              <w:t xml:space="preserve">1</w:t>
            </w:r>
            <w:r w:rsidR="00000000" w:rsidRPr="00000000" w:rsidDel="00000000">
              <w:rPr>
                <w:rtl w:val="0"/>
              </w:rPr>
              <w:t xml:space="preserve"> panta trešajā daļā ietverto pilnvarojumu Ministru kabinetam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attiecas arī uz projektā paredzēto likuma 3.</w:t>
            </w:r>
            <w:r w:rsidR="00000000" w:rsidRPr="00000000" w:rsidDel="00000000">
              <w:rPr>
                <w:vertAlign w:val="superscript"/>
                <w:rtl w:val="0"/>
              </w:rPr>
              <w:t xml:space="preserve">1</w:t>
            </w:r>
            <w:r w:rsidR="00000000" w:rsidRPr="00000000" w:rsidDel="00000000">
              <w:rPr>
                <w:rtl w:val="0"/>
              </w:rPr>
              <w:t xml:space="preserve"> panta otrās daļas regulējumu, ja tajā ietverts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piekritīgo nekustamo īpašumu pārņemšanu, uzskaiti un nodošanu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Nodrošinājuma valsts aģentūra,  Pārtikas un veterinārais dienests,  Dabas aizsardzības pārvalde un pašvaldības nodrošina valstij piekritīgās kustamās mantas pārņemšanu, glabāšanu, uzskaiti, realizāciju, nodošanu bez maksas, iznīcināšanu un realizācijas ieņēmumu ieskaitīšanu valsts un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un pašvaldību budžetā kā arī gadījumus, kuros šā panta otrajā daļā minētās institūcijas veic darbības ar valstij piekritīgo kustamo mantu.”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manta atzīta par piekritīgu valstij līdz šā likuma 3.</w:t>
            </w:r>
            <w:r w:rsidR="00000000" w:rsidRPr="00000000" w:rsidDel="00000000">
              <w:rPr>
                <w:vertAlign w:val="superscript"/>
                <w:rtl w:val="0"/>
              </w:rPr>
              <w:t xml:space="preserve">1</w:t>
            </w:r>
            <w:r w:rsidR="00000000" w:rsidRPr="00000000" w:rsidDel="00000000">
              <w:rPr>
                <w:rtl w:val="0"/>
              </w:rPr>
              <w:t xml:space="preserve"> panta spēkā stāšanās dienai, Valsts ieņēmumu dienests pabeidz darbības ar valstij piekritīgo mantu atbilstoši normatīvajiem aktiem, kas bija spēkā līdz 2024.gada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nebūtu jānosaka pārejas noteikumi arī attiecībā uz pašvaldībām par to pēc kādas kārtības pašvaldības pieņem un pārņem pašvaldībai piekrītošo mantu.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mērķis ir noteikt attiecīgo institūciju rīcību ar valstij piekritīgo mantu, nevis ar pašvaldībai piekrītošo mantu.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manta atzīta par piekritīgu valstij līdz šā likuma 3.</w:t>
            </w:r>
            <w:r w:rsidR="00000000" w:rsidRPr="00000000" w:rsidDel="00000000">
              <w:rPr>
                <w:vertAlign w:val="superscript"/>
                <w:rtl w:val="0"/>
              </w:rPr>
              <w:t xml:space="preserve">1</w:t>
            </w:r>
            <w:r w:rsidR="00000000" w:rsidRPr="00000000" w:rsidDel="00000000">
              <w:rPr>
                <w:rtl w:val="0"/>
              </w:rPr>
              <w:t xml:space="preserve"> panta spēkā stāšanās dienai, Valsts ieņēmumu dienests pabeidz darbības ar valstij piekritīgo mantu atbilstoši normatīvajiem aktiem, kas bija spēkā līdz 2024.gada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(risinājuma apraksts) ir noteikts, ka pašvaldību administratīvās komisijas pieņem lēmumus administratīvo pārkāpumu lietās par dzīvnieku turēšanas pārkāpumiem, tādējādi ar projektā noteikto pilnvarojumu pēc lēmuma pieņemšanas par šo dzīvnieku konfiskāciju, rīcību ar konfiscētajiem dzīvniekiem nodrošinās attiecīgā pašvaldība, kuras teritorijā atrodas konkrētā dzīvnieku patversme. Tomēr prakse rāda, ka ne katras pašvaldības teritorijā atrodas dzīvnieku 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anotāciju ar informāciju, kāda būs pašvaldības rīcība ar konficētiem dzīvniekiem, ja pašvaldības teritorijā nav patversmes un kā tiks risināti jautājumi par finansējumu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 šobrīd pirms lēmuma pieņemšanas par konfiskāciju, izņemtie dzīvnieki tiek nodoti attiecīgajai patversmei, kura jau atrodas kādas pašvaldības teritorijā, ar tiesībām arī realizēt konfiscētos dzīvniekus. Attiecībā par pašvaldības finansējumu norādām, ka Ministru kabinets ir atbalstījis konceptuālo ziņojumu (22-TA-3080), kurā paredzēts risinājumus īstenot jau piešķirtā finansējuma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23-TA-1345</w:t>
    </w:r>
    <w:r>
      <w:br/>
    </w:r>
    <w:r w:rsidR="00000000" w:rsidRPr="00000000" w:rsidDel="00000000">
      <w:rPr>
        <w:rtl w:val="0"/>
      </w:rPr>
      <w:t xml:space="preserve">01.11.2023. 13.39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23-TA-1345</w:t>
    </w:r>
    <w:r>
      <w:br/>
    </w:r>
    <w:r w:rsidR="00000000" w:rsidRPr="00000000" w:rsidDel="00000000">
      <w:rPr>
        <w:rtl w:val="0"/>
      </w:rPr>
      <w:t xml:space="preserve">01.11.2023. 13.39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Izziņa_23-TA-1345.docx</dc:title>
</cp:coreProperties>
</file>

<file path=docProps/custom.xml><?xml version="1.0" encoding="utf-8"?>
<Properties xmlns="http://schemas.openxmlformats.org/officeDocument/2006/custom-properties" xmlns:vt="http://schemas.openxmlformats.org/officeDocument/2006/docPropsVTypes"/>
</file>