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(17.10.2024.)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1.2.apakšsadaļas punktā “Mērķa apraksts” norādīto informāciju par noteikumu projekta mērķi, jo atbilstoši noteikumu projekta 11.punktam paredzēts samazināt 3.1.2.1.i. investīcijas pirmās kārtas “Valsts un pašvaldību ēku vides pieejamības nodrošināšanas pasākumi” finansējumu, lai attiecīgi palielinātu finansējumu 3.1.2.1.i. investīcijas otrās kārtas “Atbalsta pasākumi cilvēkiem ar invaliditāti mājokļu vides pieejamības nodrošināšanai”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Lūdzam skatīt 1.2.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anotācijā korekti norādīt noteikumu projekta mērķi, ņemot vērā, ka atbilstoši noteikumu projektam tas nepalielina finansējumu 3.1.2.1.i. investīcijas otrās kārtas “Atbalsta pasākumi cilvēkiem ar invaliditāti mājokļu vides pieejamības nodrošināšanai” īstenošanai, bet gan samazina finansējuma apjomu 3.1.2.1.i. investīcijas "Publisko pakalpojumu un nodarbinātības pieejamības veicināšanas pasākumi cilvēkiem ar funkcionāliem traucējumiem" pirmās kārtas "Valsts un pašvaldību ēku vides pieejamības nodrošināšanas pasākumi"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Lūdzam skatīt 1.2.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1.2. apakšpunktā norādīto informāciju par spēkā stāšanās termiņu. Ņemot vērā, ka noteikumu projektā nav ietverti nekādi spēkā stāšanās nosacījumi, tad norāde: "Jebkādi citi nosacījumi (atrunāti tiesību aktā)" ir nekorekta. Precizējot minēto anotācijas sadaļu, lūdzam ievērot Oficiālo publikāciju un tiesiskās informācijas likuma 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Lūdzam skatīt 1.2.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spēkā stāšanās termiņam nav noteikti īpaši nosacījumi. Tā spēkā stāšanās plānota atbilstoši Oficiālo publikāciju un tiesiskās informācijas likuma 7. panta otrajā daļā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izsekojamības labad, un ņemot vērā, ka situācija var mainīties, lūdzam papildināt anotāciju, norādot laika posmu (datumu), kad konstatēts pirmās kārtas finansējuma atlikums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Lūdzam skatīt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pabeigto projektu un noslēguma fāzē esošo projektu finanšu dati apkopoti un analizēti uz 2024. gada 15. decembri, kur arī tika secināts, ka 3.1.2.1.i. investīcijas pirmās kārtas projektos veidojas AF finansējuma atlikums indikatīvi 283 000 </w:t>
            </w:r>
            <w:r w:rsidR="00000000" w:rsidRPr="00000000" w:rsidDel="00000000">
              <w:rPr>
                <w:i w:val="1"/>
                <w:rtl w:val="0"/>
              </w:rPr>
              <w:t xml:space="preserve">euro</w:t>
            </w:r>
            <w:r w:rsidR="00000000" w:rsidRPr="00000000" w:rsidDel="00000000">
              <w:rPr>
                <w:rtl w:val="0"/>
              </w:rPr>
              <w:t xml:space="preserve">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katrai kārtai pieejamo finansējuma apmēru pēc plānoto grozījumu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satur informāciju par 3.1.2.1.i. pirmās un otrās kārtas īstenošanai plānoto AF un valsts budžeta finansējuma apmēru. Lūdzam skatīt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 sadaļu, ņemot vērā, ka noteikumu projekta ietekmējamās mērķgrupas raksta anotācijas 2. un 7. sadaļā. Proti, 2.1. apakšsadaļā apraksta ietekmi uz privāto sektoru, t. i., uz visām sabiedrības grupām (fiziskām vai juridiskām personām), bet 7.1. apakšsadaļā – uz publisko pārvaldi (valsts un pašvaldību institūcijām). Attiecīgi, anotācijas 2. sadaļas pašreizējā redakcijā nekorekti norādīta noteikumu projekta ietekme uz Rēzeknes novada pašvaldību, jo šī informācija būtu ietverama anotācijas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noteikumu projektam nav konstatējama ietekme uz finansējuma saņēmējiem vai fiziskām personām, jo, piemēram, tiek skaidrots, ka "pozitīvi ietekmē konkrēto pašvaldību kā finansējuma saņēmēju un mērķa grupu, jo gan lielākam personu lokam tiks sniegts atbalsts mājokļu vides  pielāgošanai, gan pielāgotajā ēkā būs pieejami sociālie pakalpojumi pašvaldībā" un anotācijas 8.sadaļā skaidrots, ka paredzama pozitīva ietekme uz fiziskām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Lūdzam skatīt 2. un 7.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pirmajā rindkopā norādīto pievienotās vērtības nodokļa apmēru, skaitļa “357 000” vietā lietojot skaitli “357 800” atbilstoši MK 20.09.2022. noteikumu Nr.582 11.punktam.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Lūdzam skatīt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Lūdzam skatīt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6.2.punktu papildināt ar informāciju par izdevumu aprēķinu attiecībā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Lūdzam skatīt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1.1.apakšsadaļas punktā “Apraksts” ir norādīts, ka grozījumi 3.1.2.1.i.investīcijas abu kārtu MK noteikumos, t.i., MK 20.09.2022. noteikumos Nr.582 un Ministru kabineta 2023.gada 5.septembra noteikumos Nr.512 “Eiropas Savienības Atveseļošanas un noturības mehānisma plāna 3.1.reformu un investīciju virziena “Reģionālā politika” 3.1.2.1.i.investīcijas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05.09.2023. noteikumi Nr.512) tiesību aktu portālā </w:t>
            </w:r>
            <w:r w:rsidR="00000000" w:rsidRPr="00000000" w:rsidDel="00000000">
              <w:rPr>
                <w:u w:val="single"/>
                <w:rtl w:val="0"/>
              </w:rPr>
              <w:t xml:space="preserve">tiek virzīti vienlaicīgi</w:t>
            </w:r>
            <w:r w:rsidR="00000000" w:rsidRPr="00000000" w:rsidDel="00000000">
              <w:rPr>
                <w:rtl w:val="0"/>
              </w:rPr>
              <w:t xml:space="preserve">. Līdz ar to lūdzam attiecīgi precizēt anotācijas 4.sadaļu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Lūdzam skatīt 4.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30. jūnijam – būvniecības pabeigšana, lai nodrošinātu piekļuvi publiskām telpām 63 valsts un pašvaldību ēkās.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pielikumā paredzētas izmaiņas ēku sarakstā (palielināts ēku skaits, kas atbilst atbalsta saņemšanas nosacījumiem - 64), lūdzam izvērtēt nepieciešamību precizēt MK noteikumu 7.3. un 8.3.1. apakšpunkta redakciju, kur norādīts ēku skaits 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AF plānā (MK 28.04.2021. rīkojums Nr. 292 “Par Latvijas Atveseļošanas un noturības mehānisma plānu”) un CID (Padomes lēmums) noteiktajam, 3.1.2.1.i. investīcijas pirmās kārtas ietvaros sasniedzamā 114. mērķrādītāja vērtība ir noteikta 63 ēkas. Savukārt jaunā ēka kā 64. ēka tiek iekļauta papildu MK noteikumu Nr. 582 pielikumā, lai savlaicīgi un proaktīvi nacionālā līmenī novērstu iespējamu risku 114. mērķrādītāja nesasniegšanai (gadījumā, ja par kādu no ēkām būvniecības pabeigšana un vides pielāgošana netiek ieskaitīta 114. mērķrādītāja vērtības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uz MK noteikumu Nr. 512 grozījumiem, kas arī paredz papildu darbības 117. mērķrādītāja vērtības izpildes sekmēšanai – t.i., mērķa grupas personu saraksta papildināšanu ar četrām papildu mērķa grupas personām, kuru mājokļu pielāgošanai tiek palielināts finansējums, to pārdalot no 3.1.2.1.i. investīcijas pirmās kārtas finansējuma (MK noteikumiem Nr. 582), attiecīgs FM priekšlikums par rādītāju vērtību palielināšanu nav saņemts. Tādējādi, ievērojot vienotu pieeju 3.1.2.1.i. investīcijas abu kārtu normatīvā regulējuma grozījumu redakcijās, LM ieskatā nebūtu jāpalielina mērķrādītāju vērtības virs AF plānā un CID noteiktā (jo ierosinātie grozījumi nemaina nosacījumus attiecībā uz sasniedzamajām vērtībā, tie veicina to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informēs gan Eiropas Komisiju, gan FM par mērķrādītāju faktisko izpildi (t.sk. par veiktajām papildu darbībām, lai sekmētu attiecīgo atskaites punktu/mērķrādītāju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30. jūnijam – būvniecības pabeigšana, lai nodrošinātu piekļuvi publiskām telpām 63 valsts un pašvaldību ēkās.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viena mēneša laikā pēc šo noteikumu 20.2. apakšpunktā minētās projekta veidlapas saņemšanas pārliecinās par tās atbilstību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minētajā uzaicinājumā iekļautajai informācijai, šo noteikumu nosacījumiem, projekta veidlapā pieprasītajai informācijai, kā arī pārliecinās, ka uz projekta iesniedzēju nav attiecināmi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atsauci noteikumu projekta 20.3.1. apakšpunktā un anotācijā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2024/2509 279. pantu atsauces uz atcelto regulu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precizēta. Lūdzam skatīt precizētās konsolidētās versijas 20.3.1. apakšpunktu (noteikumu projekta 2. punkts) un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viena mēneša laikā pēc šo noteikumu 20.2. apakšpunktā minētās projekta veidlapas saņemšanas pārliecinās par tās atbilstību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minētajā uzaicinājumā iekļautajai informācijai, šo noteikumu nosacījumiem, projekta veidlapā pieprasītajai informācijai, kā arī pārliecinās, ka uz projekta iesniedzēju nav attiecināmi Eiropas Parlamenta un Padomes 2024. gada 23. septembra Regulas (ES, Euratom) 2024/2509 par finanšu noteikumiem, ko piemēro Savienības vispārējam budžetam (pārstrādāta redakcija),  61.pantā noteiktie izslēgšanas nosacījumi (turpmāk - izslēgšanas nosacījumi);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24-TA-2900</w:t>
    </w:r>
    <w:r>
      <w:br/>
    </w:r>
    <w:r w:rsidR="00000000" w:rsidRPr="00000000" w:rsidDel="00000000">
      <w:rPr>
        <w:rtl w:val="0"/>
      </w:rPr>
      <w:t xml:space="preserve">16.01.2025. 12.09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24-TA-2900</w:t>
    </w:r>
    <w:r>
      <w:br/>
    </w:r>
    <w:r w:rsidR="00000000" w:rsidRPr="00000000" w:rsidDel="00000000">
      <w:rPr>
        <w:rtl w:val="0"/>
      </w:rPr>
      <w:t xml:space="preserve">16.01.2025. 12.09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Izziņa_24-TA-2900.docx</dc:title>
</cp:coreProperties>
</file>

<file path=docProps/custom.xml><?xml version="1.0" encoding="utf-8"?>
<Properties xmlns="http://schemas.openxmlformats.org/officeDocument/2006/custom-properties" xmlns:vt="http://schemas.openxmlformats.org/officeDocument/2006/docPropsVTypes"/>
</file>