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22-TA-3196: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Pievienotās vērtības nodokļa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paredzētā regulējuma vietu starp nozares regulējošiem normatīvajiem aktiem. Proti, maksājumu pakalpojumu sniedzēju tiesības un pienākumi šobrīd ir noteikti Maksājumu pakalpojumu un elektroniskās naudas likumā. Vēršam uzmanību, lai gan likumprojekta regulējuma mērķis ir novērst ar pievienotās vērtības nodokļa saistītu krāpšanu, ar ko tiešā mērā saistīts Pievienotās vērtības nodokļa likuma mērķis, tomēr, lai nodrošinātu tiesību normu skaidrību un saprotamību starp vairākiem nozares regulējošajiem normatīvajiem aktiem, ierosinām tiesību normas ietvert atbilstošā nozares normatīvajā aktā, kas pamatā regulē tiesību normu adresātu pienākumus un tiesības maksājumu pakalpojumu sniegšanas jomā, proti, Maksājumu pakalpojumu un elektroniskās naudas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vērtējusi Likumprojektā paredzētā regulējuma vietu starp nozares regulējošajiem normatīvajiem aktiem atbilstoši regulējuma mērķim un saturam, un secinājusi, ka visatbilstošākais risinājums ir pamata regulējumu iekļaut nodokļu normatīvajos aktos, proti, Pievienotās vērtības nodokļa likumā, savukārt atbilstošajos nozares normatīvajos aktos iekļaut atsauces uz Pievienotās vērtības nodokļa likuma regulējumu attiecībā uz pienākumu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Padomes  Direktīvu  (ES) 2020/284 (2020. gada 18. februāris) attiecībā uz konkrētu prasību ieviešanu maksājumu pakalpojumu sniedzējiem tiek grozīta Direktīva 2006/112/EK (PVN Direktīva). PVN Direktīva nosaka pievienotās vērtības nodokļa (PVN) vispārīgos uzskaites pienākumus nodokļa maksātājiem. Latvijas nacionālajā regulējumā PVN Direktīvas prasības ir pārņemtas Pievienotās vērtības nodokļa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Pievienotās vērtības nodokļa likuma 2.pantā ir noteikts, ka likums nosaka arī prasības nodokļu administrēšanai. Tāpat Komisijas  Īstenošanas  Regula (ES) 2022/1504 (2022. gada 6. aprīlis) ar ko paredz sīki izstrādātus noteikumus par to, kā Padomes Regulu (ES) Nr. 904/2010 piemērot attiecībā uz centralizētās elektroniskās maksājumu informācijas sistēmas (CESOP) izveidi, lai apkarotu ar PVN saistītu krāpšanu, ir pieņemta PVN regulējošo normatīvo aktu ietvaros. Papildus informējam, ka likumā “Par nodokļiem un nodevām” ir noteikti vairāki gadījumi, kad ir noteikts subjektam pienākums sniegt Valsts ieņēmumu dienestam informāciju (arī par trešajām personām), kuru paredzēts izmantot nodokļu nomaksas kontrolei, tajā skaitā, sadarbībā ar citu valstu kompetentām iestādēm. Piemēram, likuma  “Par nodokļiem un nodevām” 15.panta septītā daļa, kā arī, piemēram, likuma “Par nodokļiem un nodevām” XII nodaļa, kur ietvertas būtiskākās regulējuma normas, tajā skaitā, sniedzamās informācijas apjoms un subjekti, uz kuriem attiecas regulējums, savukārt kārtība, kādā veidā informācija tiek pārbaudīta un nosūtīta VID, ir noteikta Ministru kabineta noteikumos. XII nodaļā regulējums ieviests, lai transponētu attiecīgus Padomes direktīvas grozījumus. Arī atbilstoši minētam regulējumam, kad kā subjekts, kuram par trešajām personām ir noteikts pienākums sniegt informāciju, ir noteikta arī finanšu iestāde, tika veikti attiecīgi grozījumi Kredītiestāžu likuma 63.pantā, lai tajā ietvertu atsauci uz kredītiestādei ar Likumu noteikto pienākumu.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Maksājumu pakalpojumu un elektroniskās naudas likuma 2. panta pirmo daļu, šis likums nosaka maksājumu pakalpojumu sniedzēju,  maksājumu pakalpojumu izmantotāju, elektroniskās naudas emitentu, elektroniskās naudas turētāju, valūtu tirdzniecības sabiedrību un maksājumu sistēmu tiesības, pienākumus un atbildību, prasības maksājumu pakalpojumu sniegšanai, elektroniskās naudas emisijai, izplatīšanai un atpirkšanai, kā arī reglamentē maksājumu iestāžu, elektroniskās naudas iestāžu, valūtu tirdzniecības sabiedrību un maksājumu sistēmu tiesisko statusu, darbību un atbildību, līdz ar to minētais regulējums nebūtu ietverams Maksājumu pakalpojumu un elektroniskās naudas likumā. Līdz ar to nozares speciālajos likumos tiks iekļautas atsauces uz Pievienotās vērtības nodokļa likumā noteikto pienākumu maksājumu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Pievienotās vērtības nodokļa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likumprojektā lietoto terminu nozīmi Latvijas normatīvo aktu kontekstā, piemēram, termina "pārrobežu krāpšana" lietojumu (skat. noziedzīgu nodarījumu sastāvus Krimināllikumā) un nepieciešamības gadījumā precizēt likumprojektu. Norādām, ka saskaņā ar Līguma par Eiropas Savienības darbību 288. panta trešo daļu direktīvas tām dalībvalstīm, kurām tās adresētas, uzliek saistības attiecībā uz sasniedzamo rezultātu, bet ļauj šo valstu varasiestādēm noteikt to īstenošanas formas un metodes. Arī no Eiropas Savienības Tiesas prakses izriet, ka, lai ieviestu Eiropas Savienības tiesības nacionālajā tiesību sistēmā, nav obligāti, lai to saturs skaidri un detalizēti formālā un tekstuālā ziņā tiktu pārņemts normatīvajos vai administratīvajos aktos. Pietiek, ja tiek ievērots vispārīgais juridiskais konteksts, lai pietiekami skaidri un precīzi varētu piemērot Eiropas Savienības tiesības (</w:t>
            </w:r>
            <w:r w:rsidR="00000000" w:rsidRPr="00000000" w:rsidDel="00000000">
              <w:rPr>
                <w:i w:val="1"/>
                <w:rtl w:val="0"/>
              </w:rPr>
              <w:t xml:space="preserve">Eiropas Kopienu Tiesas spriedums lietā C-428/04 Commission v Austria, 99. §.</w:t>
            </w:r>
            <w:r w:rsidR="00000000" w:rsidRPr="00000000" w:rsidDel="00000000">
              <w:rPr>
                <w:rtl w:val="0"/>
              </w:rPr>
              <w:t xml:space="preserve">). Attiecīgi skaidrojam, ka direktīvu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Eiropas Savienības prasībām (</w:t>
            </w:r>
            <w:r w:rsidR="00000000" w:rsidRPr="00000000" w:rsidDel="00000000">
              <w:rPr>
                <w:i w:val="1"/>
                <w:rtl w:val="0"/>
              </w:rPr>
              <w:t xml:space="preserve">vairāk par pārņemšanas metodēm sk. Tieslietu ministrijas 2014. gada Eiropas Savienības tiesību aktu ieviešanas rokasgrāmatā, kas pieejama: https://www.tm.gov.lv/lv/metodiskie-ieteikumi</w:t>
            </w:r>
            <w:r w:rsidR="00000000" w:rsidRPr="00000000" w:rsidDel="00000000">
              <w:rPr>
                <w:rtl w:val="0"/>
              </w:rPr>
              <w:t xml:space="preserve">). Svarīgi ir ņemt vērā ne tikai pašas direktīvas normu saturu, bet arī nacionālā tiesību akta, kurā direktīvu plānots pārņemt, juridisko valodu un tehniku.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1.pants (Pievienotās vērtības nodokļa likuma 2.panta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 pienākumu maksājumu pakalpojumu sniedzējam veikt uzskaiti, glabāt un sniegt informāciju Valsts ieņēmumu dienestam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146.pantu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dienestam ir tiesības piemērot maksājumu pakalpojumu sniedzējam, kurš minēts šā likuma 147.panta pirmās daļas 1.punktā, soda naudu līdz 14 000 euro, ja, izpildoties informācijas sniegšanas nosacījumiem, maksājumu pakalpojumu sniedzējs nav sniedzis informāciju vai ir sniedzis nepienācīgu informāciju normatīvajos aktos noteiktā kārtībā un termiņā.".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 punktā ietverto Tieslietu ministrijas iebildumu par likumprojekta 2. pantā paredzētā Pievienotās vērtības nodokļa likuma (turpmāk - likums) 146. panta vienpadsmito daļu likumprojekta anotācijā sniegts skaidrojums, ka:  "Nav atbalstāms ierosinājums piemērot jau esošās Administratīvās atbildības likuma vai Administratīvo sodu likuma normas, jo regulējums darbojas administratīvā procesa ietvaros, nevis administratīvā pārkāpuma procesa ietvaros. Par informācijas nesniegšanu vai nepienācīgu sniegšanu nav paredzēts saukt pie administratīvās atbildības. Nodokļu administrācija šādā kontekstā plāno soda naudu piemērot tikai kā instrumentu, lai motivētu maksājumu pakalpojumu sniedzējus sniegt nepieciešamo informāciju un tādējādi tiktu sasniegts vēlamais rezultāts par informācijas sniegšanu, tās nodošanu tālāk un līdz ar to arī novērst izvairīšanos no PVN nomaksas." Vēršam uzmanību, ka minētais skaidrojums nav juridiski pamatots, jo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kādēļ nav iespējams piemērot Administratīvo sodu likuma par pārkāpumiem pārvaldes, sabiedriskās kārtības un valsts valodas lietošanas jomā (turpmāk – Pārvaldes likums) 3. pantu un piemērot administratīvo sodu, ja netiek pildīts informācijas sniegšanas pienākums iestādei, kā arī, kādēļ administratīvais sods, salīdzinot ar soda naudu (administratīvo sankciju), būtu neefektīvāks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situācija, kad vienā gadījumā likumdevējs ir izvēlējies par informācijas sniegšanas pienākuma pārkāpumiem iespēju piemērot administratīvo sodu, bet citā  - soda naudu (administratīvo sankciju) administratīvajā procesā, rada sistēmas dublēšanos. Minētais apdraud personas iespēju paredzēt valsts rīcību par tās iespējamu pārkāpumu, tostarp apdraudot personas tiesības uz aizstāvību;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kādēļ nav izmantojami citi ietekmēšanas līdzekļi, lai panāktu normatīvajā aktā noteiktā pienākumu izpildi, piemēram, administratīvā akta, kas noteic pienākumu iesniegt informāciju, izdošana un piespiedu naudas piemērošana, ja minētais pienākums netiek 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nav skaidrota ne administratīvās sankcijas klasifikācija, ne analizēts tās raksturs un iespējamā sankcijas bardzība. Vienlaikus nav vērtēts, vai administratīvā procesa regulējums pats par sevi ir piemērots sodoša rakstura sankciju piemērošanai. Vēršam uzmanību, ka, projektā ietvertajai  sankcijai ir tāda pati daba kā sodam (represīva jeb sodoša rakstura sankcija). Šādas sankcijas mēdz dēvēt arī par sodiem vai krimināltiesiska rakstura administratīvajām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nosakot un piemērojot administratīvajai atbildībai līdzīgus piespiedu ietekmēšanas līdzekļus, ir jāievēro virkne materiāla un procesuāla rakstura priekšnoteikumu, kas attiecināmi uz visām krimināltiesiska (sodoša) rakstura sankcijām. No tiem nozīmīgākie ir tiesiskuma princips, nevainīguma prezumpcija, tiesības sevi neapsūdzēt, tiesības uz aizstāvību, dubultās sodīšanas nepieļaujamība, noilgums, sodāmība, labvēlīgāka likuma atpakaļejošais spēks. Ja sodoša rakstura administratīvās sankcijas piemēro administratīvajā procesā, tas nenozīmē, ka nav jāievēro visas materiālās un procesuālās garantijas, kas attiecas uz krimināltiesiska rakstura sankciju piemērošanu. Papildus norādām, jo smagāka ir draudošā sankcija, jo vairāk likumdevējam ir pienākums sniegt vadlīnijas, kas padara sankciju paredzamu, tostarp nepieciešams normas adresātu informēt par gaidāmo sankciju. Kā norādīts juridiskajā literatūrā, "ja ir nepieciešams panākt, lai persona izpilda noteiktas normatīvo aktu prasības, priekšroka dodama nesodoša rakstura administratīvā akta izdošanai, nosakot pienākumu atbilstošā termiņā novērst neatbilstības un izpildīt prasības".[</w:t>
            </w:r>
            <w:r w:rsidR="00000000" w:rsidRPr="00000000" w:rsidDel="00000000">
              <w:rPr>
                <w:vertAlign w:val="superscript"/>
                <w:rtl w:val="0"/>
              </w:rPr>
              <w:t xml:space="preserve">1</w:t>
            </w:r>
            <w:r w:rsidR="00000000" w:rsidRPr="00000000" w:rsidDel="00000000">
              <w:rPr>
                <w:rtl w:val="0"/>
              </w:rPr>
              <w:t xml:space="preserve">] Tikai gadījumos, kad nepieciešams reaģēt uz kādu personas izdarītu pārkāpumu, kurš vairs nav novēršams (neatgriezeniska rīcība ar augstu bīstamības pakāpi), prioritāte būtu represīvas sankcijas piemērošanai, piemēram, administratīvā soda piemērošanai. Kā arī norādām, ka Latvijā valsts pārvaldei joprojām ir raksturīgi meklēt iespēju personu sodīt par pienākumu nepildīšanu, bet nereti netiek saskatīta iespēja panākt pienākumu izpildi ar administratīvā procesa līdzekļiem.[</w:t>
            </w:r>
            <w:r w:rsidR="00000000" w:rsidRPr="00000000" w:rsidDel="00000000">
              <w:rPr>
                <w:vertAlign w:val="superscript"/>
                <w:rtl w:val="0"/>
              </w:rPr>
              <w:t xml:space="preserve">2</w:t>
            </w:r>
            <w:r w:rsidR="00000000" w:rsidRPr="00000000" w:rsidDel="00000000">
              <w:rPr>
                <w:rtl w:val="0"/>
              </w:rPr>
              <w:t xml:space="preserve">] Mūsdienu demokrātiskā valstī tiesību efektivitāte nebūtu tieši proporcionāli saistāma ar atbilstošu valsts sankciju un draudu esību. Tā vietā izmantojami līdzekļi, kas attīsta personu tiesisko apziņu un veido pilsonisku sabiedrību.[</w:t>
            </w:r>
            <w:r w:rsidR="00000000" w:rsidRPr="00000000" w:rsidDel="00000000">
              <w:rPr>
                <w:vertAlign w:val="superscript"/>
                <w:rtl w:val="0"/>
              </w:rPr>
              <w:t xml:space="preserve">3</w:t>
            </w:r>
            <w:r w:rsidR="00000000" w:rsidRPr="00000000" w:rsidDel="00000000">
              <w:rPr>
                <w:rtl w:val="0"/>
              </w:rPr>
              <w:t xml:space="preserve">] Turklāt, ja personai tiek piemērota represīva rakstura sankcija, tad zināmā mērā sankciju izpilde apgrūtina prasību (sniegt informāciju) izpildi. Personai pieejamie finanšu līdzekļi tā rezultātā tiek novirzīti soda  naudas samaksai, nevis attiecīgo neatbilstību novēršanai. Tādējādi soda naudas piemērošana varētu attālināt no mērķa panākt normatīvā akta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informācijas sniegšanas jomā izmantot, vai nu administratīvā akta izdošanas iespēju, nosakot pienākumu atbilstošā termiņā novērst neatbilstības un izpildīt prasības vai izvēlēties izmantot administratīvās atbildības sistēmu (informācijas sniegšanas jomā) Pārvaldes likumā. Kā arī lūdzam likumprojekta anotācijā sniegt atbilstošu skaidrojumu par minētajiem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Māliņa I. Jaunu administratīvo pārkāpumu sastāvu veidošana. Grām.: Administratīvo pārkāpumu tiesības. Administratīvās atbildības likuma skaidrojumi. Sagatavojis autoru kolektīvs. E. Danovska un G. Kūtra zinātniskajā redakcijā. Rīga: Tiesu namu aģentūra, 2020, 54. lpp., 54.-55. lpp.</w:t>
            </w:r>
            <w:r w:rsidR="00000000" w:rsidRPr="00000000" w:rsidDel="00000000">
              <w:rPr>
                <w:vertAlign w:val="superscript"/>
                <w:rtl w:val="0"/>
              </w:rPr>
              <w:t xml:space="preserve">[2] Prof. Dr. iur. Jautrītes Briedes viedoklis. Sk.: Laveniece-Straupmane N., Briede J., Liholaja V., Judins A., Ziemane I. Ārkārtējā situācija: juristu viedokļi par tiesisko regulējumu un tā piemērošanu. Jurista Vārds, 17.03.2020., Nr. 11.</w:t>
            </w:r>
            <w:r w:rsidR="00000000" w:rsidRPr="00000000" w:rsidDel="00000000">
              <w:rPr>
                <w:vertAlign w:val="superscript"/>
                <w:rtl w:val="0"/>
              </w:rPr>
              <w:t xml:space="preserve">[3] Šulmane D. Tiesību normu efektivitātes problemātika un aktualitāte XX un XXI gadsimta tiesību socioloģijā. Promocijas darbs. Rīga: Latvijas Universitātes Juridiskā fakultāte, 2012, 182.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sanāksmē š.g. 5.aprīlī tika diskutēts par likumprojektā iekļautās soda normas mērķi un būtību, kā arī Tieslietu ministrijas argumentiem par citiem instrumentiem, lai panāktu normatīvajā aktā noteikto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Valsts ieņēmumu dienests un Finanšu ministrija kompromisa vārdā piekrīt, ka no likumprojekta tiek izslēgts 2.pants (likuma 146.panta vienpadsmitā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rosina atsaukties uz Administratīvo sodu likumu par pārkāpumiem pārvaldes, sabiedriskās kārtības un valsts valodas lietošanas jomā normām attiecībā uz nodokļu maksātāju sodīšanu un virzīt priekšlikumu Tieslietu ministrijas Administratīvās atbildības pastāvīgai darba grupai papildināt minētajā likumā (piemēram,  3.pantā “Informācijas nesniegšana, informācijas nepienācīga sniegšana vai nepatiesas informācijas sniegšana iestādei”) to subjektu loku, kuriem var izteikt brīdinājumu vai piemērot naudas sodu par informācijas nesniegšanu, informācijas nepienācīgu sniegšanu vai nepatiesas informācijas sniegšanu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146.pantu ar vienpadsmito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paredzētā Pievienotās vērtības nodokļa likuma 2. panta otrā daļa noteic pienākumu maksājumu pakalpojumu sniedzējiem sniegt informāciju par pārrobežu maksājumu pakalpojumiem un to saņēmējiem. Savukārt likumprojekta 2. pantā paredzētā Pievienotās vērtības nodokļa likuma 146. panta vienpadsmitā daļa noteic tiesības Valsts ieņēmumu dienestam piemērot soda naudu maksājumu pakalpojumu sniedzējam, neizpildot informācijas sniegšanas pienākumu. Likumprojekta anotācijā norādīts, ka likumprojekta regulējums tiek noteikts pēc līdzības jau ar Pievienotās vērtības nodokļa likuma 32.</w:t>
            </w:r>
            <w:r w:rsidR="00000000" w:rsidRPr="00000000" w:rsidDel="00000000">
              <w:rPr>
                <w:vertAlign w:val="superscript"/>
                <w:rtl w:val="0"/>
              </w:rPr>
              <w:t xml:space="preserve">5</w:t>
            </w:r>
            <w:r w:rsidR="00000000" w:rsidRPr="00000000" w:rsidDel="00000000">
              <w:rPr>
                <w:rtl w:val="0"/>
              </w:rPr>
              <w:t xml:space="preserve"> pantā noteikto, kas noteic līdzīga rakstura sankcijas par pārkāpumiem saistībā ar automātisko informācijas apmaiņu par finanšu kontiem, starptautisko uzņēmumu grupu pārskatiem par katru valsti un ziņojamām pārrobežu shēmām. Norādām, ka minētie maksājumi varētu tikt uzskatīti par administratīvajai atbildībai līdzīgiem piespiedu ietekmēšanas līdzekļiem jeb administratīvajām sankcijām.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šobrīd ir pieņemts daudz atbilstošāks regulējums – Administratīvās atbildības likums. Gan no personas tiesību nodrošināšanas viedokļa, gan sistēmiski labāks risinājums ir iekļaut ar likumprojektu saistīto sodoša rakstura administratīvo sankciju piemērošanu administratīvā pārkāpuma procesa regulējumā. Šobrīd vispārīgu administratīvo atbildību informācijas sniegšanas jomā jau noteic Administratīvo sodu likuma par pārkāpumiem pārvaldes, sabiedriskās kārtības un valsts valodas lietošanas jomā 3. pants. Attiecīgi normatīvajos aktos nebūtu paredzami panti ar līdzīgu vai identisku pārkāpuma sastāvu. Tādējādi lūdzam izvērtēt, vai nav pietiekoši ar administratīvo atbildību, kas paredzēta minētajā likumā, un nepieciešamības gadījumā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atbalstāms ierosinājums piemērot jau esošās Administratīvās atbildības likuma vai Administratīvo sodu likuma normas, jo regulējums darbojas administratīvā procesa ietvaros, nevis administratīvā pārkāpuma procesa ietvaros. Par informācijas nesniegšanu vai nepienācīgu sniegšanu nav paredzēts saukt pie administratīvās atbildības. Nodokļu administrācija šādā kontekstā plāno soda naudu piemērot tikai kā instrumentu, lai motivētu maksājumu pakalpojumu sniedzējus sniegt nepieciešamo informāciju un tādējādi tiktu sasniegts vēlamais rezultāts par informācijas sniegšanu, tās nodošanu tālāk un līdz ar to arī novērst izvairīšanos no PVN nomaksas. Tas arī ir aprakstīts Likumprojekta anotācijas 1.3. sadaļā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05.04.2023. tika panākta vienošanās, ka likumprojekta 2.pants tiek izslēgts un administratīvo atbildību par pārkāpumiem par informācijas nesniegšanu, informācijas nepienācīgu sniegšanu vai nepatiesas informācijas sniegšanu Valsts ieņēmumu dienests piemēros ievērojot Administratīvo sodu likumu par pārkāpumiem pārvaldes, sabiedriskās kārtības un valsts valodas lietošanas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146.pantu ar vienpadsmito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pantā paredzēto Pievienotās vērtības nodokļa likuma 146. panta vienpadsmito daļu, proti, darbības, par kurām paredzēts piemērot sodoša rakstura sankciju. Norādām, ka tiesību normā jābūt pietiekami skaidri un paredzami noteiktam, kāda veida darbība vai bezdarbība ir atzīstama par sodāmu un kāda sankcija par to piemērojama, piemēram, novēlota informācijas sniegšana, informācijas nesniegšana un atkārtota informācijas nesniegšana var tikt apzīmēta ar vienu aprakstošu darbību jeb informācijas nesniegšanu. Savukārt kļūdainu datu sniegšana ir informācijas nepienācīga 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2.pants (Pievienotās vērtības nodokļa likuma 146.panta vienpadsmitā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05.04.2023. tika panākta vienošanās, ka likumprojekta 2.pants tiek izslēgts un administratīvo atbildību par pārkāpumiem par informācijas nesniegšanu, informācijas nepienācīgu sniegšanu vai nepatiesas informācijas sniegšanu Valsts ieņēmumu dienests piemēros ievērojot Administratīvo sodu likumu par pārkāpumiem pārvaldes, sabiedriskās kārtības un valsts valodas lietošanas jomā. Līdz ar to iebildums nav aktuāls.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3. panta par grozījumiem Pievienotās vērtības nodokļu likumā izriet, ka ar 147. pantu, kurā paredzēta informācijas par maksājumu saņēmējiem un pārrobežu maksājumiem uzskaite, glabāšana un sniegšana,  gadījumos, ja maksājumu saņēmējs ir fiziskā persona, tiks veikta fizisko personu datu apstrāde.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147. panta satura ir izsecināms personu datu apstrādes tiesiskais pamats un nolūks, taču nav saprotams paredzētās datu apstrādes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par Pievienotās vērtības nodokļa likuma 147. panta otro daļu</w:t>
            </w:r>
            <w:r w:rsidR="00000000" w:rsidRPr="00000000" w:rsidDel="00000000">
              <w:rPr>
                <w:b w:val="1"/>
                <w:i w:val="1"/>
                <w:rtl w:val="0"/>
              </w:rPr>
              <w:t xml:space="preserve"> </w:t>
            </w:r>
            <w:r w:rsidR="00000000" w:rsidRPr="00000000" w:rsidDel="00000000">
              <w:rPr>
                <w:rtl w:val="0"/>
              </w:rPr>
              <w:t xml:space="preserve">noteikts, ka maksājumu pakalpojumu sniedzējam jāveic maksājumu saņēmēju un pārrobežu maksājumu detalizēta uzskaite, taču normā nav skaidrots šīs “detalizētās uzskaites” apjoms, tostarp ietveramās informācijas (arī fizisko personu datu) apjoms. Vienlaikus, no likumprojekta 3. pantā norādītā par Pievienotās vērtības nodokļa likuma</w:t>
            </w:r>
            <w:r w:rsidR="00000000" w:rsidRPr="00000000" w:rsidDel="00000000">
              <w:rPr>
                <w:i w:val="1"/>
                <w:rtl w:val="0"/>
              </w:rPr>
              <w:t xml:space="preserve"> </w:t>
            </w:r>
            <w:r w:rsidR="00000000" w:rsidRPr="00000000" w:rsidDel="00000000">
              <w:rPr>
                <w:rtl w:val="0"/>
              </w:rPr>
              <w:t xml:space="preserve">147. panta piekto daļu, izriet, ka Ministru kabinetam deleģēts noteikt “detalizētajā uzskaitē” iekļaujamo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lai datu apstrāde būtu likumīga, tai ir nepieciešams </w:t>
            </w:r>
            <w:r w:rsidR="00000000" w:rsidRPr="00000000" w:rsidDel="00000000">
              <w:rPr>
                <w:b w:val="1"/>
                <w:rtl w:val="0"/>
              </w:rPr>
              <w:t xml:space="preserve">tiesiskais pamats</w:t>
            </w:r>
            <w:r w:rsidR="00000000" w:rsidRPr="00000000" w:rsidDel="00000000">
              <w:rPr>
                <w:rtl w:val="0"/>
              </w:rPr>
              <w:t xml:space="preserve">, kas izriet no Vispārīgās datu aizsardzības regulas 6. panta 1. punkta, likumdevēja skaidri definēts d</w:t>
            </w:r>
            <w:r w:rsidR="00000000" w:rsidRPr="00000000" w:rsidDel="00000000">
              <w:rPr>
                <w:b w:val="1"/>
                <w:rtl w:val="0"/>
              </w:rPr>
              <w:t xml:space="preserve">atu apstrādes nolūks</w:t>
            </w:r>
            <w:r w:rsidR="00000000" w:rsidRPr="00000000" w:rsidDel="00000000">
              <w:rPr>
                <w:rtl w:val="0"/>
              </w:rPr>
              <w:t xml:space="preserve">, kā kā arī datu apstrādē j</w:t>
            </w:r>
            <w:r w:rsidR="00000000" w:rsidRPr="00000000" w:rsidDel="00000000">
              <w:rPr>
                <w:b w:val="1"/>
                <w:rtl w:val="0"/>
              </w:rPr>
              <w:t xml:space="preserve">āievēro visi minētās regulas 5.pantā noteiktie datu apstrādes principi</w:t>
            </w:r>
            <w:r w:rsidR="00000000" w:rsidRPr="00000000" w:rsidDel="00000000">
              <w:rPr>
                <w:rtl w:val="0"/>
              </w:rPr>
              <w:t xml:space="preserve">, tostarp princips “likumīgums, godprātība un pārredzamība”, kas nosaka, ka dati tiek apstrādāti likumīgi, godprātīgi un datu subjektam pārredzamā veidā. No minētā izriet, ka, likumdevējam likuma līmenī būtu jānosaka vismaz apstrādājamo datu kategorijas, savukārt Ministru kabinetam var deleģēt noteikt konkrētus apstrādājamos datus, ja to kategorijas ir skaidri noteiktas 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Inspekcija norāda, ka likumprojekta 3. punktā par Pievienotās vērtības nodokļa likuma 147.pantu būtu jāprecizē un skaidri jānorāda maksājumu pakalpojumu sniedzēja veiktajā “detalizētajā uzskaitē” apstrādājamās personu datu kategorijas. Kā arī likumprojekta 3. pantā par Pievienotās vērtības nodokļa likuma 147. panta piekto daļu būtu jāveic grozījumi,</w:t>
            </w:r>
            <w:r w:rsidR="00000000" w:rsidRPr="00000000" w:rsidDel="00000000">
              <w:rPr>
                <w:b w:val="1"/>
                <w:rtl w:val="0"/>
              </w:rPr>
              <w:t xml:space="preserve"> </w:t>
            </w:r>
            <w:r w:rsidR="00000000" w:rsidRPr="00000000" w:rsidDel="00000000">
              <w:rPr>
                <w:rtl w:val="0"/>
              </w:rPr>
              <w:t xml:space="preserve">novēršot ka Ministru kabinets ir pilnvarots noteikt apstrādājamo datu kategorijas - Ministru kabinets var noteikt tikai konkrētus apstrādājamos datus, ievērojot likumā jau norādītās datu kategorijas.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lūdz ievērot augstāk minēto un veikt attiecīgus labojumus arī anotācijā pie 4. punkta.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Inspekcija norāda, ka nav saprotams arī likumprojekta 3. pantā par Pievienotās vērtības nodokļa likuma 147. panta otrās daļas 3. punktu norādītais datu glabāšanas termiņš pakalpojuma sniedzējam - trīs kalendārie gadi. Anotācijā nav sniegts pamatojums minēto datu glabāšanai - kāds ir nolūks, ņemot vērā, ka dati tiek jau tiek nodoti Valsts ieņēmumu dienestam, kā arī nav skaidrs, vai Valsts ieņēmumu dienests arī veiks datu glabāšanu, kādā nolūkā un cik ilgi. Ievērojot minēto likumprojekts papildināms ar atbilstošu regulējumu vai papildināma likumprojekta anotāciju, norādot pamatojumu glabāšanai un tiesību normu, kas regulē personas datu glabāšanas ilgumu Valsts ieņēmumu dienestā.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skaidri noteiktu, kādas datu kategorijas apstrādās maksājumu pakalpojumu sniedzējs, ir papildināts likumprojekta 3.pants (Pievienotās vērtības nodokļa likuma 148. panta otrā daļa), nosakot, ka arī maksājumu pakalpojumu sniedzējs apstrādā fizisko personu identifikācijas datus un datus par pārrobežu maksājumiem. Ņemot vērā minēto ir precizētas un salāgotas Pievienotās vērtības nodokļa likuma 147.panta piektās daļas un 148. panta otrās daļas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datu glabāšanas termiņš ir noteikts Padomes Direktīvas (ES) 2020/284 (2020.gada 18.februāris) ar ko groza Direktīvu 2006/112/EK attiecībā uz konkrētu prasību ieviešanu maksājumu pakalpojumu sniedzējiem 1.pantā attiecībā uz 243.b panta 4. punkta “a” apakšpunktu. Līdz ar to, pārņemot minēto direktīvas prasību, ar likumprojektu tiek noteikts arī tieši tāds pats datu glabāšanas termiņš, proti, glabāt uzskaites datus elektroniskā formātā trīs kalendāros gadus, sākot no maksājuma izdarīšanas dienas kalendārā gada beigām. Informācija par to ir sniegta likumprojekta anotācijas 3.-5.lp.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likumprojekta 3. pantā ietvertā likuma 147. panta ceturtajā daļā skaidrot, vai šā panta otrajā daļā minētie pienākumi nav attiecināmi uz tādiem maksājumu pakalpojumiem, kur vismaz viens no maksājuma saņēmēja maksājumu pakalpojumu sniedzējiem atrodas dalībvalstī, tādējādi precīzi pārņemot Padomes 2020. gada 18. februāra direktīvas (ES) 2020/284, ar ko groza Direktīvu 2006/112/EK attiecībā uz konkrētu prasību ieviešanu maksājumu pakalpojumu sniedzējiem (turpmāk - direktīva Nr. 2020/284), 1. pantā ietvertā Padomes 2006. gada 28. novembra Direktīvas 2006/112/EK par kopējo pievienotās vērtības nodokļa sistēmu (turpmāk - direktīva Nr. 2006/112/EK) 243.b panta 3. punkta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Pievienotās vērtības nodokļa likuma 147.panta ceturtā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 pantā ietvertajā likuma 147. panta trešajā daļā paredzēto regulējumu nepieciešams izvērtēt un precizēt, sniedzot atbilstošu skaidrojumu likumprojekta anotācijā.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direktīvas Nr. 2020/284 1. pantā ietvertais direktīvas Nr. 2006/112/EK 243.b panta 4. punkta "b" apakšpunkts paredz, ja ir piemērojama 1. punktā noteiktā prasība maksājumu pakalpojumu sniedzējiem, uzskaiti saskaņā ar Padomes 2010. gada 7. oktobra Regulas (ES) Nr. 904/2010 par administratīvu sadarbību un krāpšanas apkarošanu pievienotās vērtības nodokļa jomā 24.b pantu dara pieejamu maksājumu pakalpojumu sniedzēja piederības dalībvalstij vai uzņēmējām dalībvalstīm, kad maksājumu pakalpojumu sniedzējs nodrošina maksājumu pakalpojumus dalībvalstīs, kas nav piederības dalībvalsts. Attiecīgi secināms, ka likumprojektā, pārņemot minētās direktīvas normas prasību, būtu precīzi jāparedz nosacījumi, lai uzskaiti darītu pieejamu tieši Valsts ieņēmumu dienestam (nevis visām iesaistīto dalībvalstu kompetentajām iestādēm), jo Latvijas nacionālais normatīvais akts nevar paredzēt tiesības un pienākumus tiem tiesību subjektiem, kas nav pakļauti Latvijas jurisdikcijai;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no likumprojekta skaidri neizriet, ka uzskaiti dara pieejamu maksājumu pakalpojumu sniedzēja mītnes dalībvalstij, bet iesaistītajām dalībvalstīm vienīgi gadījumos, kad maksājumu pakalpojumu sniedzējs nodrošina maksājumu pakalpojumus dalībvalstīs, kas nav mītnes dalībvalsts;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norāde "ievērojot nosacījumu, ka kalendārā ceturkšņa laikā vienam un tam pašam maksājuma saņēmējam tiek sniegti maksājumu pakalpojumi tādā apmērā, kas atbilst vairāk nekā 25 pārrobežu maksājumiem" dublē likumprojektā ietverto likuma 147. panta otrās daļas 1. punktā paredzēto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nav saprotams pamatojums likumprojektā lietotajai atšķirīgajai izteiksmei attiecībā uz maksājumu pakalpojuma sniedzēja pienākumu sniegt informāciju par maksājumu saņēmējiem un pārrobežu maksājumiem un pienākumu darīt pieejamu uzskaiti attiecībā uz maksājumu pakalpojumiem (proti, nav saprotams, vai ar minētajiem pienākumiem saprotams viens un tas pats).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ir veikti papildinājumi, skaidrojot, ka Direktīvas 2020/284 1.pantā attiecībā uz 243.b panta 4.punkta “b” apakšpunktu noteiktā prasība par uzskaites pieejamību maksājumu pakalpojumu sniedzēja piederības dalībvalstī ir iekļauta likumprojekta 2.pantā (Pievienotās vērtības nodokļa likuma 147.panta otrās daļas 2.punktā), proti, nosakot, ka maksājumu pakalpojumu sniedzējam ir pienākums sniegt Valsts ieņēmumu dienestam informāciju par maksājumu saņēmējiem un pārrobežu maksājumiem. Tāpat arī anotācijā ir papildināts skaidrojums, ka par  piederības dalībvalsti tiek uzskatīta mītnes valsts, kas minēta Maksājumu pakalpojumu un elektroniskās naudas likumā, kā arī minēts piemērs saprotamākai normas izpratnei.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likumprojektā ir skaidri noteikts, ka maksājumu pakalpojumu sniedzējs informāciju sniedz tieši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pakārtoti šī norma ir saistīta ar tādiem subjektiem, kuri ir pakļauti Latvijas jurisdikcijai tiktāl, cik Latvijā reģistrēta maksājumu pakalpojumu sniedzēja filiāle vai pārstāvniecība atrodas citā dalībvalstī, kas tajā ir reģistrēta un tur nodrošina maksājumu pakalpojumus vai arī sniedz maksājumu pakalpojumus tiešā veidā. Tādos gadījumos likumprojekta 2.pantā (Pievienotās vērtības nodokļa likuma 147.panta trešā daļa) ir noteikts, ka šādos gadījumos informācija nav jāsniedz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anotācijā skaidrības labad  tiek paskaidrots, ka Direktīvā 2020/284 minētais jēdziens “uzskaiti dara pieejamu” praktiski nozīmē, ka maksājumu pakalpojumu sniedzējs sniedz informāciju mītnes dalībvalsts nodokļu administrācijai, kas Latvijā ir Valsts ieņēmumu dienests vai iesaistītās dalībvalsts nodokļu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atbilstoši precizēta Pievienotās vērtības nodokļa likuma 147.panta trešās daļas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arī Pievienotās vērtības nodokļa likuma 147.panta otrās daļas 1.punkta redakcija, lai būtu saprotamāks izteiksmes veids par maksājumu pakalpojumu sniedzēja pienākumu attiecībā uz uzskaites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likumprojekta 3. pantā paredzētajā likuma 147.panta piektās daļas 1.punktā ietverto pilnvarojumu Ministru kabineta noteikumu izdošanai, proti, ka Ministru kabinets noteiks uzskaitē iekļaujamo informāciju. Vēršam uzmanību, ka iesniedzamais informācijas saturs jau tiek regulēts vairākās likumprojekta vienībās. Un lai gan nav izslēgta Ministru kabineta konkretizācija noteiktos jautājumos, lai novērstu likumdevēja kompetences pārsniegšanu, tomēr būtu nepieciešams pārskatīt minēto pilnvarojumu vai alternatīvi - detalizēti skaidrot likumprojekta anotācijā, ko paredzēts Ministru kabineta noteikumos regulēt.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ir precizēta Pievienotās vērtības nodokļa likuma 147.panta piektā daļa. Savukārt anotācija ir papildināta ar detalizētu skaidrojumu par uzskaitē iekļaujamo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anotācijā skaidrot, cik detalizētai jābūt uzskaitei un vai attiecīgā detalizācijas pakāpe tiks precīzāk atspoguļota Ministru kabineta noteikumos, kurus paredzēts izdot, pamatojoties uz likumprojekta 3. pantā ietvertās Pievienotās vērtības nodokļa likuma 147. panta trešās 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Likumprojekta anotācijas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ietverto Pievienotās vērtības nodokļa likuma 147. panta ceturto daļu nepieciešams izvērtēt un precizēt. Norādām,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likumprojekta 3. pantā paredzētajā Pievienotās vērtības nodokļa likuma 147. panta pirmajā un otrajā daļā noteikti pienākumi, kas saistīti ar informācijas sniegšanu Valsts ieņēmumu dienestam. Savukārt minēta panta ceturtajā daļā ietverts pilnvarojums Ministru kabinetam noteikt "nosacījumus, kuriem iestājoties ir sniedzama informācija Valsts ieņēmumu dienestam par pārrobežu maksājumu pakalpojumiem un pārrobežu maksājumu pakalpojumu saņēmējiem, sniedzamās informācijas struktūru un saturu, lietoto terminu skaidrojumu, kārtību, kādā aprēķina pārrobežu maksājumu skaitu, veic to uzskaiti un tajā ietvertās informācijas saturu, kā arī kārtību, kādā minētā informācija tiek uzglabāta un sniegta Valsts ieņēmumu dienestam." Saistībā ar minēto skaidrojam, ka Ministru kabinetam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(sk. </w:t>
            </w:r>
            <w:r w:rsidR="00000000" w:rsidRPr="00000000" w:rsidDel="00000000">
              <w:rPr>
                <w:i w:val="1"/>
                <w:rtl w:val="0"/>
              </w:rPr>
              <w:t xml:space="preserve">Satversmes tiesas 2001. gada 3. aprīļa sprieduma lietā Nr. 2000-07-0409 secinājumu daļas 5. punktu, 2006. gada 16  oktobra sprieduma lietā Nr. 2006-05-01 10.4. punktu un 2007. gada 9. oktobra sprieduma lietā Nr. 2007-04-03 14. punktu</w:t>
            </w:r>
            <w:r w:rsidR="00000000" w:rsidRPr="00000000" w:rsidDel="00000000">
              <w:rPr>
                <w:rtl w:val="0"/>
              </w:rPr>
              <w:t xml:space="preserve">). Vēršam uzmanību, ka termins "nosacījumi" apzīmē prasības, priekšnoteikumus, kas ir jāizpilda vai jāievēro (</w:t>
            </w:r>
            <w:r w:rsidR="00000000" w:rsidRPr="00000000" w:rsidDel="00000000">
              <w:rPr>
                <w:i w:val="1"/>
                <w:rtl w:val="0"/>
              </w:rPr>
              <w:t xml:space="preserve">Nosacījums. https://tezaurs.lv/nosac%C4%ABjums</w:t>
            </w:r>
            <w:r w:rsidR="00000000" w:rsidRPr="00000000" w:rsidDel="00000000">
              <w:rPr>
                <w:rtl w:val="0"/>
              </w:rPr>
              <w:t xml:space="preserve">). Pirmšķietami tas norāda uz sniedzamās informācijas apjoma (satura) prasībām, ko jau definē minētajā projektā paredzētais likuma regulējums. Attiecīgi Ministru kabineta noteikumu saturu jāveido galvenokārt procesuālajām normām, kas darbosies kā iepriekš likumā noteikto tiesību un pienākumu iedzīvināšanas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paužam bažas, ka gadījumus, kādos 147. panta pirmajā daļā ietvertā informācija nebūtu jāiesniedz (kas izriet no direktīvā Nr. 2020/284 ietvertā Padomes 2006. gada 28. novembra Direktīvas 2006/112/EK par kopējo pievienotās vērtības nodokļa sistēmu (turpmāk direktīva Nr. 2006/112/EK) 243.b panta 3. punkta), atbilstoši varas dalīšanas principam nebūtu pamatoti ietvert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viennozīmīgi skaidri saprotams, ar ko atšķiras pilnvarojums, kas paredz noteikt informācijas par pārrobežu maksājumu pakalpojumiem un pārrobežu maksājumu pakalpojumu saņēmējiem sniegšanas struktūru un saturu, no pilnvarojuma, kas paredz noteikt pārrobežu maksājumu uzskaitē ietvertās informācijas saturu, kā arī kārtību, kādā minētā informācija tiek uzglabāta un 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atbilstoši juridiskās tehnikas prasībām pilnvarojumā nav jānorāda uz lietoto terminu skaidrojumu, kas veido Ministru kabineta noteikumu struktūras elementu. Papildus lūdzam izvērtēt un nepieciešamības gadījumā terminus skaidrot likumprojektā, ņemot vērā, ka atbilstoši juridiskās tehnikas prasībām Minsitru kabineta noteikumos terminus skaidro, ja attiecīgie termini nav skaidroti vai lietoti augstāka juridiskā spēka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(Pievienotās vērtības nodokļa likuma 147.panta piektā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nodrošināt vienveidīgu izteiksmi, likumprojekta 3. pantā ietvertajā Pievienotās vērtības nodokļa likuma 147. panta otrajā un ceturtajā daļā norādot uz maksājumu uzskaiti attiecībā uz pārrobežu maksājumu pakalpojumiem</w:t>
            </w:r>
            <w:r w:rsidR="00000000" w:rsidRPr="00000000" w:rsidDel="00000000">
              <w:rPr>
                <w:u w:val="single"/>
                <w:rtl w:val="0"/>
              </w:rPr>
              <w:t xml:space="preserve"> un maksājumu saņēmēju</w:t>
            </w:r>
            <w:r w:rsidR="00000000" w:rsidRPr="00000000" w:rsidDel="00000000">
              <w:rPr>
                <w:rtl w:val="0"/>
              </w:rPr>
              <w:t xml:space="preserve"> vai skaidrot likumprojekta anotācijā, kādēļ informācija par maksājumu saņēmēju nav ietverama uzskaitē.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(Pievienotās vērtības nodokļa likuma 147.panta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Padomes 2020. gada 18. februāra direktīva (ES) 2020/284, ar ko groza Direktīvu 2006/112/EK attiecībā uz konkrētu prasību ieviešanu maksājumu pakalpojumu sniedzējiem (turpmāk - direktīva Nr. 2020/284) paredz veikt un saglabāt detalizētu uzskaiti par maksājumu saņēmējiem, nevis pārrobežu maksājumu pakalpojumu saņēmējiem, tādēļ lūdzam izvērtēt un atbilstoši precizēt likumprojekta 3.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(Pievienotās vērtības nodokļa likuma 147.pants un 148.pants).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w:t>
            </w:r>
            <w:r w:rsidR="00000000" w:rsidRPr="00000000" w:rsidDel="00000000">
              <w:rPr>
                <w:sz w:val="20"/>
                <w:rtl w:val="0"/>
              </w:rPr>
              <w:t xml:space="preserve">1</w:t>
            </w:r>
            <w:r w:rsidR="00000000" w:rsidRPr="00000000" w:rsidDel="00000000">
              <w:rPr>
                <w:rtl w:val="0"/>
              </w:rPr>
              <w:t xml:space="preserve">]), lūdzam izvērtēt likumprojekta 3. pantā ietvertajā Pievienotās vērtības nodokļa 147. panta ceturtajā daļā paredzētā pilnvarojuma atbilstību tiesību akta saturam, kuru paredzēts izdot uz šā pilnvarojuma pamata, ievērojot Ministru kabineta iekārtas likuma 31. panta pirmās daļas 1. punktā noteikto. Vēršam uzmanību, ka 147. panta trešajā daļā minētais pilnvarojums paredz noteikt “kārtību, kādā aprēķina pārrobežu maksājumu skaitu, veic to uzskaiti un tajā ietvertās informācijas saturu, kā arī kārtību, kādā minētā informācija tiek uzglabāta un sniegta Valsts ieņēmumu dienestam”.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r w:rsidR="00000000" w:rsidRPr="00000000" w:rsidDel="00000000">
              <w:rPr>
                <w:sz w:val="20"/>
                <w:rtl w:val="0"/>
              </w:rPr>
              <w:t xml:space="preserve">2</w:t>
            </w:r>
            <w:r w:rsidR="00000000" w:rsidRPr="00000000" w:rsidDel="00000000">
              <w:rPr>
                <w:rtl w:val="0"/>
              </w:rPr>
              <w:t xml:space="preserve">] Ja tiesību normā jēdziens "kārtība" nav izmantots, tad pilnvarojums ir atšķirīgs un aptver ne tikai tiesības regulēt darbību procesuālo aspektu.[</w:t>
            </w:r>
            <w:r w:rsidR="00000000" w:rsidRPr="00000000" w:rsidDel="00000000">
              <w:rPr>
                <w:sz w:val="20"/>
                <w:rtl w:val="0"/>
              </w:rPr>
              <w:t xml:space="preserve">3</w:t>
            </w:r>
            <w:r w:rsidR="00000000" w:rsidRPr="00000000" w:rsidDel="00000000">
              <w:rPr>
                <w:rtl w:val="0"/>
              </w:rPr>
              <w:t xml:space="preserve">]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nepieciešamības gadījumā precizēt vai papildināt likumprojektā ietverto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http://tap.mk.gov.lv/mk/vsssanaksmes/saraksts/protokols/?protokols=2020-01-09</w:t>
            </w:r>
            <w:r w:rsidR="00000000" w:rsidRPr="00000000" w:rsidDel="00000000">
              <w:rPr>
                <w:vertAlign w:val="superscript"/>
                <w:rtl w:val="0"/>
              </w:rPr>
              <w:t xml:space="preserve">[2] Satversmes tiesas 2011. gada 6. maija spriedums lietā Nr. 2010-57-03, 13.3. apakšpunkts.</w:t>
            </w:r>
            <w:r w:rsidR="00000000" w:rsidRPr="00000000" w:rsidDel="00000000">
              <w:rPr>
                <w:vertAlign w:val="superscript"/>
                <w:rtl w:val="0"/>
              </w:rPr>
              <w:t xml:space="preserve">[3] Satversmes tiesas 2016. gada 2. marta spriedums lietā Nr. 2015-11-03, 23.3.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3.pants (Pievienotās vērtības nodokļa likuma 147.panta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Ministru kabinets līdz 2023.gada 31.decembrim izdod šā likuma 147. panta ceturtajā daļā minētos noteikumus."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likumprojekta 4. pantu ar likumprojekta spēkā stāšanās laiku, nepieciešamības gadījumā izslēdzot likumprojekta 4. pantu. Norādām, ka Ministru kabinetam nevar uzdot izdot Ministru kabineta noteikumus pirms likumprojekta spēkā stāšanās termiņa. Kā arī vēršam uzmanību, ja tiek paredzēts noteikt vēlāku (t.i., izdot pēc likumprojekta spēkā stāšanās) Ministru kabineta noteikumu izdošanas termiņu, tad atbilstoši juridiskās tehnikas prasībām Pārejas noteikumos Ministru kabineta noteikumu izdošanas termiņu, kas ir vēlāks nekā likuma spēkā stāšanās diena, var paredzēt vienīgi izņēmumu gadījumā un jau likumprojekta izstrādes stadijā jāparedz saprātīga spēkā stāšanās kārtība pilnvarojošajām likuma normām, ievērojot principu, ka likums var pilnvērtīgi darboties tikai vienlaikus ar tiesību aktiem, kuri likumā paredzēti. Attiecīgi lūdzam šādā gadījumā, precizējot likumprojekta 4. pantu, izvērtēt, vai vēlāka termiņa noteikšana Ministru kabineta noteikumu izdošanai neapgrūtinās vai nekavēs likuma (likumprojekta) vai tā atsevišķu normu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Likumprojekta 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ka direktīva Nr. 2020/284 un regula Nr. 2022/1504 neparedz pienākumu dalībvalstīm noteikt sodoša rakstura sankcijas, vispirms būtu rūpīgi jāizvērtē projektā paredzētās sodoša rakstura sankcijas pieļaujamība un nepieciešamība, kā arī, vai informācijas sniegšanas pienākuma izpildes nodrošināšanu nav iespējams panākt ar citiem (nesodošiem) līdzekļiem. Attiecīgi lūdzam papildināt likumprojekta anotāciju ar atbilstošu izvērtējumu un nepieciešamības gadījumā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anotācijas 4. sadaļā ietverto skaidrojumu par likumdevēja pilnvarojumu Ministru kabinetam noteikt kārtību, kādā maksājumu pakalpojumu sniedzējs sniedz informāciju Valsts ieņēmumu dienestam par maksājumu saņēmējiem un pārrobežu maksājumiem, kā arī kārtību, kādā Valsts ieņēmumu dienests apstrādā centralizētai elektronisko maksājumu informācijas sistēmai sniedzamo informāciju. Proti, lūdzam detalizētāk raksturot, kādi jautājumi tiks ietverti attiecīgajos Ministru kabineta noteikumos, tai skaitā, vai paredzēts izstrādāt vienīgi noteiktu procedūru vai paredzēts minētajos noteikumos ietvert arī materiāla rakstura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ir papildināta likumprojekta anotācijas 4.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anotācijas 4. sadaļā neaprobežoties ar likumprojektā ietvertā likumdevēja pilnvarojuma Ministru kabinetam pārrakstīšanu, bet tā vietā lūdzam skaidrot attiecīgā pilnvarojuma būtību un nepieciešamību. T.i., lūdzam visupirms izvērtēt, vai attiecīgs pilnvarojums vispār ir vajadzīgs un vai nepieciešamo regulējumu nevar ietvert pašā likuma tekstā. Savukārt, ja tiek nolemts izstrādāt jaunus Ministru kabineta noteikumus, lūdzam likumprojekta anotācijas 4. sadaļā skaidrot pamatojumu šādai izvēlei, kā arī aprakstīt jauno Ministru kabineta noteikumu saturisko ietvaru, tādējadi nodrošinot, ka vēlāk, izstrādājot Ministru kabineta noteikumu projektu, nepieciešamās lietas ir iespējams iekļaut projektā, jo to paredz deleģējuma saturiskais tvērums, kā arī deleģējumu vēlāk ir iespējams izpildīt, jo regulējamo jautājumu loks nav formulēts pārāk plaši.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anotācijas 1.3. un 4.1.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Latvija ir izmantojusi Padomes 2020. gada 18. februāra Regulas (ES) 2020/283, ar ko groza Regulu (ES) Nr. 904/2010 attiecībā uz pasākumiem administratīvās sadarbības stiprināšanai, lai apkarotu ar PVN saistītu krāpšanu 24.b panta 2. punktā paredzēto rīcības brīvību, paredzot, ka no maksājumu pakalpojumu sniedzējiem savāktā informācija tiks glabāta valsts elektroniskajā sistēmā un tā tiks izmantota tikai tālākai informācijas apmaiņai ar Eiropas Savienības speciāli šim nolūkam izveidoto elektronisko sistēmu (CESOP), ar mērķi novērst izvairīšanos no PVN nomaksas pārrobežu darījumos. Attiecīgi secināms, ka ar likumprojektu tiek ieviestas minētās regulas prasības. Ievērojot minēto, lūdzam papildināt likumprojekta anotācijas 5.1. sadaļu (arī 5.4. sadaļas 1. tabulu) ar skaidrojumu par minētās regulas prasību ieviešanu likumprojektā. Kā arī lūdzam pamatot minētās regulas vienībā paredzētās rīcības brīvības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Padomes 2020.gada 18.februāra Regulas (ES) 2020/283, ar ko groza Regulu (ES) Nr. 904/2010 attiecībā uz pasākumiem administratīvās sadarbības stiprināšanai, lai apkarotu ar PVN saistītu krāpšanu, 24.b panta 2.punktā paredzēto rīcības brīvību, Latvija to nav izmantojusi. Līdz ar to atbilstoši ir precizēts likumprojekta anotācijas 5.4. sadaļas 1.tabulā norādītais sadaļā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617 9.19. apakšpunktu lūdzam pilnveidot likumprojekta 5.4. sadaļas 1. tabulu: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5.4. sadaļas 1. tabulā precizēt, ar kuriem Ministru kabineta noteikumiem paredzēts pārņemt noteiktas direktīvas Nr. 2020/1084 prasības, tai skaitā norādot arī datumu, līdz kuram attiecīgās prasības paredzēts pārņemt un norādot atbildīgo institūciju. Papildus lūdzam arī skaidrot, vai direktīvas Nr. 2020/1084 paredzēts pārņemt arī Krājaizdevu sabiedrību likumā, Maksājumu pakalpojumu un elektroniskās naudas likumā un Kredītiestāžu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5.4. sadaļas 1. tabulā skaidrot direktīvā Nr. 2020/1084 ietverto direktīvas Nr. 2006/112/EK 243.b panta 2. punkta otrās daļas prasību pārņemšanu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ņemot vērā, ka regulā Nr. 2020/283 ietvertā Padomes 2010. gada 7. oktobra Regulas (ES) Nr. 904/2010 par administratīvu sadarbību un krāpšanas apkarošanu pievienotās vērtības nodokļa jomā 24.b panta 2. punktā paredzēta rīcības brīvība, lūdzam atbilstoši aizpildīt likumprojekta anotācijas 5.4. sadaļu, papildinot aili (sniedzot pamatojumu) par dalībvalsts rīcības brīvības izmantošanu, norādot konkrētās regulas normas, kas paredz rīcības brīvību, kādā veidā minētā rīcības brīvība ir izmantota likumprojektā, un to, kādēļ ir vai nav izmantota regulā Nr. 2020/283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1.3 sadaļa, 5.sadaļas 5.4.1 tabula “Tiesību akta projekta atbilstība ES tiesību aktiem punkts”, kā arī papildināta tabulas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9.19. apakšpunktu, lūdzam likumprojekta anotācijas 5.4. sadaļas 1. tabulu papildināt ar skaidrojumu par konkrētu Padomes 2020. gada 18. februāra Regulas (ES) 2020/283 ar ko groza Regulu (ES) Nr. 904/2010 attiecībā uz pasākumiem administratīvās sadarbības stiprināšanai, lai apkarotu ar PVN saistītu krāpšanu (turpmāk - regula Nr. 2020/283), un Eiropas Komisijas 2022. gada 6. aprīļa Īstenošanas Regulas (ES) 2022/1504, ar ko paredz sīki izstrādātus noteikumus par to, kā Padomes Regulu (ES) Nr. 904/2010 piemērot attiecībā uz centralizētās elektroniskās maksājumu informācijas sistēmas (CESOP) izveidi, lai apkarotu ar PVN saistītu krāpšanu (turpmāk - regula Nr. 2022/1504), vienību ieviešanu likumprojektā. Kā arī lūdzam izvērtēt un papildināt likumprojektu ar atbilstošām atsaucēm uz minētajām regulēm. Norādām, ka atbilstoši Eiropas Savienības Tiesas spriedumam lietā 34/73 </w:t>
            </w:r>
            <w:r w:rsidR="00000000" w:rsidRPr="00000000" w:rsidDel="00000000">
              <w:rPr>
                <w:i w:val="1"/>
                <w:rtl w:val="0"/>
              </w:rPr>
              <w:t xml:space="preserve">Fratelli Variola S.p.A. v Amministrazione italiana delle Finanze</w:t>
            </w:r>
            <w:r w:rsidR="00000000" w:rsidRPr="00000000" w:rsidDel="00000000">
              <w:rPr>
                <w:rtl w:val="0"/>
              </w:rPr>
              <w:t xml:space="preserve"> "nav pieļaujama procedūra, kuru izmantojot tiesību normas subjektiem netiek atklāts, ka attiecīgā norma ir Eiropas Kopienas norma". Tas nozīmē, ka dalībvalstij, izdodot nacionālos normatīvos aktus, skaidri jānorāda, kuras ir Eiropas Savienības un kuras – nacionālās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anotācijas 5.sadaļas 5.4.1 tabula “Tiesību akta projekta atbilstība ES tiesību aktiem punkts”, kā arī papildināta tabulas sadaļa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kārtību saprotami arī termiņi, lūdzam atbilstoši precizēt likumprojekta 2. pantu, izslēdzot norādi uz termiņiem, kas lietota līdztekus norādei uz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Direktīvā (ES) 2020/284 (2020. gada 18. februāris), ar ko groza Direktīvu 2006/112/EK attiecībā uz konkrētu prasību ieviešanu maksājumu pakalpojumu sniedzējiem noteikts un attiecīgi arī Ministru kabineta noteikumos tiks paredzēts maksājumu pakalpojumu sniedzējiem sniegt informāciju VID noteiktā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precizēts Likumprojekta 2.pants (Pievienotās vērtības nodokļa likuma 146.panta vienpadsmitā 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Valsts ieņēmumu dienestam ir tiesības piemērot maksājumu pakalpojumu sniedzējam, kurš minēts 147.panta pirmās daļas 1.punktā, soda naudu līdz 14 000 euro, ja, izpildoties informācijas sniegšanas nosacījumiem, maksājumu pakalpojumu sniedzējs nav sniedzis informāciju vai ir sniedzis nepienācīgu informāciju normatīvajos aktos noteiktā kārtībā un termiņā.".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starpinstitūciju sanāksmes 05.04.2023. tika panākta vienošanās, ka likumprojekta 2.pants tiek izslēgts un administratīvo atbildību par pārkāpumiem par informācijas nesniegšanu, informācijas nepienācīgu sniegšanu vai nepatiesas informācijas sniegšanu VID piemēros ievērojot Administratīvo sodu likumu par pārkāpumiem pārvaldes, sabiedriskās kārtības un valsts valodas lietošanas jomā. Līdz ar to iepiekš izteiktais iebildums ir zaudējis aktualitāti.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ko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tam ir pienākums šā panta otrajā daļā minēto uzskaiti, ievērojot nosacījumu, ka kalendārā ceturkšņa laikā vienam un tam pašam maksājuma saņēmējam tiek sniegti maksājumu pakalpojumi tādā apmērā, kas atbilst vairāk nekā 25 pārrobežu maksājumiem, sniegt iesaistītās dalībvalsts nodokļu administrācijai, kā arī glabāt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Šā panta otrajā daļā minētie pienākumi nav attiecināmi uz tādiem maksājumu pakalpojumiem, kur maksājuma saņēmēja maksājumu pakalpojumu sniedzējs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uzskaitē, kas maksājumu pakalpojumu sniedzējiem jāveic, iekļaujamo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identifikatorus, pēc kuriem maksājumu pakalpojuma sniedzējs nosaka maksātāja un maksājuma saņēmēja atrašanās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maksājumu pakalpojumu sniedzējs sniedz informāciju Valsts ieņēmumu dienestam par maksājumu saņēmējiem un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 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Valsts ieņēmumu dienests apstrādā fizisko personu identifikācijas datus un datus par pārrobežu maksājumiem.”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paredzētajā likuma 147. pantā izmantots ievērojams daudzums ārējo atsauču. Saistībā ar minēto lūdzam izvērtēt lietderību atsaukties uz konkrētām likuma vienībām, jo, izdarot grozījumus vai zaudējot spēku šai vienībai, būs nepieciešams izdarīt grozījumus arī likumā, kurā ietverta šī ārējā atsauce. Nepieciešamības gadījumā lūdzam precizēt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iekļautajās definīcijās ir izmantotas atsauces uz Maksājumu pakalpojumu un elektroniskās naudas likuma normām, lai finanšu jomas nodokļu maksātājiem būtu skaidrāk un saprotamāk uztverama sasaiste ar jau esošu, normatīvajos aktos nostiprinātu regulējumu. Pie tam arī Direktīvas 2020/284 243.a panta definīcijas ir skaidrotas, izmantojot atsauces uz Direktīvu 2015/2366, kura nacionālajā līmenī ir pārņemta jau minētajā Maksājumu pakalpojumu un elektroniskās naudas likumā, kas attiecīgi arī ir skaidrots likumprojekta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likumprojektā neveidot atsevišķu Pievienotās vērtības likuma XIX nodaļu, kura sastāv no viena 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Izteiktais priekšlikums ir izvērtēts un FM ieskatā, jaunais regulējums ir vērsts uz nodokļu maksātāju informācijas sniegšanas pienākumu nodokļu administrācijai, kas Pievienotās vērtības nodokļa likuma ietvarā ir jauns aspekts, tādējādi to būtu nepieciešams veidot kā atsevišķu regulējumu, atsevišķā minētā likuma nodaļā.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jaunajā nodaļā ir iekļauts vēl viens pants par datu aizsardzību informācijas par maksājumu saņēmējiem un pārrobežu maksājumiem apmaiņas jomā, lai noteiktu, ka Valsts ieņēmumu dienests ir minēto datu pārzinis, kā arī to, ka Valsts ieņēmumu dienestam ir tiesības apstrādāt maksājumu pakalpojumos iesaistīto fizisko personu identifikācijas datus un datus par pārrobežu maksājumiem, kas saistīts ar prasību atbilstību Eiropas Parlamenta un Padomes 2016.gada 27.aprīļa Regulai (ES) 2016/679 par fizisku personu aizsardzību attiecībā uz personas datu apstrādi un šādu datu brīvu apriti un ar ko atceļ Direktīvu 95/46/EK.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likumu ar jaunu XIX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XIX nodaļa</w:t>
            </w:r>
            <w:r w:rsidR="00000000" w:rsidRPr="00000000" w:rsidDel="00000000">
              <w:rPr>
                <w:b w:val="1"/>
                <w:rtl w:val="0"/>
              </w:rPr>
              <w:t xml:space="preserve"> Citi pienākumi</w:t>
            </w:r>
            <w:r w:rsidR="00000000" w:rsidRPr="00000000" w:rsidDel="00000000">
              <w:rPr>
                <w:b w:val="1"/>
                <w:rtl w:val="0"/>
              </w:rPr>
              <w:t xml:space="preserve">147.pants. Pienākums veikt uzskaiti, glabāt un sniegt informāciju par maksājumu saņēmējiem un pārrobežu maksājumiem ar mērķi novērst izvairīšanos no nodokļa nomaksas pārrobežu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maksājumu pakalpojumu sniedzējs ir tāds maksājumu pakalpojumu sniedzējs, kurš minēts Maksājumu pakalpojumu un elektroniskās naudas likuma 2.panta otrās daļas 1., 2., 4., 7. un 8.punktā;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maksājumu pakalpojums ir tāds maksājumu pakalpojums, kurš minēts Maksājumu pakalpojumu un elektroniskās naudas likuma 1.panta 1.punkta "c", "d", "e" un "f"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maksātājs ir fiziska vai juridiska persona, kas minēta Maksājumu pakalpojumu un elektroniskās naudas likuma 1.panta 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maksājuma saņēmējs ir fiziska vai juridiska persona, kas minēta Maksājumu pakalpojumu un elektroniskās naudas likuma 1.panta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pārrobežu maksājums ir tāds maksājums, kas minēts Maksājumu pakalpojumu un elektroniskās naudas likuma 1.panta 3. un 9.punktā, ievērojot minētā likuma 3.pantā noteiktos izņēmumus, un, ja maksātājs atrodas vienā dalībvalstī un maksājuma saņēmējs atrodas citā dalībvalstī, trešā valstī vai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Maksājumu pakalpojumu sniedzējam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veikt maksājumu saņēmēju un pārrobežu maksājumu detalizētu uzskaiti attiecībā uz maksājumu pakalpojumiem, kurus tie sniedz katrā kalendārajā ceturksnī, ja kalendārā ceturkšņa laikā maksājumu pakalpojumu sniedzējs vienam un tam pašam maksājuma saņēmējam sniedz maksājumu pakalpojumus tādā apmērā, kas atbilst vairāk nekā 25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sniegt Valsts ieņēmumu dienestam informāciju par maksājumu saņēmējiem un pārrobežu maksājumiem, kas minēta šīs daļas 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glabāt šīs daļas 1.punktā minētos uzskaites datus elektroniskā formātā trīs kalendāros gadus, sākot no maksājuma izdarīšanas dienas kalendārā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maksājumu pakalpojumu sniedzējs nodrošina maksājumu pakalpojumus iesaistītajā dalībvalstī, kas nav Latvija, tam nav pienākums sniegt Valsts ieņēmumu dienestam informāciju par maksājumu saņēmējiem un pārrobežu maksājumiem, kas minēti šā panta otrās daļas 1.punktā.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panta otrajā daļā minētie pienākumi nav attiecināmi uz tādiem maksājumu pakalpojumiem, kur vismaz viens no maksājuma saņēmēja maksājumu pakalpojumu sniedzējiem atrodas citā dalībvalstī. Vienlaikus maksātāja maksājumu pakalpojumu sniedzējs šādus maksājumu pakalpojumus iekļauj pārrobežu maksājumu skaita aprēķinā.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iesniedzamos juridisko un fizisko personu identifikācijas datus un datus par pārrobežu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kārtību, kādā maksājumu pakalpojumu sniedzējs aprēķina pārrobežu maksājumu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kādā informācija tiek iegūta, pārbaudīta, iesniegta Valsts ieņēmumu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kārtību, kādā Valsts ieņēmumu dienests apstrādā centralizētai elektronisko maksājumu informācijas sistēmai sniedzamo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148.pants. Datu aizsardzība informācijas par maksājumu saņēmējiem un pārrobežu maksājumiem apmaiņas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dienests ir centralizētai elektronisko maksājumu informācijas sistēmai sniedzamo datu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informācijas par maksājumu saņēmējiem un pārrobežu maksājumiem nosūtīšanu uz centralizēto elektronisko maksājumu informācijas sistēmu, maksājumu pakalpojumu sniedzējs un Valsts ieņēmumu dienests apstrādā fizisko personu identifikācijas datus un datus par pārrobežu maksājumiem.”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22-TA-3196</w:t>
    </w:r>
    <w:r>
      <w:br/>
    </w:r>
    <w:r w:rsidR="00000000" w:rsidRPr="00000000" w:rsidDel="00000000">
      <w:rPr>
        <w:rtl w:val="0"/>
      </w:rPr>
      <w:t xml:space="preserve">16.05.2023. 09.01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22-TA-3196</w:t>
    </w:r>
    <w:r>
      <w:br/>
    </w:r>
    <w:r w:rsidR="00000000" w:rsidRPr="00000000" w:rsidDel="00000000">
      <w:rPr>
        <w:rtl w:val="0"/>
      </w:rPr>
      <w:t xml:space="preserve">16.05.2023. 09.01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Izziņa_22-TA-3196.docx</dc:title>
</cp:coreProperties>
</file>

<file path=docProps/custom.xml><?xml version="1.0" encoding="utf-8"?>
<Properties xmlns="http://schemas.openxmlformats.org/officeDocument/2006/custom-properties" xmlns:vt="http://schemas.openxmlformats.org/officeDocument/2006/docPropsVTypes"/>
</file>