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amata vietu piešķiršanai no "vakanču bankas" - skat. detalizētu iebildumu pie MK protokollēmuma, līdz ar to tā nevar saskaņot arī anotācijas pielikumā pievienotos detalizētos aprēķinus.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 anotācija un anotācijas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"Cita informācija" ar detalizētu informāciju par trim amata vietām, kuras tiek pārdalītas no budžeta programmas 07.00.00 “Ugunsdrošība, glābšana un civilā aizsardzība”, norādot iestādi no kuras amata vietas tiek pārdalītas, konkrētu amata nosaukumu, amata statusu, amata klasifikāciju un mēnešalgu grupu.  Vienlaikus, atbilstoši Vadlīnijām tiesību akta projekta sākotnējās ietekmes novērtēšanai un novērtējuma ziņojuma sagatavošanai TAP (pieejamas https://www.mk.gov.lv/lv/administrativa-sloga-un-normativisma-mazinasana), pārveidojot amata vietu papildus nepieciešamais finansējums ir aprēķināms kā starpība starp pārveidojamajai amata vietai esošo finansējumu un no jauna veidojamajai amata vietai nepieciešamo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pielikumā ietvertos detalizētos aprēķinus atbilstoši Vadlīnijās tiesību akta projekta sākotnējās ietekmes novērtēšanai un novērtējuma ziņojuma sagatavošanai noteiktajam, t.i. mēnešalga ir nosakāma atbilstoši skalas viduspunkta intervālam un tirgus koeficients netiek ietverts aprēķinā. Vēršam uzmanību, ka saskaņā ar Valsts un pašvaldību institūciju amatpersonu un darbinieku atlīdzības likuma 4.panta 1. prim daļu tirgus koeficienta piemērošana nav obligāta, bet to katrā konkrētā gadījumā nosaka individuāli.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IeM Informācijas centra sniegtajiem datiem Atlīdzības uzskaites sistēmā (periods janvāris - augusts 2024.gads) tirgus koeficients ir piemērots 102 nodarbinātajiem, bet vērtējot tā piemērošanas lietderību atbilstoši labajai prakse secināms, ka 22 gadījumos tirgus koeficients piemērots nodarbinātajiem, kuriem sākotnējais mēnešalgas apmērs ir attiecīgās mēnešalgu grupas skalas intervāla minimums (t.sk. 7 nodarbinātajiem mēnešalga, kurai piemērots tirgus koeficients ir zem attiecīgās mēnešalgu grupas skalas minimuma), 6 nodarbinātajiem mēnešalgas apmērs ir noteikts virs skalas viduspunkta, bet ne vairāk kā 86% no attiecīgās mēnešalgu grupas skalas intervāla maksimuma, savukārt pārējiem 74 nodarbinātajiem mēnešalga ir noteikta nedaudz virs attiecīgās mēnešalgu grupas skalas minimuma un tā atrodas vidēji 73% no skalas viduspunkta. Norādām, ka atbilstoši labajai praksei tirgus koeficientu piemēro tikai īpašos gadījumos, kad konkrētos speciālistus nav iespējams piesaistīt attiecīgās mēnešalgu grupas skalas robežās (nosakot mēnešalgu atbilstoši skalas intervāla maksimumam vai tuvu tam) un atbilstoša speciālista piesaistei ir izmantotas jau atalgojuma skalas dotās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ministrijas Informācijas centrā no 2025. gada 1. jūlija nepieciešams izveidot trīs pastāvīgas amata vietas, lai nodrošinātu ABS+ projekta uzturēšanu pēc tā īstenošanas. Amata vietas ieviest, nepalielinot no valsts pamatbudžeta finansēto amata vietu skaitu, Valsts kancelejai nodrošinot trīs amata vietu piešķiršanu Iekšlietu ministrijas Informācijas centram no Valsts kancelejas apkopotā kopējā valsts pārvaldē ilgstoši vakanto amata vietu skaita (“vakanču bankas”).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MK protokollēmuma redakcijai. Vēršam uzmanību, ka risinājums "vakanču banka"  tiks ieviests tikai ar 2025.gada 1.janvāri, kā arī minētā risinājuma ieviešana balstās uz likumprojekta "Par valsts budžetu 2025.gadam un budžeta ietvaru 2025., 2026. un 2027.gadam" 79.pantā noteikto. Šobrīd likumprojekts ir Saeimā uz 2.lasījumu.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atbilstoši Iekšlietu ministrijas Informācijas centra sniegtajai informācijai Atlīdzības uzskaites sistēmā uz 30.09.2024. (papildus iesniegtos datus bija iespējams precizēt līdz 15.11.2024.) kopumā ir 21 amata vieta,kas ir vakanta ilgāk kā 12 mēnešus un kvalificējas to ilgstoši vakanto amata vietu skaitā, kuras pāriet uz "vakanču banku".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 anotācija un anotācijas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ministrijas Informācijas centrā no 2025. gada 1. jūlija nepieciešams izveidot trīs pastāvīgas amata vietas, lai nodrošinātu projekta “Sabiedrības brīdināšanas sistēmas ABS+ ieviešana” (turpmāk - ABS+ projekts) uzturēšanu pēc tā īstenošanas. Amata vietas ieviest, nepalielinot  Iekšlietu ministrijai noteikto kopējo amata vietu skaitu (samazināt budžeta programmā 07.00.00 “Ugunsdrošība, glābšana un civilā aizsardzība” plānoto amata vietu skaitu par trīs amata 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projekta “Sabiedrības brīdināšanas sistēmas ABS+ ieviešana” ietvaros izveidotās informācijas sistēmas uzturēšanai sākot ar 2026. gada 1. janvāri  nepieciešamās trīs jaunas amata vietas tiks izveidotas Iekšlietu ministrijas Informācijas centrā,  nepalielinot kopējo amata vietu skaitu Iekšlietu ministrijas resorā (pārdale no Valsts ugunsdzēsības un glābšanas dienesta, samazinot trīs ilgstoši vakantas amata vietas). Lai nodrošinātu nepieciešamo finansējumu jauno amata vietu uzturēšanai sākot ar 2026. gadu, Iekšlietu ministrija likumprojekta "Par valsts budžetu 2026. gadam un budžeta ietvaru 2026., 2027., 2028. un 2029. gadam" sagatavošanas procesā virzīs finansējuma pieprasījumu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protokollēmuma projekta 3. punktā norādīto, ka Iekšlietu ministrija likumprojekta "Par valsts budžetu 2026. gadam un budžeta ietvaru 2026., 2027., 2028. un 2029. gadam" sagatavošanas procesā virzīs finansējuma pieprasījumu normatīvajos aktos noteiktajā kārtībā 3 jaunu amata vietu ieviešanai, kā arī Iekšlietu ministrijas 01.10.2024. elektroniski sniegto papildu skaidrojumu, ka iepriekšminētās amata vietas paredzētas jauna risinājuma darbināšanai, norādām, ka nav atbalstāma tādu normatīvo aktu virzība izskatīšanai Ministru kabinetā, kura īstenošanai nav nodrošināts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2021. gada 7. septembra noteikumu Nr. 606 "Ministru kabineta kārtības rullis" 52.2.1.1. apakšpunktu gadījumā, ja tiesību akta projekts attiecas uz valsts pārvaldes institucionālo uzbūvi un darbības principiem, kā arī amata vietu skaita un atlīdzības izmaiņām (izņemot pedagogus), par tiesību akta projektu nepieciešams saņemt Valsts kancelejas saskaņojumu. Ievērojot minēto, aicinām saskaņot noteikumu projektu arī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ministrijai finansējums 3 jaunu amata vietu izveidei, kas paredzētas jauna risinājuma ieviešanai, ir jānodrošina esošo līdzekļu ietvaros, vai arī Ministru kabineta noteikumu projekta virzība ir atliekama līdz brīdim, kad tiks atrisināts jautājums par finansējumu minēto papildu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algas izdevumu atšķirības starp "projekta ieviešanas posmu" - 164 639 euro (12. mēnešalgu grupas kopēja slodze ir 2,7, un citu mēnešalgu grupu summēta slodze ir 4); un "projekta uzturēšanas posmu" - 326 720 euro 2026.g. (12. mēnešalgu grupas kopēja slodze ir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aktuālo informāciju par uzturēšanas izmaksām: “Pēc ABS+ izveides un ieviešanas un kvalitātes kontroles pabeigšanas ik gadu (no 2026. gada 1. janvāra) nepieciešamais finansējums uzturēšanas izdevumu segšanai ir līdz 216 958  EUR, kas aprēķināts (2241 cilvēkstundas * 96,8 EUR), ņemot vērā uzturēšanas un izstrādes izmaksas informācijas sistēmām un platformām, kas pēc savas funkcionalitātes un apjoma ir līdzīgas. Uzturēšanas izdevumiem nepieciešamais finansējums tiks pieprasīts normatīvajos aktos noteiktajā kārtībā. Savukārt informācijas sistēmas ikgadējās uzturēšanas  ārpakalpojuma izmaksām būs nepieciešami 144 242 eiro ar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komunikācijas un vizuālās identitātes prasību nodrošināšana saskaņā ar Eiropas Parlamenta un Padomes 2021. gada 24. jūnija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16.18. apakšpunktā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komunikācijas un vizuālās identitātes prasību nodrošināšana saskaņā ar Eiropas Parlamenta un Padomes 2021. gada 24. jūnija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komunikācijas un vizuālās identitātes prasību nodrošināšana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ar projekta darbībām tieši saistīto komunikācijas un vizuālās identitātes pasākumu izmaksas, kas veiktas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arī noteikumu projekta 17.4. apakšpunktā ir iekļauta atsauce uz nesaistošiem dokumentiem (vadlīnijām). Ņemot vērā Tieslietu ministrijas iebildumu par noteikumu projekta 16.8. apakšpunktu, lūdzam svītrot atsauces uz nesaistošiem dokumentiem (vadlīnijām) un attiecīgo informāciju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ar projekta darbībām tieši saistīto komunikācijas un vizuālās identitātes pasākumu izmaksas, kas veiktas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ar projekta darbībām tieši saistīto komunikācijas un vizuālās identitātes pasākumu izmaksas, kas veiktas saskaņā ar regulas Nr.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Ministru kabineta noteikumu projekta anotācijas pielikumā "1. Iekšlietu ministrijas Informācijas centram papildu nepieciešamais finansējums  informācijas un tehnoloģiju resursu nodrošinājumam un atbalstam ABS+ risinājuma darbināšanai (uzturēšana, administrēšana, darbināšana un attīstība)" iekļautos atlīdzības aprēķinus 3 jauno amata vietu Iekšlietu ministrijas Informācijas centrā ieviešanai, lai nodrošinātu valsts agrīnās brīdināšanas sistēmas uzturēšanu pēc projekta īstenošanas, ņemot vērā, ka anotācijas 3. sadaļā ir norādīts atšķirīgs finansējuma apmērs un laika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17.5. apakšpunktā plānotās izmaksas, kas saistītas ar informācijas sistēmu vai to ieviesto daļu uzturēšanu, projekta īstenošanas laikā nav uzskatāmas par IT uzturēšanas izmaksām, kas atbilstoši vadošās iestādes vadlīniju Nr. 1.2. “Vadlīnijas attiecināmo izmaksu noteikšanai Eiropas Savienības kohēzijas politikas programmas 2021.-2027.gada plānošanas periodā” 38.zemsvītras atsaucē minētajam uzskatāmas par netiešajām izmaksām - “IT uzturēšanas izmaksas (piemēram, nepieciešamās licences un programmatūras atjauninājumi) ietilpst projekta vadības un projekta īstenošanas netiešajās attiecināmajās izmaksās saskaņā ar Vadlīnijām par vienkāršoto izmaksu izmantošanas iespējām un to piemērošanu Eiropas Savienības kohēzijas politikas programmas 2021.-2027.gadam ietvaros, kā arī minētās izmaksas ir attiecināmas tikai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uzturēšanas izmaksas pēc projekta pabeigšanas tiks veiktas un finansējums tiks pieprasīts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ir faktiskās izmaksas, kas ir iekļautas finanšu piedāvājumā iepirkuma ietvaros kā maksājums ārpakalpojumam. Šīs izmaksas ir paredzēts segt no Iekšlietu ministrijas Informācijas centram pieejamā finansējuma personāla izmaksām, nemainot vienkāršotās likmes un pieejamās kopsummas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17.3.apakšpunkts paredz projekta vadības un īstenošanas personāla izmaksas, kuras saskaņā ar regulas Nr. 2021/1060 55. panta 1. punktu plāno kā vienu izmaksu pozīciju, piemērojot vienoto izmaksu likmi 5 procentu apmērā </w:t>
            </w:r>
            <w:r w:rsidR="00000000" w:rsidRPr="00000000" w:rsidDel="00000000">
              <w:rPr>
                <w:u w:val="single"/>
                <w:rtl w:val="0"/>
              </w:rPr>
              <w:t xml:space="preserve">no projekta pārējām tiešajām attiecināmajām izmaksām, bet neieskaitot tiešās attiecināmās personāla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1.3.sadaļā “Pašreizējā situācija” un 3.sadaļas 6.punktā norādīts, ka personāla izmaksām paredzēts novirzīt 164 639 euro, kas veido 5% </w:t>
            </w:r>
            <w:r w:rsidR="00000000" w:rsidRPr="00000000" w:rsidDel="00000000">
              <w:rPr>
                <w:u w:val="single"/>
                <w:rtl w:val="0"/>
              </w:rPr>
              <w:t xml:space="preserve">no kopējām projekta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dažāda pieeja personāla izmaksu aprēķinā, aicinām izvērtēt, vai abos dokumentos būtu informācija salāgojama, ņemot vērā, ka ABS+ projekta budžetā izmaksas projekta vadības un īstenošanas personālam paredzētas 153 571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precizēts: “Ņemot vērā noteikumu projektā noteiktos izmaksu attiecināmības nosacījumus un projektu kopējo finansējumu, projekta vadības un īstenošanas personāla izmaksām pieejamais finansējums sasniedz 164 639 euro, kas veido 5% no projekta pārējām tiešajām attiecināmajām izmaksām, bet neieskaitot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tabulas 2025., 2026. un 2027. gada ailēs "izmaiņas, salīdzinot ar vidēja termiņa budžeta ietvaru" iekļauto finansējumu uzturēšanas izdevumu segšanai atbilstoši anotācijas 3. sadaļas 6. 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noteikumu projekta 1. punktā tiek noteikts, ka projekts ir īstenojams līdz 2025. gada 30. jūnijam, savukārt anotācijas 4.1.1. sadaļas punktā "Pamatojums un apraksts" ir norādīts, ka projekta īstenošanas termiņš ir 2025. gada 31. decembris, lūdzam salāgot projektā iekļauto savstarpēji pretrunīgo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protokollēmumu ar jaunu punktu, kas nosaka, ka Iekšlietu ministrijai jāveic grozījumi Ministru kabineta 2024. gada 20.februāra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 un jāatbrīvo finansējums, par kura summu palielināts šo noteikumu projekta grozījumos virzītais pieejamais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atbilstošu skaidrojumu par to, ka finansējums tiek pārdalīts no 2.1.3.3. pasākuma "Katastrofu risku mazināšanas pasākumi" trešās projektu iesniegumu atlases kārtas īstenošanai paredzētā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veikt grozījumus Ministru kabineta 2024. gada 20.februāra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 atbrīvojot kopējo finansējumu 208 446 euro apjomā, kas tiek pārdalīts uz  2.1.3.3. pasākuma "Katastrofu risku mazināšanas pasākumi" pirmo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projekta uzturēšanas izmaksu (atlīdzība, preces un pakalpojumi)  segšanu (no 2025. gada 1. jūlija), Iekšlietu ministrija sagatavos un iesniegs pieprasījumu atbilstoši Ministru kabineta 2023. gada 17. janvāra noteikumu Nr. 15 “Kārtība, kādā nosakāms maksimāli pieļaujamais valsts budžeta izdevumu kopapjoms un maksimāli pieļaujamais valsts budžeta izdevumu kopējais apjoms katrai ministrijai un citām centrālajām valsts iestādēm vidējām termiņam” 9.4. apakšpunktam vai saskaņā ar Ministru kabineta 2018. gada 17. jūlija noteikumiem Nr. 421 "Kārtība, kādā veic gadskārtējā valsts budžeta likumā noteiktās apropriācijas izmaiņas” no budžeta resora “74. Gadskārtējā valsts budžeta izpildes procesā pārdalāmais finansējums” programmas 01.00.00 “Apropriācijas rezerve”,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kārtība, kādā ir pieprasāms finansējums Eiropas Savienības politiku instrumentu un pārējās ārvalstu finanšu palīdzības līdzfinansēto projektu uzturēšanas izdevumu segšanai, ja projekts vai tā posms ir pilnībā pabeigts, nodots ekspluatācijā, par to ir veikts galīgā norēķina maksājums, ir noteikta citos normatīvajos aktos, lūdzam svītrot Ministru kabineta noteikumu projektam pievienotā Ministru kabineta sēdes protokollēmuma projekta 3. punktu, jo nav nepieciešamības dublēt citos normatīvajos aktos noteiktās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kas jāsasniedz līdz 2025. gada 30. jūnijam: investīcijas jaunās vai jauninātās katastrofu monitoringa, gatavības, brīdinājuma un reaģēšanas sistēmās attiecībā uz dabas katastrofām – 3 433 447 </w:t>
            </w:r>
            <w:r w:rsidR="00000000" w:rsidRPr="00000000" w:rsidDel="00000000">
              <w:rPr>
                <w:i w:val="1"/>
                <w:rtl w:val="0"/>
              </w:rPr>
              <w:t xml:space="preserve">euro, </w:t>
            </w:r>
            <w:r w:rsidR="00000000" w:rsidRPr="00000000" w:rsidDel="00000000">
              <w:rPr>
                <w:rtl w:val="0"/>
              </w:rPr>
              <w:t xml:space="preserve">iznākuma rādītāja starpposma vērtība uz 2024. gada 31. decembri sasniedz 1 580 000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17. oktobra noteikumu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 (turpmāk – noteikumi Nr. 596) 6.1. apakšpunktu, to izsakot piedāvātajā redakcijā, tādā veidā nodrošinot atbilstību Eiropas Savienības kohēzijas politikas programmā 2021.–2027.gadam piedāvātajiem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kas jāsasniedz līdz 2025. gada 30. jūnijam: investīcijas jaunās vai jauninātās katastrofu monitoringa, gatavības, brīdinājuma un reaģēšanas sistēmās attiecībā uz dabas katastrofām – 3 433 446 euro, iznākuma rādītāja starpposma vērtība uz 2024. gada 31. decembri sasniedz 716 582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kas jāsasniedz līdz 2025. gada 30. jūnijam: investīcijas jaunās vai jauninātās katastrofu monitoringa, gatavības, brīdinājuma un reaģēšanas sistēmās attiecībā uz dabas katastrofām – 3 433 446 </w:t>
            </w:r>
            <w:r w:rsidR="00000000" w:rsidRPr="00000000" w:rsidDel="00000000">
              <w:rPr>
                <w:i w:val="1"/>
                <w:rtl w:val="0"/>
              </w:rPr>
              <w:t xml:space="preserve">euro, </w:t>
            </w:r>
            <w:r w:rsidR="00000000" w:rsidRPr="00000000" w:rsidDel="00000000">
              <w:rPr>
                <w:rtl w:val="0"/>
              </w:rPr>
              <w:t xml:space="preserve">iznākuma rādītāja starpposma vērtība uz 2024. gada 31. decembri sasniedz 716 582 </w:t>
            </w:r>
            <w:r w:rsidR="00000000" w:rsidRPr="00000000" w:rsidDel="00000000">
              <w:rPr>
                <w:i w:val="1"/>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pirmās kārtas plānotais un pieejamais kopējais finansējums ir 3 433 447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2 918 430 </w:t>
            </w:r>
            <w:r w:rsidR="00000000" w:rsidRPr="00000000" w:rsidDel="00000000">
              <w:rPr>
                <w:i w:val="1"/>
                <w:rtl w:val="0"/>
              </w:rPr>
              <w:t xml:space="preserve">euro </w:t>
            </w:r>
            <w:r w:rsidR="00000000" w:rsidRPr="00000000" w:rsidDel="00000000">
              <w:rPr>
                <w:rtl w:val="0"/>
              </w:rPr>
              <w:t xml:space="preserve">un valsts budžeta līdzfinansējums – 515 017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596 7. punktu un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pirmās kārtas plānotais un pieejamais kopējais finansējums ir 3 433 446 euro, tai skaitā Eiropas Reģionālās attīstības fonda finansējums – 2 918 429 euro un valsts budžeta līdzfinansējums – 515 017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pirmās kārtas plānotais un pieejamais kopējais finansējums ir 3 433 446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2 918 429 </w:t>
            </w:r>
            <w:r w:rsidR="00000000" w:rsidRPr="00000000" w:rsidDel="00000000">
              <w:rPr>
                <w:i w:val="1"/>
                <w:rtl w:val="0"/>
              </w:rPr>
              <w:t xml:space="preserve">euro </w:t>
            </w:r>
            <w:r w:rsidR="00000000" w:rsidRPr="00000000" w:rsidDel="00000000">
              <w:rPr>
                <w:rtl w:val="0"/>
              </w:rPr>
              <w:t xml:space="preserve">un valsts budžeta līdzfinansējums – 515 017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komunikācijas un vizuālās identitātes prasību nodrošināšana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Nr. 596 kā no normatīvā akta 16.8. un 17.4. apakšpunkta ir svītrota atsauce uz Eiropas Savienības fondu 2021.–2027. gada plānošanas perioda un Atveseļošanas fonda komunikācijas un dizaina vadlīnijām, lūdzam papildināt anotācijas 1.3. sadaļu ar informāciju, ka neatkarīgi no atsauces uz minētajām vadlīnijām svītrošanas no noteikumiem, komunikācijas un vizuālās identitātes prasību nodrošināšanā tās tiks ievērotas.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komunikācijas un vizuālās identitātes prasību nodrošināšana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24-TA-1663</w:t>
    </w:r>
    <w:r>
      <w:br/>
    </w:r>
    <w:r w:rsidR="00000000" w:rsidRPr="00000000" w:rsidDel="00000000">
      <w:rPr>
        <w:rtl w:val="0"/>
      </w:rPr>
      <w:t xml:space="preserve">13.12.2024. 16.33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24-TA-1663</w:t>
    </w:r>
    <w:r>
      <w:br/>
    </w:r>
    <w:r w:rsidR="00000000" w:rsidRPr="00000000" w:rsidDel="00000000">
      <w:rPr>
        <w:rtl w:val="0"/>
      </w:rPr>
      <w:t xml:space="preserve">13.12.2024. 16.33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Izziņa_24-TA-1663.docx</dc:title>
</cp:coreProperties>
</file>

<file path=docProps/custom.xml><?xml version="1.0" encoding="utf-8"?>
<Properties xmlns="http://schemas.openxmlformats.org/officeDocument/2006/custom-properties" xmlns:vt="http://schemas.openxmlformats.org/officeDocument/2006/docPropsVTypes"/>
</file>