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24-TA-880: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 2027. gadam 2.1.1. specifiskā atbalsta mērķa „Energoefektivitātes veicināšana un siltumnīcefekta gāzu emisiju samazināšana” 2.1.1.5. pasākuma „Klimata neitrāli risinājumi profesionālās izglītības iestāžu un koledžu izglītības programmās, vidē un infrastruktūrā”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pirms projekta iesniegšanas sadarbības iestādē izstrādā sadarbības līguma projektu ar sadarbības partneri par projektā sadarbības partnerim plānoto  darbību īstenošanu (turpmāk – sadarbības līguma projekts). Sadarbības līguma projektā iekļauj informāciju atbilstoši normatīvajiem aktiem par kārtību, kādā Eiropas Savienības fondu vadībā iesaistītās institūcijas nodrošina šo fondu ieviešanu Eiropas Savienības kohēzijas politikas programmas 2021. – 2027. gadam plānošanas periodā, kā arī iekļauj finansējuma saņēmēja un sadarbības partnera sadarbības nosacījumus, pienākumus un tiesības,  projekta mērķu un rādītāju savstarpējās sasniegšanas dalījumu u.c. nosacījumus. Sadarbības līguma projekts ir projekta iesnieguma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normatīvajos aktos noregulētajai tiesību normai ir jābūt skaidrai un nepārprotamai, lūdzam precizēt noteikumu projekta 14.punkta redakciju, vai papildināt noteikumus ar jaunu punktu, kas skaidri norāda, ka projekta iesniedzējs ar sadarbības partneri slēdz rakstveida sadarbības līgumu par pušu pienākumiem, tiesībām un atbildību projekta mērķa, rezultātu un rādītāju sasniegšanā noteikumos minēto prasību īstenošanā. Vēršam uzmanību, ka pretējā gadījumā rodas interpretācijas problēmas par tiesiskajām attiecībām starp finansējuma saņēmēju un sadarbības partneri.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noteikumu projekta 14. un 15. punkta redakcija un veikts precizējums anotācijas sadaļā 1.3. Pašreizējā situācija, problēmas un risinājumi (skat. 6., 7.lpp.).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pirms projekta iesnieguma iesniegšanas sadarbības iestādē izstrādā sadarbības līguma projektu ar sadarbības partneri par projektā sadarbības partnerim plānoto  darbību īstenošanu. Sadarbības līguma projektā iekļauj informāciju atbilstoši normatīvajiem aktiem par kārtību, kādā Eiropas Savienības fondu vadībā iesaistītās institūcijas nodrošina šo fondu ieviešanu Eiropas Savienības kohēzijas politikas programmas 2021. – 2027. gadam plānošanas periodā, kā arī iekļauj finansējuma saņēmēja un sadarbības partnera sadarbības nosacījumus, pienākumus un tiesības,  projekta mērķu un rādītāju savstarpējās sasniegšanas dalījumu u.c.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41.6. nodrošina komunikācijas un vizuālās identitātes prasību nodrošināšanas pasākumus  saskaņā ar Kopīgo noteikumu regulas 2021/1060 47. pantu un 50. pantu un normatīvajiem aktiem par kārtību, kādā Eiropas Savienības fondu vadībā iesaistītās institūcijas nodrošina šo fondu ieviešanu 2021. – 2027. gada plānošanas periodā, kā arī Eiropas Savienības kohēzijas politikas programmas 2021. – 2027. gada plānošanas perioda un Atveseļošanas fonda komunikācijas un dizaina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41.6. apakšpunktā norādīta atsauce uz nesaistošiem dokumentiem (vadlīnijām). Ņemot vērā minēto, lūdzam noteikumu projektā svītrot atsauces uz nesaistošiem dokumentiem (vadlīnijām) un minēto informāciju lūdzam norādīt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komunikācijas un vizuālās identitātes prasību nodrošināšanas pasākumus  saskaņā ar Kopīgo noteikumu regulas 2021/1060 47. pantu un 50. pantu un normatīvajiem aktiem par kārtību, kādā Eiropas Savienības fondu vadībā iesaistītās institūcijas nodrošina šo fondu ieviešanu 2021. – 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atbilstošs precizējums noteikumu projekta 41.6.apakšpunktā un anotācijas sadaļā 1.3. Pašreizējā situācija, problēmas un risinājumi (skat. 17.lpp.).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42.6. nodrošina komunikācijas un vizuālās identitātes prasību nodrošināšanas pasākumus  saskaņā ar Kopīgo noteikumu regulas 2021/1060 47. pantu un 50. pantu un normatīvajiem aktiem par kārtību, kādā Eiropas Savienības fondu vadībā iesaistītās institūcijas nodrošina šo fondu ieviešanu 2021. – 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ir klasisks investīciju projekts, kura mērķis ir ietaupīt valsts pārvaldes finanšu resursus ilgtermiņā, līdz ar to ir nepieciešams pārliecināties, vai sabiedrības ieguvumi ir lielāki par projekta investīciju un uzturēšanas izmaksām projekta dzīves cikla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pamatojums anotācijā par to, ka izmaksu un ieguvumu analīze nav jāveic, ir kļūdains un nav objektīvs,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būtības neto ienākumu esamība vai neesamība projektā nav arguments izmaksu un ieguvumu analīzes neveikšanai. Mērķis ir pārliecināties par pasākuma atdevi kopumā, nevis noteikt projekta deficīta likmi, kas saistīta ar neto ienākumu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pasākumu plānots īstenot ierobežotas projektu iesniegumu atlases veidā (pasākumā plānots viens projekts),  un projekta kopējās izmaksas ir 19 140 000 euro  (pārsniedz 1 miljonu euro). Ministru kabineta 2023. gada 13. jūnija sēdes protokollēmuma (prot. Nr. 36, 85. §) 3.punkts neparedz izmaksu un ieguvumu analīzi veikt atsevišķām darbībām, ja tās pārsniedz vienu miljonu euro. Izmaksu un ieguvumu analīze jāveic projektam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ka pasākuma ietvaros tiks sniegts ieguldījums Latvijas stratēģijas klimatneitralitātes sasniegšanai līdz 2050. gadam,  pārejot uz videi un klimatam draudzīgiem risinājumiem, nenozīmē, ka valsts drīkst nedomāt par publiskās pārvaldes projektu efektivitāti. Gluži pretēji – ja ieguvumi no energoefektivitātes pasākumiem nespēj nosegt projekta investīciju un uzturēšanas izmaksas projekta dzīves cikla laikā, tas nozīmē, ka virzība klimatneitralitātes mērķiem notiek neefektīvi.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veikt izmaksu un ieguvumu analīzi anotācijas ietvaros (tādējādi izpildot protokollēmumā noteikto), izmantojot CFLA sagatavoto izmaksu un ieguvumu analīzes automatizēto aprēķinu modeli, kā sociālekonomiskos ieguvumus aprēķinot, piemēram, siltumnīcefekta gāzu samazinājumu, kas izteikts naudas izteiksmē, bet kā finanšu ieguvumus aprēķinot, piemēram, enerģijas ietaupījumus, kas rodas energoefektivitātes projekta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 izmaksu un ieguvumu analīze pasākuma ietvaros ietvaros (tādējādi izpildot protokollēmumā noteikto), izmantojot CFLA sagatavoto izmaksu un ieguvumu analīzes automatizēto aprēķinu modeli. Izmaksu un ieguvumu analīze ir pievienota anotācijai kā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plānoto investīciju ietekmi uz tautsaimniecību, norādot pēc iespējas izmērāmus faktiski sagaidāmos rezultātus/rādītājus. Skaidrojam, ka 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2021.–2027.gadam noteiktajiem mērķiem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2.sadaļa papildināta ar informāciju par plānoto investīciju ietekmi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Tieslietu ministrijai nav iespējams precīzi izvērtēt, vai noteikumu projekta 21., 24., 31. punktā un 41.6. apakšpunktā minētās Eiropas Savienības regulas ir atbilstoši ieviestas noteikumu projektā. Ņemot vērā minēto, Tieslietu ministrija varēs sniegt precīzu izvērtējumu par noteikumu projekta atbilstību minētajām Eiropas Savienības regulām pēc anotācijas precizēšanas, aizpildot anotācijas 5. sadaļu, jo īpaši tās 5.4.1.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5. sadaļas 5.4.1.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2024. gadā līdz vienošanās par projekta īstenošanu noslēgšanai ar Centrālo finanšu un līgumu aģentūru kā Eiropas Savienības fondu 2021. – 2027.gada plānošanas perioda sadarbības iestādi (turpmāk – sadarbības iestāde) Eiropas Savienības kohēzijas politikas programmas 2021. – 2027. gadam 2.1.1. specifiskā atbalsta mērķa „Energoefektivitātes veicināšana un siltumnīcefekta gāzu emisiju samazināšana” 2.1.1.5. pasākuma „Klimata neitrāli risinājumi profesionālās izglītības iestāžu un koledžu izglītības programmās, vidē un infrastruktūrā” (turpmāk – 2.1.1.5. pasākums) projekta iesnieguma atlases kārtas īstenošanas uzsākšanai nepieciešamo finansējumu līdz 486 329 euro apmērā (tai skaitā Eiropas Reģionālās attīstības fonda finansējums 413 380 euro un valsts budžeta līdzfinansējums 72 949 euro) attiecināmo izmaksu segšanai Izglītības un zinātnes ministrija normatīvajos aktos noteiktajā kārtībā pieprasīs  no 74. resora „Gadskārtējā valsts budžeta izpildes procesā pārdalāmais finansējums" programmas 80.00.00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atbilstoši Ministru kabineta 2018. gada 17. jūlija noteikumu Nr. 421 "Kārtība, kādā veic gadskārtējā valsts budžeta likumā noteiktās apropriācijas izmaiņas" 24.2. apakšpunktā noteiktajam, no 80.00.00. programmas līdzekļus var pārdalīt </w:t>
            </w:r>
            <w:r w:rsidR="00000000" w:rsidRPr="00000000" w:rsidDel="00000000">
              <w:rPr>
                <w:b w:val="1"/>
                <w:rtl w:val="0"/>
              </w:rPr>
              <w:t xml:space="preserve">izņēmuma kārtā </w:t>
            </w:r>
            <w:r w:rsidR="00000000" w:rsidRPr="00000000" w:rsidDel="00000000">
              <w:rPr>
                <w:rtl w:val="0"/>
              </w:rPr>
              <w:t xml:space="preserve">pirms Eiropas Savienības fondu projektu iesnieguma apstiprināšanas sadarbības iestādē, ja Ministru kabinets, pamatojoties uz iesniegto argumentāciju un risku analīzi, ir pieņēmis lēmumu par konkrētā plānotā projekta izdevumu priekšfinansēšanu </w:t>
            </w:r>
            <w:r w:rsidR="00000000" w:rsidRPr="00000000" w:rsidDel="00000000">
              <w:rPr>
                <w:b w:val="1"/>
                <w:rtl w:val="0"/>
              </w:rPr>
              <w:t xml:space="preserve">noteiktā apjomā un izdevumu pozīcijām atbilstoši projektā izvirzītajam mērķim</w:t>
            </w:r>
            <w:r w:rsidR="00000000" w:rsidRPr="00000000" w:rsidDel="00000000">
              <w:rPr>
                <w:rtl w:val="0"/>
              </w:rPr>
              <w:t xml:space="preserve">. Ņemot vērā minēto, lūdzam papildināt anotāciju ar detalizētiem aprēķiniem minētajam priekšfinansējumam 486 329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sadaļas “Tiesību akta projekta ietekme uz valsts budžetu un pašvaldību budžetiem” apakšsadaļa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2024. gadā līdz vienošanās par projekta īstenošanu noslēgšanai ar Centrālo finanšu un līgumu aģentūru kā Eiropas Savienības fondu 2021. – 2027.gada plānošanas perioda sadarbības iestādi (turpmāk – sadarbības iestāde) Eiropas Savienības kohēzijas politikas programmas 2021. – 2027. gadam 2.1.1. specifiskā atbalsta mērķa „Energoefektivitātes veicināšana un siltumnīcefekta gāzu emisiju samazināšana” 2.1.1.5. pasākuma „Klimata neitrāli risinājumi profesionālās izglītības iestāžu un koledžu izglītības programmās, vidē un infrastruktūrā” (turpmāk – 2.1.1.5. pasākums) projekta iesnieguma atlases kārtas īstenošanas uzsākšanai nepieciešamo finansējumu līdz 486 329 euro apmērā (tai skaitā Eiropas Reģionālās attīstības fonda finansējums 413 380 euro un valsts budžeta līdzfinansējums 72 949 euro) attiecināmo izmaksu segšanai Izglītības un zinātnes ministrija normatīvajos aktos noteiktajā kārtībā pieprasīs  no 74. resora „Gadskārtējā valsts budžeta izpildes procesā pārdalāmais finansējums" programmas 80.00.00 „Nesadalītais finansējums Eiropas Savienības politiku instrumentu un pārējās ārvalstu finanšu palīdzības līdzfinansēto projektu un pasākumu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2024. gadā līdz vienošanās par projekta īstenošanu noslēgšanai ar Centrālo finanšu un līgumu aģentūru kā Eiropas Savienības fondu 2021. – 2027.gada plānošanas perioda sadarbības iestādi (turpmāk – sadarbības iestāde) Eiropas Savienības kohēzijas politikas programmas 2021. – 2027. gadam 2.1.1. specifiskā atbalsta mērķa „Energoefektivitātes veicināšana un siltumnīcefekta gāzu emisiju samazināšana” 2.1.1.5. pasākuma „Klimata neitrāli risinājumi profesionālās izglītības iestāžu un koledžu izglītības programmās, vidē un infrastruktūrā” (turpmāk – 2.1.1.5. pasākums) projekta iesnieguma atlases kārtas īstenošanas uzsākšanai nepieciešamo finansējumu līdz 161 211 euro apmērā (tai skaitā Eiropas Reģionālās attīstības fonda finansējums 137 029 euro un valsts budžeta līdzfinansējums 24 182 euro) attiecināmo izmaksu segšanai Izglītības un zinātnes ministrija normatīvajos aktos noteiktajā kārtībā pieprasīs  no 74. resora „Gadskārtējā valsts budžeta izpildes procesā pārdalāmais finansējums" programmas 80.00.00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2018. gada 17. jūlija noteikumu Nr. 421 "Kārtība, kādā veic gadskārtējā valsts budžeta likumā noteiktās apropriācijas izmaiņas" 24.2. apakšpunktā noteiktajam, no 80.00.00. programmas līdzekļus var pārdalīt izņēmuma kārtā pirms Eiropas Savienības fondu projektu iesnieguma apstiprināšanas sadarbības iestādē, ja Ministru kabinets, pamatojoties uz iesniegto argumentāciju un risku analīzi, ir pieņēmis lēmumu par konkrētā plānotā projekta izdevumu priekšfinansēšanu noteiktā apjomā un izdevumu pozīcijām atbilstoši projektā izvirzītajam mērķim. Lūdzam papildināt anotāciju ar atbilstošu argumentāciju un risku analīzi. Vēršam uzmanību, ka šobrīd anotācijā nav sniegta detalizēta informācija, kādām izdevumu pozīcijām (pievienojot aprēķinus) minētais finansējums 161 211 euro apmērā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2024. gadā līdz vienošanās par projekta īstenošanu noslēgšanai ar Centrālo finanšu un līgumu aģentūru kā Eiropas Savienības fondu 2021. – 2027.gada plānošanas perioda sadarbības iestādi (turpmāk – sadarbības iestāde) Eiropas Savienības kohēzijas politikas programmas 2021. – 2027. gadam 2.1.1. specifiskā atbalsta mērķa „Energoefektivitātes veicināšana un siltumnīcefekta gāzu emisiju samazināšana” 2.1.1.5. pasākuma „Klimata neitrāli risinājumi profesionālās izglītības iestāžu un koledžu izglītības programmās, vidē un infrastruktūrā” (turpmāk – 2.1.1.5. pasākums) projekta iesnieguma atlases kārtas īstenošanas uzsākšanai nepieciešamo finansējumu līdz 486 329 euro apmērā (tai skaitā Eiropas Reģionālās attīstības fonda finansējums 413 380 euro un valsts budžeta līdzfinansējums 72 949 euro) attiecināmo izmaksu segšanai Izglītības un zinātnes ministrija normatīvajos aktos noteiktajā kārtībā pieprasīs  no 74. resora „Gadskārtējā valsts budžeta izpildes procesā pārdalāmais finansējums" programmas 80.00.00 „Nesadalītais finansējums Eiropas Savienības politiku instrumentu un pārējās ārvalstu finanšu palīdzības līdzfinansēto projektu un pasākumu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projektā izveidotās Izglītības un zinātnes ministrijas padotības profesionālās izglītības iestāžu enerģijas patēriņa monitorēšanas sistēmas ilgtspēju, Valsts izglītības attīstības aģentūrai kā 2.1.1.5.. pasākuma finansējuma saņēmējam līdz 2027.gada 31. augustam, balstoties uz projekta īstenošanā gūto pieredzi  sagatavot un sadarbībā ar Izglītības un zinātnes ministriju normatīvajos aktos noteiktajā kārtībā iesniegt Ministru kabinetā priekšlikumus par projektā īstenoto darbību ilgtspēju, tai skaitā par enerģijas patēriņa monitorēšanas sistēmas funkcijām, tās dalībniekiem, atbildību sadalījumu, tālāko attīstību, nepieciešamajiem resursiem un finansējuma avotiem tās darbināšanai.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6.punktu, nosakot, ka projekta ilgtspējas pasākumu īstenošana tiks nodrošināta Izglītības un zinātnes ministrijas esošo budžeta līdzekļu ietvaros, ņemot vērā anotācijā sniegto informāciju, ka pasākuma īstenošanas rezultātā projekts rada vairākus būtiskus ekonomiskos ieguvumus, tostarp energoefektivitātes paaugstināšana samazina izglītības iestāžu enerģijas patēriņu, tādējādi samazinot izmaksas un atbrīvojot līdzekļus citām vajadzībām, kā arī viedās apsaimniekošanas sistēmas uzlabo pārvaldību un ļauj efektīvāk izmantot resursus un uzlabot izglītības kvalitāti, un kopējais vienotas energopārvaldības sistēmas ieviešanas un tai nepieciešamo instrumentu enerģijas patēriņa samazinājums visās IZM profesionālās izglītības iestādēs potenciāli veido resursu ietaupījumu 615 899 EUR/gadā.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6. punkts un atbilstoši arī informācija anotācijas 3.sadaļas “Tiesību akta projekta ietekme uz valsts budžetu un pašvaldību budžetiem” apakšsadaļā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projektā izveidotās enerģijas patēriņa monitorēšanas sistēmas ilgtspēju, Izglītības un zinātnes ministrijai kā profesionālās izglītības iestāžu dibinātājai līdz 2027.gada 31. augustam, balstoties uz Valsts izglītības attīstības aģentūras kā 2.1.1.5. pasākuma finansējuma saņēmēja projekta īstenošanā gūto pieredzi un rezultātiem, sagatavot un normatīvajos aktos noteiktajā kārtībā iesniegt Ministru kabinetā priekšlikumus par projektā īstenoto darbību ilgtspēju, tai skaitā par enerģijas patēriņa monitorēšanas sistēmas funkcijām, tās dalībniekiem, atbildību sadalījumu, tālāko attīstību, nepieciešamos resursus un finansējuma avotus rodot Izglītības un zinātnes ministrijas esošo budžeta līdzekļu, tostarp kopējā vienotas energopārvaldības sistēmas ieviešanas un tai nepieciešamo instrumentu enerģijas patēriņa samazinājuma rezultātā gūtā potenciālā resursu ietaupījuma,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pirms projekta iesniegšanas sadarbības iestādē izstrādā sadarbības līguma projektu ar sadarbības partneri par projektā sadarbības partnerim plānoto  darbību īstenošanu (turpmāk – sadarbības līguma projekts). Sadarbības līguma projektā iekļauj informāciju atbilstoši normatīvajiem aktiem par kārtību, kādā Eiropas Savienības fondu vadībā iesaistītās institūcijas nodrošina šo fondu ieviešanu Eiropas Savienības kohēzijas politikas programmas 2021. – 2027. gadam plānošanas periodā, kā arī iekļauj finansējuma saņēmēja un sadarbības partnera sadarbības nosacījumus, pienākumus un tiesības,  projekta mērķu un rādītāju savstarpējās sasniegšanas dalījumu u.c. nosacījumus. Sadarbības līguma projekts ir projekta iesnieguma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Eiropas Savienības fondu 2021.-2027.gada plānošanas perioda likumā noteiktajam, ar projektu ir saprotams projekta iesniegums, kas atbilst projektu iesniegumu vērtēšanas kritērijiem un ko apstiprinājusi sadarbības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lūdzam precizēt noteikumu projekta 14.punkta pirmo teikumu, nosakot, ka attiecīgā prasība nodrošināma pirms projekta iesnieguma iesniegšanas sadarbības iestādē. Minēto precizējumu nepieciešamība attiecas arī uz noteikumu projekta 15.punktu, tādējādi nodrošinot atbilstību tiesību normas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14. un 15. punkta redakcija un veikts precizējums anotācijas sadaļā 1.3. Pašreizējā situācija, problēmas un risinājumi (skat. 6., 7.lpp.).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pirms projekta iesnieguma iesniegšanas sadarbības iestādē izstrādā sadarbības līguma projektu ar sadarbības partneri par projektā sadarbības partnerim plānoto  darbību īstenošanu. Sadarbības līguma projektā iekļauj informāciju atbilstoši normatīvajiem aktiem par kārtību, kādā Eiropas Savienības fondu vadībā iesaistītās institūcijas nodrošina šo fondu ieviešanu Eiropas Savienības kohēzijas politikas programmas 2021. – 2027. gadam plānošanas periodā, kā arī iekļauj finansējuma saņēmēja un sadarbības partnera sadarbības nosacījumus, pienākumus un tiesības,  projekta mērķu un rādītāju savstarpējās sasniegšanas dalījumu u.c.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pirms projekta iesniegšanas sadarbības iestādē sadarbības līguma projektu saskaņo ar Izglītības un zinātnes ministriju un ne vēlāk kā vienu mēnesi pēc šo noteikumu spēkā stāšanās slēdz rakstveida sadarbības līgumu par projektā sadarbības partnerim plānoto darbību īstenošanu. Sadarbības līgums ir projekta iesnieguma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anotācijā skaidrot noteikumu projekta 15. un 29. punktā paredzētā termiņa atskaites brīža izvēli (proti, sadarbības līgumu slēdz un attiecīgo iepirkumu izsludina ne vēlāk kā vienu mēnesi pēc </w:t>
            </w:r>
            <w:r w:rsidR="00000000" w:rsidRPr="00000000" w:rsidDel="00000000">
              <w:rPr>
                <w:u w:val="single"/>
                <w:rtl w:val="0"/>
              </w:rPr>
              <w:t xml:space="preserve">noteikumu spēkā stāšanās</w:t>
            </w:r>
            <w:r w:rsidR="00000000" w:rsidRPr="00000000" w:rsidDel="00000000">
              <w:rPr>
                <w:rtl w:val="0"/>
              </w:rPr>
              <w:t xml:space="preserve">). Ņemot vērā, ka attiecīgo darbību mērķis ir projekta īstenošana un ka projekta iesniegums var vēl nebūt apstiprināts, aicinām izvērtēt, vai šāda termiņa atskaites punkta izvēlei nav kādi riski (piemēram, projekta iesniegums netiek apstiprināts), un vai nav nepieciešams termiņu noteikt no projekta iesnieguma apstiprināšanas dienas v.tml. Attiecīgi aicinām izvērtēt un sniegt skaidrojumu. Ja nepieciešams, aicinām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“Pašreizējā situācija, problēmas un risinājumi” sniegts skaidrojums par noteikumu projekta 15. un 29. punktā paredzētā termiņa atskaites brīža izvēli, kas noteikts ar mērķi sekmēt Eiropas Savienības kohēzijas politikas programmas 2021. – 2027. gadam investīciju plūsmas intensificēšanu Eiropas Komisijai pieprasāmo izdevumu (n+3) minimālā mērķa izpildei un lai nezaudētu ES fondu „piešķīrumu”.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pirms projekta iesnieguma iesniegšanas sadarbības iestādē sadarbības līguma projektu saskaņo ar Izglītības un zinātnes ministriju un ne vēlāk kā vienu mēnesi pēc šo noteikumu spēkā stāšanās slēdz rakstveida sadarbības līgumu par projektā sadarbības partnerim plānoto darbību īstenošanu. Sadarbības līgums ir projekta iesnieguma pielikums.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informācijas, dokumentu un pārskatu aprite;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16.4.apakšpunktu ar informāciju par papildinošās saimnieciskās darbības uzraudzību, lai gan finansējuma saņēmējam, gan sadarbības partnerim būtu skaidri noteikti nosacījumi par papildinošās saimnieciskās darbības uzraudzību.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Attiecīgus precizējumus lūdzam veikt arī MK noteikumu anotācijas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informācijas, dokumentu un pārskatu, t.sk., papildinošās saimnieciskās darbības uzraudzības pārskatu, aprite;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16.4. apakšpunkts un atbilstoši papildināta anotācijas sadaļa 1.3. Pašreizējā situācija, problēmas un risinājumi (skat. 7. 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informācijas, dokumentu un pārskatu, tai skaitā papildinošās saimnieciskās darbības uzraudzības pārskatu aprite;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ANO Konvencijā par personu ar invaliditāti noteiktās tiesības uz piekļūstamu vidi, lūdzam rast iespēju papildināt noteikumu projektu ar jaunu punktu, kas paredz atbalstāmās darbības un izmaksas vides un informācijas piekļūstamības nodrošināšanai. Saskaņā ar šiem noteikumiem izmaksas, kas nav iekļaujamas kā attiecināmās izmaksas, ir finansējamas ārpus projekta. Attiecīgi, lai sasniegtu MK noteikumu projektā noteikto  horizontālā principa "Vienlīdzība, iekļaušana, nediskriminācija un pamattiesību ievērošana" (HP VINPI) rādītāju sasniegšanu un specifisko HP VINPI darbību īstenošanu, noteikumu projektā ir jāparedz  izmaksas vides un informācijas piekļūstamības nodrošināšanai.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vides un informācijas piekļūstamības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18.6. un 20.7. apakšpunktu un atbilstoši papildināta anotācijas sadaļa 1.3. Pašreizējā situācija, problēmas un risinājumi (skat. 8. un 10.lpp.).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 projekta vadības un īstenošanas personāla (turpmāk – projekta personāls) atlīdzības izmaksas, izņemot virsstundas, šo noteikumu 12. punktā minētajam finansējuma saņēmējam šo noteikumu 18.7. apakšpunktā minēto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noteikumu projektā lietoto terminoloģiju ar Eiropas Parlamenta un Padomes 2021. gada 24. jūnija Regulā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lietoto terminoloģiju personāla izmaksām, lūdzam precizēt noteikumu projekta 20.8.apakšpunktā un citviet noteikumu projekta tekstā, kur tas attiecināms, aizstājot personāla atlīdzības izmaksas ar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20.8. apakšpunkta un 21.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 projekta vadības un īstenošanas personāla (turpmāk – projekta personāls) izmaksas, izņemot virsstundas,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minētajam finansējuma saņēmējam šo noteikumu </w:t>
            </w:r>
            <w:r w:rsidR="00000000" w:rsidRPr="00000000" w:rsidDel="00000000">
              <w:rPr>
                <w:rtl w:val="0"/>
              </w:rPr>
              <w:t xml:space="preserve">18.8. </w:t>
            </w:r>
            <w:r w:rsidR="00000000" w:rsidRPr="00000000" w:rsidDel="00000000">
              <w:rPr>
                <w:rtl w:val="0"/>
              </w:rPr>
              <w:t xml:space="preserve">apakšpunktā</w:t>
            </w:r>
            <w:r w:rsidR="00000000" w:rsidRPr="00000000" w:rsidDel="00000000">
              <w:rPr>
                <w:rtl w:val="0"/>
              </w:rPr>
              <w:t xml:space="preserve"> minēto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18.7. apakšpunktā noteiktās projekta personāla atlīdzības izmaksas, kuras saskaņā ar Eiropas Parlamenta un Padomes 2021. gada 24. jūnija Regulas (ES) Nr.2021/1060,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Kopīgo noteikumu regula Nr.2021/1060) 55. panta 1. punktā noteikto, projekta iesniegumā plāno kā vienu izmaksu pozīciju, piemērojot izmaksu vienoto likmi 17 procentu apmērā no projekta tiešajām attiecināmajām izmaksām, bet neieskaitot tiešās projekta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viennozīmīgi skaidrus normas attiecināmības nosacījumus, lūdzam aizstāt noteikumu projekta 21.punktā ietverto atsauci uz noteikumu projekta 18.7.apakšpunktu ar atsauci uz noteikumu projekta 20.8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b w:val="1"/>
                <w:rtl w:val="0"/>
              </w:rPr>
              <w:t xml:space="preserve">20.8. </w:t>
            </w:r>
            <w:r w:rsidR="00000000" w:rsidRPr="00000000" w:rsidDel="00000000">
              <w:rPr>
                <w:rtl w:val="0"/>
              </w:rPr>
              <w:t xml:space="preserve">apakšpunktā noteiktās projekta personāla atlīdzības izmaksas, kuras saskaņā ar Eiropas Parlamenta un Padomes 2021. gada 24. jūnija Regulas (ES) Nr.2021/1060,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Kopīgo noteikumu regula Nr.2021/1060) 55. panta 1. punktā noteikto, projekta iesniegumā plāno kā vienu izmaksu pozīciju, piemērojot izmaksu vienoto likmi 17 procentu apmērā no projekta tiešajām attiecināmajām izmaksām, bet neieskaitot tiešās projekta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tostarp ievērojot izmaiņas noteikumu projekta 20.punkta apakšpunktu numerācijā.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20.9. </w:t>
            </w:r>
            <w:r w:rsidR="00000000" w:rsidRPr="00000000" w:rsidDel="00000000">
              <w:rPr>
                <w:rtl w:val="0"/>
              </w:rPr>
              <w:t xml:space="preserve">apakšpunktā</w:t>
            </w:r>
            <w:r w:rsidR="00000000" w:rsidRPr="00000000" w:rsidDel="00000000">
              <w:rPr>
                <w:rtl w:val="0"/>
              </w:rPr>
              <w:t xml:space="preserve"> minētās projekta personāla izmaksas, kuras saskaņā ar Eiropas Parlamenta un Padomes 2021. gada 24. jūnija Regulas (ES) Nr.2021/1060,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Kopīgo noteikumu regula Nr.2021/1060) 55. panta 1. punktā noteikto, projekta iesniegumā plāno kā vienu izmaksu pozīciju, piemērojot izmaksu vienoto likmi 17 procentu apmērā no projekta tiešajām attiecināmajām izmaksām, bet neieskaitot tiešās projekta personāla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neparedzētās izmaksas, kas ir šo noteikumu 13. punktā minētā sadarbības partnera izmaksas, kas ir tieši vai netieši saistītas ar projekta rezultātu sasniegšanu papildu darbu veikšanai vai pakalpojumu sniegšanai un kas neparedzamu apstākļu dēļ ir kļuvušas nepieciešamas noslēgtās vienošanās izpildes nodrošināšanai. Projektā tās plāno kā vienu izmaksu pozīciju, kas nepārsniedz piecus procentus no projekta tiešajām attiecināmajām izmaksām. Neparedzētos izdevumus finansējuma saņēmējs saskaņo ar sadarbības iestādi kārtībā, ko nosaka vienošanās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23.punkta pirmā teikuma beigas, skaidri norādot, kādas vienošanās izpildes ietvaros var kļūt nepieciešamas noteikumu projekta 23.punktā noteiktās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noteikumu projekta 23.punkta pirmā teikuma beigas, skaidri norādot, kādas vienošanās izpildes ietvaros var kļūt nepieciešamas noteikumu projekta 23.punktā noteiktās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neparedzētās izmaksas, kas ir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minētā sadarbības partnera izmaksas, kas ir tieši vai netieši saistītas ar projekta rezultātu sasniegšanu papildu darbu veikšanai vai pakalpojumu sniegšanai un kas neparedzamu apstākļu dēļ ir kļuvušas nepieciešamas noslēgtās vienošanās par projekta īstenošanu izpildes nodrošināšanai. Projektā tās plāno kā vienu izmaksu pozīciju, kas nepārsniedz piecus procentus no projekta tiešajām attiecināmajām izmaksām. Neparedzētos izdevumus finansējuma saņēmējs saskaņo ar sadarbības iestādi kārtībā, ko nosaka vienošanās par projekta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neparedzētās izmaksas, kas ir šo noteikumu 13. punktā minētā sadarbības partnera izmaksas,  kas ir tieši vai netieši saistītas ar projekta rezultātu sasniegšanu papildu darbu veikšanai vai pakalpojumu sniegšanai un kas neparedzamu apstākļu dēļ ir kļuvušas nepieciešamas noslēgtās vienošanās izpildes nodrošināšanai. Projektā tās plāno kā vienu izmaksu pozīciju, kas nepārsniedz piecus procentus no projekta tiešajām attiecināmajām izmaksām.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23.punktu, salāgojot informāciju ar anotāciju, ka neparedzētos izdevumus finansējuma saņēmējs saskaņo ar sadarbības iestādi kārtībā, ko nosaka vienošanās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23.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neparedzētās izmaksas, kas ir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minētā sadarbības partnera izmaksas, kas ir tieši vai netieši saistītas ar projekta rezultātu sasniegšanu papildu darbu veikšanai vai pakalpojumu sniegšanai un kas neparedzamu apstākļu dēļ ir kļuvušas nepieciešamas noslēgtās vienošanās par projekta īstenošanu izpildes nodrošināšanai. Projektā tās plāno kā vienu izmaksu pozīciju, kas nepārsniedz piecus procentus no projekta tiešajām attiecināmajām izmaksām. Neparedzētos izdevumus finansējuma saņēmējs saskaņo ar sadarbības iestādi kārtībā, ko nosaka vienošanās par projekta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Pasākuma ietvaros izmaksas ir attiecināmas, ja tās atbilst šajos noteikumos minētajām atbalstāmo darbību izmaksu pozīcijām un ir veiktas pēc 2024. gada 1. 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63. panta 6. punktā noteikts, ka darbības atbalsta saņemšanai no fondiem neatlasa, ja tās ir faktiski pabeigtas vai pilnībā īstenotas, pirms ir iesniegts pieteikums par finansējumu atbilstoši programmai, neatkarīgi no tā, vai ir veikti visi saistītie maksājumi. Ievērojot minēto, lūdzam papildināt noteikumu projekta 27. punktu ar norādi, ka projekta iesniegumā neiekļauj un finansējumu nepiešķir pabeigtām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papildināts noteikumu projekta 27.punkts un anotācijas sadaļa 1.3. Pašreizējā situācija, problēmas un risinājumi (skat. 12.lpp.).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Pasākuma ietvaros izmaksas ir attiecināmas, ja tās atbilst šajos noteikumos minētajām atbalstāmo darbību izmaksu pozīcijām un ir veiktas pēc 2024. gada 1. janvāra. Projekta iesniegumā neiekļauj un finansējumu nepiešķir pabeigtām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saskaņā ar Ministru kabineta noteikumiem Nr. 660 "Energoefektivitātes monitoringa noteikumi" pasākuma ietvaros finansējuma saņēmējam nebūtu jāziņo par ikgadējo enerģijas ietaupījumu pēc projekta pabeigšanas un attiecīgi papildināt noteikumu projektu ar pienākumu projekta iesniedzējam projekta iesniegumā norādīt informāciju par enerģijas patēriņu pirms projekta īstenošanas un enerģijas ietaupījuma datu ziņošanu trīs gadus pēc projekta īstenošanas pabeigšanas.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projekta iesniegumā norāda enerģijas patēriņu (megavatstundas) pirms projekta īstenošanas. Finansējuma saņēmējam ir pienākums informēt sadarbības iestādi par enerģijas ietaupījumu (megavatstundas) trīs gadus pēc projekta īstenošanas pabeigšanas.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35.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Finansējuma saņēmējs un sadarbības partneris  nodrošina, ka projekta īstenošanas laikā tiek ievēroti interešu konflikta, korupcijas un krāpšanas novēršanas nosacījumi, un paredz, ka projekta vadībā iesaistītais projekta personāls ir informēts par korupcijas un interešu konflikta novēršanas jautājumiem, krāpšanas pazīmēm un pienākumu ziņot par konstatētajām aizdomām, kā arī ir informēti par ziņotāju aizsardzību atbilstoši Trauksmes celšanas likumam, kā arī parakstījuši apliecinājumus par interešu konflikta neesamību saskaņā ar Eiropas Parlamenta un Padomes 2018. gada 18. jūlija Regulas (ES, Euratom) 2018/1046 par finanšu noteikumiem, ko piemēro Savienības vispārējam budžetam, ar kuru groza Regulas (ES) Nr.1296/2013, (ES) Nr.1301/2013, (ES) Nr.1303/2013, (ES) Nr.   1304/2013, (ES) Nr.1309/2013, (ES) Nr.1316/2013, (ES) Nr.223/2014, (ES) Nr.283/2014 un Lēmumu Nr.541/2014/ES un atceļ Regulu (ES, Euratom) Nr.966/2012 61.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informāciju, ka finansējuma saņēmējs līdz projekta iesniegšanai sadarbības iestādē izstrādās iekšējās kontroles sistēmu atbilstoši Ministru kabineta 2017. gada 17. oktobra noteikumiem Nr.630 "Noteikumi par iekšējās kontroles sistēmas pamatprasībām korupcijas un interešu konflikta riska novēršanai publiskas personas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1.3. Pašreizējā situācija, problēmas un risinājumi (skat. 13.lpp.).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Projekta iesniedzējs līdz projekta iesniegšanai sadarbības iestādē izstrādā iekšējās kontroles sistēmu atbilstoši Ministru kabineta 2017. gada 17. oktobra noteikumiem Nr.630 "Noteikumi par iekšējās kontroles sistēmas pamatprasībām korupcijas un interešu konflikta riska novēršanai publiskas personas institūcijā". Iekšējās kontroles sistēmas apraksts ir projekta iesnieguma pielikums. Savukārt, finansējuma saņēmējs un sadarbības partneris  nodrošina, ka projekta īstenošanas laikā tiek ievēroti interešu konflikta, korupcijas un krāpšanas novēršanas nosacījumi, un paredz, ka projekta vadībā iesaistītais projekta personāls ir informēts par korupcijas un interešu konflikta novēršanas jautājumiem, krāpšanas pazīmēm un pienākumu ziņot par konstatētajām aizdomām, kā arī ir informēti par ziņotāju aizsardzību atbilstoši Trauksmes celšanas likumam, kā arī parakstījuši apliecinājumus par interešu konflikta neesamību saskaņā ar Eiropas Parlamenta un Padomes 2018. gada 18. jūlija Regulas (ES, Euratom) 2018/1046 par finanšu noteikumiem, ko piemēro Savienības vispārējam budžetam, ar kuru groza Regulas (ES) Nr.1296/2013, (ES) Nr.1301/2013, (ES) Nr.1303/2013, (ES) Nr.   1304/2013, (ES) Nr.1309/2013, (ES) Nr.1316/2013, (ES) Nr.223/2014, (ES) Nr.283/2014 un Lēmumu Nr.541/2014/ES un atceļ Regulu (ES, Euratom) Nr.966/2012 61. panta prasībām.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Finansējuma saņēmējs projekta īstenošanai nepieciešamo būvdarbu un pakalpojumu iepirkumu veic saskaņā ar normatīvajiem aktiem publisko iepirkumu jomā, īstenojot atklātu, pārredzamu, nediskriminējošu un konkurenci nodrošinošu konkursa procedūru,  nodrošina vides prasību integrāciju preču un pakalpojumu iepirkumos – zaļais publiskais iepirkums – un vides un informācijas piekļūstamību – sociāli atbildīgs publiskais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papildināt noteikumu projektu ar prasību par inovatīva publiskā iepirkuma piemērošanu, vienlaikus precizējot informāciju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33. punkta redakcija un anotācijas sadaļa 1.3. Pašreizējā situācija, problēmas un risinājumi (skat. 14.lpp.).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Finansējuma saņēmējs projekta īstenošanai nepieciešamo būvdarbu un pakalpojumu iepirkumu veic saskaņā ar normatīvajiem aktiem publisko iepirkumu jomā, īstenojot atklātu, pārredzamu, nediskriminējošu un konkurenci nodrošinošu konkursa procedūru, nodrošina vides prasību integrāciju preču un pakalpojumu iepirkumos – zaļais publiskais iepirkums un ir atbalstāms sociāli atbildīgs publiskais iepirkums un inovatīva publiskā iepirkuma piemērošana,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Ja projekta dzīves cikla laikā tiek konstatēts, ka ēkā, ēkas daļā vai ēku grupā, par kuru iesniegts projekta iesniegums, tiek veikta saimnieciskā darbība, kas nav uzskatāma par papildpakalpojumu, vai tiek veikta papildinoša saimnieciskā darbība, kas pārsniedz šo noteikumu 38. punktā minēto apmēru, vai tiek veikta saimnieciskā darbība, kas nav uzskatāma par papildinošu saimniecisko darbību, projekta iesniedzējam proporcionāli tai gada jaudas laika izteiksmē daļai, par kuru kopumā ir konstatēts pārkāpums, ir pienākums atmaksāt sadarbības iestādei saņemto nelikumīgo komercdarbības atbalstu kopā ar procentiem par attiecīgo gadu no līdzekļiem, kas brīvi no valsts atbalsta, saskaņā ar Komercdarbības atbalsta kontroles likuma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gada jaudu ne tikai laika izteiksmē, bet arī platības un finanšu izteiksmē, saskaņā ar MK noteikumu projekta 38.punktu.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attiecināms, attiecīgus precizējumus lūdzam veikt arī MK noteikumu anotācijas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Ja projekta dzīves cikla laikā tiek konstatēts, ka ēkā, ēkas daļā vai ēku grupā, par kuru iesniegts projekta iesniegums, tiek veikta saimnieciskā darbība, kas nav uzskatāma par papildpakalpojumu, vai tiek veikta papildinoša saimnieciskā darbība, kas pārsniedz šo noteikumu 38. punktā minēto apmēru, vai tiek veikta saimnieciskā darbība, kas nav uzskatāma par papildinošu saimniecisko darbību, projekta iesniedzējam proporcionāli tai gada jaudas </w:t>
            </w:r>
            <w:r w:rsidR="00000000" w:rsidRPr="00000000" w:rsidDel="00000000">
              <w:rPr>
                <w:b w:val="1"/>
                <w:rtl w:val="0"/>
              </w:rPr>
              <w:t xml:space="preserve">platības, laika vai finanšu</w:t>
            </w:r>
            <w:r w:rsidR="00000000" w:rsidRPr="00000000" w:rsidDel="00000000">
              <w:rPr>
                <w:rtl w:val="0"/>
              </w:rPr>
              <w:t xml:space="preserve"> izteiksmē daļai, par kuru kopumā ir konstatēts pārkāpums, ir pienākums atmaksāt sadarbības iestādei saņemto nelikumīgo komercdarbības atbalstu kopā ar procentiem par attiecīgo gadu no līdzekļiem, kas brīvi no valsts atbalsta, saskaņā ar Komercdarbības atbalsta kontroles likuma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39.punkta redakcija un veikts  atbilstošs precizējums anotācijas sadaļā 1.3. Pašreizējā situācija, problēmas un risinājumi (16.lpp.).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Ja projekta dzīves cikla laikā tiek konstatēts, ka ēkā, ēkas daļā vai ēku grupā, par kuru iesniegts projekta iesniegums, tiek veikta saimnieciskā darbība, kas nav uzskatāma par papildpakalpojumu, vai tiek veikta papildinoša saimnieciskā darbība, kas pārsniedz šo noteikumu </w:t>
            </w:r>
            <w:r w:rsidR="00000000" w:rsidRPr="00000000" w:rsidDel="00000000">
              <w:rPr>
                <w:rtl w:val="0"/>
              </w:rPr>
              <w:t xml:space="preserve">39. </w:t>
            </w:r>
            <w:r w:rsidR="00000000" w:rsidRPr="00000000" w:rsidDel="00000000">
              <w:rPr>
                <w:rtl w:val="0"/>
              </w:rPr>
              <w:t xml:space="preserve">​</w:t>
            </w:r>
            <w:r w:rsidR="00000000" w:rsidRPr="00000000" w:rsidDel="00000000">
              <w:rPr>
                <w:rtl w:val="0"/>
              </w:rPr>
              <w:t xml:space="preserve">punktā</w:t>
            </w:r>
            <w:r w:rsidR="00000000" w:rsidRPr="00000000" w:rsidDel="00000000">
              <w:rPr>
                <w:rtl w:val="0"/>
              </w:rPr>
              <w:t xml:space="preserve"> minēto apmēru, vai tiek veikta saimnieciskā darbība, kas nav uzskatāma par papildinošu saimniecisko darbību, sadarbības partnerim proporcionāli tai gada jaudas platības, laika vai finanšu izteiksmē daļai, par kuru kopumā ir konstatēts pārkāpums, ir pienākums atmaksāt sadarbības iestādei saņemto nelikumīgo komercdarbības atbalstu kopā ar procentiem par attiecīgo gadu no līdzekļiem, kas brīvi no komercdarbības atbalsta, saskaņā ar Komercdarbības atbalsta kontroles likuma IV vai V nodaļu.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 papildinošas saimnieciskās darbības aprēķina veidu nav pieļaujams mainīt projekta īstenošanas laikā. Aprēķins veicams atbilstoši sākotnēji izvēlētajam veidam platības, laika vai finanšu izteiksmē.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papildinošas saimnieciskās darbības aprēķina veidu nav pieļaujams mainīt ne tikai projekta īstenošanas laikā, bet arī visā projekta dzīves cikla laikā. No esošas redakcijas var saprast, ka to nevar mainīt tikai īstenošanas laikā, bet varētu mainīt pēc projekta pabeigšanas.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39.3. apakšpunkta redakcija, ka papildinošas saimnieciskās darbības aprēķina veidu nav pieļaujams mainīt ne tikai projekta īstenošanas laikā, bet arī visā projekta dzīves cikla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 papildinošas saimnieciskās darbības aprēķina veidu nav pieļaujams mainīt projekta īstenošanas laikā un visā projekta dzīves cikla laikā. Aprēķins veicams atbilstoši sākotnēji izvēlētajam veidam platības, laika vai finanšu izteiksmē.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Sadarbības iestāde saskaņā ar atbildīgās iestādes izstrādāto papildinošas saimnieciskās darbības uzraudzības metodiku nodrošina veikto investīciju atbilstības uzraudzību atbilstoši šo noteikumu 38. un 39. punkta nosacījumiem visā projekta dzīves ciklā, kas metodikā tiks noteikts 10 -15 gadu robežās.  Sadarbības partneris visā projekta dzīves ciklā ik gadu sagatavo pārskatu par papildinošas saimnieciskās darbības apjomu un nodrošina šajā punktā minēto pārskatu un aprēķinus pamatojošo dokumentu pieejamību papildinošas saimnieciskās darbības uzraudzībai. Ja sadarbības partneris konstatē, ka ir pārsniegts šo noteikumu 38.punktā  minētais 20 procentu ierobežojums no infrastruktūras gada jaudas platības, laika vai finanšu izteiksmē vai ka veiktās investīcijas tiek izmantotas citai saimnieciskai darbībai, kas nav uzskatāma par papildinošu saimniecisku darbību, tas saskaņā ar civiltiesisko līgumu vai vienošanos par projekta īstenošanu noteiktajā termiņā iesniedz sadarbības iestādē ziņojumu par konstatēto šo noteikumu 38. un 39. punktā minēto nosacījumu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ar informāciju kā sadarbības partneris par neatbilstībām informē projekta iesniedzēju / finansējuma saņēmēju, kurš iesniedz ziņojumu sadarbības iestādē un/vai atmaksā nelikumīgo valsts atbalstu saskaņā ar 39.punktu.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Attiecīgus precizējumus lūdzam veikt arī MK noteikumu anotācijas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Sadarbības iestāde saskaņā ar atbildīgās iestādes izstrādāto papildinošas saimnieciskās darbības uzraudzības metodiku nodrošina veikto investīciju atbilstības uzraudzību atbilstoši šo noteikumu 38. un 39. punkta nosacījumiem visā projekta dzīves ciklā, kas metodikā tiks noteikts 10 -15 gadu robežās.  Sadarbības partneris visā projekta dzīves ciklā ik gadu sagatavo pārskatu par papildinošas saimnieciskās darbības apjomu un nodrošina šajā punktā minēto pārskatu un aprēķinus pamatojošo dokumentu pieejamību papildinošas saimnieciskās darbības uzraudzībai. Ja sadarbības partneris konstatē, ka ir pārsniegts šo noteikumu 38.punktā  minētais 20 procentu ierobežojums no infrastruktūras gada jaudas platības, laika vai finanšu izteiksmē vai ka veiktās investīcijas tiek izmantotas citai saimnieciskai darbībai, kas nav uzskatāma par papildinošu saimniecisku darbību, tas </w:t>
            </w:r>
            <w:r w:rsidR="00000000" w:rsidRPr="00000000" w:rsidDel="00000000">
              <w:rPr>
                <w:b w:val="1"/>
                <w:rtl w:val="0"/>
              </w:rPr>
              <w:t xml:space="preserve">informē finansējuma saņēmēju saskaņā ar sadarbības līguma nosacījumiem. Finansējuma saņēmējs</w:t>
            </w:r>
            <w:r w:rsidR="00000000" w:rsidRPr="00000000" w:rsidDel="00000000">
              <w:rPr>
                <w:rtl w:val="0"/>
              </w:rPr>
              <w:t xml:space="preserve"> saskaņā ar civiltiesisko līgumu vai vienošanos par projekta īstenošanu noteiktajā termiņā iesniedz sadarbības iestādē ziņojumu par konstatēto šo noteikumu 38. un 39. punktā minēto nosacījumu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40.punkta redakcija un veikts atbilstošs precizējums anotācijas sadaļā 1.3. Pašreizējā situācija, problēmas un risinājumi (16.lpp.).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Sadarbības iestāde saskaņā ar atbildīgās iestādes izstrādāto papildinošas saimnieciskās darbības uzraudzības metodiku nodrošina veikto investīciju atbilstības uzraudzību atbilstoši šo noteikumu </w:t>
            </w:r>
            <w:r w:rsidR="00000000" w:rsidRPr="00000000" w:rsidDel="00000000">
              <w:rPr>
                <w:rtl w:val="0"/>
              </w:rPr>
              <w:t xml:space="preserve">39. </w:t>
            </w:r>
            <w:r w:rsidR="00000000" w:rsidRPr="00000000" w:rsidDel="00000000">
              <w:rPr>
                <w:rtl w:val="0"/>
              </w:rPr>
              <w:t xml:space="preserve">punkta</w:t>
            </w:r>
            <w:r w:rsidR="00000000" w:rsidRPr="00000000" w:rsidDel="00000000">
              <w:rPr>
                <w:rtl w:val="0"/>
              </w:rPr>
              <w:t xml:space="preserve"> un </w:t>
            </w:r>
            <w:r w:rsidR="00000000" w:rsidRPr="00000000" w:rsidDel="00000000">
              <w:rPr>
                <w:rtl w:val="0"/>
              </w:rPr>
              <w:t xml:space="preserve">40. </w:t>
            </w:r>
            <w:r w:rsidR="00000000" w:rsidRPr="00000000" w:rsidDel="00000000">
              <w:rPr>
                <w:rtl w:val="0"/>
              </w:rPr>
              <w:t xml:space="preserve">punkta</w:t>
            </w:r>
            <w:r w:rsidR="00000000" w:rsidRPr="00000000" w:rsidDel="00000000">
              <w:rPr>
                <w:rtl w:val="0"/>
              </w:rPr>
              <w:t xml:space="preserve"> nosacījumiem visā projekta dzīves ciklā (25 gadi). Sadarbības partneris visā projekta dzīves ciklā ik gadu sagatavo pārskatu par papildinošas saimnieciskās darbības apjomu un nodrošina šajā punktā minēto pārskatu un aprēķinus pamatojošo dokumentu pieejamību papildinošas saimnieciskās darbības uzraudzībai. Ja sadarbības partneris konstatē, ka ir pārsniegts šo noteikumu </w:t>
            </w:r>
            <w:r w:rsidR="00000000" w:rsidRPr="00000000" w:rsidDel="00000000">
              <w:rPr>
                <w:rtl w:val="0"/>
              </w:rPr>
              <w:t xml:space="preserve">39. </w:t>
            </w:r>
            <w:r w:rsidR="00000000" w:rsidRPr="00000000" w:rsidDel="00000000">
              <w:rPr>
                <w:rtl w:val="0"/>
              </w:rPr>
              <w:t xml:space="preserve">punktā</w:t>
            </w:r>
            <w:r w:rsidR="00000000" w:rsidRPr="00000000" w:rsidDel="00000000">
              <w:rPr>
                <w:rtl w:val="0"/>
              </w:rPr>
              <w:t xml:space="preserve"> minētais 20 procentu ierobežojums no infrastruktūras gada jaudas platības, laika vai finanšu izteiksmē vai ka veiktās investīcijas tiek izmantotas citai saimnieciskai darbībai, kas nav uzskatāma par papildinošu saimniecisku darbību, tas saskaņā ar civiltiesisko līgumu vai vienošanos par projekta īstenošanu noteiktajā termiņā iesniedz sadarbības iestādē ziņojumu par konstatēto šo noteikumu </w:t>
            </w:r>
            <w:r w:rsidR="00000000" w:rsidRPr="00000000" w:rsidDel="00000000">
              <w:rPr>
                <w:rtl w:val="0"/>
              </w:rPr>
              <w:t xml:space="preserve">39.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40. </w:t>
            </w:r>
            <w:r w:rsidR="00000000" w:rsidRPr="00000000" w:rsidDel="00000000">
              <w:rPr>
                <w:rtl w:val="0"/>
              </w:rPr>
              <w:t xml:space="preserve">punktā</w:t>
            </w:r>
            <w:r w:rsidR="00000000" w:rsidRPr="00000000" w:rsidDel="00000000">
              <w:rPr>
                <w:rtl w:val="0"/>
              </w:rPr>
              <w:t xml:space="preserve"> minēto nosacījumu pārkāpumu.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ievēro horizontālo principu „Vienlīdzība, iekļaušana, nediskriminācija un pamattiesību ievērošana” un uzkrāj datus par projekta ietekmi uz horizontālo principu rādītājiem,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41.2. apakšpunkta redakciju atbilstoši vadlīnijās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saskaņā ar minētajām vadlīnijām, pasākumiem ar netiešu ietekmi uz HP VINPI, ierobežotas projektu iesniegumu atlases gadījumā ir jānodrošina vismaz viens HP VINPI rādītājs. Ņemot vērā pasākuma saturu un atbalstāmās darbības, aicinām noteikumu projektā paredzēt ne vairāk kā vienu HP VINPI rādītāju ar atrunu,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ievēro horizontālo principu „Vienlīdzība, iekļaušana, nediskriminācija un pamattiesību ievērošana” un uzkrāj datus par horizontālā principa rādītāju (ja attiecināms): konsultatīva rakstura pasākumu skaits par būvētās vides, IT risinājumu, IT tehnoloģiju piekļūstamību personām ar dažādiem funkcionāliem traucējumiem.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41.2.apakšpunkts izteikts precizētā redakcijā un veikts atbilstošs precizējums anotācijas sadaļā 1.3. Pašreizējā situācija, problēmas un risinājumi (16.lpp.).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ievēro horizontālo principu „Vienlīdzība, iekļaušana, nediskriminācija un pamattiesību ievērošana” un uzkrāj datus par horizontālā principa rādītāju (ja attiecināms): konsultatīva rakstura pasākumu skaits par būvētās vides, IT risinājumu, IT tehnoloģiju piekļūstamību personām ar dažādiem funkcionāliem traucējumiem;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anotācijā ietverto informāciju par to, ka "sadarbības iestāde apkopo un izsniedz pēc Ekonomikas ministrijas pieprasījuma finansējuma saņēmēja iesniegto informāciju par sasniegto enerģijas patēriņa samazinājumu un atjaunoto platību". Vēršam uzmanību, ka Ekonomikas ministrijai ir pieeja Kohēzijas politikas fondu vadības informācijas sistēmai, kur tai ir iespējams iepazīties ar finansējuma saņēmēja sniegtajiem datiem sadarbības iestādē. Papildus vēršam uzmanību, ka saskaņā ar noteikumu projekta 7.punktu finansējuma saņēmējs sniedz informāciju par gada primārās enerģijas patēriņu (nevis patēriņa samazinājumu).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Ekonomikas ministrija ir noteikta kā kompetenta institūcija Direktīvas 2012/27ES izvirzītā mērķa sasniegšanai, FM priekšlikums anotācijā ietvertās informācijas  izvērtēšanai šajā tiesību akta projekta  saskaņošanas fāzē nav ņemts vērā, bet  IZM ieskatā iesaistītajām pusēm </w:t>
            </w:r>
            <w:r w:rsidR="00000000" w:rsidRPr="00000000" w:rsidDel="00000000">
              <w:rPr>
                <w:rtl w:val="0"/>
              </w:rPr>
              <w:t xml:space="preserve">vērtējams turpmāk </w:t>
            </w:r>
            <w:r w:rsidR="00000000" w:rsidRPr="00000000" w:rsidDel="00000000">
              <w:rPr>
                <w:rtl w:val="0"/>
              </w:rPr>
              <w:t xml:space="preserve">pasākuma īstenošanas</w:t>
            </w:r>
            <w:r w:rsidR="00000000" w:rsidRPr="00000000" w:rsidDel="00000000">
              <w:rPr>
                <w:rtl w:val="0"/>
              </w:rPr>
              <w:t xml:space="preserve">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skaidri izsekojamu informāciju, vai plānotajām investīcijām būs tieša, netieša, vai nebūs ietekmes uz šādiem horizontālajiem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8.2. Cita informācija papildināta ar informāciju par plānoto investīciju ietekmi uz HP.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1.3. sadaļas attiecināmo izmaksu apraksta 4.2. punktu papildināt, norādot iekārtu un aprīkojuma piemērus, kas būs attiecināmi videi draudzīga izglītības procesa demonstrācijas pasākumu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attiecināmības skaidrojums videi draudzīga izglītības procesa demonstrācijas pasākumu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2012.gada 25.oktobra Direktīvu 2012/27/ES par energoefektivitāti, ar ko groza Direktīvas 2009/125/EK un 2010/30/ES, un atceļ Direktīvas 2004/8/EK un 2006/32/EK (turpmāk – Direktīva 2012/27ES) Latvijai jāsasniedz indikatīvais valsts energoefektivitātes mērķis, kura ietvaros jānodrošina, ka katru gadu 3% valdības īpašumā esošo un izmantoto  ēku platībās ir jāīsteno energoefektivitātes paaugstināšanas pasākumi (Direktīvas 2012/27ES 3.panta un 5.panta 1.punkta prasība). Ņemot vērā, ka Ekonomikas ministrija ir kompetenta institūcija Direktīvas 2012/27ES izvirzītā mērķa sasniegšanai, sadarbības iestāde apkopo un izsniedz pēc Ekonomikas ministrijas pieprasījuma finansējuma saņēmēja iesniegto informāciju par sasniegto enerģijas patēriņa samazinājumu un atjaunoto platību.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2012.gada 25.oktobra Direktīvu 2012/27/ES par energoefektivitāti, ar ko groza Direktīvas 2009/125/EK un 2010/30/ES, un atceļ Direktīvas 2004/8/EK un 2006/32/EK (turpmāk – Direktīva 2012/27ES) Latvijai jāsasniedz indikatīvais valsts energoefektivitātes mērķis, kura ietvaros jānodrošina, ka katru gadu 3% valdības īpašumā esošo un izmantoto  ēku platībās ir jāīsteno energoefektivitātes paaugstināšanas pasākumi (Direktīvas 2012/27ES 3.panta un 5.panta 1.punkta prasība). Ņemot vērā, ka Ekonomikas ministrija ir kompetenta institūcija Direktīvas 2012/27ES izvirzītā mērķa sasniegšanai, sadarbības iestāde apkopo un izsniedz pēc Ekonomikas ministrijas pieprasījuma finansējuma saņēmēja iesniegto informāciju par sasniegto enerģijas patēriņa samazinājumu un atjaunoto platību.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anotācijas sadaļa 1.3. Pašreizējā situācija, problēmas un risinājumi. (Skat. 1.lpp.)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norādīto informāciju "Finansējuma saņēmējam projekta personāla izmaksu likmes aprēķinam paredzēts piemērot izmaksu vienoto likmi 17 % apmērā no projekta tiešajām attiecināmajām izmaksām, bet neieskaitot tiešās projekta personāla izmaksas. Sadarbības partnerim projekta personāla izmaksas netiek plānotas." piedāvātajā redakcijā. Vēršam uzmanību, ka minēto likmi plānots piemērot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projekta personāla izmaksām paredzēts piemērot izmaksu vienoto likmi 17 % apmērā no projekta tiešajām attiecināmajām izmaksām, bet neieskaitot tiešās projekta personāla izmaksas. Sadarbības partnerim projekta personāla izmaksas netiek plānotas.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atbilstošs precizējums anotācijas sadaļā 1.3. Pašreizējā situācija, problēmas un risinājumi (skat.11.lpp.).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“Tiesību akta projekta ietekme uz valsts budžet un pašvaldību budžetiem” 6.2.apakšpunktā norādītā finansējuma sadalījumu pa finansējuma avotiem un gadiem, salāgojot to ar šīs sadaļas 6.punktā norādīto finansējumu (novirze valsts budžeta finansējumam 1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3.sadaļas “Tiesību akta projekta ietekme uz valsts budžet un pašvaldību budžetiem” 6.2.apakšpunktā norādītā finansējuma sadalījums pa finansējuma avotiem un gadiem, salāgojot to ar šīs sadaļas 6.punktā norādīto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5.4. sadaļas 1. tabulu, ņemot vērā aktuālo noteikumu projekta vienību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 sadaļas 1. tabula, ņemot vērā aktuālo noteikumu projekta vienību numerāciju.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izglītības jomas pārstāvošu biedrību, nodibinājumu, nevalstisko organizāciju  iesaisti Ministru kabineta noteikumu projekta izstrādē.  Vēršam uzmanību uz Ministru Prezidenta 2021.gada 7.septembra rezolūcijā Nr. 2021-1.1.1./50-50 noteikto: “Izstrādājot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6.2. sadaļā sniegts skaidrojums, ka lai nodrošinātu Ministru Prezidenta 2021.gada 7.septembra rezolūcijā Nr.2021-1.1.1./50-50 noteikto: "Izstrādājot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Izglītības un zinātnes ministrija kā ES fondu vadībā iesaistītā atbildīgā iestāde savlaicīgi, pirms tiesību akta izsludināšanas starpministriju saskaņošanā, TAP portālā 15.04.2024. uzsāka noteikumu projekta “Eiropas Savienības kohēzijas politikas programmas 2021. – 2027. gadam prioritātes Nr. 2.1. „Klimata pārmaiņu mazināšana un pielāgošanās klimata pārmaiņām” 2.1.1. specifiskā atbalsta mērķa „Energoefektivitātes veicināšana un siltumnīcefekta gāzu emisiju samazināšana” 2.1.1.5. pasākuma „Klimata neitrāli risinājumi profesionālās izglītības iestāžu un koledžu izglītības programmās, vidē un infrastruktūrā” īstenošanas noteikumi” (turpmāk  - 2.1.1.5.pasākums) publiskās apspriešanas procesu ( 24-TA-880), kas noslēdzās 13.05.2024. Publiskās apspriešanas laikā netika saņemti priekšlikumi vai iebildumi.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specifiskajām un vispārīgajām horizontālā principa "Vienlīdzība, iekļaušana, nediskriminācija un pamattiesību ievērošana" (HP VINPI) darbībām, kuras sekmēs personu ar invaliditāti vienlīdzīgas iespējas un tiesības, atbilstoši LM/TM vadlīnijās [1]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pasākumam tiek piemērots izņēmums attiecībā uz vienoto izvēles  kritēriju un vienoto kritēriju izmantošanu, proti nav jāpiemēro kritēriji par horizontālajiem principiem,  vēršam uzmanību, ka finansējuma saņēmējam ir jāievēro horizontālais princips, kas noteikts ES fondu kopējās regulas 2021/1060 9.pantā, kā arī jāievēro LM/TM vadlīnijās [1] sniegtās rekomendācijas attiecībā uz HP VINPI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“Horizontālais princips “Vienlīdzība, iekļaušana, nediskriminācija un pamattiesību ievērošana” vadlīnijas īstenošanai un uzraudzībai (2021-2027),  pieejamas: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2.1.1.5. pasākuma ietvaros tiks īstenotas vispārīgas un specifiskas darbības, kas veicina personu ar invaliditāti vienlīdzīgas iespējas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HP VINPI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nodrošināts, ka informācija tīmeklī ir piekļūstama cilvēkiem ar funkcionāliem traucējumiem, izmantojot vairākus sensoros (redze, dzirde, tauste) kanālus;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projekta komunikācijas aktivitātes, tiks izvēlēta valoda un vizuālie tēli, kas mazina diskrimināciju un stereotipu veidošanos;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projektā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Specifiskās HP VINPI darbības (attiecināms,ja projektā paredzētas vides un informācijas piekļūstamības nodrošināšanas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ietvaros tiks nodrošinātas vides piekļūstamības ekspertu konsultācijas, tās paredzot projektēšanas un būvniecības procesā (attiecīgi pievienojot dokumentus, piem. konsultāciju protokolus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būvnormatīvā LBN 200-21 noteiktajam, projekta ietvaros tiks īstenotas labās prakses darbības, kas īpaši veicina vides piekļūstamību cilvēkiem ar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vides un informācijas piekļūstamības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8.1.9.sadaļa.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pēdējo rindkopu un  specifisko darbību -  "Projekta ietvaros tiks īstenotas darbības, kas veicina dzimumu līdztiesību: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(Specifiskās HP darbības) – izstrādājot iepirkumu nolikumus, kā arī nodrošinot pakalpojumus, tiks ņemtas vērā sieviešu un vīriešu vajadzības, situācija un iespējas.", jo šāda specifiskā darbība neizriet no pasākuma atbalstāmajām darbībām un satura.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pēdējā rindkopa un  specifiskā darbība -  "Projekta ietvaros tiks īstenotas darbības, kas veicina dzimumu līdztiesību: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(Specifiskās HP darbības) – izstrādājot iepirkumu nolikumus, kā arī nodrošinot pakalpojumus, tiks ņemtas vērā sieviešu un vīriešu vajadzības, situācija un iespējas.", jo šāda specifiskā darbība neizriet no pasākuma atbalstāmajām darbībām un satura.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lūdzu dzēst no 8.2.sadaļas šo rindkopu, jo tā dublē informāciju 8.1.9. un 8.1.10. sadaļās, sākot ar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tiks īstenotas vispārīgas un specifiskas horizontālā principa "Vienlīdzība, iekļaušana, nediskriminācija un pamattiesību ievērošana", kas veicina personu ar invaliditāti vienlīdzīgas iespējas un tiesības" un beidzot ar "projektēšanas laikā un pirms objekta nodošanas ekspluatācijā publiskajai infrastruktūrai tiks veikts vides un informācijas piekļūstamības pašnovērtējums, kur iegūto punktu skaits nav zemāks par 8 (LM vides un informācijas piekļūstamības pašnovērtējuma metodika pieejama šeit: https://www.lm.gov.lv/lv/vides-pieklustamibas-pasnovertejums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norādīt informāciju par rīkojumu ar kuru noteikts, ka pasākumam tiek piemērots izņēmums attiecībā uz vienoto izvēles  kritēriju un vienoto kritēriju izmantošanu, proti nav jāpiemēro kritēriji par horizontālajiem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sadaļā precizēta izslēdzot dublējošo informāciju. Informācija par rīkojumu, ar kuru noteikts, ka pasākumam tiek piemērots izņēmums attiecībā uz vienoto izvēles  kritēriju un vienoto kritēriju izmantošanu, proti nav jāpiemēro kritēriji par HP, norādīta 8.1.9.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24-TA-880</w:t>
    </w:r>
    <w:r>
      <w:br/>
    </w:r>
    <w:r w:rsidR="00000000" w:rsidRPr="00000000" w:rsidDel="00000000">
      <w:rPr>
        <w:rtl w:val="0"/>
      </w:rPr>
      <w:t xml:space="preserve">03.09.2024. 15.57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24-TA-880</w:t>
    </w:r>
    <w:r>
      <w:br/>
    </w:r>
    <w:r w:rsidR="00000000" w:rsidRPr="00000000" w:rsidDel="00000000">
      <w:rPr>
        <w:rtl w:val="0"/>
      </w:rPr>
      <w:t xml:space="preserve">03.09.2024. 15.57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Izziņa_24-TA-880.docx</dc:title>
</cp:coreProperties>
</file>

<file path=docProps/custom.xml><?xml version="1.0" encoding="utf-8"?>
<Properties xmlns="http://schemas.openxmlformats.org/officeDocument/2006/custom-properties" xmlns:vt="http://schemas.openxmlformats.org/officeDocument/2006/docPropsVTypes"/>
</file>