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25-TA-2466: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Dabas aizsardzības pārvaldes publisko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10.12.2025. 09:48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- 16.12.2025.)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politikas pamatnostādnēs 2022.–2027. gadam (apstiprinātas ar 2022. gada 31. maija Ministru kabineta rīkojumu Nr. 397) kā viens no galvenajiem virzieniem ir noteikts  tautas sports, lai nodrošinātu iespēju ikvienam iedzīvotājam iesaistīties regulārās fiziskās aktivitātēs un veselību veicinošos sporta pasākumos, kā arī veidot iedzīvotāju izpratni par fizisko aktivitāšu nozīmi veselības saglabāšanā un nostiprināšanā.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pārvaldes publisko maksas pakalpojumu cenrāža projekta 15.punktā noteiktie maksājumi par publisku pasākumu rīkošanu brīvā dabā īpaši aizsargājamā dabas teritorijā, ja tiek izmantota valsts īpašums, kas atrodas pārvaldes pārvaldījumā, būtiski samazinās daudzu brīvā dabā organizējamu sporta, īpaši tautas sporta, pasākumu pieejamību, radīs papildu finansiālo slogu tautas sporta  un veselību veicinošo pasākumu organizatoriem un ierobežos sociāli mazāk aizsargāto sabiedrības grupu līdzdalību šajos pasākumos. Tas padarīs neiespējamu daudzu sabiedrisku iniciatīvu (piemēram, tautas sporta, veselības veicināšanas, ģimeņu un kopienu pasākumu) īstenošanu, mazinās sabiedrības iesaisti un sabiedrisko aktivitāti, kas ir pretrunā ar sabiedrības interesēm un valsts mērķiem attiecībā uz iedzīvotāju iesaisti fiziskajās aktivitātēs un veselību veicinošos sporta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to, ka 15.punktā noteiktais  skar daudzskaitlīgi pārstāvētu sporta veidu, tautas sporta un veselību veicinošo pasākumu organizētājus un pasākumos iesaistītās sabiedrības grupas, nepieciešams pārskatīt  Dabas aizsardzības pārvaldes publisko maksas pakalpojumu cenrāža projekta 15.punktā noteikto maksu par publisku pasākumu rīkošanu brīvā dabā īpaši aizsargājamā dabas teritorijā, ja tiek izmantota valsts īpašums, kas atrodas pārvaldes pārvaldījumā, kā arī nepieciešams nodrošināt detalizētu ekonomiskās ietekmes izvērtējumu un apzināt un izvērtēt alternatīvus risinājumus, kas mazinātu sporta  pasākumu, īpaši tautas sporta un veselības veicināšanas pasākumu, organizētāju finansiālo slogu un minēto pasākumu pieejamību sociāli mazāk aizsargātajām sabiedrības grupām.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iepriekšminēto, nepieciešama diskusija, iesaistot Izglītības un zinātnes ministriju, kas saskaņā ar Sporta likuma 5.panta pirmo daļu pilda valsts pārvaldes funkcijas sporta nozarē, un sporta pasākumu organizēšanas nozares pārstāvjus.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anotācijas 2. un 6.sadaļā.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2026.gada 19.janvāra vēstulē Nr.P-1-13-2/258 Latvijas Orientēšanās federācijai un citām sporta organizācijām sniedza detalizētu atbildi, vienlaikus uzsverot, ka plānojot sporta maksas pasākumus ar vairāk kā 100 dalībniekiem, organizatoriem ir iespēja izvēlēties trasējumu, kas neskar Dabas aizsardzības pārvaldes pārvaldīšanā esošās īpaši aizsargājamās dabas teritorijas, kas norādītas Dabas aizsardzības pārvaldes Dabas datu pārvaldības sistēmā "Ozols" https://ozols.gov.lv/kartes/apps/experiencebuilder/experience/?id=e3c6c2161b6945bc9cc87a455751492b. Cenrādis neietekmēs dabas tūrisma nozari, kam primāri ir radīta īpaši aizsargājamo dabas teritoriju infrastruktūra. Tāpat Cenrādī noteiktā maksa neietekmē nekomerciālus pasākumus, tautas sporta attīstību, sporta aktivitātes brīvā dabā, ko cilvēki veic veselības uzlabošanas nolūkos.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7.un 8.punkta nosacījumi tieši attiecas uz pielikuma 15.punkta pakalpojumu un paredz 100% atlaides piemērošanu pirmsskolas izglītības iestāžu audzēkņiem, skolēniem un studentiem, daudzbērnu ģimenēm un cilvēkiem ar invaliditāti, ja atlaidi dalībai pasākumā attiecīgajām grupām ir piemērojis arī pasākuma organizators un pēc pasākuma var iesniegt Pārvaldei dalībnieku skaita sadalījumu pa grupām atlaides aprēķināšanai. Atlaides aprēķināšana tiks veikta pēc šāda principa: (1) nosaka kopējo dalībnieku skaitu pasākumā; (2) nosaka, cik dalībniekiem piemērojama atlaide saskaņā ar noteikumu 7. punktu; (3) aprēķina maksu uz vienu dalībnieku: pakalpojuma kopējā maksa dalīta ar kopējo dalībnieku skaitu; (4) aprēķina kopējo atlaidi: maksa uz vienu dalībnieku reizināta ar atlaides saņēmēju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Piemērs: pasākumā kopējais skaits 150 dalībnieki, no kuriem 50 dalībniekiem būtu piemērojama atlaide atbilstoši noteikumu 7. punktā minētām grupām, tad maksu par pakalpojumu 110 euro dala ar kopējo 150 dalībnieku skaitu, kas veido 0,73 euro uz vienu dalībnieku, attiecīgi atlaide piemērojam par 0,73x50 = 36,50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Izglītības un zinātnes ministriju 2026.gada 30.janvārī tika nodrošināta pilnvērtīga diskusija ar vēstulē pārstāvēto sporta organizāciju pārstāvi, kuras laikā tika panākta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- 17.12.2025.)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kancelejā 2025.gada 12.decembrī ir saņemta vairāku biedrību un nodibinājumu - Latvijas Orientēšanās federācijas, Latvijas Riteņbraukšanas federācijas, Latvijas Kalnu divriteņu federācijas, Latvijas Vieglatlētikas savienības, Latvijas Veselības un Fitnesa Asociācijas, biedrības "Pieliec soli", SK Mitauer, biedrības "Sporta klubs Brīvsolis", biedrības "Engures sportam", Ceļojumu un orientēšanās kluba "Silva" "Sveikuļi", biedrības "Hokeja Klubs Tukums",  "I.S.Sports Agency", biedrības "Taisnais", biedrības “JP SPORTS”, Latvijas Skrejriteņu federācijas, biedrības "Rollertour", Latvijas Kalnu riteņbraukšanas attīstības centra - parakstīta vēstule, kurā pausti iebildumi par noteikumu projekta virzības procesu, iecerēto jauno pakalpojumu - maksas noteikšanu pasākumu organizatoriem īpaši aizsargājamās dabas teritorijās - ietekmi uz dažādām sabiedrības grupām, tautas sporta norisēm, kā arī ietekmi uz sabiedrības veselību.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pārliecinājās, ka Viedās administrācijas un reģionālās attīstības ministrija noteikumu projektu ir nodevusi publiskajā apspriešanā, kā arī to, ka notikušās publiskās apspriešanas laikā iebildumi un priekšlikumi no sabiedrības pārstāvjiem netika saņemti. Tomēr konkrētajā gadījumā bija vēlama mērķtiecīga saziņa par ieceri ar līdzšinējiem sadarbības partneriem, piemēram, taku skrējiena "Stirnu buks" organizatoriem, ņemot vērā, ka to organizētie pasākumi iepriekš notikuši dažādās Dabas aizsardzības pārvaldes pārraudzītajās vietās visā Latvijā. Mērķtiecīgu saziņu ar mērķa grupām paredz Ministru kabineta 2024.gada 15.oktobra noteikumi Nr. 639 "Sabiedrības līdzdalības kārtība attīstības plānošanas procesā".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biedrību un nodibinājumu vēstulē paustos argumentus, Valsts kanceleja aicina Viedās administrācijas un reģionālās attīstības ministriju un Dabas aizsardzības pārvaldi pirms noteikumu projekta tālākās virzības nodrošināt pilnvērtīgu diskusiju ar vēstules iesniedzējiem. Aicinām diskusijas norisi atspoguļot noteikumu projekta anotācijā, norādot gan diskusijas norisei veiktās aktivitātes (6.sadaļa), gan ietekmi uz sabiedrības veselību, tautas sportu un vēl citām jomām (anotācijas 1.sadaļa, sadaļa "Horizontālās ietekmes"), ja aktuāli.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anotācijas 2. un 6.sadaļā.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2026.gada 19.janvāra vēstulē Nr.P-1-13-2/258 minētajām sporta organizācijām sniedza detalizētu atbildi, vienlaikus uzsverot, ka plānojot sporta maksas pasākumus ar vairāk kā 100 dalībniekiem, organizatoriem ir iespēja izvēlēties trasējumu, kas neskar Dabas aizsardzības pārvaldes pārvaldīšanā esošās īpaši aizsargājamās dabas teritorijas, kas norādītas Dabas aizsardzības pārvaldes Dabas datu pārvaldības sistēmā "Ozols" https://ozols.gov.lv/kartes/apps/experiencebuilder/experience/?id=e3c6c2161b6945bc9cc87a455751492b. Cenrādis neietekmēs dabas tūrisma nozari, kam primāri ir radīta īpaši aizsargājamo dabas teritoriju infrastruktūra. Tāpat Cenrādī noteiktā maksa neietekmē nekomerciālus pasākumus, tautas sporta attīstību, sporta aktivitātes brīvā dabā, ko cilvēki veic veselības uzlabošanas nolūkos.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Izglītības un zinātnes ministriju 2026.gada 30.janvārī tika nodrošināta pilnvērtīga diskusija ar vēstulē pārstāvēto sporta organizāciju pārstāvi, kuras laikā tika panākta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04.12.2025. 08:37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vienotas terminoloģijas lietošanu, lūdzam precizēt noteikumu projekta pielikuma 20. punktā noteikto Dabas aizsardzības pārvaldes (turpmāk - pārvalde) maksas pakalpojumu. Vienlaikus lūdzam atbilstoši precizēt arī noteikumu projekta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Dzīvnieku aizsardzības likuma 32. panta noteic, ka pārvalde izsniedz </w:t>
            </w:r>
            <w:r w:rsidR="00000000" w:rsidRPr="00000000" w:rsidDel="00000000">
              <w:rPr>
                <w:u w:val="single"/>
                <w:rtl w:val="0"/>
              </w:rPr>
              <w:t xml:space="preserve">zooloģiskā dārza izveidošanas atļauju</w:t>
            </w:r>
            <w:r w:rsidR="00000000" w:rsidRPr="00000000" w:rsidDel="00000000">
              <w:rPr>
                <w:rtl w:val="0"/>
              </w:rPr>
              <w:t xml:space="preserve">. Šāda vārdkopa lietota arī Ministru kabineta 2010. gada 9. novembra noteikumos Nr. 1033 "Prasības savvaļas sugu dzīvnieku turēšanai zooloģiskajā dārzā un prasības zooloģiskā dārza izveidošanai un reģistrācijai".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pielikuma 20. punktā noteiktais pakalpojuma nosaukums, kā arī informācija anotācijas 1.3.apakšpunktā un anotācijas pielikumā pievienotajā aprēķina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vienotas terminoloģijas lietošanu, lūdzam precizēt noteikumu projekta pielikuma 19. punktā minēto pārvaldes maksas pakalpojumu. Vienlaikus lūdzam atbilstoši precizēt arī noteikumu projekta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Sugu un biotopu aizsardzības likuma 4. panta 21. punkta b) apakšpunkts paredz pilnvarojumu Ministru kabinetam noteikt </w:t>
            </w:r>
            <w:r w:rsidR="00000000" w:rsidRPr="00000000" w:rsidDel="00000000">
              <w:rPr>
                <w:u w:val="single"/>
                <w:rtl w:val="0"/>
              </w:rPr>
              <w:t xml:space="preserve">atļaujas darbībām ar invazīvajām sugām</w:t>
            </w:r>
            <w:r w:rsidR="00000000" w:rsidRPr="00000000" w:rsidDel="00000000">
              <w:rPr>
                <w:rtl w:val="0"/>
              </w:rPr>
              <w:t xml:space="preserve"> izniegšanas, apturēšanas un anulēšanas nosacījumus un izdoto atļauju kontroles kārtību. Šāda vārdkopa lietota arī Ministru kabineta noteikumu projektā "Invazīvo sugu introdukcijas un izplatīšanas profilakses un pārvaldības noteikumi" (25-TA-618).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pielikuma 19. punktā noteiktais pakalpojuma nosaukums, kā arī informācija anotācijas 1.3. apakšpunktā un anotācijas pielikumā pievienotajā aprēķina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1.2. sadaļu, norādot noteikumu projekta stāšanās termiņu, kā arī pamatojot noteikumu projekta steidzamību un izvēlēto spēkā stāšanās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virzīts vispārējā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vieglākai un saprotamākai uztverei, iesakām pielikuma: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- 9.2. pozīcijai atstāt nosaukumu "dabas izglītības nodarbība izbraukumā",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pozīcijai atstāt nosaukumu "Pārvaldes speciālista/eksperta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- 12.4. pozīcijai atstāt nosaukumu "maksa par 12.1.-12.3. apakšpunktā minēto valsts zemes nomas līgumu izpildes uzraudzības vizīti",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pozīcijai atstāt nosaukumu "Invazīvo sugu turēšanas atļaujas izsniegšana",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 pozīcijai atstāt nosaukumu "Zooloģiskā dārza izveidošanas un reģistrācijas atļaujas izsniegšana",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pārējo šobrīd esošā nosaukuma daļu atstāt kā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īss, skaidrs pakalpojuma nosaukums, informāciju par pieskaitāmiem ceļa izdevumiem norādot piezīmēs.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"Anotācijas pielikumā 2025. gadā veiktajos aprēķinos jaunajiem maksas pakalpojuma veidiem atalgojuma izmaksas atbilstoši Valsts un pašvaldību institūciju amatpersonu un darbinieku atlīdzības likuma 3. pielikumā noteiktajai mēnešalgu skalai sasniedz intervāla minimumu". Saskaņā ar Dabas aizsardzības pārvaldes un Nacionālā botāniskā dārza sniegtajiem datiem Atlīdzības uzskaites sistēmā secināms, ka jau šobrīd abās iestādēs vidējais atalgojuma līmenis ir ļoti zems un faktiski ir tikai nedaudz virs skalas minimuma, lai gan ieteicamais apmērs ir tuvināties attiecīgās mēnešalgu grupas skalas viduspunktam, kas vienlaikus ir arī konkurētspējīgs atalgojums un veido  80% no līdzīgas vērtības darba privātajā sektorā. Ja visās valsts pārvaldes iestādēs vidējais mēnešalgas apmērs sastāda 89% no skalas viduspunkta, tad attiecīgi Dabas aizsardzības pārvaldē tas ir 79%, bet Nacionālā botāniskajā dārzā - 73%. Situācija ar darba samaksu (mēnešalga un piemaksas) ir ļoti līdzīga, t.i. , valstī vidēji tie ir 97% no algu skalas viduspunkta, kurpretī Dabas aizsardzības pārvaldē 83%, bet Nacionālā botāniskā dārzā - 78%.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maksas pakalpojumu cenrādis ir spēkā ilgāku laika periodu nekā viens gads, bet prakse pierāda, ka tas bez izmaiņām strādā 10 un vairāk gadus. Šāda pieeja, nosakot tik zemu darba samaksu ilgtermiņā, noved pie tā, ka pastāv risks, ka būs nepieciešamība maksas pakalpojumu sniegšanā iesaistītajiem nodarbinātajiem daļu no atlīdzības kompensēt no valsts budžeta līdzekļiem, tādejādi pastāvot riskam par sliktu finanšu resursu pārvaldību.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Detalizētajos aprēķinos, kas pievienoti anotācijas pielikumā, katra publiskā pakalpojuma izcenojumā ir ņemts vērā patreizējais atalgojums. Atbilstoši valsts pārvaldē nodarbināto atlīdzības regulējumam, aktualizējot cenrādi, Dabas aizsardzības pārvalde nodrošinās pakalpojuma sniedzēju atalgojuma aprēķinus, ņemot vērā mēnešalgu skalas viduspunktu.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3. sadaļas 6. punktā norādīto izdevumu sadalījumu 2027.gadam un 2028.gadam ar 1.1. un 2.1. apakšpunktos norādīto informāciju, jo, saskaitot kopā 6. punktā norādītos apmērus 473 986 euro un 449 250 euro, kopsumma veidojas 923 236 euro apmērā, taču 3. sadaļas 1.1. un 2.1. apakšpunktos norādītās kopsummas attiecīgajiem gadiem ir 922 920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par 2027.gada plānotajiem ieņēmumiem anotācijas 3.sadaļas 6.punktā atbilstoši 3.sadaļas 1.1.un 1.2.apakšpunktos norādītajam plānotajam ieņēmumu un izdevumu apjomam.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25-TA-2466</w:t>
    </w:r>
    <w:r>
      <w:br/>
    </w:r>
    <w:r w:rsidR="00000000" w:rsidRPr="00000000" w:rsidDel="00000000">
      <w:rPr>
        <w:rtl w:val="0"/>
      </w:rPr>
      <w:t xml:space="preserve">13.02.2026. 20.25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25-TA-2466</w:t>
    </w:r>
    <w:r>
      <w:br/>
    </w:r>
    <w:r w:rsidR="00000000" w:rsidRPr="00000000" w:rsidDel="00000000">
      <w:rPr>
        <w:rtl w:val="0"/>
      </w:rPr>
      <w:t xml:space="preserve">13.02.2026. 20.25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Izziņa_25-TA-2466.docx</dc:title>
</cp:coreProperties>
</file>

<file path=docProps/custom.xml><?xml version="1.0" encoding="utf-8"?>
<Properties xmlns="http://schemas.openxmlformats.org/officeDocument/2006/custom-properties" xmlns:vt="http://schemas.openxmlformats.org/officeDocument/2006/docPropsVTypes"/>
</file>