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24-TA-1896: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9. jūlija noteikumos Nr. 447 "Eiropas Savienības kohēzijas politikas programmas 2021.–2027. gadam 2.3.1. specifiskā atbalsta mērķa "Veicināt ilgtspējīgu daudzveidu mobilitāti pilsētās" 2.3.1.3. pasākuma  "Veloinfrastruktūras attīstība"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(12.07.2024.)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Pasākumam pieejamais kopējais attiecināmais finansējums līdz 2025. gada 31. decembrim ir 22 287 965 </w:t>
            </w:r>
            <w:r w:rsidR="00000000" w:rsidRPr="00000000" w:rsidDel="00000000">
              <w:rPr>
                <w:i w:val="1"/>
                <w:rtl w:val="0"/>
              </w:rPr>
              <w:t xml:space="preserve">euro</w:t>
            </w:r>
            <w:r w:rsidR="00000000" w:rsidRPr="00000000" w:rsidDel="00000000">
              <w:rPr>
                <w:rtl w:val="0"/>
              </w:rPr>
              <w:t xml:space="preserve">, tai skaitā ERAF finansējums 18 944 770 </w:t>
            </w:r>
            <w:r w:rsidR="00000000" w:rsidRPr="00000000" w:rsidDel="00000000">
              <w:rPr>
                <w:i w:val="1"/>
                <w:rtl w:val="0"/>
              </w:rPr>
              <w:t xml:space="preserve">euro </w:t>
            </w:r>
            <w:r w:rsidR="00000000" w:rsidRPr="00000000" w:rsidDel="00000000">
              <w:rPr>
                <w:rtl w:val="0"/>
              </w:rPr>
              <w:t xml:space="preserve">un nacionālais finansējums (valsts budžeta finansējums) 3 343 195 </w:t>
            </w:r>
            <w:r w:rsidR="00000000" w:rsidRPr="00000000" w:rsidDel="00000000">
              <w:rPr>
                <w:i w:val="1"/>
                <w:rtl w:val="0"/>
              </w:rPr>
              <w:t xml:space="preserve">euro, </w:t>
            </w:r>
            <w:r w:rsidR="00000000" w:rsidRPr="00000000" w:rsidDel="00000000">
              <w:rPr>
                <w:rtl w:val="0"/>
              </w:rPr>
              <w:t xml:space="preserve">vienlaikus paredzot šo noteikumu 8.punktā minēto rādītāju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Satiksmes ministrijas (turpmāk - SM) sagatavoto projektu “Grozījumi Ministru kabineta 2023. gada 7. marta noteikumos Nr. 116 "Būvju kadastrālās uzmērīšanas noteikumi"" (turpmāk - Projekts) un izsaka šādus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izsaka priekšlikumu izvērtēt 1. punkta redakciju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punktā SM piedāvā Noteikumu 5.punktu sasaistīt ar noteikumu 8.punktu. Teikuma konstrukcija ir veidota tā, it kā 5.punktā būtu jādublē 8.punkta kritēriji, tomēr tie ir atšķirīgi.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skaidrojot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8.punktā minēto rādītāju nosaukumi un to sasniedzamās vērtības ir noteiktas/ definētas  Eiropas Savienības kohēzijas politikas programmā 2021. – 2027.gadam.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8.punktā minēto rādītāju sasniedzamās vērtības (60 km un 5820 lietotāji) var sasniegt tikai ja ir piešķirts elastības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5.punktā ir noteiktas rādītāju vērtības bez elastības finansējuma. Līdz ar to ir jābūt sasaistei starp 5. un 8.punktu. Tātad bez elastības finansējuma tiek izbūvēti 50 km no 60 km (ja tiktu piešķirts elastības finansējums). Kā arī infrastruktūras lietotāju skaits gadā ir 4850 no 5820 (ja tiktu piešķirts elastības finansējums). Ja šāda sasaiste starp 5. un 8.punktu netiktu veidota, tad, piemēram, varētu uzskatīt, ka jāsasniedz 110 km (50 km +60 km).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Pasākumam pieejamais kopējais attiecināmais finansējums līdz 2025. gada 31. decembrim ir 22 287 965 </w:t>
            </w:r>
            <w:r w:rsidR="00000000" w:rsidRPr="00000000" w:rsidDel="00000000">
              <w:rPr>
                <w:i w:val="1"/>
                <w:rtl w:val="0"/>
              </w:rPr>
              <w:t xml:space="preserve">euro</w:t>
            </w:r>
            <w:r w:rsidR="00000000" w:rsidRPr="00000000" w:rsidDel="00000000">
              <w:rPr>
                <w:rtl w:val="0"/>
              </w:rPr>
              <w:t xml:space="preserve">, tai skaitā ERAF finansējums 18 944 770 </w:t>
            </w:r>
            <w:r w:rsidR="00000000" w:rsidRPr="00000000" w:rsidDel="00000000">
              <w:rPr>
                <w:i w:val="1"/>
                <w:rtl w:val="0"/>
              </w:rPr>
              <w:t xml:space="preserve">euro </w:t>
            </w:r>
            <w:r w:rsidR="00000000" w:rsidRPr="00000000" w:rsidDel="00000000">
              <w:rPr>
                <w:rtl w:val="0"/>
              </w:rPr>
              <w:t xml:space="preserve">un nacionālais finansējums (valsts budžeta finansējums) 3 343 195 </w:t>
            </w:r>
            <w:r w:rsidR="00000000" w:rsidRPr="00000000" w:rsidDel="00000000">
              <w:rPr>
                <w:i w:val="1"/>
                <w:rtl w:val="0"/>
              </w:rPr>
              <w:t xml:space="preserve">euro, </w:t>
            </w:r>
            <w:r w:rsidR="00000000" w:rsidRPr="00000000" w:rsidDel="00000000">
              <w:rPr>
                <w:rtl w:val="0"/>
              </w:rPr>
              <w:t xml:space="preserve">vienlaikus paredzot šo noteikumu 8.punktā minēto rādītāju izpildi: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atdalītas jaunizbūvētas vai būtiski uzlabotas veloceļu infrastruktūras garums ir 50 km;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izsaka priekšlikumu izvērtēt 1. punktā piedāvāto Noteikumu 5.1.punktu SM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1.punktā SM piedāvā Noteikumu 5.1.punktā noteikt atdalītas jaunizbūvētas vai būtiski uzlabotas veloceļu infrastruktūras garuma kritēriju 50 km. LDDK izsaka priekšlikumu izvērtēt, kādas sekas būs gadījumā, ja atdalītas jaunizbūvētas vai būtiski uzlabotas veloceļu infrastruktūras garums būs, piemēram, 50,1km. Noteikumu 8.punktā neskaidrība ir novērsta, nosakot kritērijus kā sasniedzamos lielumus.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Attiecībā par LDDK piemēru skaidrojam - ja elastības finansējums netiek piešķirts, tad sekas nav, jo ir izbūvēti vairāk kā 50 km.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atdalītas jaunizbūvētas vai būtiski uzlabotas veloceļu infrastruktūras garums ir vismaz 50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atdalītas riteņbraukšanas infrastruktūras lietotāju skaits gadā ir 4 850 lietotāji;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izsaka priekšlikumu izvērtēt 1. punktā piedāvāto Noteikumu 5.2.punktu SM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1.punktā  SM piedāvā Noteikumu 5.2.punktā noteikt atdalītas riteņbraukšanas infrastruktūras lietotāju skaita kritēriju gadā 4 850 lietotāji.  LDDK izsaka priekšlikumu izvērtēt, kādas sekas būs gadījumā, ja atdalītas riteņbraukšanas infrastruktūras lietotāju skaits gadā izrādīsies 4 851 lietotājs. Noteikumu 8.punktā neskaidrība ir novērsta, nosakot kritērijus kā sasniedzamos lielumus.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Attiecībā par LDDK piemēru skaidrojam - ja elastības finansējums netiek piešķirts, tad sekas nav, jo lietotāju skaits ir vairāk kā 4850.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atdalītas riteņbraukšanas infrastruktūras lietotāju skaits gadā ir vismaz 4 850 lietotāji;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24-TA-1896</w:t>
    </w:r>
    <w:r>
      <w:br/>
    </w:r>
    <w:r w:rsidR="00000000" w:rsidRPr="00000000" w:rsidDel="00000000">
      <w:rPr>
        <w:rtl w:val="0"/>
      </w:rPr>
      <w:t xml:space="preserve">27.08.2024. 09.54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24-TA-1896</w:t>
    </w:r>
    <w:r>
      <w:br/>
    </w:r>
    <w:r w:rsidR="00000000" w:rsidRPr="00000000" w:rsidDel="00000000">
      <w:rPr>
        <w:rtl w:val="0"/>
      </w:rPr>
      <w:t xml:space="preserve">27.08.2024. 09.54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Izziņa_24-TA-1896.docx</dc:title>
</cp:coreProperties>
</file>

<file path=docProps/custom.xml><?xml version="1.0" encoding="utf-8"?>
<Properties xmlns="http://schemas.openxmlformats.org/officeDocument/2006/custom-properties" xmlns:vt="http://schemas.openxmlformats.org/officeDocument/2006/docPropsVTypes"/>
</file>