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24-TA-2815: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23. maija noteikumos Nr. 259 "Valsts un Eiropas Savienības atbalsta piešķiršanas kārtība dzīvnieku, sējumu un stādījumu apdrošināšanai 2023.–2027. gada plānošanas periodā"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(29.02.2024.)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23. maija noteikumos Nr. 259 "Valsts un Eiropas Savienības atbalsta piešķiršanas kārtība dzīvnieku, sējumu un stādījumu apdrošināšanai 2023.–2027.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(ZSA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un jau nākamajos noteikumu grozījumos definēt konkrētus riskus un nosacījumus, kad tie uzskatāmi par tādiem, kas ir iestājušies;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negodprātīgo gadījumu skaitu, piesakoties uz apdrošināšanas atbalstu, nākamajos noteikumu grozījumos aicinām izteikt 7.3.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atlīdzības limitu par katru apdrošināto risku vismaz 200 procentu apmērā no kopējās apdrošināšanas prēmijas par visiem polisē minētajiem riskiem, izņemot par savvaļas dzīvnieku un putnu postījumu risku ziemas periodā. Polisē, kas ir iesniedzama Lauku atbalsta dienestā, ir jānorāda visi apdrošinātie riski, attiecināmās un neattiecināmās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iespēja iekļaut noteikumos Nr. 259 konkrētus riskus un nosacījumus, kad tie uzskatāmi par tādiem, kas ir iestājušies. Ņemot vērā to, ka šādas metodikas iekļaušana prasa norādīt daudz detalizētas informācijas par katru risku un katru kultūraugu un dzīvnieku, kā arī to, ka apdrošināšanas sabiedrības izmanto dažādas metodikas, šobrīd šādu informāciju noteikumu projektā iekļaut nav iespējams, jo tas būtiski ietekmētu noteikumu projekta izstrādes ilgumu un tas šogad būtiski kavētu iespēju atvērt iesniegumu iesniegšanas kārtu atbalsta saņemšanai. Papildus jāņem vērā tas, ka šajā gadā daļa no apdrošināšanas polisēm, kas tiks iesniegtas atbalsta saņemšanai, jau ir noslēgtas ar tiem riska iestāšanās nosacījumiem, ko piedāvā apdrošināšanas sabiedrības, un būtu nepieciešams noteikt pārejas periodu. Tāpēc par šo priekšlikumu ir nepieciešamas plašākas diskusijas.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grozījumiem 7.3. apakšpunktā, kas paredzētu, ka "Polisē, kas ir iesniedzama Lauku atbalsta dienestā, ir jānorāda visi apdrošinātie riski, attiecināmās un neattiecināmās izmaksas”, norādām, ka apdrošinātos riskus apdrošināšanas sabiedrības polisē (apdrošināšanas līgumā) norāda saskaņā ar Apdrošināšanas līguma likumu. Attiecībā uz neattiecināmo izmaksu norādīšanu kārtība ir noteikta noteikumu Nr. 259 8.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biedrību "Zemnieku saeima", ka par izteiktajiem priekšlikumiem tiks rīkotas papildu diskusijas, neskarot šo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ar projekta 5. punktā paredzētiem grozījumiem, līdzīgi kā, piemēram, tiesību akta projektā "Grozījumi Ministru kabineta 2023. gada 31. janvāra noteikumos Nr. 50 "Kārtība, kādā administrē un uzrauga Eiropas Lauksaimniecības garantiju fondu un Eiropas Lauksaimniecības fondu lauku attīstībai, kā arī valsts un Eiropas Savienības atbalstu lauksaimniecībai un lauku attīstībai 2023.–2027. gada plānošanas periodā"" (24-TA-2911), paredzēts ieviest Eiropas Parlamenta un Padomes 2012. gada 14. marta Regulas (ES) Nr. 260/2012, ar ko nosaka tehniskās un darbības prasības kredīta pārvedumiem un tiešā debeta maksājumiem euro un groza Regulu (EK) Nr. 924/2009, 3. un 9. panta prasības. Attiecīgā gadījumā lūdzam papildināt projekta anotācijas 5. sadaļu ar informāciju par minētās regulas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Ministru kabineta 2023. gada 23. maija noteikumu Nr. 259 "Valsts un Eiropas Savienības atbalsta piešķiršanas kārtība dzīvnieku, sējumu un stādījumu apdrošināšanai 2023.–2027. gada plānošanas periodā" (turpmāk - noteikumi) 10. punktā (projekta 3. punkts) ir ieviests Eiropas Parlamenta un Padomes 2021. gada 2. decembra Regulas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 76. panta 6. punkts. Attiecīgi lūdzam izvērtēt, vai Regulas 2021/2115 76. panta 6. punkts joprojām ir attiecināms, un skaidrot noteikumu projektā paredzētās izmaiņas attiecībā uz tā ieviešanu (no projekta 3. punkta šobrīd izriet, ka turpmāk Regulas 2021/2115 76. panta 6. punkts tiek ieviests nevis noteikumu 10. punktā, bet 10.1.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regulu Nr. 260/2012 papildināta anotācijas 1. un 5.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2021/2115 76. panta 6. punkts joprojām ieviests ar noteikumu Nr. 259 10. punktu, tāpēc papildināta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Lauku atbalsta dienests atbalstu atbalsta pretendentam izmaksā bezskaidras naudas norēķinu veidā uz tā kontu, kas atvērts pie maksājumu pakalpojumu sniedzēja saskaņā ar Maksājumu pakalpojumu un elektroniskās naudas likuma 2. panta otrās daļas 1., 2., 4., 7. un 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projekta 5. punktu, līdzīgi kā tiesību akta projektā "Grozījumi Ministru kabineta 2023. gada 31. janvāra noteikumos Nr. 50 "Kārtība, kādā administrē un uzrauga Eiropas Lauksaimniecības garantiju fondu un Eiropas Lauksaimniecības fondu lauku attīstībai, kā arī valsts un Eiropas Savienības atbalstu lauksaimniecībai un lauku attīstībai 2023.–2027. gada plānošanas periodā"" (24-TA-2911), proti, redakcionāli precizējot un norādes "</w:t>
            </w:r>
            <w:r w:rsidR="00000000" w:rsidRPr="00000000" w:rsidDel="00000000">
              <w:rPr>
                <w:i w:val="1"/>
                <w:rtl w:val="0"/>
              </w:rPr>
              <w:t xml:space="preserve">[..] atvērts pie maksājumu pakalpojumu sniedzēja saskaņā ar Maksājumu pakalpojumu un elektroniskās naudas likuma 2. panta otrās daļas 1., 2., 4., 7. un 8. punktu.</w:t>
            </w:r>
            <w:r w:rsidR="00000000" w:rsidRPr="00000000" w:rsidDel="00000000">
              <w:rPr>
                <w:rtl w:val="0"/>
              </w:rPr>
              <w:t xml:space="preserve">" vietā, piemēram, norādot "</w:t>
            </w:r>
            <w:r w:rsidR="00000000" w:rsidRPr="00000000" w:rsidDel="00000000">
              <w:rPr>
                <w:i w:val="1"/>
                <w:rtl w:val="0"/>
              </w:rPr>
              <w:t xml:space="preserve">[..]</w:t>
            </w:r>
            <w:r w:rsidR="00000000" w:rsidRPr="00000000" w:rsidDel="00000000">
              <w:rPr>
                <w:rtl w:val="0"/>
              </w:rPr>
              <w:t xml:space="preserve"> </w:t>
            </w:r>
            <w:r w:rsidR="00000000" w:rsidRPr="00000000" w:rsidDel="00000000">
              <w:rPr>
                <w:i w:val="1"/>
                <w:rtl w:val="0"/>
              </w:rPr>
              <w:t xml:space="preserve">atvērts pie Maksājumu pakalpojumu un elektroniskās naudas likuma 2. panta otrās daļas 1., 2., 4., 7. vai 8. punktā minētā maksājumu pakalpojumu sniedzēja.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projekta 5. punktā lietot korektu un savstarpēji salāgotu terminoloģiju. Proti, projekta 5. punkts noteikumu 17. punktā aizstāj terminu "atbalsta saņēmējs" ar terminu"atbalsta pretendents", kas pēc to būtības nav atbilstoši, jo praktiski atbalstu izmaksā subjektam, kurš jau atzīts par tā saņēmēju, nevis subjektam, kurš vēl tikai uz atbalstu pretendē. Piemēram, arī noteikumu 19. punktā, attiecībā uz piešķirto atbalstu tiek lietots termins "atbalsta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redakcionāli precizēt projekta 1. punktu ("kāda šāda"), piemēram, svītrojot vārdu "kāda".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 punkts (noteikumu Nr. 259 7.1. apakšpunkts) un 5. punkts (noteikumu Nr. 259 17.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Lauku atbalsta dienests atbalstu atbalsta saņēmējam izmaksā bezskaidras naudas norēķinu veidā uz tā kontu, kas atvērts pie Maksājumu pakalpojumu un elektroniskās naudas likuma 2. panta otrās daļas 1., 2., 4., 7. un 8. punktā minētā maksājumu pakalpojumu sniedzēja.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24-TA-2815</w:t>
    </w:r>
    <w:r>
      <w:br/>
    </w:r>
    <w:r w:rsidR="00000000" w:rsidRPr="00000000" w:rsidDel="00000000">
      <w:rPr>
        <w:rtl w:val="0"/>
      </w:rPr>
      <w:t xml:space="preserve">24.02.2025. 12.28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24-TA-2815</w:t>
    </w:r>
    <w:r>
      <w:br/>
    </w:r>
    <w:r w:rsidR="00000000" w:rsidRPr="00000000" w:rsidDel="00000000">
      <w:rPr>
        <w:rtl w:val="0"/>
      </w:rPr>
      <w:t xml:space="preserve">24.02.2025. 12.28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Izziņa_24-TA-2815.docx</dc:title>
</cp:coreProperties>
</file>

<file path=docProps/custom.xml><?xml version="1.0" encoding="utf-8"?>
<Properties xmlns="http://schemas.openxmlformats.org/officeDocument/2006/custom-properties" xmlns:vt="http://schemas.openxmlformats.org/officeDocument/2006/docPropsVTypes"/>
</file>